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2548A2" w14:textId="77777777" w:rsidR="00CE2795" w:rsidRPr="008E772B" w:rsidRDefault="00CE2795" w:rsidP="00CE2795">
      <w:pPr>
        <w:spacing w:after="0" w:line="360" w:lineRule="auto"/>
        <w:jc w:val="center"/>
        <w:rPr>
          <w:rFonts w:asciiTheme="majorBidi" w:eastAsia="Times New Roman" w:hAnsiTheme="majorBidi" w:cstheme="majorBidi"/>
          <w:b/>
          <w:bCs/>
          <w:sz w:val="24"/>
          <w:szCs w:val="24"/>
        </w:rPr>
      </w:pPr>
      <w:r w:rsidRPr="008E772B">
        <w:rPr>
          <w:rFonts w:asciiTheme="majorBidi" w:eastAsia="Times New Roman" w:hAnsiTheme="majorBidi" w:cstheme="majorBidi"/>
          <w:b/>
          <w:bCs/>
          <w:sz w:val="24"/>
          <w:szCs w:val="24"/>
        </w:rPr>
        <w:t xml:space="preserve">Antecedents of Audit </w:t>
      </w:r>
      <w:r w:rsidRPr="008F180C">
        <w:rPr>
          <w:rFonts w:asciiTheme="majorBidi" w:eastAsia="Times New Roman" w:hAnsiTheme="majorBidi" w:cstheme="majorBidi"/>
          <w:b/>
          <w:bCs/>
          <w:sz w:val="24"/>
          <w:szCs w:val="24"/>
        </w:rPr>
        <w:t>Quality</w:t>
      </w:r>
      <w:r>
        <w:rPr>
          <w:rFonts w:asciiTheme="majorBidi" w:eastAsia="Times New Roman" w:hAnsiTheme="majorBidi" w:cstheme="majorBidi"/>
          <w:b/>
          <w:bCs/>
          <w:sz w:val="24"/>
          <w:szCs w:val="24"/>
        </w:rPr>
        <w:t xml:space="preserve"> in MENA Countries</w:t>
      </w:r>
      <w:r w:rsidRPr="008E772B">
        <w:rPr>
          <w:rFonts w:asciiTheme="majorBidi" w:eastAsia="Times New Roman" w:hAnsiTheme="majorBidi" w:cstheme="majorBidi"/>
          <w:b/>
          <w:bCs/>
          <w:sz w:val="24"/>
          <w:szCs w:val="24"/>
        </w:rPr>
        <w:t xml:space="preserve">: </w:t>
      </w:r>
    </w:p>
    <w:p w14:paraId="3560464C" w14:textId="77777777" w:rsidR="00CE2795" w:rsidRPr="008E772B" w:rsidRDefault="00CE2795" w:rsidP="00CE2795">
      <w:pPr>
        <w:spacing w:after="0" w:line="360" w:lineRule="auto"/>
        <w:jc w:val="center"/>
        <w:rPr>
          <w:rFonts w:asciiTheme="majorBidi" w:eastAsia="Times New Roman" w:hAnsiTheme="majorBidi" w:cstheme="majorBidi"/>
          <w:b/>
          <w:bCs/>
          <w:sz w:val="24"/>
          <w:szCs w:val="24"/>
        </w:rPr>
      </w:pPr>
      <w:r w:rsidRPr="008E772B">
        <w:rPr>
          <w:rFonts w:asciiTheme="majorBidi" w:eastAsia="Times New Roman" w:hAnsiTheme="majorBidi" w:cstheme="majorBidi"/>
          <w:b/>
          <w:bCs/>
          <w:sz w:val="24"/>
          <w:szCs w:val="24"/>
        </w:rPr>
        <w:t>The Effect of Firm- and Country-Level Governance Quality</w:t>
      </w:r>
      <w:r>
        <w:rPr>
          <w:rFonts w:asciiTheme="majorBidi" w:eastAsia="Times New Roman" w:hAnsiTheme="majorBidi" w:cstheme="majorBidi"/>
          <w:b/>
          <w:bCs/>
          <w:sz w:val="24"/>
          <w:szCs w:val="24"/>
        </w:rPr>
        <w:t xml:space="preserve"> </w:t>
      </w:r>
    </w:p>
    <w:p w14:paraId="010FBF29" w14:textId="77777777" w:rsidR="00CE2795" w:rsidRDefault="00CE2795" w:rsidP="00CE2795">
      <w:pPr>
        <w:spacing w:after="0" w:line="360" w:lineRule="auto"/>
        <w:jc w:val="center"/>
        <w:rPr>
          <w:rFonts w:ascii="Times New Roman" w:eastAsia="Times New Roman" w:hAnsi="Times New Roman" w:cs="Times New Roman"/>
          <w:sz w:val="24"/>
          <w:szCs w:val="24"/>
        </w:rPr>
      </w:pPr>
    </w:p>
    <w:p w14:paraId="7CC98BBD" w14:textId="77777777" w:rsidR="00CE2795" w:rsidRPr="009600F8" w:rsidRDefault="00CE2795" w:rsidP="00CE2795">
      <w:pPr>
        <w:spacing w:after="0" w:line="360" w:lineRule="auto"/>
        <w:jc w:val="center"/>
        <w:rPr>
          <w:rFonts w:ascii="Times New Roman" w:eastAsia="Times New Roman" w:hAnsi="Times New Roman" w:cs="Times New Roman"/>
          <w:sz w:val="24"/>
          <w:szCs w:val="24"/>
        </w:rPr>
      </w:pPr>
      <w:r w:rsidRPr="00F06B5C">
        <w:rPr>
          <w:rFonts w:ascii="Times New Roman" w:eastAsia="Times New Roman" w:hAnsi="Times New Roman" w:cs="Times New Roman"/>
          <w:sz w:val="24"/>
          <w:szCs w:val="24"/>
        </w:rPr>
        <w:t>Ahmed A. Sarhan</w:t>
      </w:r>
      <w:r>
        <w:rPr>
          <w:rFonts w:ascii="Times New Roman" w:eastAsia="Times New Roman" w:hAnsi="Times New Roman" w:cs="Times New Roman"/>
          <w:sz w:val="24"/>
          <w:szCs w:val="24"/>
          <w:vertAlign w:val="superscript"/>
        </w:rPr>
        <w:t>1</w:t>
      </w:r>
      <w:r w:rsidRPr="00F06B5C">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vertAlign w:val="superscript"/>
        </w:rPr>
        <w:t>4</w:t>
      </w:r>
      <w:r w:rsidRPr="00F06B5C">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 xml:space="preserve">, </w:t>
      </w:r>
      <w:r w:rsidRPr="00F06B5C">
        <w:rPr>
          <w:rFonts w:ascii="Times New Roman" w:eastAsia="Times New Roman" w:hAnsi="Times New Roman" w:cs="Times New Roman"/>
          <w:sz w:val="24"/>
          <w:szCs w:val="24"/>
        </w:rPr>
        <w:t>Collins G. Ntim</w:t>
      </w:r>
      <w:r>
        <w:rPr>
          <w:rFonts w:ascii="Times New Roman" w:eastAsia="Times New Roman" w:hAnsi="Times New Roman" w:cs="Times New Roman"/>
          <w:sz w:val="24"/>
          <w:szCs w:val="24"/>
          <w:vertAlign w:val="superscript"/>
        </w:rPr>
        <w:t xml:space="preserve">2 </w:t>
      </w:r>
      <w:r w:rsidRPr="009600F8">
        <w:rPr>
          <w:rFonts w:ascii="Times New Roman" w:eastAsia="Times New Roman" w:hAnsi="Times New Roman" w:cs="Times New Roman"/>
          <w:sz w:val="24"/>
          <w:szCs w:val="24"/>
        </w:rPr>
        <w:t>and</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 xml:space="preserve"> </w:t>
      </w:r>
      <w:r w:rsidRPr="009600F8">
        <w:rPr>
          <w:rFonts w:ascii="Times New Roman" w:eastAsia="Times New Roman" w:hAnsi="Times New Roman" w:cs="Times New Roman"/>
          <w:sz w:val="24"/>
          <w:szCs w:val="24"/>
        </w:rPr>
        <w:t>Basil Al-Najjar</w:t>
      </w:r>
      <w:r>
        <w:rPr>
          <w:rFonts w:ascii="Times New Roman" w:eastAsia="Times New Roman" w:hAnsi="Times New Roman" w:cs="Times New Roman"/>
          <w:sz w:val="24"/>
          <w:szCs w:val="24"/>
          <w:vertAlign w:val="superscript"/>
        </w:rPr>
        <w:t>3</w:t>
      </w:r>
    </w:p>
    <w:p w14:paraId="5B02BC5B" w14:textId="77777777" w:rsidR="00CE2795" w:rsidRDefault="00CE2795" w:rsidP="00CE2795">
      <w:pPr>
        <w:spacing w:after="0" w:line="360" w:lineRule="auto"/>
        <w:jc w:val="center"/>
        <w:rPr>
          <w:rFonts w:ascii="Times New Roman" w:eastAsia="Times New Roman" w:hAnsi="Times New Roman" w:cs="Times New Roman"/>
          <w:sz w:val="24"/>
          <w:szCs w:val="24"/>
        </w:rPr>
      </w:pPr>
    </w:p>
    <w:p w14:paraId="1300E214" w14:textId="77777777" w:rsidR="00CE2795" w:rsidRPr="00F06B5C" w:rsidRDefault="00CE2795" w:rsidP="00CE2795">
      <w:pPr>
        <w:spacing w:after="0" w:line="360" w:lineRule="auto"/>
        <w:jc w:val="center"/>
        <w:rPr>
          <w:rFonts w:ascii="Times New Roman" w:eastAsia="Times New Roman" w:hAnsi="Times New Roman" w:cs="Times New Roman"/>
          <w:sz w:val="24"/>
          <w:szCs w:val="24"/>
        </w:rPr>
      </w:pPr>
    </w:p>
    <w:p w14:paraId="23EDC5C6" w14:textId="77777777" w:rsidR="00CE2795" w:rsidRPr="00F06B5C" w:rsidRDefault="00CE2795" w:rsidP="00CE2795">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sz w:val="24"/>
          <w:szCs w:val="24"/>
          <w:vertAlign w:val="superscript"/>
        </w:rPr>
        <w:t>1</w:t>
      </w:r>
      <w:r w:rsidRPr="00F06B5C">
        <w:rPr>
          <w:rFonts w:ascii="Times New Roman" w:eastAsia="Times New Roman" w:hAnsi="Times New Roman" w:cs="Times New Roman"/>
          <w:bCs/>
          <w:sz w:val="24"/>
          <w:szCs w:val="24"/>
        </w:rPr>
        <w:t>Department of Account</w:t>
      </w:r>
      <w:r>
        <w:rPr>
          <w:rFonts w:ascii="Times New Roman" w:eastAsia="Times New Roman" w:hAnsi="Times New Roman" w:cs="Times New Roman"/>
          <w:bCs/>
          <w:sz w:val="24"/>
          <w:szCs w:val="24"/>
        </w:rPr>
        <w:t>ing</w:t>
      </w:r>
      <w:r w:rsidRPr="00F06B5C">
        <w:rPr>
          <w:rFonts w:ascii="Times New Roman" w:eastAsia="Times New Roman" w:hAnsi="Times New Roman" w:cs="Times New Roman"/>
          <w:bCs/>
          <w:sz w:val="24"/>
          <w:szCs w:val="24"/>
        </w:rPr>
        <w:t xml:space="preserve">, Finance and Economics </w:t>
      </w:r>
    </w:p>
    <w:p w14:paraId="73C912B8" w14:textId="77777777" w:rsidR="00CE2795" w:rsidRPr="00F06B5C" w:rsidRDefault="00CE2795" w:rsidP="00CE2795">
      <w:pPr>
        <w:spacing w:after="0" w:line="360" w:lineRule="auto"/>
        <w:jc w:val="center"/>
        <w:rPr>
          <w:rFonts w:ascii="Times New Roman" w:eastAsia="Times New Roman" w:hAnsi="Times New Roman" w:cs="Times New Roman"/>
          <w:bCs/>
          <w:sz w:val="24"/>
          <w:szCs w:val="24"/>
        </w:rPr>
      </w:pPr>
      <w:r w:rsidRPr="00F06B5C">
        <w:rPr>
          <w:rFonts w:ascii="Times New Roman" w:eastAsia="Times New Roman" w:hAnsi="Times New Roman" w:cs="Times New Roman"/>
          <w:bCs/>
          <w:sz w:val="24"/>
          <w:szCs w:val="24"/>
        </w:rPr>
        <w:t xml:space="preserve">Huddersfield Business School </w:t>
      </w:r>
    </w:p>
    <w:p w14:paraId="03E01C3A" w14:textId="77777777" w:rsidR="00CE2795" w:rsidRPr="00F06B5C" w:rsidRDefault="00CE2795" w:rsidP="00CE2795">
      <w:pPr>
        <w:spacing w:after="0" w:line="360" w:lineRule="auto"/>
        <w:jc w:val="center"/>
        <w:rPr>
          <w:rFonts w:ascii="Times New Roman" w:eastAsia="Times New Roman" w:hAnsi="Times New Roman" w:cs="Times New Roman"/>
          <w:bCs/>
          <w:sz w:val="24"/>
          <w:szCs w:val="24"/>
        </w:rPr>
      </w:pPr>
      <w:r w:rsidRPr="00F06B5C">
        <w:rPr>
          <w:rFonts w:ascii="Times New Roman" w:eastAsia="Times New Roman" w:hAnsi="Times New Roman" w:cs="Times New Roman"/>
          <w:bCs/>
          <w:sz w:val="24"/>
          <w:szCs w:val="24"/>
        </w:rPr>
        <w:t>University of Huddersfield</w:t>
      </w:r>
    </w:p>
    <w:p w14:paraId="47A78874" w14:textId="77777777" w:rsidR="00CE2795" w:rsidRPr="00F06B5C" w:rsidRDefault="00CE2795" w:rsidP="00CE2795">
      <w:pPr>
        <w:spacing w:after="0" w:line="360" w:lineRule="auto"/>
        <w:jc w:val="center"/>
        <w:rPr>
          <w:rFonts w:ascii="Times New Roman" w:eastAsia="Times New Roman" w:hAnsi="Times New Roman" w:cs="Times New Roman"/>
          <w:bCs/>
          <w:sz w:val="24"/>
          <w:szCs w:val="24"/>
        </w:rPr>
      </w:pPr>
      <w:r w:rsidRPr="00F06B5C">
        <w:rPr>
          <w:rFonts w:ascii="Times New Roman" w:eastAsia="Times New Roman" w:hAnsi="Times New Roman" w:cs="Times New Roman"/>
          <w:bCs/>
          <w:sz w:val="24"/>
          <w:szCs w:val="24"/>
        </w:rPr>
        <w:t xml:space="preserve"> Huddersfield, UK</w:t>
      </w:r>
    </w:p>
    <w:p w14:paraId="012AAA81" w14:textId="77777777" w:rsidR="00CE2795" w:rsidRPr="00F06B5C" w:rsidRDefault="00CE2795" w:rsidP="00CE2795">
      <w:pPr>
        <w:spacing w:after="0" w:line="360" w:lineRule="auto"/>
        <w:jc w:val="center"/>
        <w:rPr>
          <w:rFonts w:ascii="Times New Roman" w:eastAsia="Times New Roman" w:hAnsi="Times New Roman" w:cs="Times New Roman"/>
          <w:bCs/>
          <w:sz w:val="24"/>
          <w:szCs w:val="24"/>
          <w:u w:val="single"/>
        </w:rPr>
      </w:pPr>
      <w:r w:rsidRPr="00F06B5C">
        <w:rPr>
          <w:rFonts w:ascii="Times New Roman" w:eastAsia="Times New Roman" w:hAnsi="Times New Roman" w:cs="Times New Roman"/>
          <w:bCs/>
          <w:sz w:val="24"/>
          <w:szCs w:val="24"/>
        </w:rPr>
        <w:t xml:space="preserve">E-mail: </w:t>
      </w:r>
      <w:hyperlink r:id="rId8" w:history="1">
        <w:r w:rsidRPr="00F06B5C">
          <w:rPr>
            <w:rFonts w:ascii="Times New Roman" w:eastAsia="Times New Roman" w:hAnsi="Times New Roman" w:cs="Times New Roman"/>
            <w:bCs/>
            <w:color w:val="0000FF"/>
            <w:sz w:val="24"/>
            <w:szCs w:val="24"/>
            <w:u w:val="single"/>
          </w:rPr>
          <w:t>a.sarhan@hud.ac.uk</w:t>
        </w:r>
      </w:hyperlink>
    </w:p>
    <w:p w14:paraId="5CDBBA9A" w14:textId="77777777" w:rsidR="00CE2795" w:rsidRPr="00F06B5C" w:rsidRDefault="00CE2795" w:rsidP="00CE2795">
      <w:pPr>
        <w:spacing w:after="0" w:line="360" w:lineRule="auto"/>
        <w:jc w:val="center"/>
        <w:rPr>
          <w:rFonts w:ascii="Times New Roman" w:eastAsia="Times New Roman" w:hAnsi="Times New Roman" w:cs="Times New Roman"/>
          <w:sz w:val="24"/>
          <w:szCs w:val="24"/>
        </w:rPr>
      </w:pPr>
    </w:p>
    <w:p w14:paraId="7492986F" w14:textId="77777777" w:rsidR="00CE2795" w:rsidRPr="00F06B5C" w:rsidRDefault="00CE2795" w:rsidP="00CE2795">
      <w:pPr>
        <w:spacing w:after="0" w:line="360" w:lineRule="auto"/>
        <w:jc w:val="center"/>
        <w:rPr>
          <w:rFonts w:ascii="Times New Roman" w:eastAsia="Times New Roman" w:hAnsi="Times New Roman" w:cs="Times New Roman"/>
          <w:sz w:val="24"/>
          <w:szCs w:val="24"/>
        </w:rPr>
      </w:pPr>
    </w:p>
    <w:p w14:paraId="36EED49C" w14:textId="77777777" w:rsidR="00CE2795" w:rsidRPr="00F06B5C" w:rsidRDefault="00CE2795" w:rsidP="00CE2795">
      <w:pPr>
        <w:spacing w:after="0" w:line="36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2</w:t>
      </w:r>
      <w:r w:rsidRPr="00F06B5C">
        <w:rPr>
          <w:rFonts w:ascii="Times New Roman" w:eastAsia="Times New Roman" w:hAnsi="Times New Roman" w:cs="Times New Roman"/>
          <w:sz w:val="24"/>
          <w:szCs w:val="24"/>
        </w:rPr>
        <w:t>Centre for Research in Accounting, Accountability and Governance</w:t>
      </w:r>
      <w:r w:rsidRPr="00F06B5C">
        <w:rPr>
          <w:rFonts w:ascii="Times New Roman" w:eastAsia="Times New Roman" w:hAnsi="Times New Roman" w:cs="Times New Roman"/>
          <w:sz w:val="24"/>
          <w:szCs w:val="24"/>
          <w:vertAlign w:val="superscript"/>
        </w:rPr>
        <w:t xml:space="preserve"> </w:t>
      </w:r>
    </w:p>
    <w:p w14:paraId="035F28F0" w14:textId="77777777" w:rsidR="00CE2795" w:rsidRPr="00F06B5C" w:rsidRDefault="00CE2795" w:rsidP="00CE2795">
      <w:pPr>
        <w:spacing w:after="0" w:line="360" w:lineRule="auto"/>
        <w:jc w:val="center"/>
        <w:rPr>
          <w:rFonts w:ascii="Times New Roman" w:eastAsia="Times New Roman" w:hAnsi="Times New Roman" w:cs="Times New Roman"/>
          <w:bCs/>
          <w:sz w:val="24"/>
          <w:szCs w:val="24"/>
        </w:rPr>
      </w:pPr>
      <w:r w:rsidRPr="00F06B5C">
        <w:rPr>
          <w:rFonts w:ascii="Times New Roman" w:eastAsia="Times New Roman" w:hAnsi="Times New Roman" w:cs="Times New Roman"/>
          <w:bCs/>
          <w:sz w:val="24"/>
          <w:szCs w:val="24"/>
        </w:rPr>
        <w:t xml:space="preserve">Department of Accounting </w:t>
      </w:r>
    </w:p>
    <w:p w14:paraId="74B21E81" w14:textId="77777777" w:rsidR="00CE2795" w:rsidRPr="00F06B5C" w:rsidRDefault="00CE2795" w:rsidP="00CE2795">
      <w:pPr>
        <w:spacing w:after="0" w:line="360" w:lineRule="auto"/>
        <w:jc w:val="center"/>
        <w:rPr>
          <w:rFonts w:ascii="Times New Roman" w:eastAsia="Times New Roman" w:hAnsi="Times New Roman" w:cs="Times New Roman"/>
          <w:bCs/>
          <w:sz w:val="24"/>
          <w:szCs w:val="24"/>
        </w:rPr>
      </w:pPr>
      <w:r w:rsidRPr="00F06B5C">
        <w:rPr>
          <w:rFonts w:ascii="Times New Roman" w:eastAsia="Times New Roman" w:hAnsi="Times New Roman" w:cs="Times New Roman"/>
          <w:bCs/>
          <w:sz w:val="24"/>
          <w:szCs w:val="24"/>
        </w:rPr>
        <w:t>Southampton Business School</w:t>
      </w:r>
    </w:p>
    <w:p w14:paraId="70493837" w14:textId="77777777" w:rsidR="00CE2795" w:rsidRPr="00F06B5C" w:rsidRDefault="00CE2795" w:rsidP="00CE2795">
      <w:pPr>
        <w:spacing w:after="0" w:line="360" w:lineRule="auto"/>
        <w:jc w:val="center"/>
        <w:rPr>
          <w:rFonts w:ascii="Times New Roman" w:eastAsia="Times New Roman" w:hAnsi="Times New Roman" w:cs="Times New Roman"/>
          <w:bCs/>
          <w:sz w:val="24"/>
          <w:szCs w:val="24"/>
        </w:rPr>
      </w:pPr>
      <w:r w:rsidRPr="00F06B5C">
        <w:rPr>
          <w:rFonts w:ascii="Times New Roman" w:eastAsia="Times New Roman" w:hAnsi="Times New Roman" w:cs="Times New Roman"/>
          <w:bCs/>
          <w:sz w:val="24"/>
          <w:szCs w:val="24"/>
        </w:rPr>
        <w:t>University of Southampton</w:t>
      </w:r>
    </w:p>
    <w:p w14:paraId="43FE91D6" w14:textId="77777777" w:rsidR="00CE2795" w:rsidRPr="00CE2795" w:rsidRDefault="00CE2795" w:rsidP="00CE2795">
      <w:pPr>
        <w:spacing w:after="0" w:line="360" w:lineRule="auto"/>
        <w:jc w:val="center"/>
        <w:rPr>
          <w:rFonts w:ascii="Times New Roman" w:eastAsia="Times New Roman" w:hAnsi="Times New Roman" w:cs="Times New Roman"/>
          <w:sz w:val="24"/>
          <w:szCs w:val="24"/>
        </w:rPr>
      </w:pPr>
      <w:r w:rsidRPr="00CE2795">
        <w:rPr>
          <w:rFonts w:ascii="Times New Roman" w:eastAsia="Times New Roman" w:hAnsi="Times New Roman" w:cs="Times New Roman"/>
          <w:bCs/>
          <w:sz w:val="24"/>
          <w:szCs w:val="24"/>
        </w:rPr>
        <w:t>Southampton, UK</w:t>
      </w:r>
    </w:p>
    <w:p w14:paraId="182DA253" w14:textId="77777777" w:rsidR="00CE2795" w:rsidRPr="00CE2795" w:rsidRDefault="00CE2795" w:rsidP="00CE2795">
      <w:pPr>
        <w:spacing w:after="0" w:line="360" w:lineRule="auto"/>
        <w:jc w:val="center"/>
        <w:rPr>
          <w:rFonts w:ascii="Times New Roman" w:eastAsia="Times New Roman" w:hAnsi="Times New Roman" w:cs="Times New Roman"/>
          <w:sz w:val="24"/>
          <w:szCs w:val="24"/>
        </w:rPr>
      </w:pPr>
      <w:r w:rsidRPr="00CE2795">
        <w:rPr>
          <w:rFonts w:ascii="Times New Roman" w:eastAsia="Times New Roman" w:hAnsi="Times New Roman" w:cs="Times New Roman"/>
          <w:sz w:val="24"/>
          <w:szCs w:val="24"/>
        </w:rPr>
        <w:t xml:space="preserve">E-mail: </w:t>
      </w:r>
      <w:hyperlink r:id="rId9" w:history="1">
        <w:r w:rsidRPr="00CE2795">
          <w:rPr>
            <w:rFonts w:ascii="Times New Roman" w:eastAsia="Times New Roman" w:hAnsi="Times New Roman" w:cs="Times New Roman"/>
            <w:color w:val="0000FF"/>
            <w:sz w:val="24"/>
            <w:szCs w:val="24"/>
            <w:u w:val="single"/>
          </w:rPr>
          <w:t>c.g.ntim@soton.ac.uk</w:t>
        </w:r>
      </w:hyperlink>
    </w:p>
    <w:p w14:paraId="29B90CFD" w14:textId="77777777" w:rsidR="00CE2795" w:rsidRPr="00CE2795" w:rsidRDefault="00CE2795" w:rsidP="00CE2795">
      <w:pPr>
        <w:spacing w:after="0" w:line="360" w:lineRule="auto"/>
        <w:jc w:val="center"/>
        <w:rPr>
          <w:rFonts w:ascii="Times New Roman" w:eastAsia="Times New Roman" w:hAnsi="Times New Roman" w:cs="Times New Roman"/>
          <w:sz w:val="24"/>
          <w:szCs w:val="24"/>
        </w:rPr>
      </w:pPr>
    </w:p>
    <w:p w14:paraId="3B3420A6" w14:textId="77777777" w:rsidR="00CE2795" w:rsidRPr="00CE2795" w:rsidRDefault="00CE2795" w:rsidP="00CE2795">
      <w:pPr>
        <w:spacing w:after="0" w:line="360" w:lineRule="auto"/>
        <w:jc w:val="center"/>
        <w:rPr>
          <w:rFonts w:ascii="Times New Roman" w:eastAsia="Times New Roman" w:hAnsi="Times New Roman" w:cs="Times New Roman"/>
          <w:sz w:val="24"/>
          <w:szCs w:val="24"/>
        </w:rPr>
      </w:pPr>
    </w:p>
    <w:p w14:paraId="59D558DE" w14:textId="77777777" w:rsidR="00CE2795" w:rsidRPr="00F06B5C" w:rsidRDefault="00CE2795" w:rsidP="00CE2795">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sz w:val="24"/>
          <w:szCs w:val="24"/>
          <w:vertAlign w:val="superscript"/>
        </w:rPr>
        <w:t>3</w:t>
      </w:r>
      <w:r w:rsidRPr="00F06B5C">
        <w:rPr>
          <w:rFonts w:ascii="Times New Roman" w:eastAsia="Times New Roman" w:hAnsi="Times New Roman" w:cs="Times New Roman"/>
          <w:bCs/>
          <w:sz w:val="24"/>
          <w:szCs w:val="24"/>
        </w:rPr>
        <w:t>Department of Account</w:t>
      </w:r>
      <w:r>
        <w:rPr>
          <w:rFonts w:ascii="Times New Roman" w:eastAsia="Times New Roman" w:hAnsi="Times New Roman" w:cs="Times New Roman"/>
          <w:bCs/>
          <w:sz w:val="24"/>
          <w:szCs w:val="24"/>
        </w:rPr>
        <w:t>ing</w:t>
      </w:r>
      <w:r w:rsidRPr="00F06B5C">
        <w:rPr>
          <w:rFonts w:ascii="Times New Roman" w:eastAsia="Times New Roman" w:hAnsi="Times New Roman" w:cs="Times New Roman"/>
          <w:bCs/>
          <w:sz w:val="24"/>
          <w:szCs w:val="24"/>
        </w:rPr>
        <w:t xml:space="preserve">, Finance and Economics </w:t>
      </w:r>
    </w:p>
    <w:p w14:paraId="68BF314F" w14:textId="77777777" w:rsidR="00CE2795" w:rsidRPr="00F06B5C" w:rsidRDefault="00CE2795" w:rsidP="00CE2795">
      <w:pPr>
        <w:spacing w:after="0" w:line="360" w:lineRule="auto"/>
        <w:jc w:val="center"/>
        <w:rPr>
          <w:rFonts w:ascii="Times New Roman" w:eastAsia="Times New Roman" w:hAnsi="Times New Roman" w:cs="Times New Roman"/>
          <w:bCs/>
          <w:sz w:val="24"/>
          <w:szCs w:val="24"/>
        </w:rPr>
      </w:pPr>
      <w:r w:rsidRPr="00F06B5C">
        <w:rPr>
          <w:rFonts w:ascii="Times New Roman" w:eastAsia="Times New Roman" w:hAnsi="Times New Roman" w:cs="Times New Roman"/>
          <w:bCs/>
          <w:sz w:val="24"/>
          <w:szCs w:val="24"/>
        </w:rPr>
        <w:t xml:space="preserve">Huddersfield Business School </w:t>
      </w:r>
    </w:p>
    <w:p w14:paraId="09D39CC9" w14:textId="77777777" w:rsidR="00CE2795" w:rsidRPr="00F06B5C" w:rsidRDefault="00CE2795" w:rsidP="00CE2795">
      <w:pPr>
        <w:spacing w:after="0" w:line="360" w:lineRule="auto"/>
        <w:jc w:val="center"/>
        <w:rPr>
          <w:rFonts w:ascii="Times New Roman" w:eastAsia="Times New Roman" w:hAnsi="Times New Roman" w:cs="Times New Roman"/>
          <w:bCs/>
          <w:sz w:val="24"/>
          <w:szCs w:val="24"/>
        </w:rPr>
      </w:pPr>
      <w:r w:rsidRPr="00F06B5C">
        <w:rPr>
          <w:rFonts w:ascii="Times New Roman" w:eastAsia="Times New Roman" w:hAnsi="Times New Roman" w:cs="Times New Roman"/>
          <w:bCs/>
          <w:sz w:val="24"/>
          <w:szCs w:val="24"/>
        </w:rPr>
        <w:t>University of Huddersfield</w:t>
      </w:r>
    </w:p>
    <w:p w14:paraId="163292E1" w14:textId="77777777" w:rsidR="00CE2795" w:rsidRPr="00F06B5C" w:rsidRDefault="00CE2795" w:rsidP="00CE2795">
      <w:pPr>
        <w:spacing w:after="0" w:line="360" w:lineRule="auto"/>
        <w:jc w:val="center"/>
        <w:rPr>
          <w:rFonts w:ascii="Times New Roman" w:eastAsia="Times New Roman" w:hAnsi="Times New Roman" w:cs="Times New Roman"/>
          <w:bCs/>
          <w:sz w:val="24"/>
          <w:szCs w:val="24"/>
        </w:rPr>
      </w:pPr>
      <w:r w:rsidRPr="00F06B5C">
        <w:rPr>
          <w:rFonts w:ascii="Times New Roman" w:eastAsia="Times New Roman" w:hAnsi="Times New Roman" w:cs="Times New Roman"/>
          <w:bCs/>
          <w:sz w:val="24"/>
          <w:szCs w:val="24"/>
        </w:rPr>
        <w:t xml:space="preserve"> Huddersfield, UK</w:t>
      </w:r>
    </w:p>
    <w:p w14:paraId="2D397CA2" w14:textId="77777777" w:rsidR="00CE2795" w:rsidRPr="009600F8" w:rsidRDefault="00CE2795" w:rsidP="00CE2795">
      <w:pPr>
        <w:spacing w:after="0" w:line="360" w:lineRule="auto"/>
        <w:jc w:val="center"/>
        <w:rPr>
          <w:rFonts w:ascii="Times New Roman" w:eastAsia="Times New Roman" w:hAnsi="Times New Roman" w:cs="Times New Roman"/>
          <w:color w:val="0000FF"/>
          <w:sz w:val="24"/>
          <w:szCs w:val="24"/>
          <w:u w:val="single"/>
          <w:lang w:val="en-US"/>
        </w:rPr>
      </w:pPr>
      <w:r w:rsidRPr="00F06B5C">
        <w:rPr>
          <w:rFonts w:ascii="Times New Roman" w:eastAsia="Times New Roman" w:hAnsi="Times New Roman" w:cs="Times New Roman"/>
          <w:bCs/>
          <w:sz w:val="24"/>
          <w:szCs w:val="24"/>
        </w:rPr>
        <w:t xml:space="preserve">E-mail: </w:t>
      </w:r>
      <w:hyperlink r:id="rId10" w:history="1">
        <w:r w:rsidRPr="009600F8">
          <w:rPr>
            <w:rFonts w:ascii="Times New Roman" w:eastAsia="Times New Roman" w:hAnsi="Times New Roman" w:cs="Times New Roman"/>
            <w:color w:val="0000FF"/>
            <w:sz w:val="24"/>
            <w:szCs w:val="24"/>
            <w:lang w:val="en-US"/>
          </w:rPr>
          <w:t>b.al-najjar@hud.ac.uk</w:t>
        </w:r>
      </w:hyperlink>
    </w:p>
    <w:p w14:paraId="116F23DA" w14:textId="77777777" w:rsidR="00CE2795" w:rsidRDefault="00CE2795" w:rsidP="00CE2795">
      <w:pPr>
        <w:spacing w:after="0" w:line="360" w:lineRule="auto"/>
        <w:jc w:val="center"/>
        <w:rPr>
          <w:rFonts w:ascii="Times New Roman" w:eastAsia="Times New Roman" w:hAnsi="Times New Roman" w:cs="Times New Roman"/>
          <w:b/>
          <w:sz w:val="24"/>
          <w:szCs w:val="24"/>
        </w:rPr>
      </w:pPr>
    </w:p>
    <w:p w14:paraId="6FBF233B" w14:textId="77777777" w:rsidR="00CE2795" w:rsidRDefault="00CE2795" w:rsidP="00CE2795">
      <w:pPr>
        <w:spacing w:after="0" w:line="360" w:lineRule="auto"/>
        <w:jc w:val="center"/>
        <w:rPr>
          <w:rFonts w:ascii="Times New Roman" w:eastAsia="Times New Roman" w:hAnsi="Times New Roman" w:cs="Times New Roman"/>
          <w:b/>
          <w:sz w:val="24"/>
          <w:szCs w:val="24"/>
        </w:rPr>
      </w:pPr>
    </w:p>
    <w:p w14:paraId="12B781C0" w14:textId="77777777" w:rsidR="00CE2795" w:rsidRPr="00F06B5C" w:rsidRDefault="00CE2795" w:rsidP="00CE2795">
      <w:pPr>
        <w:spacing w:after="0" w:line="360" w:lineRule="auto"/>
        <w:jc w:val="center"/>
        <w:rPr>
          <w:rFonts w:ascii="Times New Roman" w:eastAsia="Times New Roman" w:hAnsi="Times New Roman" w:cs="Times New Roman"/>
          <w:b/>
          <w:sz w:val="24"/>
          <w:szCs w:val="24"/>
        </w:rPr>
      </w:pPr>
    </w:p>
    <w:p w14:paraId="24F96B35" w14:textId="77777777" w:rsidR="00CE2795" w:rsidRPr="00F06B5C" w:rsidRDefault="00CE2795" w:rsidP="00CE2795">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vertAlign w:val="superscript"/>
        </w:rPr>
        <w:t>4</w:t>
      </w:r>
      <w:r w:rsidRPr="00F06B5C">
        <w:rPr>
          <w:rFonts w:ascii="Times New Roman" w:eastAsia="Times New Roman" w:hAnsi="Times New Roman" w:cs="Times New Roman"/>
          <w:bCs/>
          <w:sz w:val="24"/>
          <w:szCs w:val="24"/>
        </w:rPr>
        <w:t xml:space="preserve">Department of Accounting </w:t>
      </w:r>
    </w:p>
    <w:p w14:paraId="0F929C89" w14:textId="77777777" w:rsidR="00CE2795" w:rsidRPr="00F06B5C" w:rsidRDefault="00CE2795" w:rsidP="00CE2795">
      <w:pPr>
        <w:spacing w:after="0" w:line="360" w:lineRule="auto"/>
        <w:jc w:val="center"/>
        <w:rPr>
          <w:rFonts w:ascii="Times New Roman" w:eastAsia="Times New Roman" w:hAnsi="Times New Roman" w:cs="Times New Roman"/>
          <w:bCs/>
          <w:sz w:val="24"/>
          <w:szCs w:val="24"/>
        </w:rPr>
      </w:pPr>
      <w:r w:rsidRPr="00F06B5C">
        <w:rPr>
          <w:rFonts w:ascii="Times New Roman" w:eastAsia="Times New Roman" w:hAnsi="Times New Roman" w:cs="Times New Roman"/>
          <w:bCs/>
          <w:sz w:val="24"/>
          <w:szCs w:val="24"/>
        </w:rPr>
        <w:t>Faculty of Commerce</w:t>
      </w:r>
    </w:p>
    <w:p w14:paraId="068BE3CD" w14:textId="77777777" w:rsidR="00CE2795" w:rsidRPr="00F06B5C" w:rsidRDefault="00CE2795" w:rsidP="00CE2795">
      <w:pPr>
        <w:spacing w:after="0" w:line="360" w:lineRule="auto"/>
        <w:jc w:val="center"/>
        <w:rPr>
          <w:rFonts w:ascii="Times New Roman" w:eastAsia="Times New Roman" w:hAnsi="Times New Roman" w:cs="Times New Roman"/>
          <w:bCs/>
          <w:sz w:val="24"/>
          <w:szCs w:val="24"/>
        </w:rPr>
      </w:pPr>
      <w:r w:rsidRPr="00F06B5C">
        <w:rPr>
          <w:rFonts w:ascii="Times New Roman" w:eastAsia="Times New Roman" w:hAnsi="Times New Roman" w:cs="Times New Roman"/>
          <w:bCs/>
          <w:sz w:val="24"/>
          <w:szCs w:val="24"/>
        </w:rPr>
        <w:t>Zagazig University</w:t>
      </w:r>
    </w:p>
    <w:p w14:paraId="3FAEF382" w14:textId="77777777" w:rsidR="00CE2795" w:rsidRDefault="00CE2795" w:rsidP="00CE2795">
      <w:pPr>
        <w:spacing w:after="0" w:line="360" w:lineRule="auto"/>
        <w:jc w:val="center"/>
      </w:pPr>
      <w:r w:rsidRPr="00F06B5C">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Zagazig</w:t>
      </w:r>
      <w:r w:rsidRPr="00F06B5C">
        <w:rPr>
          <w:rFonts w:ascii="Times New Roman" w:eastAsia="Times New Roman" w:hAnsi="Times New Roman" w:cs="Times New Roman"/>
          <w:bCs/>
          <w:sz w:val="24"/>
          <w:szCs w:val="24"/>
        </w:rPr>
        <w:t>, Egypt</w:t>
      </w:r>
    </w:p>
    <w:p w14:paraId="6AB8CD96" w14:textId="6FD22AA2" w:rsidR="00682B8A" w:rsidRPr="008E772B" w:rsidRDefault="00682B8A" w:rsidP="008F180C">
      <w:pPr>
        <w:spacing w:after="0" w:line="360" w:lineRule="auto"/>
        <w:jc w:val="center"/>
        <w:rPr>
          <w:rFonts w:asciiTheme="majorBidi" w:eastAsia="Times New Roman" w:hAnsiTheme="majorBidi" w:cstheme="majorBidi"/>
          <w:b/>
          <w:bCs/>
          <w:sz w:val="24"/>
          <w:szCs w:val="24"/>
        </w:rPr>
      </w:pPr>
      <w:r w:rsidRPr="008E772B">
        <w:rPr>
          <w:rFonts w:asciiTheme="majorBidi" w:eastAsia="Times New Roman" w:hAnsiTheme="majorBidi" w:cstheme="majorBidi"/>
          <w:b/>
          <w:bCs/>
          <w:sz w:val="24"/>
          <w:szCs w:val="24"/>
        </w:rPr>
        <w:lastRenderedPageBreak/>
        <w:t xml:space="preserve">Antecedents of Audit </w:t>
      </w:r>
      <w:r w:rsidR="008F180C" w:rsidRPr="008F180C">
        <w:rPr>
          <w:rFonts w:asciiTheme="majorBidi" w:eastAsia="Times New Roman" w:hAnsiTheme="majorBidi" w:cstheme="majorBidi"/>
          <w:b/>
          <w:bCs/>
          <w:sz w:val="24"/>
          <w:szCs w:val="24"/>
        </w:rPr>
        <w:t>Quality</w:t>
      </w:r>
      <w:r w:rsidR="00AD3BF4">
        <w:rPr>
          <w:rFonts w:asciiTheme="majorBidi" w:eastAsia="Times New Roman" w:hAnsiTheme="majorBidi" w:cstheme="majorBidi"/>
          <w:b/>
          <w:bCs/>
          <w:sz w:val="24"/>
          <w:szCs w:val="24"/>
        </w:rPr>
        <w:t xml:space="preserve"> in MENA Countries</w:t>
      </w:r>
      <w:r w:rsidRPr="008E772B">
        <w:rPr>
          <w:rFonts w:asciiTheme="majorBidi" w:eastAsia="Times New Roman" w:hAnsiTheme="majorBidi" w:cstheme="majorBidi"/>
          <w:b/>
          <w:bCs/>
          <w:sz w:val="24"/>
          <w:szCs w:val="24"/>
        </w:rPr>
        <w:t xml:space="preserve">: </w:t>
      </w:r>
    </w:p>
    <w:p w14:paraId="4EB3DFC3" w14:textId="38E46D5A" w:rsidR="00682B8A" w:rsidRPr="008E772B" w:rsidRDefault="00682B8A" w:rsidP="00682B8A">
      <w:pPr>
        <w:spacing w:after="0" w:line="360" w:lineRule="auto"/>
        <w:jc w:val="center"/>
        <w:rPr>
          <w:rFonts w:asciiTheme="majorBidi" w:eastAsia="Times New Roman" w:hAnsiTheme="majorBidi" w:cstheme="majorBidi"/>
          <w:b/>
          <w:bCs/>
          <w:sz w:val="24"/>
          <w:szCs w:val="24"/>
        </w:rPr>
      </w:pPr>
      <w:r w:rsidRPr="008E772B">
        <w:rPr>
          <w:rFonts w:asciiTheme="majorBidi" w:eastAsia="Times New Roman" w:hAnsiTheme="majorBidi" w:cstheme="majorBidi"/>
          <w:b/>
          <w:bCs/>
          <w:sz w:val="24"/>
          <w:szCs w:val="24"/>
        </w:rPr>
        <w:t xml:space="preserve">The Effect of </w:t>
      </w:r>
      <w:r w:rsidR="00CE015E" w:rsidRPr="008E772B">
        <w:rPr>
          <w:rFonts w:asciiTheme="majorBidi" w:eastAsia="Times New Roman" w:hAnsiTheme="majorBidi" w:cstheme="majorBidi"/>
          <w:b/>
          <w:bCs/>
          <w:sz w:val="24"/>
          <w:szCs w:val="24"/>
        </w:rPr>
        <w:t>Firm- and Country-Level</w:t>
      </w:r>
      <w:r w:rsidRPr="008E772B">
        <w:rPr>
          <w:rFonts w:asciiTheme="majorBidi" w:eastAsia="Times New Roman" w:hAnsiTheme="majorBidi" w:cstheme="majorBidi"/>
          <w:b/>
          <w:bCs/>
          <w:sz w:val="24"/>
          <w:szCs w:val="24"/>
        </w:rPr>
        <w:t xml:space="preserve"> Governance</w:t>
      </w:r>
      <w:r w:rsidR="00CE015E" w:rsidRPr="008E772B">
        <w:rPr>
          <w:rFonts w:asciiTheme="majorBidi" w:eastAsia="Times New Roman" w:hAnsiTheme="majorBidi" w:cstheme="majorBidi"/>
          <w:b/>
          <w:bCs/>
          <w:sz w:val="24"/>
          <w:szCs w:val="24"/>
        </w:rPr>
        <w:t xml:space="preserve"> Quality</w:t>
      </w:r>
      <w:r w:rsidR="00904387">
        <w:rPr>
          <w:rFonts w:asciiTheme="majorBidi" w:eastAsia="Times New Roman" w:hAnsiTheme="majorBidi" w:cstheme="majorBidi"/>
          <w:b/>
          <w:bCs/>
          <w:sz w:val="24"/>
          <w:szCs w:val="24"/>
        </w:rPr>
        <w:t xml:space="preserve"> </w:t>
      </w:r>
    </w:p>
    <w:p w14:paraId="659C27BC" w14:textId="77777777" w:rsidR="00682B8A" w:rsidRPr="008E772B" w:rsidRDefault="00682B8A" w:rsidP="00682B8A">
      <w:pPr>
        <w:spacing w:after="0" w:line="360" w:lineRule="auto"/>
        <w:jc w:val="lowKashida"/>
        <w:rPr>
          <w:rFonts w:asciiTheme="majorBidi" w:eastAsia="Times New Roman" w:hAnsiTheme="majorBidi" w:cstheme="majorBidi"/>
          <w:b/>
          <w:bCs/>
          <w:sz w:val="24"/>
          <w:szCs w:val="24"/>
          <w:lang w:val="en-US"/>
        </w:rPr>
      </w:pPr>
    </w:p>
    <w:p w14:paraId="32AD46B7" w14:textId="6FD185AE" w:rsidR="00682B8A" w:rsidRPr="008E772B" w:rsidRDefault="00682B8A" w:rsidP="008F180C">
      <w:pPr>
        <w:spacing w:after="0" w:line="360" w:lineRule="auto"/>
        <w:jc w:val="lowKashida"/>
        <w:rPr>
          <w:rFonts w:asciiTheme="majorBidi" w:eastAsia="Times New Roman" w:hAnsiTheme="majorBidi" w:cstheme="majorBidi"/>
          <w:bCs/>
          <w:sz w:val="24"/>
          <w:szCs w:val="24"/>
        </w:rPr>
      </w:pPr>
      <w:r w:rsidRPr="008E772B">
        <w:rPr>
          <w:rFonts w:asciiTheme="majorBidi" w:eastAsia="Times New Roman" w:hAnsiTheme="majorBidi" w:cstheme="majorBidi"/>
          <w:bCs/>
          <w:sz w:val="24"/>
          <w:szCs w:val="24"/>
        </w:rPr>
        <w:t xml:space="preserve">This paper investigates the effect of </w:t>
      </w:r>
      <w:r w:rsidR="003657FE" w:rsidRPr="008E772B">
        <w:rPr>
          <w:rFonts w:asciiTheme="majorBidi" w:eastAsia="Times New Roman" w:hAnsiTheme="majorBidi" w:cstheme="majorBidi"/>
          <w:bCs/>
          <w:sz w:val="24"/>
          <w:szCs w:val="24"/>
        </w:rPr>
        <w:t>firm- and country-level</w:t>
      </w:r>
      <w:r w:rsidRPr="008E772B">
        <w:rPr>
          <w:rFonts w:asciiTheme="majorBidi" w:eastAsia="Times New Roman" w:hAnsiTheme="majorBidi" w:cstheme="majorBidi"/>
          <w:bCs/>
          <w:sz w:val="24"/>
          <w:szCs w:val="24"/>
        </w:rPr>
        <w:t xml:space="preserve"> governance </w:t>
      </w:r>
      <w:r w:rsidR="0047069C" w:rsidRPr="008E772B">
        <w:rPr>
          <w:rFonts w:asciiTheme="majorBidi" w:eastAsia="Times New Roman" w:hAnsiTheme="majorBidi" w:cstheme="majorBidi"/>
          <w:bCs/>
          <w:sz w:val="24"/>
          <w:szCs w:val="24"/>
        </w:rPr>
        <w:t>quality on</w:t>
      </w:r>
      <w:r w:rsidRPr="008E772B">
        <w:rPr>
          <w:rFonts w:asciiTheme="majorBidi" w:eastAsia="Times New Roman" w:hAnsiTheme="majorBidi" w:cstheme="majorBidi"/>
          <w:bCs/>
          <w:sz w:val="24"/>
          <w:szCs w:val="24"/>
        </w:rPr>
        <w:t xml:space="preserve"> </w:t>
      </w:r>
      <w:r w:rsidR="008F180C">
        <w:rPr>
          <w:rFonts w:asciiTheme="majorBidi" w:eastAsia="Times New Roman" w:hAnsiTheme="majorBidi" w:cstheme="majorBidi"/>
          <w:bCs/>
          <w:sz w:val="24"/>
          <w:szCs w:val="24"/>
        </w:rPr>
        <w:t>audit quality</w:t>
      </w:r>
      <w:r w:rsidR="007012BD">
        <w:rPr>
          <w:rFonts w:asciiTheme="majorBidi" w:eastAsia="Times New Roman" w:hAnsiTheme="majorBidi" w:cstheme="majorBidi"/>
          <w:bCs/>
          <w:sz w:val="24"/>
          <w:szCs w:val="24"/>
        </w:rPr>
        <w:t>,</w:t>
      </w:r>
      <w:r w:rsidR="008F180C">
        <w:rPr>
          <w:rFonts w:asciiTheme="majorBidi" w:eastAsia="Times New Roman" w:hAnsiTheme="majorBidi" w:cstheme="majorBidi"/>
          <w:bCs/>
          <w:sz w:val="24"/>
          <w:szCs w:val="24"/>
        </w:rPr>
        <w:t xml:space="preserve"> as measured by </w:t>
      </w:r>
      <w:r w:rsidR="00EA19E0" w:rsidRPr="008E772B">
        <w:rPr>
          <w:rFonts w:asciiTheme="majorBidi" w:eastAsia="Times New Roman" w:hAnsiTheme="majorBidi" w:cstheme="majorBidi"/>
          <w:bCs/>
          <w:sz w:val="24"/>
          <w:szCs w:val="24"/>
        </w:rPr>
        <w:t xml:space="preserve">(i) </w:t>
      </w:r>
      <w:r w:rsidRPr="008E772B">
        <w:rPr>
          <w:rFonts w:asciiTheme="majorBidi" w:eastAsia="Times New Roman" w:hAnsiTheme="majorBidi" w:cstheme="majorBidi"/>
          <w:bCs/>
          <w:sz w:val="24"/>
          <w:szCs w:val="24"/>
        </w:rPr>
        <w:t xml:space="preserve">auditor choice and </w:t>
      </w:r>
      <w:r w:rsidR="00EA19E0" w:rsidRPr="008E772B">
        <w:rPr>
          <w:rFonts w:asciiTheme="majorBidi" w:eastAsia="Times New Roman" w:hAnsiTheme="majorBidi" w:cstheme="majorBidi"/>
          <w:bCs/>
          <w:sz w:val="24"/>
          <w:szCs w:val="24"/>
        </w:rPr>
        <w:t xml:space="preserve">(ii) </w:t>
      </w:r>
      <w:r w:rsidR="00DC1C18" w:rsidRPr="008E772B">
        <w:rPr>
          <w:rFonts w:asciiTheme="majorBidi" w:eastAsia="Times New Roman" w:hAnsiTheme="majorBidi" w:cstheme="majorBidi"/>
          <w:bCs/>
          <w:sz w:val="24"/>
          <w:szCs w:val="24"/>
        </w:rPr>
        <w:t xml:space="preserve">audit </w:t>
      </w:r>
      <w:r w:rsidRPr="008E772B">
        <w:rPr>
          <w:rFonts w:asciiTheme="majorBidi" w:eastAsia="Times New Roman" w:hAnsiTheme="majorBidi" w:cstheme="majorBidi"/>
          <w:bCs/>
          <w:sz w:val="24"/>
          <w:szCs w:val="24"/>
        </w:rPr>
        <w:t>fees</w:t>
      </w:r>
      <w:r w:rsidR="008F180C">
        <w:rPr>
          <w:rFonts w:asciiTheme="majorBidi" w:eastAsia="Times New Roman" w:hAnsiTheme="majorBidi" w:cstheme="majorBidi"/>
          <w:bCs/>
          <w:sz w:val="24"/>
          <w:szCs w:val="24"/>
        </w:rPr>
        <w:t>.</w:t>
      </w:r>
      <w:r w:rsidRPr="008E772B">
        <w:rPr>
          <w:rFonts w:asciiTheme="majorBidi" w:eastAsia="Times New Roman" w:hAnsiTheme="majorBidi" w:cstheme="majorBidi"/>
          <w:bCs/>
          <w:sz w:val="24"/>
          <w:szCs w:val="24"/>
        </w:rPr>
        <w:t xml:space="preserve"> </w:t>
      </w:r>
      <w:r w:rsidR="003769C0" w:rsidRPr="008E772B">
        <w:rPr>
          <w:rFonts w:asciiTheme="majorBidi" w:eastAsia="Times New Roman" w:hAnsiTheme="majorBidi" w:cstheme="majorBidi"/>
          <w:bCs/>
          <w:sz w:val="24"/>
          <w:szCs w:val="24"/>
        </w:rPr>
        <w:t>Our</w:t>
      </w:r>
      <w:r w:rsidR="008F180C" w:rsidRPr="008E772B">
        <w:rPr>
          <w:rFonts w:asciiTheme="majorBidi" w:eastAsia="Times New Roman" w:hAnsiTheme="majorBidi" w:cstheme="majorBidi"/>
          <w:bCs/>
          <w:sz w:val="24"/>
          <w:szCs w:val="24"/>
        </w:rPr>
        <w:t xml:space="preserve"> </w:t>
      </w:r>
      <w:r w:rsidR="004C34E9" w:rsidRPr="008E772B">
        <w:rPr>
          <w:rFonts w:asciiTheme="majorBidi" w:eastAsia="Times New Roman" w:hAnsiTheme="majorBidi" w:cstheme="majorBidi"/>
          <w:bCs/>
          <w:sz w:val="24"/>
          <w:szCs w:val="24"/>
        </w:rPr>
        <w:t xml:space="preserve">findings are </w:t>
      </w:r>
      <w:r w:rsidR="0047069C" w:rsidRPr="008E772B">
        <w:rPr>
          <w:rFonts w:asciiTheme="majorBidi" w:eastAsia="Times New Roman" w:hAnsiTheme="majorBidi" w:cstheme="majorBidi"/>
          <w:bCs/>
          <w:sz w:val="24"/>
          <w:szCs w:val="24"/>
        </w:rPr>
        <w:t>t</w:t>
      </w:r>
      <w:r w:rsidR="00425C2E" w:rsidRPr="008E772B">
        <w:rPr>
          <w:rFonts w:asciiTheme="majorBidi" w:eastAsia="Times New Roman" w:hAnsiTheme="majorBidi" w:cstheme="majorBidi"/>
          <w:bCs/>
          <w:sz w:val="24"/>
          <w:szCs w:val="24"/>
        </w:rPr>
        <w:t>hree</w:t>
      </w:r>
      <w:r w:rsidR="004C34E9" w:rsidRPr="008E772B">
        <w:rPr>
          <w:rFonts w:asciiTheme="majorBidi" w:eastAsia="Times New Roman" w:hAnsiTheme="majorBidi" w:cstheme="majorBidi"/>
          <w:bCs/>
          <w:sz w:val="24"/>
          <w:szCs w:val="24"/>
        </w:rPr>
        <w:t>-fold</w:t>
      </w:r>
      <w:r w:rsidRPr="008E772B">
        <w:rPr>
          <w:rFonts w:asciiTheme="majorBidi" w:eastAsia="Times New Roman" w:hAnsiTheme="majorBidi" w:cstheme="majorBidi"/>
          <w:bCs/>
          <w:sz w:val="24"/>
          <w:szCs w:val="24"/>
        </w:rPr>
        <w:t xml:space="preserve">. First, </w:t>
      </w:r>
      <w:r w:rsidR="00EA19E0" w:rsidRPr="008E772B">
        <w:rPr>
          <w:rFonts w:asciiTheme="majorBidi" w:eastAsia="Times New Roman" w:hAnsiTheme="majorBidi" w:cstheme="majorBidi"/>
          <w:bCs/>
          <w:sz w:val="24"/>
          <w:szCs w:val="24"/>
        </w:rPr>
        <w:t>our evidence suggests</w:t>
      </w:r>
      <w:r w:rsidRPr="008E772B">
        <w:rPr>
          <w:rFonts w:asciiTheme="majorBidi" w:eastAsia="Times New Roman" w:hAnsiTheme="majorBidi" w:cstheme="majorBidi"/>
          <w:bCs/>
          <w:sz w:val="24"/>
          <w:szCs w:val="24"/>
        </w:rPr>
        <w:t xml:space="preserve"> that board independence</w:t>
      </w:r>
      <w:r w:rsidR="00691841" w:rsidRPr="008E772B">
        <w:rPr>
          <w:rFonts w:asciiTheme="majorBidi" w:eastAsia="Times New Roman" w:hAnsiTheme="majorBidi" w:cstheme="majorBidi"/>
          <w:bCs/>
          <w:sz w:val="24"/>
          <w:szCs w:val="24"/>
        </w:rPr>
        <w:t xml:space="preserve"> </w:t>
      </w:r>
      <w:r w:rsidR="00842E55">
        <w:rPr>
          <w:rFonts w:asciiTheme="majorBidi" w:eastAsia="Times New Roman" w:hAnsiTheme="majorBidi" w:cstheme="majorBidi"/>
          <w:bCs/>
          <w:sz w:val="24"/>
          <w:szCs w:val="24"/>
        </w:rPr>
        <w:t xml:space="preserve">is positively related to engaging </w:t>
      </w:r>
      <w:r w:rsidR="00842E55" w:rsidRPr="00842E55">
        <w:rPr>
          <w:rFonts w:asciiTheme="majorBidi" w:eastAsia="Times New Roman" w:hAnsiTheme="majorBidi" w:cstheme="majorBidi"/>
          <w:bCs/>
          <w:sz w:val="24"/>
          <w:szCs w:val="24"/>
        </w:rPr>
        <w:t>a Big 4 auditor</w:t>
      </w:r>
      <w:r w:rsidR="00DF6FF6">
        <w:rPr>
          <w:rFonts w:asciiTheme="majorBidi" w:eastAsia="Times New Roman" w:hAnsiTheme="majorBidi" w:cstheme="majorBidi"/>
          <w:bCs/>
          <w:sz w:val="24"/>
          <w:szCs w:val="24"/>
        </w:rPr>
        <w:t>,</w:t>
      </w:r>
      <w:r w:rsidR="00842E55" w:rsidRPr="00842E55">
        <w:rPr>
          <w:rFonts w:asciiTheme="majorBidi" w:eastAsia="Times New Roman" w:hAnsiTheme="majorBidi" w:cstheme="majorBidi"/>
          <w:bCs/>
          <w:sz w:val="24"/>
          <w:szCs w:val="24"/>
        </w:rPr>
        <w:t xml:space="preserve"> </w:t>
      </w:r>
      <w:r w:rsidR="00842E55">
        <w:rPr>
          <w:rFonts w:asciiTheme="majorBidi" w:eastAsia="Times New Roman" w:hAnsiTheme="majorBidi" w:cstheme="majorBidi"/>
          <w:bCs/>
          <w:sz w:val="24"/>
          <w:szCs w:val="24"/>
        </w:rPr>
        <w:t xml:space="preserve">while </w:t>
      </w:r>
      <w:r w:rsidR="0071394D">
        <w:rPr>
          <w:rFonts w:asciiTheme="majorBidi" w:eastAsia="Times New Roman" w:hAnsiTheme="majorBidi" w:cstheme="majorBidi"/>
          <w:bCs/>
          <w:sz w:val="24"/>
          <w:szCs w:val="24"/>
        </w:rPr>
        <w:t>family</w:t>
      </w:r>
      <w:r w:rsidR="0071394D" w:rsidRPr="008E772B">
        <w:rPr>
          <w:rFonts w:asciiTheme="majorBidi" w:eastAsia="Times New Roman" w:hAnsiTheme="majorBidi" w:cstheme="majorBidi"/>
          <w:bCs/>
          <w:sz w:val="24"/>
          <w:szCs w:val="24"/>
        </w:rPr>
        <w:t xml:space="preserve"> </w:t>
      </w:r>
      <w:r w:rsidR="00480E4D" w:rsidRPr="008E772B">
        <w:rPr>
          <w:rFonts w:asciiTheme="majorBidi" w:eastAsia="Times New Roman" w:hAnsiTheme="majorBidi" w:cstheme="majorBidi"/>
          <w:bCs/>
          <w:sz w:val="24"/>
          <w:szCs w:val="24"/>
        </w:rPr>
        <w:t>shareholding</w:t>
      </w:r>
      <w:r w:rsidR="00480E4D">
        <w:rPr>
          <w:rFonts w:asciiTheme="majorBidi" w:eastAsia="Times New Roman" w:hAnsiTheme="majorBidi" w:cstheme="majorBidi"/>
          <w:bCs/>
          <w:sz w:val="24"/>
          <w:szCs w:val="24"/>
        </w:rPr>
        <w:t>s</w:t>
      </w:r>
      <w:r w:rsidR="00480E4D" w:rsidRPr="008E772B">
        <w:rPr>
          <w:rFonts w:asciiTheme="majorBidi" w:eastAsia="Times New Roman" w:hAnsiTheme="majorBidi" w:cstheme="majorBidi"/>
          <w:bCs/>
          <w:sz w:val="24"/>
          <w:szCs w:val="24"/>
        </w:rPr>
        <w:t xml:space="preserve"> </w:t>
      </w:r>
      <w:r w:rsidR="00480E4D">
        <w:rPr>
          <w:rFonts w:asciiTheme="majorBidi" w:eastAsia="Times New Roman" w:hAnsiTheme="majorBidi" w:cstheme="majorBidi"/>
          <w:bCs/>
          <w:sz w:val="24"/>
          <w:szCs w:val="24"/>
        </w:rPr>
        <w:t>show</w:t>
      </w:r>
      <w:r w:rsidR="00A432B4">
        <w:rPr>
          <w:rFonts w:asciiTheme="majorBidi" w:eastAsia="Times New Roman" w:hAnsiTheme="majorBidi" w:cstheme="majorBidi"/>
          <w:bCs/>
          <w:sz w:val="24"/>
          <w:szCs w:val="24"/>
        </w:rPr>
        <w:t xml:space="preserve"> a </w:t>
      </w:r>
      <w:r w:rsidR="00842E55">
        <w:rPr>
          <w:rFonts w:asciiTheme="majorBidi" w:eastAsia="Times New Roman" w:hAnsiTheme="majorBidi" w:cstheme="majorBidi"/>
          <w:bCs/>
          <w:sz w:val="24"/>
          <w:szCs w:val="24"/>
        </w:rPr>
        <w:t>negative</w:t>
      </w:r>
      <w:r w:rsidR="00247480" w:rsidRPr="008E772B">
        <w:rPr>
          <w:rFonts w:asciiTheme="majorBidi" w:eastAsia="Times New Roman" w:hAnsiTheme="majorBidi" w:cstheme="majorBidi"/>
          <w:bCs/>
          <w:sz w:val="24"/>
          <w:szCs w:val="24"/>
        </w:rPr>
        <w:t xml:space="preserve"> </w:t>
      </w:r>
      <w:r w:rsidR="00C71C82">
        <w:rPr>
          <w:rFonts w:asciiTheme="majorBidi" w:eastAsia="Times New Roman" w:hAnsiTheme="majorBidi" w:cstheme="majorBidi"/>
          <w:bCs/>
          <w:sz w:val="24"/>
          <w:szCs w:val="24"/>
        </w:rPr>
        <w:t xml:space="preserve">association </w:t>
      </w:r>
      <w:r w:rsidR="0053281F">
        <w:rPr>
          <w:rFonts w:asciiTheme="majorBidi" w:eastAsia="Times New Roman" w:hAnsiTheme="majorBidi" w:cstheme="majorBidi"/>
          <w:bCs/>
          <w:sz w:val="24"/>
          <w:szCs w:val="24"/>
        </w:rPr>
        <w:t>with</w:t>
      </w:r>
      <w:r w:rsidR="00247480" w:rsidRPr="008E772B">
        <w:rPr>
          <w:rFonts w:asciiTheme="majorBidi" w:eastAsia="Times New Roman" w:hAnsiTheme="majorBidi" w:cstheme="majorBidi"/>
          <w:bCs/>
          <w:sz w:val="24"/>
          <w:szCs w:val="24"/>
        </w:rPr>
        <w:t xml:space="preserve"> hir</w:t>
      </w:r>
      <w:r w:rsidR="00A432B4">
        <w:rPr>
          <w:rFonts w:asciiTheme="majorBidi" w:eastAsia="Times New Roman" w:hAnsiTheme="majorBidi" w:cstheme="majorBidi"/>
          <w:bCs/>
          <w:sz w:val="24"/>
          <w:szCs w:val="24"/>
        </w:rPr>
        <w:t>ing</w:t>
      </w:r>
      <w:r w:rsidR="00247480" w:rsidRPr="008E772B">
        <w:rPr>
          <w:rFonts w:asciiTheme="majorBidi" w:eastAsia="Times New Roman" w:hAnsiTheme="majorBidi" w:cstheme="majorBidi"/>
          <w:bCs/>
          <w:sz w:val="24"/>
          <w:szCs w:val="24"/>
        </w:rPr>
        <w:t xml:space="preserve"> a Big 4 auditor</w:t>
      </w:r>
      <w:r w:rsidRPr="008E772B">
        <w:rPr>
          <w:rFonts w:asciiTheme="majorBidi" w:eastAsia="Times New Roman" w:hAnsiTheme="majorBidi" w:cstheme="majorBidi"/>
          <w:bCs/>
          <w:sz w:val="24"/>
          <w:szCs w:val="24"/>
        </w:rPr>
        <w:t xml:space="preserve">. Second, </w:t>
      </w:r>
      <w:r w:rsidR="005A1809" w:rsidRPr="008E772B">
        <w:rPr>
          <w:rFonts w:asciiTheme="majorBidi" w:eastAsia="Times New Roman" w:hAnsiTheme="majorBidi" w:cstheme="majorBidi"/>
          <w:bCs/>
          <w:sz w:val="24"/>
          <w:szCs w:val="24"/>
        </w:rPr>
        <w:t>board size,</w:t>
      </w:r>
      <w:r w:rsidR="005A53E3">
        <w:rPr>
          <w:rFonts w:asciiTheme="majorBidi" w:eastAsia="Times New Roman" w:hAnsiTheme="majorBidi" w:cstheme="majorBidi"/>
          <w:bCs/>
          <w:sz w:val="24"/>
          <w:szCs w:val="24"/>
        </w:rPr>
        <w:t xml:space="preserve"> </w:t>
      </w:r>
      <w:r w:rsidR="005A1809" w:rsidRPr="008E772B">
        <w:rPr>
          <w:rFonts w:asciiTheme="majorBidi" w:eastAsia="Times New Roman" w:hAnsiTheme="majorBidi" w:cstheme="majorBidi"/>
          <w:bCs/>
          <w:sz w:val="24"/>
          <w:szCs w:val="24"/>
        </w:rPr>
        <w:t>board in</w:t>
      </w:r>
      <w:r w:rsidR="008C203D" w:rsidRPr="008E772B">
        <w:rPr>
          <w:rFonts w:asciiTheme="majorBidi" w:eastAsia="Times New Roman" w:hAnsiTheme="majorBidi" w:cstheme="majorBidi"/>
          <w:bCs/>
          <w:sz w:val="24"/>
          <w:szCs w:val="24"/>
        </w:rPr>
        <w:t>dependence</w:t>
      </w:r>
      <w:r w:rsidR="00842E55">
        <w:rPr>
          <w:rFonts w:asciiTheme="majorBidi" w:eastAsia="Times New Roman" w:hAnsiTheme="majorBidi" w:cstheme="majorBidi"/>
          <w:bCs/>
          <w:sz w:val="24"/>
          <w:szCs w:val="24"/>
        </w:rPr>
        <w:t xml:space="preserve"> </w:t>
      </w:r>
      <w:r w:rsidR="00A432B4">
        <w:rPr>
          <w:rFonts w:asciiTheme="majorBidi" w:eastAsia="Times New Roman" w:hAnsiTheme="majorBidi" w:cstheme="majorBidi"/>
          <w:bCs/>
          <w:sz w:val="24"/>
          <w:szCs w:val="24"/>
        </w:rPr>
        <w:t xml:space="preserve">and </w:t>
      </w:r>
      <w:r w:rsidR="00A432B4" w:rsidRPr="00A432B4">
        <w:rPr>
          <w:rFonts w:asciiTheme="majorBidi" w:eastAsia="Times New Roman" w:hAnsiTheme="majorBidi" w:cstheme="majorBidi"/>
          <w:bCs/>
          <w:sz w:val="24"/>
          <w:szCs w:val="24"/>
        </w:rPr>
        <w:t xml:space="preserve">director shareholdings </w:t>
      </w:r>
      <w:r w:rsidR="00A432B4">
        <w:rPr>
          <w:rFonts w:asciiTheme="majorBidi" w:eastAsia="Times New Roman" w:hAnsiTheme="majorBidi" w:cstheme="majorBidi"/>
          <w:bCs/>
          <w:sz w:val="24"/>
          <w:szCs w:val="24"/>
        </w:rPr>
        <w:t xml:space="preserve">are positively related to audit fees, while </w:t>
      </w:r>
      <w:r w:rsidR="00842E55">
        <w:rPr>
          <w:rFonts w:asciiTheme="majorBidi" w:eastAsia="Times New Roman" w:hAnsiTheme="majorBidi" w:cstheme="majorBidi"/>
          <w:bCs/>
          <w:sz w:val="24"/>
          <w:szCs w:val="24"/>
        </w:rPr>
        <w:t>government shareholding</w:t>
      </w:r>
      <w:r w:rsidR="00480E4D">
        <w:rPr>
          <w:rFonts w:asciiTheme="majorBidi" w:eastAsia="Times New Roman" w:hAnsiTheme="majorBidi" w:cstheme="majorBidi"/>
          <w:bCs/>
          <w:sz w:val="24"/>
          <w:szCs w:val="24"/>
        </w:rPr>
        <w:t>s</w:t>
      </w:r>
      <w:r w:rsidR="00691841" w:rsidRPr="008E772B">
        <w:rPr>
          <w:rFonts w:asciiTheme="majorBidi" w:eastAsia="Times New Roman" w:hAnsiTheme="majorBidi" w:cstheme="majorBidi"/>
          <w:bCs/>
          <w:sz w:val="24"/>
          <w:szCs w:val="24"/>
        </w:rPr>
        <w:t xml:space="preserve"> </w:t>
      </w:r>
      <w:r w:rsidR="00842E55">
        <w:rPr>
          <w:rFonts w:asciiTheme="majorBidi" w:eastAsia="Times New Roman" w:hAnsiTheme="majorBidi" w:cstheme="majorBidi"/>
          <w:bCs/>
          <w:sz w:val="24"/>
          <w:szCs w:val="24"/>
        </w:rPr>
        <w:t>and family shareholding</w:t>
      </w:r>
      <w:r w:rsidR="00480E4D">
        <w:rPr>
          <w:rFonts w:asciiTheme="majorBidi" w:eastAsia="Times New Roman" w:hAnsiTheme="majorBidi" w:cstheme="majorBidi"/>
          <w:bCs/>
          <w:sz w:val="24"/>
          <w:szCs w:val="24"/>
        </w:rPr>
        <w:t>s</w:t>
      </w:r>
      <w:r w:rsidR="005A1809" w:rsidRPr="008E772B">
        <w:rPr>
          <w:rFonts w:asciiTheme="majorBidi" w:eastAsia="Times New Roman" w:hAnsiTheme="majorBidi" w:cstheme="majorBidi"/>
          <w:bCs/>
          <w:sz w:val="24"/>
          <w:szCs w:val="24"/>
        </w:rPr>
        <w:t xml:space="preserve"> </w:t>
      </w:r>
      <w:r w:rsidR="00A432B4">
        <w:rPr>
          <w:rFonts w:asciiTheme="majorBidi" w:eastAsia="Times New Roman" w:hAnsiTheme="majorBidi" w:cstheme="majorBidi"/>
          <w:bCs/>
          <w:sz w:val="24"/>
          <w:szCs w:val="24"/>
        </w:rPr>
        <w:t xml:space="preserve">show a negative </w:t>
      </w:r>
      <w:r w:rsidR="009024E4">
        <w:rPr>
          <w:rFonts w:asciiTheme="majorBidi" w:eastAsia="Times New Roman" w:hAnsiTheme="majorBidi" w:cstheme="majorBidi"/>
          <w:bCs/>
          <w:sz w:val="24"/>
          <w:szCs w:val="24"/>
        </w:rPr>
        <w:t>relationship</w:t>
      </w:r>
      <w:r w:rsidR="008D6C19">
        <w:rPr>
          <w:rFonts w:asciiTheme="majorBidi" w:eastAsia="Times New Roman" w:hAnsiTheme="majorBidi" w:cstheme="majorBidi"/>
          <w:bCs/>
          <w:sz w:val="24"/>
          <w:szCs w:val="24"/>
        </w:rPr>
        <w:t xml:space="preserve"> with</w:t>
      </w:r>
      <w:r w:rsidR="00F228D8" w:rsidRPr="008E772B">
        <w:rPr>
          <w:rFonts w:asciiTheme="majorBidi" w:eastAsia="Times New Roman" w:hAnsiTheme="majorBidi" w:cstheme="majorBidi"/>
          <w:bCs/>
          <w:sz w:val="24"/>
          <w:szCs w:val="24"/>
        </w:rPr>
        <w:t xml:space="preserve"> </w:t>
      </w:r>
      <w:r w:rsidR="005A1809" w:rsidRPr="008E772B">
        <w:rPr>
          <w:rFonts w:asciiTheme="majorBidi" w:eastAsia="Times New Roman" w:hAnsiTheme="majorBidi" w:cstheme="majorBidi"/>
          <w:bCs/>
          <w:sz w:val="24"/>
          <w:szCs w:val="24"/>
        </w:rPr>
        <w:t>audit fees</w:t>
      </w:r>
      <w:r w:rsidR="005C1A62" w:rsidRPr="008E772B">
        <w:rPr>
          <w:rFonts w:asciiTheme="majorBidi" w:eastAsia="Times New Roman" w:hAnsiTheme="majorBidi" w:cstheme="majorBidi"/>
          <w:bCs/>
          <w:sz w:val="24"/>
          <w:szCs w:val="24"/>
        </w:rPr>
        <w:t>.</w:t>
      </w:r>
      <w:r w:rsidRPr="008E772B">
        <w:rPr>
          <w:rFonts w:asciiTheme="majorBidi" w:eastAsia="Times New Roman" w:hAnsiTheme="majorBidi" w:cstheme="majorBidi"/>
          <w:bCs/>
          <w:sz w:val="24"/>
          <w:szCs w:val="24"/>
        </w:rPr>
        <w:t xml:space="preserve"> </w:t>
      </w:r>
      <w:r w:rsidR="00691841" w:rsidRPr="008E772B">
        <w:rPr>
          <w:rFonts w:asciiTheme="majorBidi" w:eastAsia="Times New Roman" w:hAnsiTheme="majorBidi" w:cstheme="majorBidi"/>
          <w:bCs/>
          <w:sz w:val="24"/>
          <w:szCs w:val="24"/>
        </w:rPr>
        <w:t xml:space="preserve">Third, </w:t>
      </w:r>
      <w:r w:rsidR="00064EE0" w:rsidRPr="008E772B">
        <w:rPr>
          <w:rFonts w:asciiTheme="majorBidi" w:eastAsia="Times New Roman" w:hAnsiTheme="majorBidi" w:cstheme="majorBidi"/>
          <w:bCs/>
          <w:sz w:val="24"/>
          <w:szCs w:val="24"/>
        </w:rPr>
        <w:t xml:space="preserve">higher </w:t>
      </w:r>
      <w:r w:rsidR="00691841" w:rsidRPr="008E772B">
        <w:rPr>
          <w:rFonts w:asciiTheme="majorBidi" w:eastAsia="Times New Roman" w:hAnsiTheme="majorBidi" w:cstheme="majorBidi"/>
          <w:bCs/>
          <w:sz w:val="24"/>
          <w:szCs w:val="24"/>
        </w:rPr>
        <w:t>c</w:t>
      </w:r>
      <w:r w:rsidR="00425C2E" w:rsidRPr="008E772B">
        <w:rPr>
          <w:rFonts w:asciiTheme="majorBidi" w:eastAsia="Times New Roman" w:hAnsiTheme="majorBidi" w:cstheme="majorBidi"/>
          <w:bCs/>
          <w:sz w:val="24"/>
          <w:szCs w:val="24"/>
        </w:rPr>
        <w:t xml:space="preserve">ountry-level governance quality </w:t>
      </w:r>
      <w:r w:rsidR="00F76C46" w:rsidRPr="008E772B">
        <w:rPr>
          <w:rFonts w:asciiTheme="majorBidi" w:eastAsia="Times New Roman" w:hAnsiTheme="majorBidi" w:cstheme="majorBidi"/>
          <w:bCs/>
          <w:sz w:val="24"/>
          <w:szCs w:val="24"/>
        </w:rPr>
        <w:t xml:space="preserve">is </w:t>
      </w:r>
      <w:r w:rsidR="00DF6FF6">
        <w:rPr>
          <w:rFonts w:asciiTheme="majorBidi" w:eastAsia="Times New Roman" w:hAnsiTheme="majorBidi" w:cstheme="majorBidi"/>
          <w:bCs/>
          <w:sz w:val="24"/>
          <w:szCs w:val="24"/>
        </w:rPr>
        <w:t>positively</w:t>
      </w:r>
      <w:r w:rsidR="005A53E3">
        <w:rPr>
          <w:rFonts w:asciiTheme="majorBidi" w:eastAsia="Times New Roman" w:hAnsiTheme="majorBidi" w:cstheme="majorBidi"/>
          <w:bCs/>
          <w:sz w:val="24"/>
          <w:szCs w:val="24"/>
        </w:rPr>
        <w:t xml:space="preserve"> </w:t>
      </w:r>
      <w:r w:rsidR="00B10842" w:rsidRPr="008E772B">
        <w:rPr>
          <w:rFonts w:asciiTheme="majorBidi" w:eastAsia="Times New Roman" w:hAnsiTheme="majorBidi" w:cstheme="majorBidi"/>
          <w:bCs/>
          <w:sz w:val="24"/>
          <w:szCs w:val="24"/>
        </w:rPr>
        <w:t>associat</w:t>
      </w:r>
      <w:r w:rsidR="005A53E3">
        <w:rPr>
          <w:rFonts w:asciiTheme="majorBidi" w:eastAsia="Times New Roman" w:hAnsiTheme="majorBidi" w:cstheme="majorBidi"/>
          <w:bCs/>
          <w:sz w:val="24"/>
          <w:szCs w:val="24"/>
        </w:rPr>
        <w:t>ed</w:t>
      </w:r>
      <w:r w:rsidR="00B10842" w:rsidRPr="008E772B">
        <w:rPr>
          <w:rFonts w:asciiTheme="majorBidi" w:eastAsia="Times New Roman" w:hAnsiTheme="majorBidi" w:cstheme="majorBidi"/>
          <w:bCs/>
          <w:sz w:val="24"/>
          <w:szCs w:val="24"/>
        </w:rPr>
        <w:t xml:space="preserve"> with hiring a Big 4 auditor and pay</w:t>
      </w:r>
      <w:r w:rsidR="005A53E3">
        <w:rPr>
          <w:rFonts w:asciiTheme="majorBidi" w:eastAsia="Times New Roman" w:hAnsiTheme="majorBidi" w:cstheme="majorBidi"/>
          <w:bCs/>
          <w:sz w:val="24"/>
          <w:szCs w:val="24"/>
        </w:rPr>
        <w:t>ing higher</w:t>
      </w:r>
      <w:r w:rsidR="00B10842" w:rsidRPr="008E772B">
        <w:rPr>
          <w:rFonts w:asciiTheme="majorBidi" w:eastAsia="Times New Roman" w:hAnsiTheme="majorBidi" w:cstheme="majorBidi"/>
          <w:bCs/>
          <w:sz w:val="24"/>
          <w:szCs w:val="24"/>
        </w:rPr>
        <w:t xml:space="preserve"> audit fees</w:t>
      </w:r>
      <w:r w:rsidR="00425C2E" w:rsidRPr="008E772B">
        <w:rPr>
          <w:rFonts w:asciiTheme="majorBidi" w:eastAsia="Times New Roman" w:hAnsiTheme="majorBidi" w:cstheme="majorBidi"/>
          <w:bCs/>
          <w:sz w:val="24"/>
          <w:szCs w:val="24"/>
        </w:rPr>
        <w:t xml:space="preserve">. </w:t>
      </w:r>
      <w:r w:rsidRPr="008E772B">
        <w:rPr>
          <w:rFonts w:asciiTheme="majorBidi" w:eastAsia="Times New Roman" w:hAnsiTheme="majorBidi" w:cstheme="majorBidi"/>
          <w:bCs/>
          <w:sz w:val="24"/>
          <w:szCs w:val="24"/>
        </w:rPr>
        <w:t>Overall,</w:t>
      </w:r>
      <w:r w:rsidR="00AE7F95" w:rsidRPr="008E772B">
        <w:rPr>
          <w:rFonts w:asciiTheme="majorBidi" w:eastAsia="Times New Roman" w:hAnsiTheme="majorBidi" w:cstheme="majorBidi"/>
          <w:bCs/>
          <w:sz w:val="24"/>
          <w:szCs w:val="24"/>
        </w:rPr>
        <w:t xml:space="preserve"> </w:t>
      </w:r>
      <w:r w:rsidR="003769C0">
        <w:rPr>
          <w:rFonts w:asciiTheme="majorBidi" w:eastAsia="Times New Roman" w:hAnsiTheme="majorBidi" w:cstheme="majorBidi"/>
          <w:bCs/>
          <w:sz w:val="24"/>
          <w:szCs w:val="24"/>
        </w:rPr>
        <w:t>we provide evidence</w:t>
      </w:r>
      <w:r w:rsidR="00E94F3D">
        <w:rPr>
          <w:rFonts w:asciiTheme="majorBidi" w:eastAsia="Times New Roman" w:hAnsiTheme="majorBidi" w:cstheme="majorBidi"/>
          <w:bCs/>
          <w:sz w:val="24"/>
          <w:szCs w:val="24"/>
        </w:rPr>
        <w:t xml:space="preserve"> that </w:t>
      </w:r>
      <w:r w:rsidR="00AE7F95" w:rsidRPr="008E772B">
        <w:rPr>
          <w:rFonts w:asciiTheme="majorBidi" w:eastAsia="Times New Roman" w:hAnsiTheme="majorBidi" w:cstheme="majorBidi"/>
          <w:bCs/>
          <w:sz w:val="24"/>
          <w:szCs w:val="24"/>
        </w:rPr>
        <w:t xml:space="preserve">external audit quality in </w:t>
      </w:r>
      <w:r w:rsidR="002751E4" w:rsidRPr="002751E4">
        <w:rPr>
          <w:rFonts w:asciiTheme="majorBidi" w:eastAsia="Times New Roman" w:hAnsiTheme="majorBidi" w:cstheme="majorBidi"/>
          <w:bCs/>
          <w:sz w:val="24"/>
          <w:szCs w:val="24"/>
        </w:rPr>
        <w:t xml:space="preserve">Middle Eastern and North African </w:t>
      </w:r>
      <w:r w:rsidR="002751E4">
        <w:rPr>
          <w:rFonts w:asciiTheme="majorBidi" w:eastAsia="Times New Roman" w:hAnsiTheme="majorBidi" w:cstheme="majorBidi"/>
          <w:bCs/>
          <w:sz w:val="24"/>
          <w:szCs w:val="24"/>
        </w:rPr>
        <w:t>(</w:t>
      </w:r>
      <w:r w:rsidR="00AE7F95" w:rsidRPr="008E772B">
        <w:rPr>
          <w:rFonts w:asciiTheme="majorBidi" w:eastAsia="Times New Roman" w:hAnsiTheme="majorBidi" w:cstheme="majorBidi"/>
          <w:bCs/>
          <w:sz w:val="24"/>
          <w:szCs w:val="24"/>
        </w:rPr>
        <w:t>MENA</w:t>
      </w:r>
      <w:r w:rsidR="002751E4">
        <w:rPr>
          <w:rFonts w:asciiTheme="majorBidi" w:eastAsia="Times New Roman" w:hAnsiTheme="majorBidi" w:cstheme="majorBidi"/>
          <w:bCs/>
          <w:sz w:val="24"/>
          <w:szCs w:val="24"/>
        </w:rPr>
        <w:t>)</w:t>
      </w:r>
      <w:r w:rsidR="00AE7F95" w:rsidRPr="008E772B">
        <w:rPr>
          <w:rFonts w:asciiTheme="majorBidi" w:eastAsia="Times New Roman" w:hAnsiTheme="majorBidi" w:cstheme="majorBidi"/>
          <w:bCs/>
          <w:sz w:val="24"/>
          <w:szCs w:val="24"/>
        </w:rPr>
        <w:t xml:space="preserve"> countries </w:t>
      </w:r>
      <w:r w:rsidR="00E94F3D">
        <w:rPr>
          <w:rFonts w:asciiTheme="majorBidi" w:eastAsia="Times New Roman" w:hAnsiTheme="majorBidi" w:cstheme="majorBidi"/>
          <w:bCs/>
          <w:sz w:val="24"/>
          <w:szCs w:val="24"/>
        </w:rPr>
        <w:t>is</w:t>
      </w:r>
      <w:r w:rsidR="00AE7F95" w:rsidRPr="008E772B">
        <w:rPr>
          <w:rFonts w:asciiTheme="majorBidi" w:eastAsia="Times New Roman" w:hAnsiTheme="majorBidi" w:cstheme="majorBidi"/>
          <w:bCs/>
          <w:sz w:val="24"/>
          <w:szCs w:val="24"/>
        </w:rPr>
        <w:t xml:space="preserve"> affected by</w:t>
      </w:r>
      <w:r w:rsidR="00AE7F95" w:rsidRPr="008E772B">
        <w:rPr>
          <w:rFonts w:asciiTheme="majorBidi" w:eastAsia="Times New Roman" w:hAnsiTheme="majorBidi" w:cstheme="majorBidi"/>
          <w:b/>
          <w:bCs/>
          <w:sz w:val="24"/>
          <w:szCs w:val="24"/>
        </w:rPr>
        <w:t xml:space="preserve"> </w:t>
      </w:r>
      <w:r w:rsidR="00AE7F95" w:rsidRPr="008E772B">
        <w:rPr>
          <w:rFonts w:asciiTheme="majorBidi" w:eastAsia="Times New Roman" w:hAnsiTheme="majorBidi" w:cstheme="majorBidi"/>
          <w:bCs/>
          <w:sz w:val="24"/>
          <w:szCs w:val="24"/>
        </w:rPr>
        <w:t>firm- and country-level governance quality</w:t>
      </w:r>
      <w:r w:rsidR="00D331E4" w:rsidRPr="008E772B">
        <w:rPr>
          <w:rFonts w:asciiTheme="majorBidi" w:eastAsia="Times New Roman" w:hAnsiTheme="majorBidi" w:cstheme="majorBidi"/>
          <w:bCs/>
          <w:sz w:val="24"/>
          <w:szCs w:val="24"/>
        </w:rPr>
        <w:t>, which suggests that</w:t>
      </w:r>
      <w:r w:rsidRPr="008E772B">
        <w:rPr>
          <w:rFonts w:asciiTheme="majorBidi" w:eastAsia="Times New Roman" w:hAnsiTheme="majorBidi" w:cstheme="majorBidi"/>
          <w:bCs/>
          <w:sz w:val="24"/>
          <w:szCs w:val="24"/>
        </w:rPr>
        <w:t xml:space="preserve"> </w:t>
      </w:r>
      <w:r w:rsidR="00D331E4" w:rsidRPr="008E772B">
        <w:rPr>
          <w:rFonts w:asciiTheme="majorBidi" w:eastAsia="Times New Roman" w:hAnsiTheme="majorBidi" w:cstheme="majorBidi"/>
          <w:bCs/>
          <w:sz w:val="24"/>
          <w:szCs w:val="24"/>
        </w:rPr>
        <w:t xml:space="preserve">governance quality and </w:t>
      </w:r>
      <w:r w:rsidRPr="008E772B">
        <w:rPr>
          <w:rFonts w:asciiTheme="majorBidi" w:eastAsia="Times New Roman" w:hAnsiTheme="majorBidi" w:cstheme="majorBidi"/>
          <w:bCs/>
          <w:sz w:val="24"/>
          <w:szCs w:val="24"/>
        </w:rPr>
        <w:t>external audit quality</w:t>
      </w:r>
      <w:r w:rsidR="004C34E9" w:rsidRPr="008E772B">
        <w:rPr>
          <w:rFonts w:asciiTheme="majorBidi" w:eastAsia="Times New Roman" w:hAnsiTheme="majorBidi" w:cstheme="majorBidi"/>
          <w:bCs/>
          <w:sz w:val="24"/>
          <w:szCs w:val="24"/>
        </w:rPr>
        <w:t xml:space="preserve"> </w:t>
      </w:r>
      <w:r w:rsidR="00275649">
        <w:rPr>
          <w:rFonts w:asciiTheme="majorBidi" w:eastAsia="Times New Roman" w:hAnsiTheme="majorBidi" w:cstheme="majorBidi"/>
          <w:bCs/>
          <w:sz w:val="24"/>
          <w:szCs w:val="24"/>
        </w:rPr>
        <w:t>seem to be</w:t>
      </w:r>
      <w:r w:rsidR="00D331E4" w:rsidRPr="008E772B">
        <w:rPr>
          <w:rFonts w:asciiTheme="majorBidi" w:eastAsia="Times New Roman" w:hAnsiTheme="majorBidi" w:cstheme="majorBidi"/>
          <w:bCs/>
          <w:sz w:val="24"/>
          <w:szCs w:val="24"/>
        </w:rPr>
        <w:t xml:space="preserve"> complements in </w:t>
      </w:r>
      <w:r w:rsidR="006B2BFF" w:rsidRPr="006B2BFF">
        <w:rPr>
          <w:rFonts w:asciiTheme="majorBidi" w:eastAsia="Times New Roman" w:hAnsiTheme="majorBidi" w:cstheme="majorBidi"/>
          <w:bCs/>
          <w:sz w:val="24"/>
          <w:szCs w:val="24"/>
        </w:rPr>
        <w:t>protecting stakeholders interests through securing higher audit quality</w:t>
      </w:r>
      <w:r w:rsidRPr="008E772B">
        <w:rPr>
          <w:rFonts w:asciiTheme="majorBidi" w:eastAsia="Times New Roman" w:hAnsiTheme="majorBidi" w:cstheme="majorBidi"/>
          <w:bCs/>
          <w:sz w:val="24"/>
          <w:szCs w:val="24"/>
        </w:rPr>
        <w:t>.</w:t>
      </w:r>
      <w:r w:rsidR="000661E0" w:rsidRPr="008E772B">
        <w:rPr>
          <w:rFonts w:asciiTheme="majorBidi" w:eastAsia="Times New Roman" w:hAnsiTheme="majorBidi" w:cstheme="majorBidi"/>
          <w:bCs/>
          <w:sz w:val="24"/>
          <w:szCs w:val="24"/>
        </w:rPr>
        <w:t xml:space="preserve"> </w:t>
      </w:r>
      <w:r w:rsidR="004C34E9" w:rsidRPr="008E772B">
        <w:rPr>
          <w:rFonts w:asciiTheme="majorBidi" w:eastAsia="Times New Roman" w:hAnsiTheme="majorBidi" w:cstheme="majorBidi"/>
          <w:bCs/>
          <w:sz w:val="24"/>
          <w:szCs w:val="24"/>
        </w:rPr>
        <w:t xml:space="preserve">Our </w:t>
      </w:r>
      <w:r w:rsidR="003769C0">
        <w:rPr>
          <w:rFonts w:asciiTheme="majorBidi" w:eastAsia="Times New Roman" w:hAnsiTheme="majorBidi" w:cstheme="majorBidi"/>
          <w:bCs/>
          <w:sz w:val="24"/>
          <w:szCs w:val="24"/>
        </w:rPr>
        <w:t>results</w:t>
      </w:r>
      <w:r w:rsidR="003769C0" w:rsidRPr="008E772B">
        <w:rPr>
          <w:rFonts w:asciiTheme="majorBidi" w:eastAsia="Times New Roman" w:hAnsiTheme="majorBidi" w:cstheme="majorBidi"/>
          <w:bCs/>
          <w:sz w:val="24"/>
          <w:szCs w:val="24"/>
        </w:rPr>
        <w:t xml:space="preserve"> </w:t>
      </w:r>
      <w:r w:rsidR="004C34E9" w:rsidRPr="008E772B">
        <w:rPr>
          <w:rFonts w:asciiTheme="majorBidi" w:eastAsia="Times New Roman" w:hAnsiTheme="majorBidi" w:cstheme="majorBidi"/>
          <w:bCs/>
          <w:sz w:val="24"/>
          <w:szCs w:val="24"/>
        </w:rPr>
        <w:t xml:space="preserve">are robust to controlling for alternative measures </w:t>
      </w:r>
      <w:r w:rsidR="000D4499">
        <w:rPr>
          <w:rFonts w:asciiTheme="majorBidi" w:eastAsia="Times New Roman" w:hAnsiTheme="majorBidi" w:cstheme="majorBidi"/>
          <w:bCs/>
          <w:sz w:val="24"/>
          <w:szCs w:val="24"/>
        </w:rPr>
        <w:t>and endogeneities</w:t>
      </w:r>
      <w:r w:rsidR="004C34E9" w:rsidRPr="008E772B">
        <w:rPr>
          <w:rFonts w:asciiTheme="majorBidi" w:eastAsia="Times New Roman" w:hAnsiTheme="majorBidi" w:cstheme="majorBidi"/>
          <w:bCs/>
          <w:sz w:val="24"/>
          <w:szCs w:val="24"/>
        </w:rPr>
        <w:t>.</w:t>
      </w:r>
    </w:p>
    <w:p w14:paraId="3C7EB824" w14:textId="77777777" w:rsidR="00682B8A" w:rsidRPr="008E772B" w:rsidRDefault="00682B8A" w:rsidP="00682B8A">
      <w:pPr>
        <w:spacing w:after="0" w:line="360" w:lineRule="auto"/>
        <w:jc w:val="lowKashida"/>
        <w:rPr>
          <w:rFonts w:asciiTheme="majorBidi" w:eastAsia="Times New Roman" w:hAnsiTheme="majorBidi" w:cstheme="majorBidi"/>
          <w:bCs/>
          <w:sz w:val="24"/>
          <w:szCs w:val="24"/>
        </w:rPr>
      </w:pPr>
    </w:p>
    <w:p w14:paraId="646B18DD" w14:textId="77777777" w:rsidR="00682B8A" w:rsidRPr="008E772B" w:rsidRDefault="00682B8A" w:rsidP="00682B8A">
      <w:pPr>
        <w:spacing w:after="0" w:line="360" w:lineRule="auto"/>
        <w:jc w:val="lowKashida"/>
        <w:rPr>
          <w:rFonts w:asciiTheme="majorBidi" w:eastAsia="Times New Roman" w:hAnsiTheme="majorBidi" w:cstheme="majorBidi"/>
          <w:bCs/>
          <w:sz w:val="24"/>
          <w:szCs w:val="24"/>
        </w:rPr>
      </w:pPr>
      <w:r w:rsidRPr="008E772B">
        <w:rPr>
          <w:rFonts w:asciiTheme="majorBidi" w:eastAsia="Times New Roman" w:hAnsiTheme="majorBidi" w:cstheme="majorBidi"/>
          <w:bCs/>
          <w:sz w:val="24"/>
          <w:szCs w:val="24"/>
        </w:rPr>
        <w:t xml:space="preserve"> </w:t>
      </w:r>
    </w:p>
    <w:p w14:paraId="7BA5C3AD" w14:textId="448B144A" w:rsidR="00682B8A" w:rsidRPr="008E772B" w:rsidRDefault="00682B8A" w:rsidP="00F56900">
      <w:pPr>
        <w:spacing w:after="0" w:line="360" w:lineRule="auto"/>
        <w:ind w:left="1134" w:hanging="1134"/>
        <w:jc w:val="lowKashida"/>
        <w:rPr>
          <w:rFonts w:asciiTheme="majorBidi" w:eastAsia="Times New Roman" w:hAnsiTheme="majorBidi" w:cstheme="majorBidi"/>
          <w:bCs/>
          <w:sz w:val="24"/>
          <w:szCs w:val="24"/>
        </w:rPr>
      </w:pPr>
      <w:r w:rsidRPr="008E772B">
        <w:rPr>
          <w:rFonts w:asciiTheme="majorBidi" w:eastAsia="Times New Roman" w:hAnsiTheme="majorBidi" w:cstheme="majorBidi"/>
          <w:b/>
          <w:bCs/>
          <w:i/>
          <w:sz w:val="24"/>
          <w:szCs w:val="24"/>
        </w:rPr>
        <w:t>Key</w:t>
      </w:r>
      <w:r w:rsidR="00BD5D69" w:rsidRPr="008E772B">
        <w:rPr>
          <w:rFonts w:asciiTheme="majorBidi" w:eastAsia="Times New Roman" w:hAnsiTheme="majorBidi" w:cstheme="majorBidi"/>
          <w:b/>
          <w:bCs/>
          <w:i/>
          <w:sz w:val="24"/>
          <w:szCs w:val="24"/>
        </w:rPr>
        <w:t xml:space="preserve"> </w:t>
      </w:r>
      <w:r w:rsidRPr="008E772B">
        <w:rPr>
          <w:rFonts w:asciiTheme="majorBidi" w:eastAsia="Times New Roman" w:hAnsiTheme="majorBidi" w:cstheme="majorBidi"/>
          <w:b/>
          <w:bCs/>
          <w:i/>
          <w:sz w:val="24"/>
          <w:szCs w:val="24"/>
        </w:rPr>
        <w:t>words:</w:t>
      </w:r>
      <w:r w:rsidRPr="008E772B">
        <w:rPr>
          <w:rFonts w:asciiTheme="majorBidi" w:eastAsia="Times New Roman" w:hAnsiTheme="majorBidi" w:cstheme="majorBidi"/>
          <w:b/>
          <w:bCs/>
          <w:sz w:val="24"/>
          <w:szCs w:val="24"/>
        </w:rPr>
        <w:t xml:space="preserve"> </w:t>
      </w:r>
      <w:r w:rsidR="00393E35" w:rsidRPr="008E772B">
        <w:rPr>
          <w:rFonts w:asciiTheme="majorBidi" w:eastAsia="Times New Roman" w:hAnsiTheme="majorBidi" w:cstheme="majorBidi"/>
          <w:bCs/>
          <w:sz w:val="24"/>
          <w:szCs w:val="24"/>
        </w:rPr>
        <w:t xml:space="preserve">Firm- and </w:t>
      </w:r>
      <w:r w:rsidR="000661E0" w:rsidRPr="008E772B">
        <w:rPr>
          <w:rFonts w:asciiTheme="majorBidi" w:eastAsia="Times New Roman" w:hAnsiTheme="majorBidi" w:cstheme="majorBidi"/>
          <w:bCs/>
          <w:sz w:val="24"/>
          <w:szCs w:val="24"/>
        </w:rPr>
        <w:t>country</w:t>
      </w:r>
      <w:r w:rsidR="00393E35" w:rsidRPr="008E772B">
        <w:rPr>
          <w:rFonts w:asciiTheme="majorBidi" w:eastAsia="Times New Roman" w:hAnsiTheme="majorBidi" w:cstheme="majorBidi"/>
          <w:bCs/>
          <w:sz w:val="24"/>
          <w:szCs w:val="24"/>
        </w:rPr>
        <w:t>-</w:t>
      </w:r>
      <w:r w:rsidR="000661E0" w:rsidRPr="008E772B">
        <w:rPr>
          <w:rFonts w:asciiTheme="majorBidi" w:eastAsia="Times New Roman" w:hAnsiTheme="majorBidi" w:cstheme="majorBidi"/>
          <w:bCs/>
          <w:sz w:val="24"/>
          <w:szCs w:val="24"/>
        </w:rPr>
        <w:t xml:space="preserve">level governance </w:t>
      </w:r>
      <w:r w:rsidR="003657FE" w:rsidRPr="008E772B">
        <w:rPr>
          <w:rFonts w:asciiTheme="majorBidi" w:eastAsia="Times New Roman" w:hAnsiTheme="majorBidi" w:cstheme="majorBidi"/>
          <w:bCs/>
          <w:sz w:val="24"/>
          <w:szCs w:val="24"/>
        </w:rPr>
        <w:t>quality</w:t>
      </w:r>
      <w:r w:rsidR="00565071">
        <w:rPr>
          <w:rFonts w:asciiTheme="majorBidi" w:eastAsia="Times New Roman" w:hAnsiTheme="majorBidi" w:cstheme="majorBidi"/>
          <w:bCs/>
          <w:sz w:val="24"/>
          <w:szCs w:val="24"/>
        </w:rPr>
        <w:t>;</w:t>
      </w:r>
      <w:r w:rsidRPr="008E772B">
        <w:rPr>
          <w:rFonts w:asciiTheme="majorBidi" w:eastAsia="Times New Roman" w:hAnsiTheme="majorBidi" w:cstheme="majorBidi"/>
          <w:b/>
          <w:bCs/>
          <w:sz w:val="24"/>
          <w:szCs w:val="24"/>
        </w:rPr>
        <w:t xml:space="preserve"> </w:t>
      </w:r>
      <w:r w:rsidR="00F56900" w:rsidRPr="00F56900">
        <w:rPr>
          <w:rFonts w:asciiTheme="majorBidi" w:eastAsia="Times New Roman" w:hAnsiTheme="majorBidi" w:cstheme="majorBidi"/>
          <w:sz w:val="24"/>
          <w:szCs w:val="24"/>
        </w:rPr>
        <w:t>audit quality</w:t>
      </w:r>
      <w:r w:rsidR="00565071">
        <w:rPr>
          <w:rFonts w:asciiTheme="majorBidi" w:eastAsia="Times New Roman" w:hAnsiTheme="majorBidi" w:cstheme="majorBidi"/>
          <w:sz w:val="24"/>
          <w:szCs w:val="24"/>
        </w:rPr>
        <w:t>;</w:t>
      </w:r>
      <w:r w:rsidR="00F56900" w:rsidRPr="00F56900">
        <w:rPr>
          <w:rFonts w:asciiTheme="majorBidi" w:eastAsia="Times New Roman" w:hAnsiTheme="majorBidi" w:cstheme="majorBidi"/>
          <w:b/>
          <w:bCs/>
          <w:sz w:val="24"/>
          <w:szCs w:val="24"/>
        </w:rPr>
        <w:t xml:space="preserve"> </w:t>
      </w:r>
      <w:r w:rsidRPr="008E772B">
        <w:rPr>
          <w:rFonts w:asciiTheme="majorBidi" w:eastAsia="Times New Roman" w:hAnsiTheme="majorBidi" w:cstheme="majorBidi"/>
          <w:bCs/>
          <w:sz w:val="24"/>
          <w:szCs w:val="24"/>
        </w:rPr>
        <w:t>auditor choice</w:t>
      </w:r>
      <w:r w:rsidR="00565071">
        <w:rPr>
          <w:rFonts w:asciiTheme="majorBidi" w:eastAsia="Times New Roman" w:hAnsiTheme="majorBidi" w:cstheme="majorBidi"/>
          <w:bCs/>
          <w:sz w:val="24"/>
          <w:szCs w:val="24"/>
        </w:rPr>
        <w:t>;</w:t>
      </w:r>
      <w:r w:rsidRPr="008E772B">
        <w:rPr>
          <w:rFonts w:asciiTheme="majorBidi" w:eastAsia="Times New Roman" w:hAnsiTheme="majorBidi" w:cstheme="majorBidi"/>
          <w:bCs/>
          <w:sz w:val="24"/>
          <w:szCs w:val="24"/>
        </w:rPr>
        <w:t xml:space="preserve"> audit fees</w:t>
      </w:r>
      <w:r w:rsidR="00565071">
        <w:rPr>
          <w:rFonts w:asciiTheme="majorBidi" w:eastAsia="Times New Roman" w:hAnsiTheme="majorBidi" w:cstheme="majorBidi"/>
          <w:bCs/>
          <w:sz w:val="24"/>
          <w:szCs w:val="24"/>
        </w:rPr>
        <w:t>;</w:t>
      </w:r>
      <w:r w:rsidRPr="008E772B">
        <w:rPr>
          <w:rFonts w:asciiTheme="majorBidi" w:eastAsia="Times New Roman" w:hAnsiTheme="majorBidi" w:cstheme="majorBidi"/>
          <w:bCs/>
          <w:sz w:val="24"/>
          <w:szCs w:val="24"/>
        </w:rPr>
        <w:t xml:space="preserve"> MENA</w:t>
      </w:r>
      <w:r w:rsidR="004C34E9" w:rsidRPr="008E772B">
        <w:rPr>
          <w:rFonts w:asciiTheme="majorBidi" w:eastAsia="Times New Roman" w:hAnsiTheme="majorBidi" w:cstheme="majorBidi"/>
          <w:bCs/>
          <w:sz w:val="24"/>
          <w:szCs w:val="24"/>
        </w:rPr>
        <w:t xml:space="preserve"> countries</w:t>
      </w:r>
      <w:r w:rsidRPr="008E772B">
        <w:rPr>
          <w:rFonts w:asciiTheme="majorBidi" w:eastAsia="Times New Roman" w:hAnsiTheme="majorBidi" w:cstheme="majorBidi"/>
          <w:bCs/>
          <w:sz w:val="24"/>
          <w:szCs w:val="24"/>
        </w:rPr>
        <w:t xml:space="preserve">.   </w:t>
      </w:r>
    </w:p>
    <w:p w14:paraId="2150CB8C" w14:textId="77777777" w:rsidR="00682B8A" w:rsidRPr="008E772B" w:rsidRDefault="00682B8A" w:rsidP="00682B8A">
      <w:pPr>
        <w:spacing w:after="0" w:line="360" w:lineRule="auto"/>
        <w:jc w:val="lowKashida"/>
        <w:rPr>
          <w:rFonts w:asciiTheme="majorBidi" w:eastAsia="Times New Roman" w:hAnsiTheme="majorBidi" w:cstheme="majorBidi"/>
          <w:b/>
          <w:bCs/>
          <w:sz w:val="24"/>
          <w:szCs w:val="24"/>
        </w:rPr>
      </w:pPr>
    </w:p>
    <w:p w14:paraId="339D6B8A" w14:textId="77777777" w:rsidR="00682B8A" w:rsidRPr="008E772B" w:rsidRDefault="00682B8A" w:rsidP="00682B8A">
      <w:pPr>
        <w:spacing w:after="0" w:line="360" w:lineRule="auto"/>
        <w:jc w:val="lowKashida"/>
        <w:rPr>
          <w:rFonts w:asciiTheme="majorBidi" w:eastAsia="Times New Roman" w:hAnsiTheme="majorBidi" w:cstheme="majorBidi"/>
          <w:b/>
          <w:bCs/>
          <w:sz w:val="24"/>
          <w:szCs w:val="24"/>
          <w:lang w:val="en-US"/>
        </w:rPr>
      </w:pPr>
      <w:r w:rsidRPr="008E772B">
        <w:rPr>
          <w:rFonts w:asciiTheme="majorBidi" w:eastAsia="Times New Roman" w:hAnsiTheme="majorBidi" w:cstheme="majorBidi"/>
          <w:b/>
          <w:bCs/>
          <w:i/>
          <w:sz w:val="24"/>
          <w:szCs w:val="24"/>
          <w:lang w:val="fr-FR"/>
        </w:rPr>
        <w:t>JEL Classification:</w:t>
      </w:r>
      <w:r w:rsidRPr="008E772B">
        <w:rPr>
          <w:rFonts w:asciiTheme="majorBidi" w:eastAsia="Times New Roman" w:hAnsiTheme="majorBidi" w:cstheme="majorBidi"/>
          <w:b/>
          <w:bCs/>
          <w:sz w:val="24"/>
          <w:szCs w:val="24"/>
          <w:lang w:val="fr-FR"/>
        </w:rPr>
        <w:t xml:space="preserve"> </w:t>
      </w:r>
      <w:r w:rsidRPr="008E772B">
        <w:rPr>
          <w:rFonts w:asciiTheme="majorBidi" w:eastAsia="Times New Roman" w:hAnsiTheme="majorBidi" w:cstheme="majorBidi"/>
          <w:bCs/>
          <w:sz w:val="24"/>
          <w:szCs w:val="24"/>
          <w:lang w:val="fr-FR"/>
        </w:rPr>
        <w:t xml:space="preserve">G30. G32. G34. </w:t>
      </w:r>
      <w:r w:rsidRPr="008E772B">
        <w:rPr>
          <w:rFonts w:asciiTheme="majorBidi" w:eastAsia="Times New Roman" w:hAnsiTheme="majorBidi" w:cstheme="majorBidi"/>
          <w:bCs/>
          <w:sz w:val="24"/>
          <w:szCs w:val="24"/>
          <w:lang w:val="en-US"/>
        </w:rPr>
        <w:t>M42</w:t>
      </w:r>
    </w:p>
    <w:p w14:paraId="39335105" w14:textId="77777777" w:rsidR="00682B8A" w:rsidRPr="008E772B" w:rsidRDefault="00682B8A" w:rsidP="00682B8A">
      <w:pPr>
        <w:spacing w:after="0" w:line="360" w:lineRule="auto"/>
        <w:jc w:val="lowKashida"/>
        <w:rPr>
          <w:rFonts w:asciiTheme="majorBidi" w:eastAsia="Times New Roman" w:hAnsiTheme="majorBidi" w:cstheme="majorBidi"/>
          <w:b/>
          <w:bCs/>
          <w:sz w:val="24"/>
          <w:szCs w:val="24"/>
          <w:lang w:val="en-US"/>
        </w:rPr>
      </w:pPr>
    </w:p>
    <w:p w14:paraId="00B7F607" w14:textId="77777777" w:rsidR="00682B8A" w:rsidRPr="008E772B" w:rsidRDefault="00682B8A" w:rsidP="00682B8A">
      <w:pPr>
        <w:spacing w:after="0" w:line="360" w:lineRule="auto"/>
        <w:jc w:val="lowKashida"/>
        <w:rPr>
          <w:rFonts w:asciiTheme="majorBidi" w:eastAsia="Times New Roman" w:hAnsiTheme="majorBidi" w:cstheme="majorBidi"/>
          <w:b/>
          <w:bCs/>
          <w:sz w:val="24"/>
          <w:szCs w:val="24"/>
          <w:lang w:val="en-US"/>
        </w:rPr>
      </w:pPr>
    </w:p>
    <w:p w14:paraId="2C66096A" w14:textId="77777777" w:rsidR="00682B8A" w:rsidRPr="008E772B" w:rsidRDefault="00682B8A" w:rsidP="00682B8A">
      <w:pPr>
        <w:spacing w:after="0" w:line="360" w:lineRule="auto"/>
        <w:jc w:val="lowKashida"/>
        <w:rPr>
          <w:rFonts w:asciiTheme="majorBidi" w:eastAsia="Times New Roman" w:hAnsiTheme="majorBidi" w:cstheme="majorBidi"/>
          <w:b/>
          <w:bCs/>
          <w:sz w:val="24"/>
          <w:szCs w:val="24"/>
          <w:lang w:val="en-US"/>
        </w:rPr>
      </w:pPr>
    </w:p>
    <w:p w14:paraId="6183FB0D" w14:textId="77777777" w:rsidR="00682B8A" w:rsidRPr="008E772B" w:rsidRDefault="00682B8A" w:rsidP="00682B8A">
      <w:pPr>
        <w:spacing w:after="0" w:line="360" w:lineRule="auto"/>
        <w:jc w:val="lowKashida"/>
        <w:rPr>
          <w:rFonts w:asciiTheme="majorBidi" w:eastAsia="Times New Roman" w:hAnsiTheme="majorBidi" w:cstheme="majorBidi"/>
          <w:b/>
          <w:bCs/>
          <w:sz w:val="24"/>
          <w:szCs w:val="24"/>
          <w:lang w:val="en-US"/>
        </w:rPr>
      </w:pPr>
    </w:p>
    <w:p w14:paraId="1F431B5F" w14:textId="77777777" w:rsidR="00682B8A" w:rsidRPr="008E772B" w:rsidRDefault="00682B8A" w:rsidP="00682B8A">
      <w:pPr>
        <w:spacing w:after="0" w:line="360" w:lineRule="auto"/>
        <w:jc w:val="lowKashida"/>
        <w:rPr>
          <w:rFonts w:asciiTheme="majorBidi" w:eastAsia="Times New Roman" w:hAnsiTheme="majorBidi" w:cstheme="majorBidi"/>
          <w:b/>
          <w:bCs/>
          <w:sz w:val="24"/>
          <w:szCs w:val="24"/>
          <w:lang w:val="en-US"/>
        </w:rPr>
      </w:pPr>
    </w:p>
    <w:p w14:paraId="6C7DCE0C" w14:textId="77777777" w:rsidR="00682B8A" w:rsidRPr="008E772B" w:rsidRDefault="00682B8A" w:rsidP="00682B8A">
      <w:pPr>
        <w:spacing w:after="0" w:line="360" w:lineRule="auto"/>
        <w:jc w:val="lowKashida"/>
        <w:rPr>
          <w:rFonts w:asciiTheme="majorBidi" w:eastAsia="Times New Roman" w:hAnsiTheme="majorBidi" w:cstheme="majorBidi"/>
          <w:b/>
          <w:bCs/>
          <w:sz w:val="24"/>
          <w:szCs w:val="24"/>
          <w:lang w:val="en-US"/>
        </w:rPr>
      </w:pPr>
    </w:p>
    <w:p w14:paraId="31568797" w14:textId="77777777" w:rsidR="00682B8A" w:rsidRPr="008E772B" w:rsidRDefault="00682B8A" w:rsidP="00682B8A">
      <w:pPr>
        <w:spacing w:after="0" w:line="360" w:lineRule="auto"/>
        <w:jc w:val="lowKashida"/>
        <w:rPr>
          <w:rFonts w:asciiTheme="majorBidi" w:eastAsia="Times New Roman" w:hAnsiTheme="majorBidi" w:cstheme="majorBidi"/>
          <w:b/>
          <w:bCs/>
          <w:sz w:val="24"/>
          <w:szCs w:val="24"/>
          <w:lang w:val="en-US"/>
        </w:rPr>
      </w:pPr>
    </w:p>
    <w:p w14:paraId="5C634FAC" w14:textId="77777777" w:rsidR="0033761E" w:rsidRPr="008E772B" w:rsidRDefault="0033761E" w:rsidP="00682B8A">
      <w:pPr>
        <w:spacing w:after="0" w:line="360" w:lineRule="auto"/>
        <w:jc w:val="lowKashida"/>
        <w:rPr>
          <w:rFonts w:asciiTheme="majorBidi" w:eastAsia="Times New Roman" w:hAnsiTheme="majorBidi" w:cstheme="majorBidi"/>
          <w:b/>
          <w:bCs/>
          <w:sz w:val="24"/>
          <w:szCs w:val="24"/>
          <w:lang w:val="en-US"/>
        </w:rPr>
      </w:pPr>
    </w:p>
    <w:p w14:paraId="68F455A5" w14:textId="77777777" w:rsidR="0033761E" w:rsidRPr="008E772B" w:rsidRDefault="0033761E" w:rsidP="00682B8A">
      <w:pPr>
        <w:spacing w:after="0" w:line="360" w:lineRule="auto"/>
        <w:jc w:val="lowKashida"/>
        <w:rPr>
          <w:rFonts w:asciiTheme="majorBidi" w:eastAsia="Times New Roman" w:hAnsiTheme="majorBidi" w:cstheme="majorBidi"/>
          <w:b/>
          <w:bCs/>
          <w:sz w:val="24"/>
          <w:szCs w:val="24"/>
          <w:lang w:val="en-US"/>
        </w:rPr>
      </w:pPr>
    </w:p>
    <w:p w14:paraId="5F9C6E9D" w14:textId="15352E16" w:rsidR="00682B8A" w:rsidRDefault="00682B8A" w:rsidP="00682B8A">
      <w:pPr>
        <w:spacing w:after="0" w:line="360" w:lineRule="auto"/>
        <w:jc w:val="lowKashida"/>
        <w:rPr>
          <w:rFonts w:asciiTheme="majorBidi" w:eastAsia="Times New Roman" w:hAnsiTheme="majorBidi" w:cstheme="majorBidi"/>
          <w:b/>
          <w:bCs/>
          <w:sz w:val="24"/>
          <w:szCs w:val="24"/>
          <w:lang w:val="en-US"/>
        </w:rPr>
      </w:pPr>
    </w:p>
    <w:p w14:paraId="3435BB63" w14:textId="6A2740C2" w:rsidR="00480E4D" w:rsidRDefault="00480E4D" w:rsidP="00682B8A">
      <w:pPr>
        <w:spacing w:after="0" w:line="360" w:lineRule="auto"/>
        <w:jc w:val="lowKashida"/>
        <w:rPr>
          <w:rFonts w:asciiTheme="majorBidi" w:eastAsia="Times New Roman" w:hAnsiTheme="majorBidi" w:cstheme="majorBidi"/>
          <w:b/>
          <w:bCs/>
          <w:sz w:val="24"/>
          <w:szCs w:val="24"/>
          <w:lang w:val="en-US"/>
        </w:rPr>
      </w:pPr>
    </w:p>
    <w:p w14:paraId="7EEC4FC1" w14:textId="77777777" w:rsidR="00480E4D" w:rsidRPr="008E772B" w:rsidRDefault="00480E4D" w:rsidP="00682B8A">
      <w:pPr>
        <w:spacing w:after="0" w:line="360" w:lineRule="auto"/>
        <w:jc w:val="lowKashida"/>
        <w:rPr>
          <w:rFonts w:asciiTheme="majorBidi" w:eastAsia="Times New Roman" w:hAnsiTheme="majorBidi" w:cstheme="majorBidi"/>
          <w:b/>
          <w:bCs/>
          <w:sz w:val="24"/>
          <w:szCs w:val="24"/>
          <w:lang w:val="en-US"/>
        </w:rPr>
      </w:pPr>
    </w:p>
    <w:p w14:paraId="76D4D287" w14:textId="0183BA7B" w:rsidR="00684413" w:rsidRPr="00157823" w:rsidRDefault="00157823" w:rsidP="00AA2E3B">
      <w:pPr>
        <w:spacing w:after="120" w:line="240" w:lineRule="auto"/>
        <w:rPr>
          <w:rFonts w:asciiTheme="majorBidi" w:eastAsia="Times New Roman" w:hAnsiTheme="majorBidi" w:cstheme="majorBidi"/>
          <w:b/>
          <w:sz w:val="24"/>
          <w:szCs w:val="24"/>
        </w:rPr>
      </w:pPr>
      <w:r w:rsidRPr="00157823">
        <w:rPr>
          <w:rFonts w:asciiTheme="majorBidi" w:eastAsia="Times New Roman" w:hAnsiTheme="majorBidi" w:cstheme="majorBidi"/>
          <w:b/>
          <w:sz w:val="24"/>
          <w:szCs w:val="24"/>
        </w:rPr>
        <w:lastRenderedPageBreak/>
        <w:t>1. Introduction</w:t>
      </w:r>
    </w:p>
    <w:p w14:paraId="432D26C9" w14:textId="7B37A3CD" w:rsidR="003769C0" w:rsidRDefault="003769C0" w:rsidP="006341A1">
      <w:pPr>
        <w:spacing w:after="0" w:line="360" w:lineRule="auto"/>
        <w:ind w:firstLine="720"/>
        <w:jc w:val="lowKashida"/>
        <w:rPr>
          <w:rFonts w:asciiTheme="majorBidi" w:eastAsia="Times New Roman" w:hAnsiTheme="majorBidi" w:cstheme="majorBidi"/>
          <w:b/>
          <w:bCs/>
          <w:sz w:val="24"/>
          <w:szCs w:val="24"/>
        </w:rPr>
      </w:pPr>
      <w:r w:rsidRPr="003769C0">
        <w:rPr>
          <w:rFonts w:asciiTheme="majorBidi" w:eastAsia="Times New Roman" w:hAnsiTheme="majorBidi" w:cstheme="majorBidi"/>
          <w:bCs/>
          <w:sz w:val="24"/>
          <w:szCs w:val="24"/>
        </w:rPr>
        <w:t>The main aim</w:t>
      </w:r>
      <w:r w:rsidR="007C4420" w:rsidRPr="003769C0">
        <w:rPr>
          <w:rFonts w:asciiTheme="majorBidi" w:eastAsia="Times New Roman" w:hAnsiTheme="majorBidi" w:cstheme="majorBidi"/>
          <w:bCs/>
          <w:sz w:val="24"/>
          <w:szCs w:val="24"/>
        </w:rPr>
        <w:t xml:space="preserve"> </w:t>
      </w:r>
      <w:r>
        <w:rPr>
          <w:rFonts w:asciiTheme="majorBidi" w:eastAsia="Times New Roman" w:hAnsiTheme="majorBidi" w:cstheme="majorBidi"/>
          <w:bCs/>
          <w:sz w:val="24"/>
          <w:szCs w:val="24"/>
        </w:rPr>
        <w:t>of this study is to examine the</w:t>
      </w:r>
      <w:r w:rsidR="00684413">
        <w:rPr>
          <w:rFonts w:asciiTheme="majorBidi" w:eastAsia="Times New Roman" w:hAnsiTheme="majorBidi" w:cstheme="majorBidi"/>
          <w:bCs/>
          <w:sz w:val="24"/>
          <w:szCs w:val="24"/>
        </w:rPr>
        <w:t xml:space="preserve"> under-researched</w:t>
      </w:r>
      <w:r>
        <w:rPr>
          <w:rFonts w:asciiTheme="majorBidi" w:eastAsia="Times New Roman" w:hAnsiTheme="majorBidi" w:cstheme="majorBidi"/>
          <w:bCs/>
          <w:sz w:val="24"/>
          <w:szCs w:val="24"/>
        </w:rPr>
        <w:t xml:space="preserve"> relationship between governance </w:t>
      </w:r>
      <w:r w:rsidR="00EC1099">
        <w:rPr>
          <w:rFonts w:asciiTheme="majorBidi" w:eastAsia="Times New Roman" w:hAnsiTheme="majorBidi" w:cstheme="majorBidi"/>
          <w:bCs/>
          <w:sz w:val="24"/>
          <w:szCs w:val="24"/>
        </w:rPr>
        <w:t>structures</w:t>
      </w:r>
      <w:r>
        <w:rPr>
          <w:rFonts w:asciiTheme="majorBidi" w:eastAsia="Times New Roman" w:hAnsiTheme="majorBidi" w:cstheme="majorBidi"/>
          <w:bCs/>
          <w:sz w:val="24"/>
          <w:szCs w:val="24"/>
        </w:rPr>
        <w:t>, both at</w:t>
      </w:r>
      <w:r w:rsidR="00155CAD">
        <w:rPr>
          <w:rFonts w:asciiTheme="majorBidi" w:eastAsia="Times New Roman" w:hAnsiTheme="majorBidi" w:cstheme="majorBidi"/>
          <w:bCs/>
          <w:sz w:val="24"/>
          <w:szCs w:val="24"/>
        </w:rPr>
        <w:t xml:space="preserve"> the</w:t>
      </w:r>
      <w:r>
        <w:rPr>
          <w:rFonts w:asciiTheme="majorBidi" w:eastAsia="Times New Roman" w:hAnsiTheme="majorBidi" w:cstheme="majorBidi"/>
          <w:bCs/>
          <w:sz w:val="24"/>
          <w:szCs w:val="24"/>
        </w:rPr>
        <w:t xml:space="preserve"> </w:t>
      </w:r>
      <w:r w:rsidR="00902198">
        <w:rPr>
          <w:rFonts w:asciiTheme="majorBidi" w:eastAsia="Times New Roman" w:hAnsiTheme="majorBidi" w:cstheme="majorBidi"/>
          <w:bCs/>
          <w:sz w:val="24"/>
          <w:szCs w:val="24"/>
        </w:rPr>
        <w:t>firm-</w:t>
      </w:r>
      <w:r w:rsidR="00155CAD">
        <w:rPr>
          <w:rFonts w:asciiTheme="majorBidi" w:eastAsia="Times New Roman" w:hAnsiTheme="majorBidi" w:cstheme="majorBidi"/>
          <w:bCs/>
          <w:sz w:val="24"/>
          <w:szCs w:val="24"/>
        </w:rPr>
        <w:t xml:space="preserve"> </w:t>
      </w:r>
      <w:r>
        <w:rPr>
          <w:rFonts w:asciiTheme="majorBidi" w:eastAsia="Times New Roman" w:hAnsiTheme="majorBidi" w:cstheme="majorBidi"/>
          <w:bCs/>
          <w:sz w:val="24"/>
          <w:szCs w:val="24"/>
        </w:rPr>
        <w:t xml:space="preserve">and </w:t>
      </w:r>
      <w:r w:rsidR="00902198">
        <w:rPr>
          <w:rFonts w:asciiTheme="majorBidi" w:eastAsia="Times New Roman" w:hAnsiTheme="majorBidi" w:cstheme="majorBidi"/>
          <w:bCs/>
          <w:sz w:val="24"/>
          <w:szCs w:val="24"/>
        </w:rPr>
        <w:t>country-</w:t>
      </w:r>
      <w:r>
        <w:rPr>
          <w:rFonts w:asciiTheme="majorBidi" w:eastAsia="Times New Roman" w:hAnsiTheme="majorBidi" w:cstheme="majorBidi"/>
          <w:bCs/>
          <w:sz w:val="24"/>
          <w:szCs w:val="24"/>
        </w:rPr>
        <w:t>levels, and audit quality</w:t>
      </w:r>
      <w:r w:rsidR="00155CAD">
        <w:rPr>
          <w:rFonts w:asciiTheme="majorBidi" w:eastAsia="Times New Roman" w:hAnsiTheme="majorBidi" w:cstheme="majorBidi"/>
          <w:bCs/>
          <w:sz w:val="24"/>
          <w:szCs w:val="24"/>
        </w:rPr>
        <w:t>, as</w:t>
      </w:r>
      <w:r>
        <w:rPr>
          <w:rFonts w:asciiTheme="majorBidi" w:eastAsia="Times New Roman" w:hAnsiTheme="majorBidi" w:cstheme="majorBidi"/>
          <w:bCs/>
          <w:sz w:val="24"/>
          <w:szCs w:val="24"/>
        </w:rPr>
        <w:t xml:space="preserve"> measured by auditor choice and audit fees in the context of emerging markets.</w:t>
      </w:r>
      <w:r w:rsidR="00CD18CE" w:rsidRPr="00CD18CE">
        <w:rPr>
          <w:rFonts w:asciiTheme="majorBidi" w:eastAsia="Times New Roman" w:hAnsiTheme="majorBidi" w:cstheme="majorBidi"/>
          <w:bCs/>
          <w:sz w:val="24"/>
          <w:szCs w:val="24"/>
        </w:rPr>
        <w:t xml:space="preserve"> In particular, our focus is</w:t>
      </w:r>
      <w:r w:rsidR="00155CAD">
        <w:rPr>
          <w:rFonts w:asciiTheme="majorBidi" w:eastAsia="Times New Roman" w:hAnsiTheme="majorBidi" w:cstheme="majorBidi"/>
          <w:bCs/>
          <w:sz w:val="24"/>
          <w:szCs w:val="24"/>
        </w:rPr>
        <w:t xml:space="preserve"> on</w:t>
      </w:r>
      <w:r w:rsidR="00CD18CE" w:rsidRPr="00CD18CE">
        <w:rPr>
          <w:rFonts w:asciiTheme="majorBidi" w:eastAsia="Times New Roman" w:hAnsiTheme="majorBidi" w:cstheme="majorBidi"/>
          <w:bCs/>
          <w:sz w:val="24"/>
          <w:szCs w:val="24"/>
        </w:rPr>
        <w:t xml:space="preserve"> </w:t>
      </w:r>
      <w:r w:rsidR="0076484D" w:rsidRPr="0076484D">
        <w:rPr>
          <w:rFonts w:asciiTheme="majorBidi" w:eastAsia="Times New Roman" w:hAnsiTheme="majorBidi" w:cstheme="majorBidi"/>
          <w:bCs/>
          <w:sz w:val="24"/>
          <w:szCs w:val="24"/>
        </w:rPr>
        <w:t xml:space="preserve">Middle Eastern and North African </w:t>
      </w:r>
      <w:r w:rsidR="0076484D">
        <w:rPr>
          <w:rFonts w:asciiTheme="majorBidi" w:eastAsia="Times New Roman" w:hAnsiTheme="majorBidi" w:cstheme="majorBidi"/>
          <w:bCs/>
          <w:sz w:val="24"/>
          <w:szCs w:val="24"/>
        </w:rPr>
        <w:t>(</w:t>
      </w:r>
      <w:r w:rsidR="00CD18CE" w:rsidRPr="00CD18CE">
        <w:rPr>
          <w:rFonts w:asciiTheme="majorBidi" w:eastAsia="Times New Roman" w:hAnsiTheme="majorBidi" w:cstheme="majorBidi"/>
          <w:bCs/>
          <w:sz w:val="24"/>
          <w:szCs w:val="24"/>
        </w:rPr>
        <w:t>MENA</w:t>
      </w:r>
      <w:r w:rsidR="0076484D">
        <w:rPr>
          <w:rFonts w:asciiTheme="majorBidi" w:eastAsia="Times New Roman" w:hAnsiTheme="majorBidi" w:cstheme="majorBidi"/>
          <w:bCs/>
          <w:sz w:val="24"/>
          <w:szCs w:val="24"/>
        </w:rPr>
        <w:t>)</w:t>
      </w:r>
      <w:r w:rsidR="004562ED">
        <w:rPr>
          <w:rFonts w:asciiTheme="majorBidi" w:eastAsia="Times New Roman" w:hAnsiTheme="majorBidi" w:cstheme="majorBidi"/>
          <w:bCs/>
          <w:sz w:val="24"/>
          <w:szCs w:val="24"/>
        </w:rPr>
        <w:t xml:space="preserve"> c</w:t>
      </w:r>
      <w:r w:rsidR="00155CAD">
        <w:rPr>
          <w:rFonts w:asciiTheme="majorBidi" w:eastAsia="Times New Roman" w:hAnsiTheme="majorBidi" w:cstheme="majorBidi"/>
          <w:bCs/>
          <w:sz w:val="24"/>
          <w:szCs w:val="24"/>
        </w:rPr>
        <w:t>ountries</w:t>
      </w:r>
      <w:r w:rsidR="00CD18CE" w:rsidRPr="00CD18CE">
        <w:rPr>
          <w:rFonts w:asciiTheme="majorBidi" w:eastAsia="Times New Roman" w:hAnsiTheme="majorBidi" w:cstheme="majorBidi"/>
          <w:bCs/>
          <w:sz w:val="24"/>
          <w:szCs w:val="24"/>
        </w:rPr>
        <w:t xml:space="preserve"> that </w:t>
      </w:r>
      <w:r w:rsidR="00CD18CE">
        <w:rPr>
          <w:rFonts w:asciiTheme="majorBidi" w:eastAsia="Times New Roman" w:hAnsiTheme="majorBidi" w:cstheme="majorBidi"/>
          <w:bCs/>
          <w:sz w:val="24"/>
          <w:szCs w:val="24"/>
        </w:rPr>
        <w:t xml:space="preserve">provide a rich ground </w:t>
      </w:r>
      <w:r w:rsidR="00CD18CE" w:rsidRPr="00CD18CE">
        <w:rPr>
          <w:rFonts w:asciiTheme="majorBidi" w:eastAsia="Times New Roman" w:hAnsiTheme="majorBidi" w:cstheme="majorBidi"/>
          <w:bCs/>
          <w:sz w:val="24"/>
          <w:szCs w:val="24"/>
        </w:rPr>
        <w:t xml:space="preserve">to link governance </w:t>
      </w:r>
      <w:r w:rsidR="006341A1">
        <w:rPr>
          <w:rFonts w:asciiTheme="majorBidi" w:eastAsia="Times New Roman" w:hAnsiTheme="majorBidi" w:cstheme="majorBidi"/>
          <w:bCs/>
          <w:sz w:val="24"/>
          <w:szCs w:val="24"/>
        </w:rPr>
        <w:t>mechanisms</w:t>
      </w:r>
      <w:r w:rsidR="006341A1" w:rsidRPr="00CD18CE">
        <w:rPr>
          <w:rFonts w:asciiTheme="majorBidi" w:eastAsia="Times New Roman" w:hAnsiTheme="majorBidi" w:cstheme="majorBidi"/>
          <w:bCs/>
          <w:sz w:val="24"/>
          <w:szCs w:val="24"/>
        </w:rPr>
        <w:t xml:space="preserve"> </w:t>
      </w:r>
      <w:r w:rsidR="00CD18CE" w:rsidRPr="00CD18CE">
        <w:rPr>
          <w:rFonts w:asciiTheme="majorBidi" w:eastAsia="Times New Roman" w:hAnsiTheme="majorBidi" w:cstheme="majorBidi"/>
          <w:bCs/>
          <w:sz w:val="24"/>
          <w:szCs w:val="24"/>
        </w:rPr>
        <w:t>and audit quality.</w:t>
      </w:r>
      <w:r w:rsidR="002751E4" w:rsidRPr="002751E4">
        <w:rPr>
          <w:rFonts w:asciiTheme="majorBidi" w:eastAsia="Times New Roman" w:hAnsiTheme="majorBidi" w:cstheme="majorBidi"/>
          <w:bCs/>
          <w:sz w:val="24"/>
          <w:szCs w:val="24"/>
          <w:vertAlign w:val="superscript"/>
        </w:rPr>
        <w:t>1</w:t>
      </w:r>
      <w:r w:rsidR="00CD18CE" w:rsidRPr="00CD18CE">
        <w:rPr>
          <w:rFonts w:asciiTheme="majorBidi" w:eastAsia="Times New Roman" w:hAnsiTheme="majorBidi" w:cstheme="majorBidi"/>
          <w:bCs/>
          <w:sz w:val="24"/>
          <w:szCs w:val="24"/>
        </w:rPr>
        <w:t xml:space="preserve">  </w:t>
      </w:r>
      <w:r w:rsidR="006349A1">
        <w:rPr>
          <w:rFonts w:asciiTheme="majorBidi" w:eastAsia="Times New Roman" w:hAnsiTheme="majorBidi" w:cstheme="majorBidi"/>
          <w:bCs/>
          <w:sz w:val="24"/>
          <w:szCs w:val="24"/>
        </w:rPr>
        <w:t xml:space="preserve">  </w:t>
      </w:r>
    </w:p>
    <w:p w14:paraId="63147FCB" w14:textId="3A4F6FB8" w:rsidR="006423B2" w:rsidRDefault="006349A1" w:rsidP="00B06B33">
      <w:pPr>
        <w:spacing w:after="0" w:line="360" w:lineRule="auto"/>
        <w:ind w:firstLine="720"/>
        <w:jc w:val="lowKashida"/>
        <w:rPr>
          <w:rFonts w:asciiTheme="majorBidi" w:eastAsia="Times New Roman" w:hAnsiTheme="majorBidi" w:cstheme="majorBidi"/>
          <w:bCs/>
          <w:sz w:val="24"/>
          <w:szCs w:val="24"/>
        </w:rPr>
      </w:pPr>
      <w:r>
        <w:rPr>
          <w:rFonts w:asciiTheme="majorBidi" w:eastAsia="Times New Roman" w:hAnsiTheme="majorBidi" w:cstheme="majorBidi"/>
          <w:bCs/>
          <w:sz w:val="24"/>
          <w:szCs w:val="24"/>
        </w:rPr>
        <w:t xml:space="preserve">There is </w:t>
      </w:r>
      <w:r w:rsidR="007C4420" w:rsidRPr="008E772B">
        <w:rPr>
          <w:rFonts w:asciiTheme="majorBidi" w:eastAsia="Times New Roman" w:hAnsiTheme="majorBidi" w:cstheme="majorBidi"/>
          <w:bCs/>
          <w:sz w:val="24"/>
          <w:szCs w:val="24"/>
        </w:rPr>
        <w:t xml:space="preserve">an increased interest in the quality of </w:t>
      </w:r>
      <w:r w:rsidR="003657FE" w:rsidRPr="008E772B">
        <w:rPr>
          <w:rFonts w:asciiTheme="majorBidi" w:eastAsia="Times New Roman" w:hAnsiTheme="majorBidi" w:cstheme="majorBidi"/>
          <w:bCs/>
          <w:sz w:val="24"/>
          <w:szCs w:val="24"/>
        </w:rPr>
        <w:t>governance</w:t>
      </w:r>
      <w:r w:rsidR="007C4420" w:rsidRPr="008E772B">
        <w:rPr>
          <w:rFonts w:asciiTheme="majorBidi" w:eastAsia="Times New Roman" w:hAnsiTheme="majorBidi" w:cstheme="majorBidi"/>
          <w:bCs/>
          <w:sz w:val="24"/>
          <w:szCs w:val="24"/>
        </w:rPr>
        <w:t xml:space="preserve">, particularly the role of </w:t>
      </w:r>
      <w:r w:rsidR="003657FE" w:rsidRPr="008E772B">
        <w:rPr>
          <w:rFonts w:asciiTheme="majorBidi" w:eastAsia="Times New Roman" w:hAnsiTheme="majorBidi" w:cstheme="majorBidi"/>
          <w:bCs/>
          <w:sz w:val="24"/>
          <w:szCs w:val="24"/>
        </w:rPr>
        <w:t>good governance</w:t>
      </w:r>
      <w:r w:rsidR="007C4420" w:rsidRPr="008E772B">
        <w:rPr>
          <w:rFonts w:asciiTheme="majorBidi" w:eastAsia="Times New Roman" w:hAnsiTheme="majorBidi" w:cstheme="majorBidi"/>
          <w:bCs/>
          <w:sz w:val="24"/>
          <w:szCs w:val="24"/>
        </w:rPr>
        <w:t xml:space="preserve"> in enhancing the quality of corporate financial reporting (</w:t>
      </w:r>
      <w:r w:rsidR="004E3969" w:rsidRPr="004E3969">
        <w:rPr>
          <w:rFonts w:asciiTheme="majorBidi" w:eastAsia="Times New Roman" w:hAnsiTheme="majorBidi" w:cstheme="majorBidi"/>
          <w:bCs/>
          <w:iCs/>
          <w:sz w:val="24"/>
          <w:szCs w:val="24"/>
        </w:rPr>
        <w:t>Chau &amp; Leung 2006</w:t>
      </w:r>
      <w:r w:rsidR="004E3969">
        <w:rPr>
          <w:rFonts w:asciiTheme="majorBidi" w:eastAsia="Times New Roman" w:hAnsiTheme="majorBidi" w:cstheme="majorBidi"/>
          <w:bCs/>
          <w:iCs/>
          <w:sz w:val="24"/>
          <w:szCs w:val="24"/>
        </w:rPr>
        <w:t xml:space="preserve">; </w:t>
      </w:r>
      <w:r w:rsidR="007C4420" w:rsidRPr="008E772B">
        <w:rPr>
          <w:rFonts w:asciiTheme="majorBidi" w:eastAsia="Times New Roman" w:hAnsiTheme="majorBidi" w:cstheme="majorBidi"/>
          <w:bCs/>
          <w:sz w:val="24"/>
          <w:szCs w:val="24"/>
        </w:rPr>
        <w:t xml:space="preserve">Elmagrhi </w:t>
      </w:r>
      <w:r w:rsidR="007C4420" w:rsidRPr="008E772B">
        <w:rPr>
          <w:rFonts w:asciiTheme="majorBidi" w:eastAsia="Times New Roman" w:hAnsiTheme="majorBidi" w:cstheme="majorBidi"/>
          <w:bCs/>
          <w:i/>
          <w:sz w:val="24"/>
          <w:szCs w:val="24"/>
        </w:rPr>
        <w:t>et al</w:t>
      </w:r>
      <w:r w:rsidR="007C4420" w:rsidRPr="008E772B">
        <w:rPr>
          <w:rFonts w:asciiTheme="majorBidi" w:eastAsia="Times New Roman" w:hAnsiTheme="majorBidi" w:cstheme="majorBidi"/>
          <w:bCs/>
          <w:sz w:val="24"/>
          <w:szCs w:val="24"/>
        </w:rPr>
        <w:t>. 2016</w:t>
      </w:r>
      <w:r w:rsidR="002D0565">
        <w:rPr>
          <w:rFonts w:asciiTheme="majorBidi" w:eastAsia="Times New Roman" w:hAnsiTheme="majorBidi" w:cstheme="majorBidi"/>
          <w:bCs/>
          <w:sz w:val="24"/>
          <w:szCs w:val="24"/>
        </w:rPr>
        <w:t xml:space="preserve">; </w:t>
      </w:r>
      <w:r w:rsidR="003E68DE" w:rsidRPr="003E68DE">
        <w:rPr>
          <w:rFonts w:asciiTheme="majorBidi" w:eastAsia="Times New Roman" w:hAnsiTheme="majorBidi" w:cstheme="majorBidi"/>
          <w:bCs/>
          <w:sz w:val="24"/>
          <w:szCs w:val="24"/>
        </w:rPr>
        <w:t>Elghuweel</w:t>
      </w:r>
      <w:r w:rsidR="003E68DE" w:rsidRPr="003E68DE">
        <w:rPr>
          <w:rFonts w:asciiTheme="majorBidi" w:eastAsia="Times New Roman" w:hAnsiTheme="majorBidi" w:cstheme="majorBidi"/>
          <w:bCs/>
          <w:i/>
          <w:sz w:val="24"/>
          <w:szCs w:val="24"/>
        </w:rPr>
        <w:t xml:space="preserve"> et al</w:t>
      </w:r>
      <w:r w:rsidR="003E68DE" w:rsidRPr="003E68DE">
        <w:rPr>
          <w:rFonts w:asciiTheme="majorBidi" w:eastAsia="Times New Roman" w:hAnsiTheme="majorBidi" w:cstheme="majorBidi"/>
          <w:bCs/>
          <w:sz w:val="24"/>
          <w:szCs w:val="24"/>
        </w:rPr>
        <w:t>. 2017</w:t>
      </w:r>
      <w:r w:rsidR="003E68DE">
        <w:rPr>
          <w:rFonts w:asciiTheme="majorBidi" w:eastAsia="Times New Roman" w:hAnsiTheme="majorBidi" w:cstheme="majorBidi"/>
          <w:bCs/>
          <w:sz w:val="24"/>
          <w:szCs w:val="24"/>
        </w:rPr>
        <w:t>;</w:t>
      </w:r>
      <w:r w:rsidR="00C45035">
        <w:rPr>
          <w:rFonts w:asciiTheme="majorBidi" w:eastAsia="Times New Roman" w:hAnsiTheme="majorBidi" w:cstheme="majorBidi"/>
          <w:bCs/>
          <w:sz w:val="24"/>
          <w:szCs w:val="24"/>
        </w:rPr>
        <w:t xml:space="preserve"> </w:t>
      </w:r>
      <w:r w:rsidR="00594CA4" w:rsidRPr="008E772B">
        <w:rPr>
          <w:rFonts w:asciiTheme="majorBidi" w:eastAsia="Times New Roman" w:hAnsiTheme="majorBidi" w:cstheme="majorBidi"/>
          <w:bCs/>
          <w:sz w:val="24"/>
          <w:szCs w:val="24"/>
        </w:rPr>
        <w:t xml:space="preserve">Al-Bassam </w:t>
      </w:r>
      <w:r w:rsidR="00594CA4" w:rsidRPr="008E772B">
        <w:rPr>
          <w:rFonts w:asciiTheme="majorBidi" w:eastAsia="Times New Roman" w:hAnsiTheme="majorBidi" w:cstheme="majorBidi"/>
          <w:bCs/>
          <w:i/>
          <w:sz w:val="24"/>
          <w:szCs w:val="24"/>
        </w:rPr>
        <w:t>et al</w:t>
      </w:r>
      <w:r w:rsidR="00594CA4" w:rsidRPr="008E772B">
        <w:rPr>
          <w:rFonts w:asciiTheme="majorBidi" w:eastAsia="Times New Roman" w:hAnsiTheme="majorBidi" w:cstheme="majorBidi"/>
          <w:bCs/>
          <w:sz w:val="24"/>
          <w:szCs w:val="24"/>
        </w:rPr>
        <w:t>., 201</w:t>
      </w:r>
      <w:r w:rsidR="00594CA4">
        <w:rPr>
          <w:rFonts w:asciiTheme="majorBidi" w:eastAsia="Times New Roman" w:hAnsiTheme="majorBidi" w:cstheme="majorBidi"/>
          <w:bCs/>
          <w:sz w:val="24"/>
          <w:szCs w:val="24"/>
        </w:rPr>
        <w:t>8</w:t>
      </w:r>
      <w:r w:rsidR="007C4420" w:rsidRPr="008E772B">
        <w:rPr>
          <w:rFonts w:asciiTheme="majorBidi" w:eastAsia="Times New Roman" w:hAnsiTheme="majorBidi" w:cstheme="majorBidi"/>
          <w:bCs/>
          <w:sz w:val="24"/>
          <w:szCs w:val="24"/>
        </w:rPr>
        <w:t xml:space="preserve">). </w:t>
      </w:r>
      <w:r w:rsidR="0090025D" w:rsidRPr="008E772B">
        <w:rPr>
          <w:rFonts w:asciiTheme="majorBidi" w:eastAsia="Times New Roman" w:hAnsiTheme="majorBidi" w:cstheme="majorBidi"/>
          <w:bCs/>
          <w:sz w:val="24"/>
          <w:szCs w:val="24"/>
        </w:rPr>
        <w:t>Auditing is an important part of enhancing the quality of financial reporting in that t</w:t>
      </w:r>
      <w:r w:rsidR="007C4420" w:rsidRPr="008E772B">
        <w:rPr>
          <w:rFonts w:asciiTheme="majorBidi" w:eastAsia="Times New Roman" w:hAnsiTheme="majorBidi" w:cstheme="majorBidi"/>
          <w:bCs/>
          <w:sz w:val="24"/>
          <w:szCs w:val="24"/>
        </w:rPr>
        <w:t>he audit process also seeks to provide independent verification of the financial statement prepared by management (O’Sullivan, 2000</w:t>
      </w:r>
      <w:r w:rsidR="009C754E" w:rsidRPr="008E772B">
        <w:rPr>
          <w:rFonts w:asciiTheme="majorBidi" w:eastAsia="Times New Roman" w:hAnsiTheme="majorBidi" w:cstheme="majorBidi"/>
          <w:bCs/>
          <w:sz w:val="24"/>
          <w:szCs w:val="24"/>
        </w:rPr>
        <w:t>; Khalil &amp; Ozkan, 2016</w:t>
      </w:r>
      <w:r w:rsidR="0028636E">
        <w:rPr>
          <w:rFonts w:asciiTheme="majorBidi" w:eastAsia="Times New Roman" w:hAnsiTheme="majorBidi" w:cstheme="majorBidi"/>
          <w:bCs/>
          <w:sz w:val="24"/>
          <w:szCs w:val="24"/>
        </w:rPr>
        <w:t xml:space="preserve">; </w:t>
      </w:r>
      <w:r w:rsidR="0028636E" w:rsidRPr="00F808B6">
        <w:rPr>
          <w:rFonts w:asciiTheme="majorBidi" w:eastAsia="Times New Roman" w:hAnsiTheme="majorBidi" w:cstheme="majorBidi"/>
          <w:bCs/>
          <w:iCs/>
          <w:sz w:val="24"/>
          <w:szCs w:val="24"/>
        </w:rPr>
        <w:t xml:space="preserve">Ben-Hassoun </w:t>
      </w:r>
      <w:r w:rsidR="0028636E" w:rsidRPr="002513C0">
        <w:rPr>
          <w:rFonts w:asciiTheme="majorBidi" w:eastAsia="Times New Roman" w:hAnsiTheme="majorBidi" w:cstheme="majorBidi"/>
          <w:bCs/>
          <w:i/>
          <w:iCs/>
          <w:sz w:val="24"/>
          <w:szCs w:val="24"/>
        </w:rPr>
        <w:t>et al</w:t>
      </w:r>
      <w:r w:rsidR="0028636E" w:rsidRPr="00F808B6">
        <w:rPr>
          <w:rFonts w:asciiTheme="majorBidi" w:eastAsia="Times New Roman" w:hAnsiTheme="majorBidi" w:cstheme="majorBidi"/>
          <w:bCs/>
          <w:iCs/>
          <w:sz w:val="24"/>
          <w:szCs w:val="24"/>
        </w:rPr>
        <w:t>.</w:t>
      </w:r>
      <w:r w:rsidR="0028636E">
        <w:rPr>
          <w:rFonts w:asciiTheme="majorBidi" w:eastAsia="Times New Roman" w:hAnsiTheme="majorBidi" w:cstheme="majorBidi"/>
          <w:bCs/>
          <w:iCs/>
          <w:sz w:val="24"/>
          <w:szCs w:val="24"/>
        </w:rPr>
        <w:t>,</w:t>
      </w:r>
      <w:r w:rsidR="0028636E" w:rsidRPr="00F808B6">
        <w:rPr>
          <w:rFonts w:asciiTheme="majorBidi" w:eastAsia="Times New Roman" w:hAnsiTheme="majorBidi" w:cstheme="majorBidi"/>
          <w:bCs/>
          <w:iCs/>
          <w:sz w:val="24"/>
          <w:szCs w:val="24"/>
        </w:rPr>
        <w:t xml:space="preserve"> 2018</w:t>
      </w:r>
      <w:r w:rsidR="007C4420" w:rsidRPr="008E772B">
        <w:rPr>
          <w:rFonts w:asciiTheme="majorBidi" w:eastAsia="Times New Roman" w:hAnsiTheme="majorBidi" w:cstheme="majorBidi"/>
          <w:bCs/>
          <w:sz w:val="24"/>
          <w:szCs w:val="24"/>
        </w:rPr>
        <w:t xml:space="preserve">). </w:t>
      </w:r>
      <w:r w:rsidR="0090025D" w:rsidRPr="008E772B">
        <w:rPr>
          <w:rFonts w:asciiTheme="majorBidi" w:eastAsia="Times New Roman" w:hAnsiTheme="majorBidi" w:cstheme="majorBidi"/>
          <w:bCs/>
          <w:sz w:val="24"/>
          <w:szCs w:val="24"/>
        </w:rPr>
        <w:t>In this case, f</w:t>
      </w:r>
      <w:r w:rsidR="007C4420" w:rsidRPr="008E772B">
        <w:rPr>
          <w:rFonts w:asciiTheme="majorBidi" w:eastAsia="Times New Roman" w:hAnsiTheme="majorBidi" w:cstheme="majorBidi"/>
          <w:bCs/>
          <w:sz w:val="24"/>
          <w:szCs w:val="24"/>
        </w:rPr>
        <w:t>inancial scandals in the 1990s</w:t>
      </w:r>
      <w:r w:rsidR="00245BF6">
        <w:rPr>
          <w:rFonts w:asciiTheme="majorBidi" w:eastAsia="Times New Roman" w:hAnsiTheme="majorBidi" w:cstheme="majorBidi"/>
          <w:bCs/>
          <w:sz w:val="24"/>
          <w:szCs w:val="24"/>
        </w:rPr>
        <w:t>/2000s</w:t>
      </w:r>
      <w:r w:rsidR="007C4420" w:rsidRPr="008E772B">
        <w:rPr>
          <w:rFonts w:asciiTheme="majorBidi" w:eastAsia="Times New Roman" w:hAnsiTheme="majorBidi" w:cstheme="majorBidi"/>
          <w:bCs/>
          <w:sz w:val="24"/>
          <w:szCs w:val="24"/>
        </w:rPr>
        <w:t xml:space="preserve"> </w:t>
      </w:r>
      <w:r w:rsidR="00EA190F">
        <w:rPr>
          <w:rFonts w:asciiTheme="majorBidi" w:eastAsia="Times New Roman" w:hAnsiTheme="majorBidi" w:cstheme="majorBidi"/>
          <w:bCs/>
          <w:sz w:val="24"/>
          <w:szCs w:val="24"/>
        </w:rPr>
        <w:t>sharply brought the issue of</w:t>
      </w:r>
      <w:r w:rsidR="007C4420" w:rsidRPr="008E772B">
        <w:rPr>
          <w:rFonts w:asciiTheme="majorBidi" w:eastAsia="Times New Roman" w:hAnsiTheme="majorBidi" w:cstheme="majorBidi"/>
          <w:bCs/>
          <w:sz w:val="24"/>
          <w:szCs w:val="24"/>
        </w:rPr>
        <w:t xml:space="preserve"> quality and reliability of audited information</w:t>
      </w:r>
      <w:r w:rsidR="00EA190F">
        <w:rPr>
          <w:rFonts w:asciiTheme="majorBidi" w:eastAsia="Times New Roman" w:hAnsiTheme="majorBidi" w:cstheme="majorBidi"/>
          <w:bCs/>
          <w:sz w:val="24"/>
          <w:szCs w:val="24"/>
        </w:rPr>
        <w:t xml:space="preserve"> to the fore</w:t>
      </w:r>
      <w:r w:rsidR="007C4420" w:rsidRPr="008E772B">
        <w:rPr>
          <w:rFonts w:asciiTheme="majorBidi" w:eastAsia="Times New Roman" w:hAnsiTheme="majorBidi" w:cstheme="majorBidi"/>
          <w:bCs/>
          <w:sz w:val="24"/>
          <w:szCs w:val="24"/>
        </w:rPr>
        <w:t xml:space="preserve"> (O’Sullivan, 2000; Asthana </w:t>
      </w:r>
      <w:r w:rsidR="007C4420" w:rsidRPr="008E772B">
        <w:rPr>
          <w:rFonts w:asciiTheme="majorBidi" w:eastAsia="Times New Roman" w:hAnsiTheme="majorBidi" w:cstheme="majorBidi"/>
          <w:bCs/>
          <w:i/>
          <w:sz w:val="24"/>
          <w:szCs w:val="24"/>
        </w:rPr>
        <w:t>et al</w:t>
      </w:r>
      <w:r w:rsidR="007C4420" w:rsidRPr="008E772B">
        <w:rPr>
          <w:rFonts w:asciiTheme="majorBidi" w:eastAsia="Times New Roman" w:hAnsiTheme="majorBidi" w:cstheme="majorBidi"/>
          <w:bCs/>
          <w:sz w:val="24"/>
          <w:szCs w:val="24"/>
        </w:rPr>
        <w:t>., 2010</w:t>
      </w:r>
      <w:r w:rsidR="00E115DC" w:rsidRPr="008E772B">
        <w:rPr>
          <w:rFonts w:asciiTheme="majorBidi" w:eastAsia="Times New Roman" w:hAnsiTheme="majorBidi" w:cstheme="majorBidi"/>
          <w:bCs/>
          <w:sz w:val="24"/>
          <w:szCs w:val="24"/>
        </w:rPr>
        <w:t xml:space="preserve">; Habbash </w:t>
      </w:r>
      <w:r w:rsidR="001C5247" w:rsidRPr="008E772B">
        <w:rPr>
          <w:rFonts w:asciiTheme="majorBidi" w:eastAsia="Times New Roman" w:hAnsiTheme="majorBidi" w:cstheme="majorBidi"/>
          <w:bCs/>
          <w:sz w:val="24"/>
          <w:szCs w:val="24"/>
        </w:rPr>
        <w:t>&amp;</w:t>
      </w:r>
      <w:r w:rsidR="00E115DC" w:rsidRPr="008E772B">
        <w:rPr>
          <w:rFonts w:asciiTheme="majorBidi" w:eastAsia="Times New Roman" w:hAnsiTheme="majorBidi" w:cstheme="majorBidi"/>
          <w:bCs/>
          <w:sz w:val="24"/>
          <w:szCs w:val="24"/>
        </w:rPr>
        <w:t xml:space="preserve"> Alghamdi, </w:t>
      </w:r>
      <w:r w:rsidR="00255825" w:rsidRPr="008E772B">
        <w:rPr>
          <w:rFonts w:asciiTheme="majorBidi" w:eastAsia="Times New Roman" w:hAnsiTheme="majorBidi" w:cstheme="majorBidi"/>
          <w:bCs/>
          <w:sz w:val="24"/>
          <w:szCs w:val="24"/>
        </w:rPr>
        <w:t>2017</w:t>
      </w:r>
      <w:r w:rsidR="007C4420" w:rsidRPr="008E772B">
        <w:rPr>
          <w:rFonts w:asciiTheme="majorBidi" w:eastAsia="Times New Roman" w:hAnsiTheme="majorBidi" w:cstheme="majorBidi"/>
          <w:bCs/>
          <w:sz w:val="24"/>
          <w:szCs w:val="24"/>
        </w:rPr>
        <w:t xml:space="preserve">). </w:t>
      </w:r>
      <w:r w:rsidR="008831CE" w:rsidRPr="008E772B">
        <w:rPr>
          <w:rFonts w:asciiTheme="majorBidi" w:eastAsia="Times New Roman" w:hAnsiTheme="majorBidi" w:cstheme="majorBidi"/>
          <w:bCs/>
          <w:sz w:val="24"/>
          <w:szCs w:val="24"/>
        </w:rPr>
        <w:t>Indeed, m</w:t>
      </w:r>
      <w:r w:rsidR="007C4420" w:rsidRPr="008E772B">
        <w:rPr>
          <w:rFonts w:asciiTheme="majorBidi" w:eastAsia="Times New Roman" w:hAnsiTheme="majorBidi" w:cstheme="majorBidi"/>
          <w:bCs/>
          <w:sz w:val="24"/>
          <w:szCs w:val="24"/>
        </w:rPr>
        <w:t xml:space="preserve">ost </w:t>
      </w:r>
      <w:r w:rsidR="005F48C9">
        <w:rPr>
          <w:rFonts w:asciiTheme="majorBidi" w:eastAsia="Times New Roman" w:hAnsiTheme="majorBidi" w:cstheme="majorBidi"/>
          <w:bCs/>
          <w:sz w:val="24"/>
          <w:szCs w:val="24"/>
        </w:rPr>
        <w:t xml:space="preserve">of the </w:t>
      </w:r>
      <w:r w:rsidR="007C4420" w:rsidRPr="008E772B">
        <w:rPr>
          <w:rFonts w:asciiTheme="majorBidi" w:eastAsia="Times New Roman" w:hAnsiTheme="majorBidi" w:cstheme="majorBidi"/>
          <w:bCs/>
          <w:sz w:val="24"/>
          <w:szCs w:val="24"/>
        </w:rPr>
        <w:t xml:space="preserve">existing </w:t>
      </w:r>
      <w:r w:rsidR="003657FE" w:rsidRPr="008E772B">
        <w:rPr>
          <w:rFonts w:asciiTheme="majorBidi" w:eastAsia="Times New Roman" w:hAnsiTheme="majorBidi" w:cstheme="majorBidi"/>
          <w:bCs/>
          <w:sz w:val="24"/>
          <w:szCs w:val="24"/>
        </w:rPr>
        <w:t>governance</w:t>
      </w:r>
      <w:r w:rsidR="007C4420" w:rsidRPr="008E772B">
        <w:rPr>
          <w:rFonts w:asciiTheme="majorBidi" w:eastAsia="Times New Roman" w:hAnsiTheme="majorBidi" w:cstheme="majorBidi"/>
          <w:bCs/>
          <w:sz w:val="24"/>
          <w:szCs w:val="24"/>
        </w:rPr>
        <w:t xml:space="preserve"> codes aim to keep external auditor</w:t>
      </w:r>
      <w:r w:rsidR="003657FE" w:rsidRPr="008E772B">
        <w:rPr>
          <w:rFonts w:asciiTheme="majorBidi" w:eastAsia="Times New Roman" w:hAnsiTheme="majorBidi" w:cstheme="majorBidi"/>
          <w:bCs/>
          <w:sz w:val="24"/>
          <w:szCs w:val="24"/>
        </w:rPr>
        <w:t>s</w:t>
      </w:r>
      <w:r w:rsidR="007C4420" w:rsidRPr="008E772B">
        <w:rPr>
          <w:rFonts w:asciiTheme="majorBidi" w:eastAsia="Times New Roman" w:hAnsiTheme="majorBidi" w:cstheme="majorBidi"/>
          <w:bCs/>
          <w:sz w:val="24"/>
          <w:szCs w:val="24"/>
        </w:rPr>
        <w:t xml:space="preserve"> independent from corporate management</w:t>
      </w:r>
      <w:r w:rsidR="00404A0E" w:rsidRPr="008E772B">
        <w:rPr>
          <w:rFonts w:asciiTheme="majorBidi" w:eastAsia="Times New Roman" w:hAnsiTheme="majorBidi" w:cstheme="majorBidi"/>
          <w:bCs/>
          <w:sz w:val="24"/>
          <w:szCs w:val="24"/>
        </w:rPr>
        <w:t xml:space="preserve"> (Samaha </w:t>
      </w:r>
      <w:r w:rsidR="00943003">
        <w:rPr>
          <w:rFonts w:asciiTheme="majorBidi" w:eastAsia="Times New Roman" w:hAnsiTheme="majorBidi" w:cstheme="majorBidi"/>
          <w:bCs/>
          <w:sz w:val="24"/>
          <w:szCs w:val="24"/>
        </w:rPr>
        <w:t>&amp;</w:t>
      </w:r>
      <w:r w:rsidR="00404A0E" w:rsidRPr="008E772B">
        <w:rPr>
          <w:rFonts w:asciiTheme="majorBidi" w:eastAsia="Times New Roman" w:hAnsiTheme="majorBidi" w:cstheme="majorBidi"/>
          <w:bCs/>
          <w:sz w:val="24"/>
          <w:szCs w:val="24"/>
        </w:rPr>
        <w:t xml:space="preserve"> Hegazy, 2010; Khlif &amp; Samaha, 2014)</w:t>
      </w:r>
      <w:r w:rsidR="007C4420" w:rsidRPr="008E772B">
        <w:rPr>
          <w:rFonts w:asciiTheme="majorBidi" w:eastAsia="Times New Roman" w:hAnsiTheme="majorBidi" w:cstheme="majorBidi"/>
          <w:bCs/>
          <w:sz w:val="24"/>
          <w:szCs w:val="24"/>
        </w:rPr>
        <w:t xml:space="preserve">. Therefore, </w:t>
      </w:r>
      <w:r w:rsidR="005F48C9">
        <w:rPr>
          <w:rFonts w:asciiTheme="majorBidi" w:eastAsia="Times New Roman" w:hAnsiTheme="majorBidi" w:cstheme="majorBidi"/>
          <w:bCs/>
          <w:sz w:val="24"/>
          <w:szCs w:val="24"/>
        </w:rPr>
        <w:t>an</w:t>
      </w:r>
      <w:r w:rsidR="008426AA">
        <w:rPr>
          <w:rFonts w:asciiTheme="majorBidi" w:eastAsia="Times New Roman" w:hAnsiTheme="majorBidi" w:cstheme="majorBidi"/>
          <w:bCs/>
          <w:sz w:val="24"/>
          <w:szCs w:val="24"/>
        </w:rPr>
        <w:t xml:space="preserve"> </w:t>
      </w:r>
      <w:r w:rsidR="007C4420" w:rsidRPr="008E772B">
        <w:rPr>
          <w:rFonts w:asciiTheme="majorBidi" w:eastAsia="Times New Roman" w:hAnsiTheme="majorBidi" w:cstheme="majorBidi"/>
          <w:bCs/>
          <w:sz w:val="24"/>
          <w:szCs w:val="24"/>
        </w:rPr>
        <w:t xml:space="preserve">independent auditing </w:t>
      </w:r>
      <w:r>
        <w:rPr>
          <w:rFonts w:asciiTheme="majorBidi" w:eastAsia="Times New Roman" w:hAnsiTheme="majorBidi" w:cstheme="majorBidi"/>
          <w:bCs/>
          <w:sz w:val="24"/>
          <w:szCs w:val="24"/>
        </w:rPr>
        <w:t xml:space="preserve">process is seen </w:t>
      </w:r>
      <w:r w:rsidR="0025031D" w:rsidRPr="008E772B">
        <w:rPr>
          <w:rFonts w:asciiTheme="majorBidi" w:eastAsia="Times New Roman" w:hAnsiTheme="majorBidi" w:cstheme="majorBidi"/>
          <w:bCs/>
          <w:sz w:val="24"/>
          <w:szCs w:val="24"/>
        </w:rPr>
        <w:t xml:space="preserve">as a governance device </w:t>
      </w:r>
      <w:r w:rsidR="007C4420" w:rsidRPr="008E772B">
        <w:rPr>
          <w:rFonts w:asciiTheme="majorBidi" w:eastAsia="Times New Roman" w:hAnsiTheme="majorBidi" w:cstheme="majorBidi"/>
          <w:bCs/>
          <w:sz w:val="24"/>
          <w:szCs w:val="24"/>
        </w:rPr>
        <w:t>through which shareholders can monitor management</w:t>
      </w:r>
      <w:r w:rsidR="00426A79">
        <w:rPr>
          <w:rFonts w:asciiTheme="majorBidi" w:eastAsia="Times New Roman" w:hAnsiTheme="majorBidi" w:cstheme="majorBidi"/>
          <w:bCs/>
          <w:sz w:val="24"/>
          <w:szCs w:val="24"/>
        </w:rPr>
        <w:t>,</w:t>
      </w:r>
      <w:r w:rsidR="005E0A6A" w:rsidRPr="008E772B">
        <w:rPr>
          <w:rFonts w:asciiTheme="majorBidi" w:eastAsia="Times New Roman" w:hAnsiTheme="majorBidi" w:cstheme="majorBidi"/>
          <w:bCs/>
          <w:sz w:val="24"/>
          <w:szCs w:val="24"/>
        </w:rPr>
        <w:t xml:space="preserve"> </w:t>
      </w:r>
      <w:r w:rsidR="0025031D" w:rsidRPr="008E772B">
        <w:rPr>
          <w:rFonts w:asciiTheme="majorBidi" w:eastAsia="Times New Roman" w:hAnsiTheme="majorBidi" w:cstheme="majorBidi"/>
          <w:bCs/>
          <w:sz w:val="24"/>
          <w:szCs w:val="24"/>
        </w:rPr>
        <w:t xml:space="preserve">and </w:t>
      </w:r>
      <w:r w:rsidR="0089402F">
        <w:rPr>
          <w:rFonts w:asciiTheme="majorBidi" w:eastAsia="Times New Roman" w:hAnsiTheme="majorBidi" w:cstheme="majorBidi"/>
          <w:bCs/>
          <w:sz w:val="24"/>
          <w:szCs w:val="24"/>
        </w:rPr>
        <w:t>by extension,</w:t>
      </w:r>
      <w:r w:rsidR="00A81964" w:rsidRPr="008E772B">
        <w:rPr>
          <w:rFonts w:asciiTheme="majorBidi" w:eastAsia="Times New Roman" w:hAnsiTheme="majorBidi" w:cstheme="majorBidi"/>
          <w:bCs/>
          <w:sz w:val="24"/>
          <w:szCs w:val="24"/>
        </w:rPr>
        <w:t xml:space="preserve"> </w:t>
      </w:r>
      <w:r w:rsidR="0089402F">
        <w:rPr>
          <w:rFonts w:asciiTheme="majorBidi" w:eastAsia="Times New Roman" w:hAnsiTheme="majorBidi" w:cstheme="majorBidi"/>
          <w:bCs/>
          <w:sz w:val="24"/>
          <w:szCs w:val="24"/>
        </w:rPr>
        <w:t>the corporate</w:t>
      </w:r>
      <w:r w:rsidR="00A81964" w:rsidRPr="008E772B">
        <w:rPr>
          <w:rFonts w:asciiTheme="majorBidi" w:eastAsia="Times New Roman" w:hAnsiTheme="majorBidi" w:cstheme="majorBidi"/>
          <w:bCs/>
          <w:sz w:val="24"/>
          <w:szCs w:val="24"/>
        </w:rPr>
        <w:t xml:space="preserve"> financial reporting process (Fan &amp; Wong, 2005; Lin &amp; Liu, 2009, 2010; </w:t>
      </w:r>
      <w:r w:rsidR="00207B5C" w:rsidRPr="00207B5C">
        <w:rPr>
          <w:rFonts w:asciiTheme="majorBidi" w:eastAsia="Times New Roman" w:hAnsiTheme="majorBidi" w:cstheme="majorBidi"/>
          <w:bCs/>
          <w:iCs/>
          <w:sz w:val="24"/>
          <w:szCs w:val="24"/>
        </w:rPr>
        <w:t>Cascino et al., 2010</w:t>
      </w:r>
      <w:r w:rsidR="00207B5C">
        <w:rPr>
          <w:rFonts w:asciiTheme="majorBidi" w:eastAsia="Times New Roman" w:hAnsiTheme="majorBidi" w:cstheme="majorBidi"/>
          <w:bCs/>
          <w:iCs/>
          <w:sz w:val="24"/>
          <w:szCs w:val="24"/>
        </w:rPr>
        <w:t xml:space="preserve">; </w:t>
      </w:r>
      <w:r w:rsidR="001D1192" w:rsidRPr="001D1192">
        <w:rPr>
          <w:rFonts w:asciiTheme="majorBidi" w:eastAsia="Times New Roman" w:hAnsiTheme="majorBidi" w:cstheme="majorBidi"/>
          <w:bCs/>
          <w:sz w:val="24"/>
          <w:szCs w:val="24"/>
        </w:rPr>
        <w:t xml:space="preserve">Barroso </w:t>
      </w:r>
      <w:r w:rsidR="001D1192" w:rsidRPr="002513C0">
        <w:rPr>
          <w:rFonts w:asciiTheme="majorBidi" w:eastAsia="Times New Roman" w:hAnsiTheme="majorBidi" w:cstheme="majorBidi"/>
          <w:bCs/>
          <w:i/>
          <w:iCs/>
          <w:sz w:val="24"/>
          <w:szCs w:val="24"/>
        </w:rPr>
        <w:t>et al</w:t>
      </w:r>
      <w:r w:rsidR="001D1192" w:rsidRPr="001D1192">
        <w:rPr>
          <w:rFonts w:asciiTheme="majorBidi" w:eastAsia="Times New Roman" w:hAnsiTheme="majorBidi" w:cstheme="majorBidi"/>
          <w:bCs/>
          <w:sz w:val="24"/>
          <w:szCs w:val="24"/>
        </w:rPr>
        <w:t>., 2018</w:t>
      </w:r>
      <w:r w:rsidR="00A81964" w:rsidRPr="008E772B">
        <w:rPr>
          <w:rFonts w:asciiTheme="majorBidi" w:eastAsia="Times New Roman" w:hAnsiTheme="majorBidi" w:cstheme="majorBidi"/>
          <w:bCs/>
          <w:sz w:val="24"/>
          <w:szCs w:val="24"/>
        </w:rPr>
        <w:t xml:space="preserve">). </w:t>
      </w:r>
    </w:p>
    <w:p w14:paraId="1B01ADA0" w14:textId="5DDAE6DE" w:rsidR="0087260E" w:rsidRDefault="002C4086" w:rsidP="00B06B33">
      <w:pPr>
        <w:spacing w:after="0" w:line="360" w:lineRule="auto"/>
        <w:ind w:firstLine="720"/>
        <w:jc w:val="lowKashida"/>
        <w:rPr>
          <w:rFonts w:asciiTheme="majorBidi" w:eastAsia="Times New Roman" w:hAnsiTheme="majorBidi" w:cstheme="majorBidi"/>
          <w:bCs/>
          <w:sz w:val="24"/>
          <w:szCs w:val="24"/>
        </w:rPr>
      </w:pPr>
      <w:r w:rsidRPr="000972D1">
        <w:rPr>
          <w:rFonts w:asciiTheme="majorBidi" w:eastAsia="Times New Roman" w:hAnsiTheme="majorBidi" w:cstheme="majorBidi"/>
          <w:bCs/>
          <w:sz w:val="24"/>
          <w:szCs w:val="24"/>
        </w:rPr>
        <w:t xml:space="preserve">Furthermore, </w:t>
      </w:r>
      <w:r w:rsidR="003B34E4" w:rsidRPr="000972D1">
        <w:rPr>
          <w:rFonts w:asciiTheme="majorBidi" w:eastAsia="Times New Roman" w:hAnsiTheme="majorBidi" w:cstheme="majorBidi"/>
          <w:bCs/>
          <w:sz w:val="24"/>
          <w:szCs w:val="24"/>
        </w:rPr>
        <w:t xml:space="preserve">the </w:t>
      </w:r>
      <w:r w:rsidRPr="000972D1">
        <w:rPr>
          <w:rFonts w:asciiTheme="majorBidi" w:eastAsia="Times New Roman" w:hAnsiTheme="majorBidi" w:cstheme="majorBidi"/>
          <w:bCs/>
          <w:sz w:val="24"/>
          <w:szCs w:val="24"/>
        </w:rPr>
        <w:t>importance of financial reporting quality in developing countries, and</w:t>
      </w:r>
      <w:r w:rsidR="003B34E4" w:rsidRPr="000972D1">
        <w:rPr>
          <w:rFonts w:asciiTheme="majorBidi" w:eastAsia="Times New Roman" w:hAnsiTheme="majorBidi" w:cstheme="majorBidi"/>
          <w:bCs/>
          <w:sz w:val="24"/>
          <w:szCs w:val="24"/>
        </w:rPr>
        <w:t xml:space="preserve"> </w:t>
      </w:r>
      <w:r w:rsidRPr="000972D1">
        <w:rPr>
          <w:rFonts w:asciiTheme="majorBidi" w:eastAsia="Times New Roman" w:hAnsiTheme="majorBidi" w:cstheme="majorBidi"/>
          <w:bCs/>
          <w:sz w:val="24"/>
          <w:szCs w:val="24"/>
        </w:rPr>
        <w:t>particular</w:t>
      </w:r>
      <w:r w:rsidR="00381D1F" w:rsidRPr="000972D1">
        <w:rPr>
          <w:rFonts w:asciiTheme="majorBidi" w:eastAsia="Times New Roman" w:hAnsiTheme="majorBidi" w:cstheme="majorBidi"/>
          <w:bCs/>
          <w:sz w:val="24"/>
          <w:szCs w:val="24"/>
        </w:rPr>
        <w:t>ly</w:t>
      </w:r>
      <w:r w:rsidRPr="000972D1">
        <w:rPr>
          <w:rFonts w:asciiTheme="majorBidi" w:eastAsia="Times New Roman" w:hAnsiTheme="majorBidi" w:cstheme="majorBidi"/>
          <w:bCs/>
          <w:sz w:val="24"/>
          <w:szCs w:val="24"/>
        </w:rPr>
        <w:t xml:space="preserve"> in </w:t>
      </w:r>
      <w:r w:rsidR="00381D1F" w:rsidRPr="000972D1">
        <w:rPr>
          <w:rFonts w:asciiTheme="majorBidi" w:eastAsia="Times New Roman" w:hAnsiTheme="majorBidi" w:cstheme="majorBidi"/>
          <w:bCs/>
          <w:sz w:val="24"/>
          <w:szCs w:val="24"/>
        </w:rPr>
        <w:t xml:space="preserve">the </w:t>
      </w:r>
      <w:r w:rsidRPr="000972D1">
        <w:rPr>
          <w:rFonts w:asciiTheme="majorBidi" w:eastAsia="Times New Roman" w:hAnsiTheme="majorBidi" w:cstheme="majorBidi"/>
          <w:bCs/>
          <w:sz w:val="24"/>
          <w:szCs w:val="24"/>
        </w:rPr>
        <w:t>MENA</w:t>
      </w:r>
      <w:r w:rsidR="006423B2" w:rsidRPr="000972D1">
        <w:rPr>
          <w:rFonts w:asciiTheme="majorBidi" w:eastAsia="Times New Roman" w:hAnsiTheme="majorBidi" w:cstheme="majorBidi"/>
          <w:bCs/>
          <w:sz w:val="24"/>
          <w:szCs w:val="24"/>
        </w:rPr>
        <w:t xml:space="preserve"> region</w:t>
      </w:r>
      <w:r w:rsidRPr="000972D1">
        <w:rPr>
          <w:rFonts w:asciiTheme="majorBidi" w:eastAsia="Times New Roman" w:hAnsiTheme="majorBidi" w:cstheme="majorBidi"/>
          <w:bCs/>
          <w:sz w:val="24"/>
          <w:szCs w:val="24"/>
        </w:rPr>
        <w:t xml:space="preserve">, is </w:t>
      </w:r>
      <w:r w:rsidR="00381D1F" w:rsidRPr="000972D1">
        <w:rPr>
          <w:rFonts w:asciiTheme="majorBidi" w:eastAsia="Times New Roman" w:hAnsiTheme="majorBidi" w:cstheme="majorBidi"/>
          <w:bCs/>
          <w:sz w:val="24"/>
          <w:szCs w:val="24"/>
        </w:rPr>
        <w:t xml:space="preserve">arguably </w:t>
      </w:r>
      <w:r w:rsidRPr="000972D1">
        <w:rPr>
          <w:rFonts w:asciiTheme="majorBidi" w:eastAsia="Times New Roman" w:hAnsiTheme="majorBidi" w:cstheme="majorBidi"/>
          <w:bCs/>
          <w:sz w:val="24"/>
          <w:szCs w:val="24"/>
        </w:rPr>
        <w:t xml:space="preserve">more obvious than in </w:t>
      </w:r>
      <w:r w:rsidR="003B34E4" w:rsidRPr="000972D1">
        <w:rPr>
          <w:rFonts w:asciiTheme="majorBidi" w:eastAsia="Times New Roman" w:hAnsiTheme="majorBidi" w:cstheme="majorBidi"/>
          <w:bCs/>
          <w:sz w:val="24"/>
          <w:szCs w:val="24"/>
        </w:rPr>
        <w:t xml:space="preserve">developed </w:t>
      </w:r>
      <w:r w:rsidRPr="000972D1">
        <w:rPr>
          <w:rFonts w:asciiTheme="majorBidi" w:eastAsia="Times New Roman" w:hAnsiTheme="majorBidi" w:cstheme="majorBidi"/>
          <w:bCs/>
          <w:sz w:val="24"/>
          <w:szCs w:val="24"/>
        </w:rPr>
        <w:t>countries because financial reports are the</w:t>
      </w:r>
      <w:r w:rsidR="003B34E4" w:rsidRPr="000972D1">
        <w:rPr>
          <w:rFonts w:asciiTheme="majorBidi" w:eastAsia="Times New Roman" w:hAnsiTheme="majorBidi" w:cstheme="majorBidi"/>
          <w:bCs/>
          <w:sz w:val="24"/>
          <w:szCs w:val="24"/>
        </w:rPr>
        <w:t xml:space="preserve"> </w:t>
      </w:r>
      <w:r w:rsidR="006F4C32">
        <w:rPr>
          <w:rFonts w:asciiTheme="majorBidi" w:eastAsia="Times New Roman" w:hAnsiTheme="majorBidi" w:cstheme="majorBidi"/>
          <w:bCs/>
          <w:sz w:val="24"/>
          <w:szCs w:val="24"/>
        </w:rPr>
        <w:t>main</w:t>
      </w:r>
      <w:r w:rsidRPr="000972D1">
        <w:rPr>
          <w:rFonts w:asciiTheme="majorBidi" w:eastAsia="Times New Roman" w:hAnsiTheme="majorBidi" w:cstheme="majorBidi"/>
          <w:bCs/>
          <w:sz w:val="24"/>
          <w:szCs w:val="24"/>
        </w:rPr>
        <w:t xml:space="preserve"> reliable source of </w:t>
      </w:r>
      <w:r w:rsidR="00381D1F" w:rsidRPr="000972D1">
        <w:rPr>
          <w:rFonts w:asciiTheme="majorBidi" w:eastAsia="Times New Roman" w:hAnsiTheme="majorBidi" w:cstheme="majorBidi"/>
          <w:bCs/>
          <w:sz w:val="24"/>
          <w:szCs w:val="24"/>
        </w:rPr>
        <w:t xml:space="preserve">public </w:t>
      </w:r>
      <w:r w:rsidRPr="000972D1">
        <w:rPr>
          <w:rFonts w:asciiTheme="majorBidi" w:eastAsia="Times New Roman" w:hAnsiTheme="majorBidi" w:cstheme="majorBidi"/>
          <w:bCs/>
          <w:sz w:val="24"/>
          <w:szCs w:val="24"/>
        </w:rPr>
        <w:t xml:space="preserve">information available to investors </w:t>
      </w:r>
      <w:r w:rsidR="003B34E4" w:rsidRPr="000972D1">
        <w:rPr>
          <w:rFonts w:asciiTheme="majorBidi" w:eastAsia="Times New Roman" w:hAnsiTheme="majorBidi" w:cstheme="majorBidi"/>
          <w:bCs/>
          <w:sz w:val="24"/>
          <w:szCs w:val="24"/>
        </w:rPr>
        <w:t>compared to m</w:t>
      </w:r>
      <w:r w:rsidRPr="000972D1">
        <w:rPr>
          <w:rFonts w:asciiTheme="majorBidi" w:eastAsia="Times New Roman" w:hAnsiTheme="majorBidi" w:cstheme="majorBidi"/>
          <w:bCs/>
          <w:sz w:val="24"/>
          <w:szCs w:val="24"/>
        </w:rPr>
        <w:t xml:space="preserve">edia releases, news conferences and financial analysts </w:t>
      </w:r>
      <w:r w:rsidR="00381D1F" w:rsidRPr="000972D1">
        <w:rPr>
          <w:rFonts w:asciiTheme="majorBidi" w:eastAsia="Times New Roman" w:hAnsiTheme="majorBidi" w:cstheme="majorBidi"/>
          <w:bCs/>
          <w:sz w:val="24"/>
          <w:szCs w:val="24"/>
        </w:rPr>
        <w:t>updates that are easily</w:t>
      </w:r>
      <w:r w:rsidR="00B64A90">
        <w:rPr>
          <w:rFonts w:asciiTheme="majorBidi" w:eastAsia="Times New Roman" w:hAnsiTheme="majorBidi" w:cstheme="majorBidi"/>
          <w:bCs/>
          <w:sz w:val="24"/>
          <w:szCs w:val="24"/>
        </w:rPr>
        <w:t xml:space="preserve"> and frequently</w:t>
      </w:r>
      <w:r w:rsidR="00381D1F" w:rsidRPr="000972D1">
        <w:rPr>
          <w:rFonts w:asciiTheme="majorBidi" w:eastAsia="Times New Roman" w:hAnsiTheme="majorBidi" w:cstheme="majorBidi"/>
          <w:bCs/>
          <w:sz w:val="24"/>
          <w:szCs w:val="24"/>
        </w:rPr>
        <w:t xml:space="preserve"> available in </w:t>
      </w:r>
      <w:r w:rsidR="008A02B6" w:rsidRPr="000972D1">
        <w:rPr>
          <w:rFonts w:asciiTheme="majorBidi" w:eastAsia="Times New Roman" w:hAnsiTheme="majorBidi" w:cstheme="majorBidi"/>
          <w:bCs/>
          <w:sz w:val="24"/>
          <w:szCs w:val="24"/>
        </w:rPr>
        <w:t xml:space="preserve">most </w:t>
      </w:r>
      <w:r w:rsidR="00381D1F" w:rsidRPr="000972D1">
        <w:rPr>
          <w:rFonts w:asciiTheme="majorBidi" w:eastAsia="Times New Roman" w:hAnsiTheme="majorBidi" w:cstheme="majorBidi"/>
          <w:bCs/>
          <w:sz w:val="24"/>
          <w:szCs w:val="24"/>
        </w:rPr>
        <w:t xml:space="preserve">developed countries </w:t>
      </w:r>
      <w:r w:rsidR="003B34E4" w:rsidRPr="000972D1">
        <w:rPr>
          <w:rFonts w:asciiTheme="majorBidi" w:eastAsia="Times New Roman" w:hAnsiTheme="majorBidi" w:cstheme="majorBidi"/>
          <w:bCs/>
          <w:sz w:val="24"/>
          <w:szCs w:val="24"/>
        </w:rPr>
        <w:t>(</w:t>
      </w:r>
      <w:r w:rsidR="00D06002" w:rsidRPr="000972D1">
        <w:rPr>
          <w:rFonts w:asciiTheme="majorBidi" w:eastAsia="Times New Roman" w:hAnsiTheme="majorBidi" w:cstheme="majorBidi"/>
          <w:bCs/>
          <w:sz w:val="24"/>
          <w:szCs w:val="24"/>
        </w:rPr>
        <w:t xml:space="preserve">Afify, 2009; </w:t>
      </w:r>
      <w:r w:rsidR="002110D1" w:rsidRPr="000972D1">
        <w:rPr>
          <w:rFonts w:asciiTheme="majorBidi" w:eastAsia="Times New Roman" w:hAnsiTheme="majorBidi" w:cstheme="majorBidi"/>
          <w:bCs/>
          <w:iCs/>
          <w:sz w:val="24"/>
          <w:szCs w:val="24"/>
        </w:rPr>
        <w:t xml:space="preserve">Al-Ajmi, 2009; </w:t>
      </w:r>
      <w:r w:rsidR="003B34E4" w:rsidRPr="000972D1">
        <w:rPr>
          <w:rFonts w:asciiTheme="majorBidi" w:eastAsia="Times New Roman" w:hAnsiTheme="majorBidi" w:cstheme="majorBidi"/>
          <w:bCs/>
          <w:sz w:val="24"/>
          <w:szCs w:val="24"/>
        </w:rPr>
        <w:t xml:space="preserve">Baatwah </w:t>
      </w:r>
      <w:r w:rsidR="003B34E4" w:rsidRPr="000972D1">
        <w:rPr>
          <w:rFonts w:asciiTheme="majorBidi" w:eastAsia="Times New Roman" w:hAnsiTheme="majorBidi" w:cstheme="majorBidi"/>
          <w:bCs/>
          <w:i/>
          <w:iCs/>
          <w:sz w:val="24"/>
          <w:szCs w:val="24"/>
        </w:rPr>
        <w:t>et al</w:t>
      </w:r>
      <w:r w:rsidR="003B34E4" w:rsidRPr="000972D1">
        <w:rPr>
          <w:rFonts w:asciiTheme="majorBidi" w:eastAsia="Times New Roman" w:hAnsiTheme="majorBidi" w:cstheme="majorBidi"/>
          <w:bCs/>
          <w:sz w:val="24"/>
          <w:szCs w:val="24"/>
        </w:rPr>
        <w:t>., 201</w:t>
      </w:r>
      <w:r w:rsidR="009C41A9" w:rsidRPr="000972D1">
        <w:rPr>
          <w:rFonts w:asciiTheme="majorBidi" w:eastAsia="Times New Roman" w:hAnsiTheme="majorBidi" w:cstheme="majorBidi"/>
          <w:bCs/>
          <w:sz w:val="24"/>
          <w:szCs w:val="24"/>
        </w:rPr>
        <w:t>5</w:t>
      </w:r>
      <w:r w:rsidR="003B34E4" w:rsidRPr="000972D1">
        <w:rPr>
          <w:rFonts w:asciiTheme="majorBidi" w:eastAsia="Times New Roman" w:hAnsiTheme="majorBidi" w:cstheme="majorBidi"/>
          <w:bCs/>
          <w:sz w:val="24"/>
          <w:szCs w:val="24"/>
        </w:rPr>
        <w:t>)</w:t>
      </w:r>
      <w:r w:rsidRPr="000972D1">
        <w:rPr>
          <w:rFonts w:asciiTheme="majorBidi" w:eastAsia="Times New Roman" w:hAnsiTheme="majorBidi" w:cstheme="majorBidi"/>
          <w:bCs/>
          <w:sz w:val="24"/>
          <w:szCs w:val="24"/>
        </w:rPr>
        <w:t xml:space="preserve">. </w:t>
      </w:r>
      <w:r w:rsidR="00B06B33" w:rsidRPr="000972D1">
        <w:rPr>
          <w:rFonts w:asciiTheme="majorBidi" w:eastAsia="Times New Roman" w:hAnsiTheme="majorBidi" w:cstheme="majorBidi"/>
          <w:bCs/>
          <w:sz w:val="24"/>
          <w:szCs w:val="24"/>
        </w:rPr>
        <w:t xml:space="preserve">Therefore, high quality audited reports </w:t>
      </w:r>
      <w:r w:rsidR="00F06132" w:rsidRPr="000972D1">
        <w:rPr>
          <w:rFonts w:asciiTheme="majorBidi" w:eastAsia="Times New Roman" w:hAnsiTheme="majorBidi" w:cstheme="majorBidi"/>
          <w:bCs/>
          <w:sz w:val="24"/>
          <w:szCs w:val="24"/>
        </w:rPr>
        <w:t xml:space="preserve">have </w:t>
      </w:r>
      <w:r w:rsidR="008A02B6" w:rsidRPr="000972D1">
        <w:rPr>
          <w:rFonts w:asciiTheme="majorBidi" w:eastAsia="Times New Roman" w:hAnsiTheme="majorBidi" w:cstheme="majorBidi"/>
          <w:bCs/>
          <w:sz w:val="24"/>
          <w:szCs w:val="24"/>
        </w:rPr>
        <w:t>the capacity to</w:t>
      </w:r>
      <w:r w:rsidR="00B06B33" w:rsidRPr="000972D1">
        <w:rPr>
          <w:rFonts w:asciiTheme="majorBidi" w:eastAsia="Times New Roman" w:hAnsiTheme="majorBidi" w:cstheme="majorBidi"/>
          <w:bCs/>
          <w:sz w:val="24"/>
          <w:szCs w:val="24"/>
        </w:rPr>
        <w:t xml:space="preserve"> enhance decision making and reduce information asymmetry in these markets (</w:t>
      </w:r>
      <w:r w:rsidR="00E404D5" w:rsidRPr="000972D1">
        <w:rPr>
          <w:rFonts w:asciiTheme="majorBidi" w:eastAsia="Times New Roman" w:hAnsiTheme="majorBidi" w:cstheme="majorBidi"/>
          <w:bCs/>
          <w:sz w:val="24"/>
          <w:szCs w:val="24"/>
        </w:rPr>
        <w:t xml:space="preserve">Afify, 2009; </w:t>
      </w:r>
      <w:r w:rsidR="00952C1A" w:rsidRPr="000972D1">
        <w:rPr>
          <w:rFonts w:asciiTheme="majorBidi" w:eastAsia="Times New Roman" w:hAnsiTheme="majorBidi" w:cstheme="majorBidi"/>
          <w:bCs/>
          <w:iCs/>
          <w:sz w:val="24"/>
          <w:szCs w:val="24"/>
        </w:rPr>
        <w:t xml:space="preserve">Samaha </w:t>
      </w:r>
      <w:r w:rsidR="00952C1A" w:rsidRPr="000972D1">
        <w:rPr>
          <w:rFonts w:asciiTheme="majorBidi" w:eastAsia="Times New Roman" w:hAnsiTheme="majorBidi" w:cstheme="majorBidi"/>
          <w:bCs/>
          <w:sz w:val="24"/>
          <w:szCs w:val="24"/>
        </w:rPr>
        <w:t>&amp;</w:t>
      </w:r>
      <w:r w:rsidR="00952C1A" w:rsidRPr="000972D1">
        <w:rPr>
          <w:rFonts w:asciiTheme="majorBidi" w:eastAsia="Times New Roman" w:hAnsiTheme="majorBidi" w:cstheme="majorBidi"/>
          <w:bCs/>
          <w:iCs/>
          <w:sz w:val="24"/>
          <w:szCs w:val="24"/>
        </w:rPr>
        <w:t xml:space="preserve"> Hegazy, 2010; </w:t>
      </w:r>
      <w:r w:rsidR="00B06B33" w:rsidRPr="000972D1">
        <w:rPr>
          <w:rFonts w:asciiTheme="majorBidi" w:eastAsia="Times New Roman" w:hAnsiTheme="majorBidi" w:cstheme="majorBidi"/>
          <w:bCs/>
          <w:iCs/>
          <w:sz w:val="24"/>
          <w:szCs w:val="24"/>
        </w:rPr>
        <w:t xml:space="preserve">Ben-Hassoun </w:t>
      </w:r>
      <w:r w:rsidR="00B06B33" w:rsidRPr="000972D1">
        <w:rPr>
          <w:rFonts w:asciiTheme="majorBidi" w:eastAsia="Times New Roman" w:hAnsiTheme="majorBidi" w:cstheme="majorBidi"/>
          <w:bCs/>
          <w:i/>
          <w:iCs/>
          <w:sz w:val="24"/>
          <w:szCs w:val="24"/>
        </w:rPr>
        <w:t>et al</w:t>
      </w:r>
      <w:r w:rsidR="00B06B33" w:rsidRPr="000972D1">
        <w:rPr>
          <w:rFonts w:asciiTheme="majorBidi" w:eastAsia="Times New Roman" w:hAnsiTheme="majorBidi" w:cstheme="majorBidi"/>
          <w:bCs/>
          <w:iCs/>
          <w:sz w:val="24"/>
          <w:szCs w:val="24"/>
        </w:rPr>
        <w:t>., 2018</w:t>
      </w:r>
      <w:r w:rsidR="00B06B33" w:rsidRPr="000972D1">
        <w:rPr>
          <w:rFonts w:asciiTheme="majorBidi" w:eastAsia="Times New Roman" w:hAnsiTheme="majorBidi" w:cstheme="majorBidi"/>
          <w:bCs/>
          <w:sz w:val="24"/>
          <w:szCs w:val="24"/>
        </w:rPr>
        <w:t xml:space="preserve">). </w:t>
      </w:r>
      <w:r w:rsidR="008A02B6" w:rsidRPr="000972D1">
        <w:rPr>
          <w:rFonts w:asciiTheme="majorBidi" w:eastAsia="Times New Roman" w:hAnsiTheme="majorBidi" w:cstheme="majorBidi"/>
          <w:bCs/>
          <w:sz w:val="24"/>
          <w:szCs w:val="24"/>
        </w:rPr>
        <w:t>Further,</w:t>
      </w:r>
      <w:r w:rsidR="007853A0" w:rsidRPr="000972D1">
        <w:rPr>
          <w:rFonts w:asciiTheme="majorBidi" w:eastAsia="Times New Roman" w:hAnsiTheme="majorBidi" w:cstheme="majorBidi"/>
          <w:bCs/>
          <w:sz w:val="24"/>
          <w:szCs w:val="24"/>
        </w:rPr>
        <w:t xml:space="preserve"> </w:t>
      </w:r>
      <w:r w:rsidR="008A02B6" w:rsidRPr="000972D1">
        <w:rPr>
          <w:rFonts w:asciiTheme="majorBidi" w:eastAsia="Times New Roman" w:hAnsiTheme="majorBidi" w:cstheme="majorBidi"/>
          <w:bCs/>
          <w:sz w:val="24"/>
          <w:szCs w:val="24"/>
        </w:rPr>
        <w:t xml:space="preserve">this study </w:t>
      </w:r>
      <w:r w:rsidR="007853A0" w:rsidRPr="000972D1">
        <w:rPr>
          <w:rFonts w:asciiTheme="majorBidi" w:eastAsia="Times New Roman" w:hAnsiTheme="majorBidi" w:cstheme="majorBidi"/>
          <w:bCs/>
          <w:sz w:val="24"/>
          <w:szCs w:val="24"/>
        </w:rPr>
        <w:t xml:space="preserve">is motivated by the recent increasing interest from </w:t>
      </w:r>
      <w:r w:rsidR="008A02B6" w:rsidRPr="000972D1">
        <w:rPr>
          <w:rFonts w:asciiTheme="majorBidi" w:eastAsia="Times New Roman" w:hAnsiTheme="majorBidi" w:cstheme="majorBidi"/>
          <w:bCs/>
          <w:sz w:val="24"/>
          <w:szCs w:val="24"/>
        </w:rPr>
        <w:t xml:space="preserve">academics, practitioners, </w:t>
      </w:r>
      <w:r w:rsidR="007853A0" w:rsidRPr="000972D1">
        <w:rPr>
          <w:rFonts w:asciiTheme="majorBidi" w:eastAsia="Times New Roman" w:hAnsiTheme="majorBidi" w:cstheme="majorBidi"/>
          <w:bCs/>
          <w:sz w:val="24"/>
          <w:szCs w:val="24"/>
        </w:rPr>
        <w:t>policymaker</w:t>
      </w:r>
      <w:r w:rsidR="008A02B6" w:rsidRPr="000972D1">
        <w:rPr>
          <w:rFonts w:asciiTheme="majorBidi" w:eastAsia="Times New Roman" w:hAnsiTheme="majorBidi" w:cstheme="majorBidi"/>
          <w:bCs/>
          <w:sz w:val="24"/>
          <w:szCs w:val="24"/>
        </w:rPr>
        <w:t>s</w:t>
      </w:r>
      <w:r w:rsidR="007853A0" w:rsidRPr="000972D1">
        <w:rPr>
          <w:rFonts w:asciiTheme="majorBidi" w:eastAsia="Times New Roman" w:hAnsiTheme="majorBidi" w:cstheme="majorBidi"/>
          <w:bCs/>
          <w:sz w:val="24"/>
          <w:szCs w:val="24"/>
        </w:rPr>
        <w:t xml:space="preserve"> </w:t>
      </w:r>
      <w:r w:rsidR="008A02B6" w:rsidRPr="000972D1">
        <w:rPr>
          <w:rFonts w:asciiTheme="majorBidi" w:eastAsia="Times New Roman" w:hAnsiTheme="majorBidi" w:cstheme="majorBidi"/>
          <w:bCs/>
          <w:sz w:val="24"/>
          <w:szCs w:val="24"/>
        </w:rPr>
        <w:t xml:space="preserve">and regulators </w:t>
      </w:r>
      <w:r w:rsidR="007853A0" w:rsidRPr="000972D1">
        <w:rPr>
          <w:rFonts w:asciiTheme="majorBidi" w:eastAsia="Times New Roman" w:hAnsiTheme="majorBidi" w:cstheme="majorBidi"/>
          <w:bCs/>
          <w:sz w:val="24"/>
          <w:szCs w:val="24"/>
        </w:rPr>
        <w:t>in the audit market in MENA countries</w:t>
      </w:r>
      <w:r w:rsidR="008A02B6" w:rsidRPr="000972D1">
        <w:rPr>
          <w:rFonts w:asciiTheme="majorBidi" w:eastAsia="Times New Roman" w:hAnsiTheme="majorBidi" w:cstheme="majorBidi"/>
          <w:bCs/>
          <w:sz w:val="24"/>
          <w:szCs w:val="24"/>
        </w:rPr>
        <w:t xml:space="preserve"> in particular</w:t>
      </w:r>
      <w:r w:rsidR="007853A0" w:rsidRPr="000972D1">
        <w:rPr>
          <w:rFonts w:asciiTheme="majorBidi" w:eastAsia="Times New Roman" w:hAnsiTheme="majorBidi" w:cstheme="majorBidi"/>
          <w:bCs/>
          <w:sz w:val="24"/>
          <w:szCs w:val="24"/>
        </w:rPr>
        <w:t xml:space="preserve">. </w:t>
      </w:r>
      <w:r w:rsidR="008A02B6" w:rsidRPr="000972D1">
        <w:rPr>
          <w:rFonts w:asciiTheme="majorBidi" w:eastAsia="Times New Roman" w:hAnsiTheme="majorBidi" w:cstheme="majorBidi"/>
          <w:bCs/>
          <w:sz w:val="24"/>
          <w:szCs w:val="24"/>
        </w:rPr>
        <w:t>A major reason for this is that</w:t>
      </w:r>
      <w:r w:rsidR="007853A0" w:rsidRPr="000972D1">
        <w:rPr>
          <w:rFonts w:asciiTheme="majorBidi" w:eastAsia="Times New Roman" w:hAnsiTheme="majorBidi" w:cstheme="majorBidi"/>
          <w:bCs/>
          <w:sz w:val="24"/>
          <w:szCs w:val="24"/>
        </w:rPr>
        <w:t xml:space="preserve"> the audit market plays </w:t>
      </w:r>
      <w:r w:rsidR="00D1747E" w:rsidRPr="000972D1">
        <w:rPr>
          <w:rFonts w:asciiTheme="majorBidi" w:eastAsia="Times New Roman" w:hAnsiTheme="majorBidi" w:cstheme="majorBidi"/>
          <w:bCs/>
          <w:sz w:val="24"/>
          <w:szCs w:val="24"/>
        </w:rPr>
        <w:t>a</w:t>
      </w:r>
      <w:r w:rsidR="008A02B6" w:rsidRPr="000972D1">
        <w:rPr>
          <w:rFonts w:asciiTheme="majorBidi" w:eastAsia="Times New Roman" w:hAnsiTheme="majorBidi" w:cstheme="majorBidi"/>
          <w:bCs/>
          <w:sz w:val="24"/>
          <w:szCs w:val="24"/>
        </w:rPr>
        <w:t>n</w:t>
      </w:r>
      <w:r w:rsidR="007853A0" w:rsidRPr="000972D1">
        <w:rPr>
          <w:rFonts w:asciiTheme="majorBidi" w:eastAsia="Times New Roman" w:hAnsiTheme="majorBidi" w:cstheme="majorBidi"/>
          <w:bCs/>
          <w:sz w:val="24"/>
          <w:szCs w:val="24"/>
        </w:rPr>
        <w:t xml:space="preserve"> important role in preserving transparency and improving the functioning of </w:t>
      </w:r>
      <w:r w:rsidR="00013702">
        <w:rPr>
          <w:rFonts w:asciiTheme="majorBidi" w:eastAsia="Times New Roman" w:hAnsiTheme="majorBidi" w:cstheme="majorBidi"/>
          <w:bCs/>
          <w:sz w:val="24"/>
          <w:szCs w:val="24"/>
        </w:rPr>
        <w:t xml:space="preserve">the </w:t>
      </w:r>
      <w:r w:rsidR="007853A0" w:rsidRPr="000972D1">
        <w:rPr>
          <w:rFonts w:asciiTheme="majorBidi" w:eastAsia="Times New Roman" w:hAnsiTheme="majorBidi" w:cstheme="majorBidi"/>
          <w:bCs/>
          <w:sz w:val="24"/>
          <w:szCs w:val="24"/>
        </w:rPr>
        <w:t xml:space="preserve">capital markets (Watts </w:t>
      </w:r>
      <w:r w:rsidR="002513C0" w:rsidRPr="000972D1">
        <w:rPr>
          <w:rFonts w:asciiTheme="majorBidi" w:eastAsia="Times New Roman" w:hAnsiTheme="majorBidi" w:cstheme="majorBidi"/>
          <w:bCs/>
          <w:sz w:val="24"/>
          <w:szCs w:val="24"/>
        </w:rPr>
        <w:t>&amp;</w:t>
      </w:r>
      <w:r w:rsidR="007853A0" w:rsidRPr="000972D1">
        <w:rPr>
          <w:rFonts w:asciiTheme="majorBidi" w:eastAsia="Times New Roman" w:hAnsiTheme="majorBidi" w:cstheme="majorBidi"/>
          <w:bCs/>
          <w:sz w:val="24"/>
          <w:szCs w:val="24"/>
        </w:rPr>
        <w:t xml:space="preserve"> Zimmerman, 1983; Naser &amp; Hassan, 2016). </w:t>
      </w:r>
      <w:r w:rsidR="009C41A9" w:rsidRPr="000972D1">
        <w:rPr>
          <w:rFonts w:asciiTheme="majorBidi" w:eastAsia="Times New Roman" w:hAnsiTheme="majorBidi" w:cstheme="majorBidi"/>
          <w:bCs/>
          <w:sz w:val="24"/>
          <w:szCs w:val="24"/>
        </w:rPr>
        <w:t xml:space="preserve">Accordingly, </w:t>
      </w:r>
      <w:r w:rsidR="00390832" w:rsidRPr="000972D1">
        <w:rPr>
          <w:rFonts w:asciiTheme="majorBidi" w:eastAsia="Times New Roman" w:hAnsiTheme="majorBidi" w:cstheme="majorBidi"/>
          <w:bCs/>
          <w:sz w:val="24"/>
          <w:szCs w:val="24"/>
        </w:rPr>
        <w:t>regulatory authorities ha</w:t>
      </w:r>
      <w:r w:rsidR="00D1747E" w:rsidRPr="000972D1">
        <w:rPr>
          <w:rFonts w:asciiTheme="majorBidi" w:eastAsia="Times New Roman" w:hAnsiTheme="majorBidi" w:cstheme="majorBidi"/>
          <w:bCs/>
          <w:sz w:val="24"/>
          <w:szCs w:val="24"/>
        </w:rPr>
        <w:t>ve</w:t>
      </w:r>
      <w:r w:rsidR="00390832" w:rsidRPr="000972D1">
        <w:rPr>
          <w:rFonts w:asciiTheme="majorBidi" w:eastAsia="Times New Roman" w:hAnsiTheme="majorBidi" w:cstheme="majorBidi"/>
          <w:bCs/>
          <w:sz w:val="24"/>
          <w:szCs w:val="24"/>
        </w:rPr>
        <w:t xml:space="preserve"> enacted </w:t>
      </w:r>
      <w:r w:rsidR="009C41A9" w:rsidRPr="000972D1">
        <w:rPr>
          <w:rFonts w:asciiTheme="majorBidi" w:eastAsia="Times New Roman" w:hAnsiTheme="majorBidi" w:cstheme="majorBidi"/>
          <w:bCs/>
          <w:sz w:val="24"/>
          <w:szCs w:val="24"/>
        </w:rPr>
        <w:t>a stream of reforms</w:t>
      </w:r>
      <w:r w:rsidR="00D370FB" w:rsidRPr="000972D1">
        <w:rPr>
          <w:rFonts w:asciiTheme="majorBidi" w:eastAsia="Times New Roman" w:hAnsiTheme="majorBidi" w:cstheme="majorBidi"/>
          <w:bCs/>
          <w:sz w:val="24"/>
          <w:szCs w:val="24"/>
        </w:rPr>
        <w:t xml:space="preserve">, such as issuing </w:t>
      </w:r>
      <w:r w:rsidR="00272E0B" w:rsidRPr="000972D1">
        <w:rPr>
          <w:rFonts w:asciiTheme="majorBidi" w:eastAsia="Times New Roman" w:hAnsiTheme="majorBidi" w:cstheme="majorBidi"/>
          <w:bCs/>
          <w:sz w:val="24"/>
          <w:szCs w:val="24"/>
        </w:rPr>
        <w:t>laws</w:t>
      </w:r>
      <w:r w:rsidR="00B07C46" w:rsidRPr="000972D1">
        <w:rPr>
          <w:rFonts w:asciiTheme="majorBidi" w:eastAsia="Times New Roman" w:hAnsiTheme="majorBidi" w:cstheme="majorBidi"/>
          <w:bCs/>
          <w:sz w:val="24"/>
          <w:szCs w:val="24"/>
        </w:rPr>
        <w:t>, regulations</w:t>
      </w:r>
      <w:r w:rsidR="00272E0B" w:rsidRPr="000972D1">
        <w:rPr>
          <w:rFonts w:asciiTheme="majorBidi" w:eastAsia="Times New Roman" w:hAnsiTheme="majorBidi" w:cstheme="majorBidi"/>
          <w:bCs/>
          <w:sz w:val="24"/>
          <w:szCs w:val="24"/>
        </w:rPr>
        <w:t xml:space="preserve"> and </w:t>
      </w:r>
      <w:r w:rsidR="00D370FB" w:rsidRPr="000972D1">
        <w:rPr>
          <w:rFonts w:asciiTheme="majorBidi" w:eastAsia="Times New Roman" w:hAnsiTheme="majorBidi" w:cstheme="majorBidi"/>
          <w:bCs/>
          <w:sz w:val="24"/>
          <w:szCs w:val="24"/>
        </w:rPr>
        <w:t>national governance codes</w:t>
      </w:r>
      <w:r w:rsidR="00BD2D6F" w:rsidRPr="000972D1">
        <w:rPr>
          <w:rFonts w:asciiTheme="majorBidi" w:eastAsia="Times New Roman" w:hAnsiTheme="majorBidi" w:cstheme="majorBidi"/>
          <w:bCs/>
          <w:sz w:val="24"/>
          <w:szCs w:val="24"/>
        </w:rPr>
        <w:t xml:space="preserve"> that are aimed at</w:t>
      </w:r>
      <w:r w:rsidR="009C41A9" w:rsidRPr="000972D1">
        <w:rPr>
          <w:rFonts w:asciiTheme="majorBidi" w:eastAsia="Times New Roman" w:hAnsiTheme="majorBidi" w:cstheme="majorBidi"/>
          <w:bCs/>
          <w:sz w:val="24"/>
          <w:szCs w:val="24"/>
        </w:rPr>
        <w:t xml:space="preserve"> enhanc</w:t>
      </w:r>
      <w:r w:rsidR="00BD2D6F" w:rsidRPr="000972D1">
        <w:rPr>
          <w:rFonts w:asciiTheme="majorBidi" w:eastAsia="Times New Roman" w:hAnsiTheme="majorBidi" w:cstheme="majorBidi"/>
          <w:bCs/>
          <w:sz w:val="24"/>
          <w:szCs w:val="24"/>
        </w:rPr>
        <w:t>ing</w:t>
      </w:r>
      <w:r w:rsidR="009C41A9" w:rsidRPr="000972D1">
        <w:rPr>
          <w:rFonts w:asciiTheme="majorBidi" w:eastAsia="Times New Roman" w:hAnsiTheme="majorBidi" w:cstheme="majorBidi"/>
          <w:bCs/>
          <w:sz w:val="24"/>
          <w:szCs w:val="24"/>
        </w:rPr>
        <w:t xml:space="preserve"> the quality of audit in these countries</w:t>
      </w:r>
      <w:r w:rsidR="00BD2D6F" w:rsidRPr="000972D1">
        <w:rPr>
          <w:rFonts w:asciiTheme="majorBidi" w:eastAsia="Times New Roman" w:hAnsiTheme="majorBidi" w:cstheme="majorBidi"/>
          <w:bCs/>
          <w:sz w:val="24"/>
          <w:szCs w:val="24"/>
        </w:rPr>
        <w:t>, and thereby enhanc</w:t>
      </w:r>
      <w:r w:rsidR="006F47F6">
        <w:rPr>
          <w:rFonts w:asciiTheme="majorBidi" w:eastAsia="Times New Roman" w:hAnsiTheme="majorBidi" w:cstheme="majorBidi"/>
          <w:bCs/>
          <w:sz w:val="24"/>
          <w:szCs w:val="24"/>
        </w:rPr>
        <w:t>ing</w:t>
      </w:r>
      <w:r w:rsidR="00BD2D6F" w:rsidRPr="000972D1">
        <w:rPr>
          <w:rFonts w:asciiTheme="majorBidi" w:eastAsia="Times New Roman" w:hAnsiTheme="majorBidi" w:cstheme="majorBidi"/>
          <w:bCs/>
          <w:sz w:val="24"/>
          <w:szCs w:val="24"/>
        </w:rPr>
        <w:t xml:space="preserve"> the integrity of financial reports</w:t>
      </w:r>
      <w:r w:rsidR="009C41A9" w:rsidRPr="000972D1">
        <w:rPr>
          <w:rFonts w:asciiTheme="majorBidi" w:eastAsia="Times New Roman" w:hAnsiTheme="majorBidi" w:cstheme="majorBidi"/>
          <w:bCs/>
          <w:sz w:val="24"/>
          <w:szCs w:val="24"/>
        </w:rPr>
        <w:t xml:space="preserve"> (</w:t>
      </w:r>
      <w:r w:rsidR="00D1747E" w:rsidRPr="000972D1">
        <w:rPr>
          <w:rFonts w:asciiTheme="majorBidi" w:eastAsia="Times New Roman" w:hAnsiTheme="majorBidi" w:cstheme="majorBidi"/>
          <w:bCs/>
          <w:sz w:val="24"/>
          <w:szCs w:val="24"/>
        </w:rPr>
        <w:t xml:space="preserve">Khalifa, 2012; </w:t>
      </w:r>
      <w:r w:rsidR="009C41A9" w:rsidRPr="000972D1">
        <w:rPr>
          <w:rFonts w:asciiTheme="majorBidi" w:eastAsia="Times New Roman" w:hAnsiTheme="majorBidi" w:cstheme="majorBidi"/>
          <w:bCs/>
          <w:sz w:val="24"/>
          <w:szCs w:val="24"/>
        </w:rPr>
        <w:t xml:space="preserve">Baatwah </w:t>
      </w:r>
      <w:r w:rsidR="009C41A9" w:rsidRPr="000972D1">
        <w:rPr>
          <w:rFonts w:asciiTheme="majorBidi" w:eastAsia="Times New Roman" w:hAnsiTheme="majorBidi" w:cstheme="majorBidi"/>
          <w:bCs/>
          <w:i/>
          <w:iCs/>
          <w:sz w:val="24"/>
          <w:szCs w:val="24"/>
        </w:rPr>
        <w:t>et al</w:t>
      </w:r>
      <w:r w:rsidR="009C41A9" w:rsidRPr="000972D1">
        <w:rPr>
          <w:rFonts w:asciiTheme="majorBidi" w:eastAsia="Times New Roman" w:hAnsiTheme="majorBidi" w:cstheme="majorBidi"/>
          <w:bCs/>
          <w:sz w:val="24"/>
          <w:szCs w:val="24"/>
        </w:rPr>
        <w:t>., 2015).</w:t>
      </w:r>
    </w:p>
    <w:p w14:paraId="2DC1AAB3" w14:textId="49F774F6" w:rsidR="007C4420" w:rsidRPr="008E772B" w:rsidRDefault="00A81964" w:rsidP="00AC0872">
      <w:pPr>
        <w:spacing w:after="0" w:line="360" w:lineRule="auto"/>
        <w:ind w:firstLine="720"/>
        <w:jc w:val="lowKashida"/>
        <w:rPr>
          <w:rFonts w:asciiTheme="majorBidi" w:eastAsia="Times New Roman" w:hAnsiTheme="majorBidi" w:cstheme="majorBidi"/>
          <w:bCs/>
          <w:sz w:val="24"/>
          <w:szCs w:val="24"/>
        </w:rPr>
      </w:pPr>
      <w:r w:rsidRPr="008E772B">
        <w:rPr>
          <w:rFonts w:asciiTheme="majorBidi" w:eastAsia="Times New Roman" w:hAnsiTheme="majorBidi" w:cstheme="majorBidi"/>
          <w:bCs/>
          <w:sz w:val="24"/>
          <w:szCs w:val="24"/>
        </w:rPr>
        <w:lastRenderedPageBreak/>
        <w:t>On the other hand, it can be argued that firm- and county-</w:t>
      </w:r>
      <w:r w:rsidR="00E05DB8">
        <w:rPr>
          <w:rFonts w:asciiTheme="majorBidi" w:eastAsia="Times New Roman" w:hAnsiTheme="majorBidi" w:cstheme="majorBidi"/>
          <w:bCs/>
          <w:sz w:val="24"/>
          <w:szCs w:val="24"/>
        </w:rPr>
        <w:t>level</w:t>
      </w:r>
      <w:r w:rsidRPr="008E772B">
        <w:rPr>
          <w:rFonts w:asciiTheme="majorBidi" w:eastAsia="Times New Roman" w:hAnsiTheme="majorBidi" w:cstheme="majorBidi"/>
          <w:bCs/>
          <w:sz w:val="24"/>
          <w:szCs w:val="24"/>
        </w:rPr>
        <w:t xml:space="preserve"> governance </w:t>
      </w:r>
      <w:r w:rsidR="00013702">
        <w:rPr>
          <w:rFonts w:asciiTheme="majorBidi" w:eastAsia="Times New Roman" w:hAnsiTheme="majorBidi" w:cstheme="majorBidi"/>
          <w:bCs/>
          <w:sz w:val="24"/>
          <w:szCs w:val="24"/>
        </w:rPr>
        <w:t xml:space="preserve">quality </w:t>
      </w:r>
      <w:r w:rsidRPr="008E772B">
        <w:rPr>
          <w:rFonts w:asciiTheme="majorBidi" w:eastAsia="Times New Roman" w:hAnsiTheme="majorBidi" w:cstheme="majorBidi"/>
          <w:bCs/>
          <w:sz w:val="24"/>
          <w:szCs w:val="24"/>
        </w:rPr>
        <w:t>may also affect a firm’s audit</w:t>
      </w:r>
      <w:r w:rsidR="001158D3">
        <w:rPr>
          <w:rFonts w:asciiTheme="majorBidi" w:eastAsia="Times New Roman" w:hAnsiTheme="majorBidi" w:cstheme="majorBidi"/>
          <w:bCs/>
          <w:sz w:val="24"/>
          <w:szCs w:val="24"/>
        </w:rPr>
        <w:t xml:space="preserve"> </w:t>
      </w:r>
      <w:r w:rsidRPr="008E772B">
        <w:rPr>
          <w:rFonts w:asciiTheme="majorBidi" w:eastAsia="Times New Roman" w:hAnsiTheme="majorBidi" w:cstheme="majorBidi"/>
          <w:bCs/>
          <w:sz w:val="24"/>
          <w:szCs w:val="24"/>
        </w:rPr>
        <w:t>quality (</w:t>
      </w:r>
      <w:r w:rsidRPr="008E772B">
        <w:rPr>
          <w:rFonts w:asciiTheme="majorBidi" w:eastAsia="Times New Roman" w:hAnsiTheme="majorBidi" w:cstheme="majorBidi"/>
          <w:bCs/>
          <w:iCs/>
          <w:sz w:val="24"/>
          <w:szCs w:val="24"/>
        </w:rPr>
        <w:t xml:space="preserve">Hay </w:t>
      </w:r>
      <w:r w:rsidRPr="008E772B">
        <w:rPr>
          <w:rFonts w:asciiTheme="majorBidi" w:eastAsia="Times New Roman" w:hAnsiTheme="majorBidi" w:cstheme="majorBidi"/>
          <w:bCs/>
          <w:i/>
          <w:iCs/>
          <w:sz w:val="24"/>
          <w:szCs w:val="24"/>
        </w:rPr>
        <w:t>et al</w:t>
      </w:r>
      <w:r w:rsidRPr="008E772B">
        <w:rPr>
          <w:rFonts w:asciiTheme="majorBidi" w:eastAsia="Times New Roman" w:hAnsiTheme="majorBidi" w:cstheme="majorBidi"/>
          <w:bCs/>
          <w:iCs/>
          <w:sz w:val="24"/>
          <w:szCs w:val="24"/>
        </w:rPr>
        <w:t xml:space="preserve">., 2008; </w:t>
      </w:r>
      <w:r w:rsidRPr="008E772B">
        <w:rPr>
          <w:rFonts w:asciiTheme="majorBidi" w:eastAsia="Times New Roman" w:hAnsiTheme="majorBidi" w:cstheme="majorBidi"/>
          <w:bCs/>
          <w:sz w:val="24"/>
          <w:szCs w:val="24"/>
        </w:rPr>
        <w:t xml:space="preserve">Lin &amp; Liu, 2009; </w:t>
      </w:r>
      <w:r w:rsidRPr="008E772B">
        <w:rPr>
          <w:rFonts w:asciiTheme="majorBidi" w:eastAsia="Times New Roman" w:hAnsiTheme="majorBidi" w:cstheme="majorBidi"/>
          <w:bCs/>
          <w:iCs/>
          <w:sz w:val="24"/>
          <w:szCs w:val="24"/>
        </w:rPr>
        <w:t xml:space="preserve">Asthana </w:t>
      </w:r>
      <w:r w:rsidRPr="008E772B">
        <w:rPr>
          <w:rFonts w:asciiTheme="majorBidi" w:eastAsia="Times New Roman" w:hAnsiTheme="majorBidi" w:cstheme="majorBidi"/>
          <w:bCs/>
          <w:i/>
          <w:iCs/>
          <w:sz w:val="24"/>
          <w:szCs w:val="24"/>
        </w:rPr>
        <w:t>et al</w:t>
      </w:r>
      <w:r w:rsidRPr="008E772B">
        <w:rPr>
          <w:rFonts w:asciiTheme="majorBidi" w:eastAsia="Times New Roman" w:hAnsiTheme="majorBidi" w:cstheme="majorBidi"/>
          <w:bCs/>
          <w:iCs/>
          <w:sz w:val="24"/>
          <w:szCs w:val="24"/>
        </w:rPr>
        <w:t>. 2010; Johansen &amp; Pettersson, 2013</w:t>
      </w:r>
      <w:r w:rsidR="00141A83" w:rsidRPr="008E772B">
        <w:rPr>
          <w:rFonts w:asciiTheme="majorBidi" w:eastAsia="Times New Roman" w:hAnsiTheme="majorBidi" w:cstheme="majorBidi"/>
          <w:bCs/>
          <w:iCs/>
          <w:sz w:val="24"/>
          <w:szCs w:val="24"/>
        </w:rPr>
        <w:t>; Zahra, 2014</w:t>
      </w:r>
      <w:r w:rsidRPr="008E772B">
        <w:rPr>
          <w:rFonts w:asciiTheme="majorBidi" w:eastAsia="Times New Roman" w:hAnsiTheme="majorBidi" w:cstheme="majorBidi"/>
          <w:bCs/>
          <w:sz w:val="24"/>
          <w:szCs w:val="24"/>
        </w:rPr>
        <w:t>).</w:t>
      </w:r>
      <w:r w:rsidR="007C4420" w:rsidRPr="008E772B">
        <w:rPr>
          <w:rFonts w:asciiTheme="majorBidi" w:eastAsia="Times New Roman" w:hAnsiTheme="majorBidi" w:cstheme="majorBidi"/>
          <w:bCs/>
          <w:sz w:val="24"/>
          <w:szCs w:val="24"/>
        </w:rPr>
        <w:t xml:space="preserve"> </w:t>
      </w:r>
      <w:r w:rsidR="009D64A0">
        <w:rPr>
          <w:rFonts w:asciiTheme="majorBidi" w:eastAsia="Times New Roman" w:hAnsiTheme="majorBidi" w:cstheme="majorBidi"/>
          <w:bCs/>
          <w:sz w:val="24"/>
          <w:szCs w:val="24"/>
        </w:rPr>
        <w:t xml:space="preserve">However, </w:t>
      </w:r>
      <w:r w:rsidR="006349A1">
        <w:rPr>
          <w:rFonts w:asciiTheme="majorBidi" w:eastAsia="Times New Roman" w:hAnsiTheme="majorBidi" w:cstheme="majorBidi"/>
          <w:bCs/>
          <w:sz w:val="24"/>
          <w:szCs w:val="24"/>
        </w:rPr>
        <w:t xml:space="preserve">there is limited evidence </w:t>
      </w:r>
      <w:r w:rsidR="00284BFF">
        <w:rPr>
          <w:rFonts w:asciiTheme="majorBidi" w:eastAsia="Times New Roman" w:hAnsiTheme="majorBidi" w:cstheme="majorBidi"/>
          <w:bCs/>
          <w:sz w:val="24"/>
          <w:szCs w:val="24"/>
        </w:rPr>
        <w:t>with</w:t>
      </w:r>
      <w:r w:rsidR="00DD2A3F">
        <w:rPr>
          <w:rFonts w:asciiTheme="majorBidi" w:eastAsia="Times New Roman" w:hAnsiTheme="majorBidi" w:cstheme="majorBidi"/>
          <w:bCs/>
          <w:sz w:val="24"/>
          <w:szCs w:val="24"/>
        </w:rPr>
        <w:t xml:space="preserve">in the </w:t>
      </w:r>
      <w:r w:rsidR="00AC0872">
        <w:rPr>
          <w:rFonts w:asciiTheme="majorBidi" w:eastAsia="Times New Roman" w:hAnsiTheme="majorBidi" w:cstheme="majorBidi"/>
          <w:bCs/>
          <w:sz w:val="24"/>
          <w:szCs w:val="24"/>
        </w:rPr>
        <w:t xml:space="preserve">extant </w:t>
      </w:r>
      <w:r w:rsidR="00DD2A3F">
        <w:rPr>
          <w:rFonts w:asciiTheme="majorBidi" w:eastAsia="Times New Roman" w:hAnsiTheme="majorBidi" w:cstheme="majorBidi"/>
          <w:bCs/>
          <w:sz w:val="24"/>
          <w:szCs w:val="24"/>
        </w:rPr>
        <w:t xml:space="preserve">literature </w:t>
      </w:r>
      <w:r w:rsidR="00AC0872">
        <w:rPr>
          <w:rFonts w:asciiTheme="majorBidi" w:eastAsia="Times New Roman" w:hAnsiTheme="majorBidi" w:cstheme="majorBidi"/>
          <w:bCs/>
          <w:sz w:val="24"/>
          <w:szCs w:val="24"/>
        </w:rPr>
        <w:t>on</w:t>
      </w:r>
      <w:r w:rsidR="00DD2A3F">
        <w:rPr>
          <w:rFonts w:asciiTheme="majorBidi" w:eastAsia="Times New Roman" w:hAnsiTheme="majorBidi" w:cstheme="majorBidi"/>
          <w:bCs/>
          <w:sz w:val="24"/>
          <w:szCs w:val="24"/>
        </w:rPr>
        <w:t xml:space="preserve"> </w:t>
      </w:r>
      <w:r w:rsidR="00952EDC">
        <w:rPr>
          <w:rFonts w:asciiTheme="majorBidi" w:eastAsia="Times New Roman" w:hAnsiTheme="majorBidi" w:cstheme="majorBidi"/>
          <w:bCs/>
          <w:sz w:val="24"/>
          <w:szCs w:val="24"/>
        </w:rPr>
        <w:t xml:space="preserve">the </w:t>
      </w:r>
      <w:r w:rsidR="00DD2A3F">
        <w:rPr>
          <w:rFonts w:asciiTheme="majorBidi" w:eastAsia="Times New Roman" w:hAnsiTheme="majorBidi" w:cstheme="majorBidi"/>
          <w:bCs/>
          <w:sz w:val="24"/>
          <w:szCs w:val="24"/>
        </w:rPr>
        <w:t>impact of</w:t>
      </w:r>
      <w:r w:rsidR="006A0821">
        <w:rPr>
          <w:rFonts w:asciiTheme="majorBidi" w:eastAsia="Times New Roman" w:hAnsiTheme="majorBidi" w:cstheme="majorBidi"/>
          <w:bCs/>
          <w:sz w:val="24"/>
          <w:szCs w:val="24"/>
        </w:rPr>
        <w:t xml:space="preserve"> </w:t>
      </w:r>
      <w:r w:rsidR="004B1B34" w:rsidRPr="004B1B34">
        <w:rPr>
          <w:rFonts w:asciiTheme="majorBidi" w:eastAsia="Times New Roman" w:hAnsiTheme="majorBidi" w:cstheme="majorBidi"/>
          <w:bCs/>
          <w:sz w:val="24"/>
          <w:szCs w:val="24"/>
        </w:rPr>
        <w:t xml:space="preserve">firm- and </w:t>
      </w:r>
      <w:r w:rsidR="006A0821">
        <w:rPr>
          <w:rFonts w:asciiTheme="majorBidi" w:eastAsia="Times New Roman" w:hAnsiTheme="majorBidi" w:cstheme="majorBidi"/>
          <w:bCs/>
          <w:sz w:val="24"/>
          <w:szCs w:val="24"/>
        </w:rPr>
        <w:t>country-level governance</w:t>
      </w:r>
      <w:r w:rsidR="00013702">
        <w:rPr>
          <w:rFonts w:asciiTheme="majorBidi" w:eastAsia="Times New Roman" w:hAnsiTheme="majorBidi" w:cstheme="majorBidi"/>
          <w:bCs/>
          <w:sz w:val="24"/>
          <w:szCs w:val="24"/>
        </w:rPr>
        <w:t xml:space="preserve"> quality</w:t>
      </w:r>
      <w:r w:rsidR="006A0821">
        <w:rPr>
          <w:rFonts w:asciiTheme="majorBidi" w:eastAsia="Times New Roman" w:hAnsiTheme="majorBidi" w:cstheme="majorBidi"/>
          <w:bCs/>
          <w:sz w:val="24"/>
          <w:szCs w:val="24"/>
        </w:rPr>
        <w:t xml:space="preserve"> </w:t>
      </w:r>
      <w:r w:rsidR="00DD2A3F">
        <w:rPr>
          <w:rFonts w:asciiTheme="majorBidi" w:eastAsia="Times New Roman" w:hAnsiTheme="majorBidi" w:cstheme="majorBidi"/>
          <w:bCs/>
          <w:sz w:val="24"/>
          <w:szCs w:val="24"/>
        </w:rPr>
        <w:t>on</w:t>
      </w:r>
      <w:r w:rsidR="006A0821">
        <w:rPr>
          <w:rFonts w:asciiTheme="majorBidi" w:eastAsia="Times New Roman" w:hAnsiTheme="majorBidi" w:cstheme="majorBidi"/>
          <w:bCs/>
          <w:sz w:val="24"/>
          <w:szCs w:val="24"/>
        </w:rPr>
        <w:t xml:space="preserve"> audit quality</w:t>
      </w:r>
      <w:r w:rsidR="00691C15">
        <w:rPr>
          <w:rFonts w:asciiTheme="majorBidi" w:eastAsia="Times New Roman" w:hAnsiTheme="majorBidi" w:cstheme="majorBidi"/>
          <w:bCs/>
          <w:sz w:val="24"/>
          <w:szCs w:val="24"/>
        </w:rPr>
        <w:t xml:space="preserve"> (see </w:t>
      </w:r>
      <w:r w:rsidR="00691C15" w:rsidRPr="008E772B">
        <w:rPr>
          <w:rFonts w:asciiTheme="majorBidi" w:eastAsiaTheme="minorHAnsi" w:hAnsiTheme="majorBidi" w:cstheme="majorBidi"/>
          <w:bCs/>
          <w:sz w:val="24"/>
          <w:szCs w:val="24"/>
          <w:lang w:eastAsia="en-US"/>
        </w:rPr>
        <w:t>Zahra</w:t>
      </w:r>
      <w:r w:rsidR="00691C15">
        <w:rPr>
          <w:rFonts w:asciiTheme="majorBidi" w:eastAsiaTheme="minorHAnsi" w:hAnsiTheme="majorBidi" w:cstheme="majorBidi"/>
          <w:bCs/>
          <w:sz w:val="24"/>
          <w:szCs w:val="24"/>
          <w:lang w:eastAsia="en-US"/>
        </w:rPr>
        <w:t xml:space="preserve">, </w:t>
      </w:r>
      <w:r w:rsidR="00691C15" w:rsidRPr="008E772B">
        <w:rPr>
          <w:rFonts w:asciiTheme="majorBidi" w:eastAsiaTheme="minorHAnsi" w:hAnsiTheme="majorBidi" w:cstheme="majorBidi"/>
          <w:bCs/>
          <w:sz w:val="24"/>
          <w:szCs w:val="24"/>
          <w:lang w:eastAsia="en-US"/>
        </w:rPr>
        <w:t>2014</w:t>
      </w:r>
      <w:r w:rsidR="00691C15">
        <w:rPr>
          <w:rFonts w:asciiTheme="majorBidi" w:eastAsiaTheme="minorHAnsi" w:hAnsiTheme="majorBidi" w:cstheme="majorBidi"/>
          <w:bCs/>
          <w:sz w:val="24"/>
          <w:szCs w:val="24"/>
          <w:lang w:eastAsia="en-US"/>
        </w:rPr>
        <w:t>)</w:t>
      </w:r>
      <w:r w:rsidR="006A0821">
        <w:rPr>
          <w:rFonts w:asciiTheme="majorBidi" w:eastAsia="Times New Roman" w:hAnsiTheme="majorBidi" w:cstheme="majorBidi"/>
          <w:bCs/>
          <w:sz w:val="24"/>
          <w:szCs w:val="24"/>
        </w:rPr>
        <w:t>. This, therefore,</w:t>
      </w:r>
      <w:r w:rsidR="00A45A00" w:rsidRPr="008E772B">
        <w:rPr>
          <w:rFonts w:asciiTheme="majorBidi" w:eastAsia="Times New Roman" w:hAnsiTheme="majorBidi" w:cstheme="majorBidi"/>
          <w:bCs/>
          <w:sz w:val="24"/>
          <w:szCs w:val="24"/>
        </w:rPr>
        <w:t xml:space="preserve"> provides interesting opportunities to</w:t>
      </w:r>
      <w:r w:rsidR="007C4420" w:rsidRPr="008E772B">
        <w:rPr>
          <w:rFonts w:asciiTheme="majorBidi" w:eastAsia="Times New Roman" w:hAnsiTheme="majorBidi" w:cstheme="majorBidi"/>
          <w:bCs/>
          <w:sz w:val="24"/>
          <w:szCs w:val="24"/>
        </w:rPr>
        <w:t xml:space="preserve"> </w:t>
      </w:r>
      <w:r w:rsidR="008943E4" w:rsidRPr="008943E4">
        <w:rPr>
          <w:rFonts w:asciiTheme="majorBidi" w:eastAsia="Times New Roman" w:hAnsiTheme="majorBidi" w:cstheme="majorBidi"/>
          <w:bCs/>
          <w:iCs/>
          <w:sz w:val="24"/>
          <w:szCs w:val="24"/>
        </w:rPr>
        <w:t>contribute to the audit and governance literature by providing new evidence</w:t>
      </w:r>
      <w:r w:rsidR="00C873E8">
        <w:rPr>
          <w:rFonts w:asciiTheme="majorBidi" w:eastAsia="Times New Roman" w:hAnsiTheme="majorBidi" w:cstheme="majorBidi"/>
          <w:bCs/>
          <w:iCs/>
          <w:sz w:val="24"/>
          <w:szCs w:val="24"/>
        </w:rPr>
        <w:t xml:space="preserve"> </w:t>
      </w:r>
      <w:r w:rsidR="00337A2F">
        <w:rPr>
          <w:rFonts w:asciiTheme="majorBidi" w:eastAsia="Times New Roman" w:hAnsiTheme="majorBidi" w:cstheme="majorBidi"/>
          <w:bCs/>
          <w:iCs/>
          <w:sz w:val="24"/>
          <w:szCs w:val="24"/>
        </w:rPr>
        <w:t>with</w:t>
      </w:r>
      <w:r w:rsidR="00C873E8">
        <w:rPr>
          <w:rFonts w:asciiTheme="majorBidi" w:eastAsia="Times New Roman" w:hAnsiTheme="majorBidi" w:cstheme="majorBidi"/>
          <w:bCs/>
          <w:iCs/>
          <w:sz w:val="24"/>
          <w:szCs w:val="24"/>
        </w:rPr>
        <w:t>in the context of emerging markets</w:t>
      </w:r>
      <w:r w:rsidR="00745E42" w:rsidRPr="008E772B">
        <w:rPr>
          <w:rFonts w:asciiTheme="majorBidi" w:eastAsia="Times New Roman" w:hAnsiTheme="majorBidi" w:cstheme="majorBidi"/>
          <w:bCs/>
          <w:sz w:val="24"/>
          <w:szCs w:val="24"/>
        </w:rPr>
        <w:t xml:space="preserve"> </w:t>
      </w:r>
      <w:r w:rsidR="007C4420" w:rsidRPr="008E772B">
        <w:rPr>
          <w:rFonts w:asciiTheme="majorBidi" w:eastAsia="Times New Roman" w:hAnsiTheme="majorBidi" w:cstheme="majorBidi"/>
          <w:bCs/>
          <w:sz w:val="24"/>
          <w:szCs w:val="24"/>
        </w:rPr>
        <w:t>(O’Sullivan, 2000; O’Sullivan</w:t>
      </w:r>
      <w:r w:rsidR="007C4420" w:rsidRPr="008E772B" w:rsidDel="009D6D08">
        <w:rPr>
          <w:rFonts w:asciiTheme="majorBidi" w:eastAsia="Times New Roman" w:hAnsiTheme="majorBidi" w:cstheme="majorBidi"/>
          <w:bCs/>
          <w:sz w:val="24"/>
          <w:szCs w:val="24"/>
        </w:rPr>
        <w:t xml:space="preserve"> </w:t>
      </w:r>
      <w:r w:rsidR="001C5247" w:rsidRPr="008E772B">
        <w:rPr>
          <w:rFonts w:asciiTheme="majorBidi" w:eastAsia="Times New Roman" w:hAnsiTheme="majorBidi" w:cstheme="majorBidi"/>
          <w:bCs/>
          <w:sz w:val="24"/>
          <w:szCs w:val="24"/>
        </w:rPr>
        <w:t>&amp;</w:t>
      </w:r>
      <w:r w:rsidR="007C4420" w:rsidRPr="008E772B">
        <w:rPr>
          <w:rFonts w:asciiTheme="majorBidi" w:eastAsia="Times New Roman" w:hAnsiTheme="majorBidi" w:cstheme="majorBidi"/>
          <w:bCs/>
          <w:sz w:val="24"/>
          <w:szCs w:val="24"/>
        </w:rPr>
        <w:t xml:space="preserve"> Diacon, 2002; Fan </w:t>
      </w:r>
      <w:r w:rsidR="001C5247" w:rsidRPr="008E772B">
        <w:rPr>
          <w:rFonts w:asciiTheme="majorBidi" w:eastAsia="Times New Roman" w:hAnsiTheme="majorBidi" w:cstheme="majorBidi"/>
          <w:bCs/>
          <w:sz w:val="24"/>
          <w:szCs w:val="24"/>
        </w:rPr>
        <w:t>&amp;</w:t>
      </w:r>
      <w:r w:rsidR="007C4420" w:rsidRPr="008E772B">
        <w:rPr>
          <w:rFonts w:asciiTheme="majorBidi" w:eastAsia="Times New Roman" w:hAnsiTheme="majorBidi" w:cstheme="majorBidi"/>
          <w:bCs/>
          <w:sz w:val="24"/>
          <w:szCs w:val="24"/>
        </w:rPr>
        <w:t xml:space="preserve"> Wong, 2005; </w:t>
      </w:r>
      <w:r w:rsidR="003A2B97" w:rsidRPr="008E772B">
        <w:rPr>
          <w:rFonts w:asciiTheme="majorBidi" w:hAnsiTheme="majorBidi" w:cstheme="majorBidi"/>
          <w:sz w:val="24"/>
          <w:szCs w:val="24"/>
        </w:rPr>
        <w:t xml:space="preserve">Gul </w:t>
      </w:r>
      <w:r w:rsidR="003A2B97" w:rsidRPr="008E772B">
        <w:rPr>
          <w:rFonts w:asciiTheme="majorBidi" w:hAnsiTheme="majorBidi" w:cstheme="majorBidi"/>
          <w:i/>
          <w:iCs/>
          <w:sz w:val="24"/>
          <w:szCs w:val="24"/>
        </w:rPr>
        <w:t>et al</w:t>
      </w:r>
      <w:r w:rsidR="003A2B97" w:rsidRPr="008E772B">
        <w:rPr>
          <w:rFonts w:asciiTheme="majorBidi" w:hAnsiTheme="majorBidi" w:cstheme="majorBidi"/>
          <w:sz w:val="24"/>
          <w:szCs w:val="24"/>
        </w:rPr>
        <w:t>, 2013</w:t>
      </w:r>
      <w:r w:rsidR="007C4420" w:rsidRPr="008E772B">
        <w:rPr>
          <w:rFonts w:asciiTheme="majorBidi" w:eastAsia="Times New Roman" w:hAnsiTheme="majorBidi" w:cstheme="majorBidi"/>
          <w:bCs/>
          <w:sz w:val="24"/>
          <w:szCs w:val="24"/>
        </w:rPr>
        <w:t>).</w:t>
      </w:r>
    </w:p>
    <w:p w14:paraId="2A90AA11" w14:textId="73547573" w:rsidR="00F311C3" w:rsidRPr="008E772B" w:rsidRDefault="005E33BF" w:rsidP="009A13AF">
      <w:pPr>
        <w:spacing w:after="0" w:line="360" w:lineRule="auto"/>
        <w:ind w:firstLine="720"/>
        <w:jc w:val="lowKashida"/>
        <w:rPr>
          <w:rFonts w:asciiTheme="majorBidi" w:eastAsia="Times New Roman" w:hAnsiTheme="majorBidi" w:cstheme="majorBidi"/>
          <w:bCs/>
          <w:sz w:val="24"/>
          <w:szCs w:val="24"/>
        </w:rPr>
      </w:pPr>
      <w:r w:rsidRPr="008E772B">
        <w:rPr>
          <w:rFonts w:asciiTheme="majorBidi" w:eastAsia="Times New Roman" w:hAnsiTheme="majorBidi" w:cstheme="majorBidi"/>
          <w:bCs/>
          <w:sz w:val="24"/>
          <w:szCs w:val="24"/>
        </w:rPr>
        <w:t>Country-level</w:t>
      </w:r>
      <w:r w:rsidR="00F311C3" w:rsidRPr="008E772B">
        <w:rPr>
          <w:rFonts w:asciiTheme="majorBidi" w:eastAsia="Times New Roman" w:hAnsiTheme="majorBidi" w:cstheme="majorBidi"/>
          <w:bCs/>
          <w:sz w:val="24"/>
          <w:szCs w:val="24"/>
        </w:rPr>
        <w:t xml:space="preserve"> governance systems are maintained, guarded and enforced by institutions</w:t>
      </w:r>
      <w:r w:rsidR="00C05C5C">
        <w:rPr>
          <w:rFonts w:asciiTheme="majorBidi" w:eastAsia="Times New Roman" w:hAnsiTheme="majorBidi" w:cstheme="majorBidi"/>
          <w:bCs/>
          <w:sz w:val="24"/>
          <w:szCs w:val="24"/>
        </w:rPr>
        <w:t xml:space="preserve">, such as </w:t>
      </w:r>
      <w:r w:rsidR="00F7429D">
        <w:rPr>
          <w:rFonts w:asciiTheme="majorBidi" w:eastAsia="Times New Roman" w:hAnsiTheme="majorBidi" w:cstheme="majorBidi"/>
          <w:bCs/>
          <w:sz w:val="24"/>
          <w:szCs w:val="24"/>
        </w:rPr>
        <w:t xml:space="preserve">the </w:t>
      </w:r>
      <w:r w:rsidR="00C05C5C">
        <w:rPr>
          <w:rFonts w:asciiTheme="majorBidi" w:eastAsia="Times New Roman" w:hAnsiTheme="majorBidi" w:cstheme="majorBidi"/>
          <w:bCs/>
          <w:sz w:val="24"/>
          <w:szCs w:val="24"/>
        </w:rPr>
        <w:t xml:space="preserve">legal system and legislative processes </w:t>
      </w:r>
      <w:r w:rsidR="00F311C3" w:rsidRPr="008E772B">
        <w:rPr>
          <w:rFonts w:asciiTheme="majorBidi" w:eastAsia="Times New Roman" w:hAnsiTheme="majorBidi" w:cstheme="majorBidi"/>
          <w:bCs/>
          <w:iCs/>
          <w:sz w:val="24"/>
          <w:szCs w:val="24"/>
        </w:rPr>
        <w:t xml:space="preserve">(Aguilera &amp; Jackson, 2003; Ioannou &amp; Serafeim, 2012; Baldini </w:t>
      </w:r>
      <w:r w:rsidR="00F311C3" w:rsidRPr="008E772B">
        <w:rPr>
          <w:rFonts w:asciiTheme="majorBidi" w:eastAsia="Times New Roman" w:hAnsiTheme="majorBidi" w:cstheme="majorBidi"/>
          <w:bCs/>
          <w:i/>
          <w:sz w:val="24"/>
          <w:szCs w:val="24"/>
        </w:rPr>
        <w:t>et al</w:t>
      </w:r>
      <w:r w:rsidR="00F311C3" w:rsidRPr="008E772B">
        <w:rPr>
          <w:rFonts w:asciiTheme="majorBidi" w:eastAsia="Times New Roman" w:hAnsiTheme="majorBidi" w:cstheme="majorBidi"/>
          <w:bCs/>
          <w:iCs/>
          <w:sz w:val="24"/>
          <w:szCs w:val="24"/>
        </w:rPr>
        <w:t xml:space="preserve">., </w:t>
      </w:r>
      <w:r w:rsidR="00EA1FDF" w:rsidRPr="008E772B">
        <w:rPr>
          <w:rFonts w:asciiTheme="majorBidi" w:eastAsia="Times New Roman" w:hAnsiTheme="majorBidi" w:cstheme="majorBidi"/>
          <w:bCs/>
          <w:iCs/>
          <w:sz w:val="24"/>
          <w:szCs w:val="24"/>
        </w:rPr>
        <w:t>201</w:t>
      </w:r>
      <w:r w:rsidR="00EA1FDF">
        <w:rPr>
          <w:rFonts w:asciiTheme="majorBidi" w:eastAsia="Times New Roman" w:hAnsiTheme="majorBidi" w:cstheme="majorBidi"/>
          <w:bCs/>
          <w:iCs/>
          <w:sz w:val="24"/>
          <w:szCs w:val="24"/>
        </w:rPr>
        <w:t>8</w:t>
      </w:r>
      <w:r w:rsidR="00F311C3" w:rsidRPr="008E772B">
        <w:rPr>
          <w:rFonts w:asciiTheme="majorBidi" w:eastAsia="Times New Roman" w:hAnsiTheme="majorBidi" w:cstheme="majorBidi"/>
          <w:bCs/>
          <w:iCs/>
          <w:sz w:val="24"/>
          <w:szCs w:val="24"/>
        </w:rPr>
        <w:t>).</w:t>
      </w:r>
      <w:r w:rsidR="004A48FA" w:rsidRPr="008E772B">
        <w:rPr>
          <w:rFonts w:asciiTheme="majorBidi" w:eastAsiaTheme="minorHAnsi" w:hAnsiTheme="majorBidi" w:cstheme="majorBidi"/>
          <w:sz w:val="24"/>
          <w:szCs w:val="24"/>
          <w:lang w:eastAsia="en-US"/>
        </w:rPr>
        <w:t xml:space="preserve"> </w:t>
      </w:r>
      <w:r w:rsidR="004A48FA" w:rsidRPr="008E772B">
        <w:rPr>
          <w:rFonts w:asciiTheme="majorBidi" w:eastAsia="Times New Roman" w:hAnsiTheme="majorBidi" w:cstheme="majorBidi"/>
          <w:bCs/>
          <w:iCs/>
          <w:sz w:val="24"/>
          <w:szCs w:val="24"/>
        </w:rPr>
        <w:t xml:space="preserve">Through regulations, </w:t>
      </w:r>
      <w:r w:rsidR="000F5052" w:rsidRPr="008E772B">
        <w:rPr>
          <w:rFonts w:asciiTheme="majorBidi" w:eastAsia="Times New Roman" w:hAnsiTheme="majorBidi" w:cstheme="majorBidi"/>
          <w:bCs/>
          <w:iCs/>
          <w:sz w:val="24"/>
          <w:szCs w:val="24"/>
        </w:rPr>
        <w:t xml:space="preserve">country-level </w:t>
      </w:r>
      <w:r w:rsidR="004A48FA" w:rsidRPr="008E772B">
        <w:rPr>
          <w:rFonts w:asciiTheme="majorBidi" w:eastAsia="Times New Roman" w:hAnsiTheme="majorBidi" w:cstheme="majorBidi"/>
          <w:bCs/>
          <w:iCs/>
          <w:sz w:val="24"/>
          <w:szCs w:val="24"/>
        </w:rPr>
        <w:t>governance</w:t>
      </w:r>
      <w:r w:rsidR="00074E0C">
        <w:rPr>
          <w:rFonts w:asciiTheme="majorBidi" w:eastAsia="Times New Roman" w:hAnsiTheme="majorBidi" w:cstheme="majorBidi"/>
          <w:bCs/>
          <w:iCs/>
          <w:sz w:val="24"/>
          <w:szCs w:val="24"/>
        </w:rPr>
        <w:t xml:space="preserve"> structures</w:t>
      </w:r>
      <w:r w:rsidR="004A48FA" w:rsidRPr="008E772B">
        <w:rPr>
          <w:rFonts w:asciiTheme="majorBidi" w:eastAsia="Times New Roman" w:hAnsiTheme="majorBidi" w:cstheme="majorBidi"/>
          <w:bCs/>
          <w:iCs/>
          <w:sz w:val="24"/>
          <w:szCs w:val="24"/>
        </w:rPr>
        <w:t xml:space="preserve"> </w:t>
      </w:r>
      <w:r w:rsidR="00F7429D">
        <w:rPr>
          <w:rFonts w:asciiTheme="majorBidi" w:eastAsia="Times New Roman" w:hAnsiTheme="majorBidi" w:cstheme="majorBidi"/>
          <w:bCs/>
          <w:iCs/>
          <w:sz w:val="24"/>
          <w:szCs w:val="24"/>
        </w:rPr>
        <w:t xml:space="preserve">may </w:t>
      </w:r>
      <w:r w:rsidR="004A48FA" w:rsidRPr="008E772B">
        <w:rPr>
          <w:rFonts w:asciiTheme="majorBidi" w:eastAsia="Times New Roman" w:hAnsiTheme="majorBidi" w:cstheme="majorBidi"/>
          <w:bCs/>
          <w:iCs/>
          <w:sz w:val="24"/>
          <w:szCs w:val="24"/>
        </w:rPr>
        <w:t xml:space="preserve">also determine and shape </w:t>
      </w:r>
      <w:r w:rsidR="000F5052" w:rsidRPr="008E772B">
        <w:rPr>
          <w:rFonts w:asciiTheme="majorBidi" w:eastAsia="Times New Roman" w:hAnsiTheme="majorBidi" w:cstheme="majorBidi"/>
          <w:bCs/>
          <w:iCs/>
          <w:sz w:val="24"/>
          <w:szCs w:val="24"/>
        </w:rPr>
        <w:t xml:space="preserve">firm-level </w:t>
      </w:r>
      <w:r w:rsidR="004A48FA" w:rsidRPr="008E772B">
        <w:rPr>
          <w:rFonts w:asciiTheme="majorBidi" w:eastAsia="Times New Roman" w:hAnsiTheme="majorBidi" w:cstheme="majorBidi"/>
          <w:bCs/>
          <w:iCs/>
          <w:sz w:val="24"/>
          <w:szCs w:val="24"/>
        </w:rPr>
        <w:t xml:space="preserve">governance </w:t>
      </w:r>
      <w:r w:rsidR="00074E0C">
        <w:rPr>
          <w:rFonts w:asciiTheme="majorBidi" w:eastAsia="Times New Roman" w:hAnsiTheme="majorBidi" w:cstheme="majorBidi"/>
          <w:bCs/>
          <w:iCs/>
          <w:sz w:val="24"/>
          <w:szCs w:val="24"/>
        </w:rPr>
        <w:t xml:space="preserve">mechanisms </w:t>
      </w:r>
      <w:r w:rsidR="004A48FA" w:rsidRPr="008E772B">
        <w:rPr>
          <w:rFonts w:asciiTheme="majorBidi" w:eastAsia="Times New Roman" w:hAnsiTheme="majorBidi" w:cstheme="majorBidi"/>
          <w:bCs/>
          <w:iCs/>
          <w:sz w:val="24"/>
          <w:szCs w:val="24"/>
        </w:rPr>
        <w:t>(Zahra, 2014)</w:t>
      </w:r>
      <w:r w:rsidR="00783DAE" w:rsidRPr="008E772B">
        <w:rPr>
          <w:rFonts w:asciiTheme="majorBidi" w:eastAsia="Times New Roman" w:hAnsiTheme="majorBidi" w:cstheme="majorBidi"/>
          <w:bCs/>
          <w:iCs/>
          <w:sz w:val="24"/>
          <w:szCs w:val="24"/>
        </w:rPr>
        <w:t xml:space="preserve"> and </w:t>
      </w:r>
      <w:r w:rsidR="00074E0C">
        <w:rPr>
          <w:rFonts w:asciiTheme="majorBidi" w:eastAsia="Times New Roman" w:hAnsiTheme="majorBidi" w:cstheme="majorBidi"/>
          <w:bCs/>
          <w:iCs/>
          <w:sz w:val="24"/>
          <w:szCs w:val="24"/>
        </w:rPr>
        <w:t>their</w:t>
      </w:r>
      <w:r w:rsidR="00783DAE" w:rsidRPr="008E772B">
        <w:rPr>
          <w:rFonts w:asciiTheme="majorBidi" w:eastAsia="Times New Roman" w:hAnsiTheme="majorBidi" w:cstheme="majorBidi"/>
          <w:bCs/>
          <w:iCs/>
          <w:sz w:val="24"/>
          <w:szCs w:val="24"/>
        </w:rPr>
        <w:t xml:space="preserve"> legitimacy (Judge </w:t>
      </w:r>
      <w:r w:rsidR="00783DAE" w:rsidRPr="008E772B">
        <w:rPr>
          <w:rFonts w:asciiTheme="majorBidi" w:eastAsia="Times New Roman" w:hAnsiTheme="majorBidi" w:cstheme="majorBidi"/>
          <w:bCs/>
          <w:i/>
          <w:iCs/>
          <w:sz w:val="24"/>
          <w:szCs w:val="24"/>
        </w:rPr>
        <w:t>et al</w:t>
      </w:r>
      <w:r w:rsidR="00783DAE" w:rsidRPr="008E772B">
        <w:rPr>
          <w:rFonts w:asciiTheme="majorBidi" w:eastAsia="Times New Roman" w:hAnsiTheme="majorBidi" w:cstheme="majorBidi"/>
          <w:bCs/>
          <w:iCs/>
          <w:sz w:val="24"/>
          <w:szCs w:val="24"/>
        </w:rPr>
        <w:t>., 2008)</w:t>
      </w:r>
      <w:r w:rsidR="004A48FA" w:rsidRPr="008E772B">
        <w:rPr>
          <w:rFonts w:asciiTheme="majorBidi" w:eastAsia="Times New Roman" w:hAnsiTheme="majorBidi" w:cstheme="majorBidi"/>
          <w:bCs/>
          <w:iCs/>
          <w:sz w:val="24"/>
          <w:szCs w:val="24"/>
        </w:rPr>
        <w:t>.</w:t>
      </w:r>
      <w:r w:rsidR="004A48FA" w:rsidRPr="008E772B">
        <w:rPr>
          <w:rFonts w:asciiTheme="majorBidi" w:eastAsiaTheme="minorHAnsi" w:hAnsiTheme="majorBidi" w:cstheme="majorBidi"/>
          <w:sz w:val="24"/>
          <w:szCs w:val="24"/>
          <w:lang w:eastAsia="en-US"/>
        </w:rPr>
        <w:t xml:space="preserve"> </w:t>
      </w:r>
      <w:r w:rsidR="006A6AB0">
        <w:rPr>
          <w:rFonts w:asciiTheme="majorBidi" w:eastAsia="Times New Roman" w:hAnsiTheme="majorBidi" w:cstheme="majorBidi"/>
          <w:bCs/>
          <w:iCs/>
          <w:sz w:val="24"/>
          <w:szCs w:val="24"/>
        </w:rPr>
        <w:t>One reason is</w:t>
      </w:r>
      <w:r w:rsidR="004A48FA" w:rsidRPr="008E772B">
        <w:rPr>
          <w:rFonts w:asciiTheme="majorBidi" w:eastAsia="Times New Roman" w:hAnsiTheme="majorBidi" w:cstheme="majorBidi"/>
          <w:bCs/>
          <w:iCs/>
          <w:sz w:val="24"/>
          <w:szCs w:val="24"/>
        </w:rPr>
        <w:t xml:space="preserve"> that in some emerging economies, governments may play a visible role in shaping </w:t>
      </w:r>
      <w:r w:rsidR="00BE0FBC" w:rsidRPr="00BE0FBC">
        <w:rPr>
          <w:rFonts w:asciiTheme="majorBidi" w:eastAsia="Times New Roman" w:hAnsiTheme="majorBidi" w:cstheme="majorBidi"/>
          <w:bCs/>
          <w:iCs/>
          <w:sz w:val="24"/>
          <w:szCs w:val="24"/>
        </w:rPr>
        <w:t xml:space="preserve">country-level </w:t>
      </w:r>
      <w:r w:rsidR="004A48FA" w:rsidRPr="008E772B">
        <w:rPr>
          <w:rFonts w:asciiTheme="majorBidi" w:eastAsia="Times New Roman" w:hAnsiTheme="majorBidi" w:cstheme="majorBidi"/>
          <w:bCs/>
          <w:iCs/>
          <w:sz w:val="24"/>
          <w:szCs w:val="24"/>
        </w:rPr>
        <w:t>governance</w:t>
      </w:r>
      <w:r w:rsidR="00C66E4B">
        <w:rPr>
          <w:rFonts w:asciiTheme="majorBidi" w:eastAsia="Times New Roman" w:hAnsiTheme="majorBidi" w:cstheme="majorBidi"/>
          <w:bCs/>
          <w:iCs/>
          <w:sz w:val="24"/>
          <w:szCs w:val="24"/>
        </w:rPr>
        <w:t xml:space="preserve"> structures</w:t>
      </w:r>
      <w:r w:rsidR="004A48FA" w:rsidRPr="008E772B">
        <w:rPr>
          <w:rFonts w:asciiTheme="majorBidi" w:eastAsia="Times New Roman" w:hAnsiTheme="majorBidi" w:cstheme="majorBidi"/>
          <w:bCs/>
          <w:iCs/>
          <w:sz w:val="24"/>
          <w:szCs w:val="24"/>
        </w:rPr>
        <w:t xml:space="preserve"> through legislation</w:t>
      </w:r>
      <w:r w:rsidR="000C5411">
        <w:rPr>
          <w:rFonts w:asciiTheme="majorBidi" w:eastAsia="Times New Roman" w:hAnsiTheme="majorBidi" w:cstheme="majorBidi"/>
          <w:bCs/>
          <w:iCs/>
          <w:sz w:val="24"/>
          <w:szCs w:val="24"/>
        </w:rPr>
        <w:t xml:space="preserve"> and</w:t>
      </w:r>
      <w:r w:rsidR="004A48FA" w:rsidRPr="008E772B">
        <w:rPr>
          <w:rFonts w:asciiTheme="majorBidi" w:eastAsia="Times New Roman" w:hAnsiTheme="majorBidi" w:cstheme="majorBidi"/>
          <w:bCs/>
          <w:iCs/>
          <w:sz w:val="24"/>
          <w:szCs w:val="24"/>
        </w:rPr>
        <w:t xml:space="preserve"> direct ownership (partial or full)</w:t>
      </w:r>
      <w:r w:rsidR="008B457E">
        <w:rPr>
          <w:rFonts w:asciiTheme="majorBidi" w:eastAsia="Times New Roman" w:hAnsiTheme="majorBidi" w:cstheme="majorBidi"/>
          <w:bCs/>
          <w:iCs/>
          <w:sz w:val="24"/>
          <w:szCs w:val="24"/>
        </w:rPr>
        <w:t>,</w:t>
      </w:r>
      <w:r w:rsidR="004A48FA" w:rsidRPr="008E772B">
        <w:rPr>
          <w:rFonts w:asciiTheme="majorBidi" w:eastAsia="Times New Roman" w:hAnsiTheme="majorBidi" w:cstheme="majorBidi"/>
          <w:bCs/>
          <w:iCs/>
          <w:sz w:val="24"/>
          <w:szCs w:val="24"/>
        </w:rPr>
        <w:t xml:space="preserve"> as well as regulating and monitoring </w:t>
      </w:r>
      <w:r w:rsidR="00C66E4B">
        <w:rPr>
          <w:rFonts w:asciiTheme="majorBidi" w:eastAsia="Times New Roman" w:hAnsiTheme="majorBidi" w:cstheme="majorBidi"/>
          <w:bCs/>
          <w:iCs/>
          <w:sz w:val="24"/>
          <w:szCs w:val="24"/>
        </w:rPr>
        <w:t xml:space="preserve">the </w:t>
      </w:r>
      <w:r w:rsidR="004A48FA" w:rsidRPr="008E772B">
        <w:rPr>
          <w:rFonts w:asciiTheme="majorBidi" w:eastAsia="Times New Roman" w:hAnsiTheme="majorBidi" w:cstheme="majorBidi"/>
          <w:bCs/>
          <w:iCs/>
          <w:sz w:val="24"/>
          <w:szCs w:val="24"/>
        </w:rPr>
        <w:t xml:space="preserve">markets (Samaha </w:t>
      </w:r>
      <w:r w:rsidR="009A13AF">
        <w:rPr>
          <w:rFonts w:asciiTheme="majorBidi" w:eastAsia="Times New Roman" w:hAnsiTheme="majorBidi" w:cstheme="majorBidi"/>
          <w:bCs/>
          <w:iCs/>
          <w:sz w:val="24"/>
          <w:szCs w:val="24"/>
        </w:rPr>
        <w:t>&amp;</w:t>
      </w:r>
      <w:r w:rsidR="009A13AF" w:rsidRPr="008E772B">
        <w:rPr>
          <w:rFonts w:asciiTheme="majorBidi" w:eastAsia="Times New Roman" w:hAnsiTheme="majorBidi" w:cstheme="majorBidi"/>
          <w:bCs/>
          <w:iCs/>
          <w:sz w:val="24"/>
          <w:szCs w:val="24"/>
        </w:rPr>
        <w:t xml:space="preserve"> </w:t>
      </w:r>
      <w:r w:rsidR="004A48FA" w:rsidRPr="008E772B">
        <w:rPr>
          <w:rFonts w:asciiTheme="majorBidi" w:eastAsia="Times New Roman" w:hAnsiTheme="majorBidi" w:cstheme="majorBidi"/>
          <w:bCs/>
          <w:iCs/>
          <w:sz w:val="24"/>
          <w:szCs w:val="24"/>
        </w:rPr>
        <w:t>Hegazy, 2010; Zahra, 2014).</w:t>
      </w:r>
      <w:r w:rsidR="00E71696" w:rsidRPr="008E772B">
        <w:rPr>
          <w:rFonts w:asciiTheme="majorBidi" w:eastAsiaTheme="minorHAnsi" w:hAnsiTheme="majorBidi" w:cstheme="majorBidi"/>
          <w:sz w:val="24"/>
          <w:szCs w:val="24"/>
          <w:lang w:eastAsia="en-US"/>
        </w:rPr>
        <w:t xml:space="preserve"> </w:t>
      </w:r>
      <w:r w:rsidR="00E71696" w:rsidRPr="008E772B">
        <w:rPr>
          <w:rFonts w:asciiTheme="majorBidi" w:eastAsia="Times New Roman" w:hAnsiTheme="majorBidi" w:cstheme="majorBidi"/>
          <w:bCs/>
          <w:iCs/>
          <w:sz w:val="24"/>
          <w:szCs w:val="24"/>
        </w:rPr>
        <w:t xml:space="preserve">However, the relationship between these systems and </w:t>
      </w:r>
      <w:r w:rsidR="000F5052" w:rsidRPr="008E772B">
        <w:rPr>
          <w:rFonts w:asciiTheme="majorBidi" w:eastAsia="Times New Roman" w:hAnsiTheme="majorBidi" w:cstheme="majorBidi"/>
          <w:bCs/>
          <w:iCs/>
          <w:sz w:val="24"/>
          <w:szCs w:val="24"/>
        </w:rPr>
        <w:t xml:space="preserve">country-level </w:t>
      </w:r>
      <w:r w:rsidR="00E71696" w:rsidRPr="008E772B">
        <w:rPr>
          <w:rFonts w:asciiTheme="majorBidi" w:eastAsia="Times New Roman" w:hAnsiTheme="majorBidi" w:cstheme="majorBidi"/>
          <w:bCs/>
          <w:iCs/>
          <w:sz w:val="24"/>
          <w:szCs w:val="24"/>
        </w:rPr>
        <w:t>governance</w:t>
      </w:r>
      <w:r w:rsidR="00C66E4B">
        <w:rPr>
          <w:rFonts w:asciiTheme="majorBidi" w:eastAsia="Times New Roman" w:hAnsiTheme="majorBidi" w:cstheme="majorBidi"/>
          <w:bCs/>
          <w:iCs/>
          <w:sz w:val="24"/>
          <w:szCs w:val="24"/>
        </w:rPr>
        <w:t xml:space="preserve"> structures</w:t>
      </w:r>
      <w:r w:rsidR="00E71696" w:rsidRPr="008E772B">
        <w:rPr>
          <w:rFonts w:asciiTheme="majorBidi" w:eastAsia="Times New Roman" w:hAnsiTheme="majorBidi" w:cstheme="majorBidi"/>
          <w:bCs/>
          <w:iCs/>
          <w:sz w:val="24"/>
          <w:szCs w:val="24"/>
        </w:rPr>
        <w:t xml:space="preserve"> </w:t>
      </w:r>
      <w:r w:rsidR="00C66E4B">
        <w:rPr>
          <w:rFonts w:asciiTheme="majorBidi" w:eastAsia="Times New Roman" w:hAnsiTheme="majorBidi" w:cstheme="majorBidi"/>
          <w:bCs/>
          <w:iCs/>
          <w:sz w:val="24"/>
          <w:szCs w:val="24"/>
        </w:rPr>
        <w:t>has been argued to be</w:t>
      </w:r>
      <w:r w:rsidR="00E71696" w:rsidRPr="008E772B">
        <w:rPr>
          <w:rFonts w:asciiTheme="majorBidi" w:eastAsia="Times New Roman" w:hAnsiTheme="majorBidi" w:cstheme="majorBidi"/>
          <w:bCs/>
          <w:iCs/>
          <w:sz w:val="24"/>
          <w:szCs w:val="24"/>
        </w:rPr>
        <w:t xml:space="preserve"> dynamic</w:t>
      </w:r>
      <w:r w:rsidR="00FC79BF" w:rsidRPr="008E772B">
        <w:rPr>
          <w:rFonts w:asciiTheme="majorBidi" w:eastAsia="Times New Roman" w:hAnsiTheme="majorBidi" w:cstheme="majorBidi"/>
          <w:bCs/>
          <w:iCs/>
          <w:sz w:val="24"/>
          <w:szCs w:val="24"/>
        </w:rPr>
        <w:t xml:space="preserve"> (Aguilera &amp; Jackson, 2003; Zahra, 2014</w:t>
      </w:r>
      <w:r w:rsidR="00144414">
        <w:rPr>
          <w:rFonts w:asciiTheme="majorBidi" w:eastAsia="Times New Roman" w:hAnsiTheme="majorBidi" w:cstheme="majorBidi"/>
          <w:bCs/>
          <w:iCs/>
          <w:sz w:val="24"/>
          <w:szCs w:val="24"/>
        </w:rPr>
        <w:t xml:space="preserve">; </w:t>
      </w:r>
      <w:r w:rsidR="00144414" w:rsidRPr="00190ECD">
        <w:rPr>
          <w:rFonts w:asciiTheme="majorBidi" w:eastAsia="Times New Roman" w:hAnsiTheme="majorBidi" w:cstheme="majorBidi"/>
          <w:bCs/>
          <w:iCs/>
          <w:sz w:val="24"/>
          <w:szCs w:val="24"/>
        </w:rPr>
        <w:t>Barroso</w:t>
      </w:r>
      <w:r w:rsidR="00144414">
        <w:rPr>
          <w:rFonts w:asciiTheme="majorBidi" w:eastAsia="Times New Roman" w:hAnsiTheme="majorBidi" w:cstheme="majorBidi"/>
          <w:bCs/>
          <w:iCs/>
          <w:sz w:val="24"/>
          <w:szCs w:val="24"/>
        </w:rPr>
        <w:t xml:space="preserve"> </w:t>
      </w:r>
      <w:r w:rsidR="00144414" w:rsidRPr="002513C0">
        <w:rPr>
          <w:rFonts w:asciiTheme="majorBidi" w:eastAsia="Times New Roman" w:hAnsiTheme="majorBidi" w:cstheme="majorBidi"/>
          <w:bCs/>
          <w:i/>
          <w:iCs/>
          <w:sz w:val="24"/>
          <w:szCs w:val="24"/>
        </w:rPr>
        <w:t>et al.,</w:t>
      </w:r>
      <w:r w:rsidR="00144414">
        <w:rPr>
          <w:rFonts w:asciiTheme="majorBidi" w:eastAsia="Times New Roman" w:hAnsiTheme="majorBidi" w:cstheme="majorBidi"/>
          <w:bCs/>
          <w:iCs/>
          <w:sz w:val="24"/>
          <w:szCs w:val="24"/>
        </w:rPr>
        <w:t xml:space="preserve"> </w:t>
      </w:r>
      <w:r w:rsidR="00144414" w:rsidRPr="00190ECD">
        <w:rPr>
          <w:rFonts w:asciiTheme="majorBidi" w:eastAsia="Times New Roman" w:hAnsiTheme="majorBidi" w:cstheme="majorBidi"/>
          <w:bCs/>
          <w:iCs/>
          <w:sz w:val="24"/>
          <w:szCs w:val="24"/>
        </w:rPr>
        <w:t>2018</w:t>
      </w:r>
      <w:r w:rsidR="00FC79BF" w:rsidRPr="008E772B">
        <w:rPr>
          <w:rFonts w:asciiTheme="majorBidi" w:eastAsia="Times New Roman" w:hAnsiTheme="majorBidi" w:cstheme="majorBidi"/>
          <w:bCs/>
          <w:iCs/>
          <w:sz w:val="24"/>
          <w:szCs w:val="24"/>
        </w:rPr>
        <w:t>)</w:t>
      </w:r>
      <w:r w:rsidR="00E71696" w:rsidRPr="008E772B">
        <w:rPr>
          <w:rFonts w:asciiTheme="majorBidi" w:eastAsia="Times New Roman" w:hAnsiTheme="majorBidi" w:cstheme="majorBidi"/>
          <w:bCs/>
          <w:iCs/>
          <w:sz w:val="24"/>
          <w:szCs w:val="24"/>
        </w:rPr>
        <w:t xml:space="preserve">. As such, deficiencies in </w:t>
      </w:r>
      <w:r w:rsidR="000F5052" w:rsidRPr="008E772B">
        <w:rPr>
          <w:rFonts w:asciiTheme="majorBidi" w:eastAsia="Times New Roman" w:hAnsiTheme="majorBidi" w:cstheme="majorBidi"/>
          <w:bCs/>
          <w:iCs/>
          <w:sz w:val="24"/>
          <w:szCs w:val="24"/>
        </w:rPr>
        <w:t xml:space="preserve">firm-level </w:t>
      </w:r>
      <w:r w:rsidR="00E71696" w:rsidRPr="008E772B">
        <w:rPr>
          <w:rFonts w:asciiTheme="majorBidi" w:eastAsia="Times New Roman" w:hAnsiTheme="majorBidi" w:cstheme="majorBidi"/>
          <w:bCs/>
          <w:iCs/>
          <w:sz w:val="24"/>
          <w:szCs w:val="24"/>
        </w:rPr>
        <w:t>governance</w:t>
      </w:r>
      <w:r w:rsidR="00C66E4B">
        <w:rPr>
          <w:rFonts w:asciiTheme="majorBidi" w:eastAsia="Times New Roman" w:hAnsiTheme="majorBidi" w:cstheme="majorBidi"/>
          <w:bCs/>
          <w:iCs/>
          <w:sz w:val="24"/>
          <w:szCs w:val="24"/>
        </w:rPr>
        <w:t xml:space="preserve"> quality</w:t>
      </w:r>
      <w:r w:rsidR="00E71696" w:rsidRPr="008E772B">
        <w:rPr>
          <w:rFonts w:asciiTheme="majorBidi" w:eastAsia="Times New Roman" w:hAnsiTheme="majorBidi" w:cstheme="majorBidi"/>
          <w:bCs/>
          <w:iCs/>
          <w:sz w:val="24"/>
          <w:szCs w:val="24"/>
        </w:rPr>
        <w:t xml:space="preserve"> can induce changes in </w:t>
      </w:r>
      <w:r w:rsidR="000F5052" w:rsidRPr="008E772B">
        <w:rPr>
          <w:rFonts w:asciiTheme="majorBidi" w:eastAsia="Times New Roman" w:hAnsiTheme="majorBidi" w:cstheme="majorBidi"/>
          <w:bCs/>
          <w:iCs/>
          <w:sz w:val="24"/>
          <w:szCs w:val="24"/>
        </w:rPr>
        <w:t xml:space="preserve">country-level </w:t>
      </w:r>
      <w:r w:rsidR="00E71696" w:rsidRPr="008E772B">
        <w:rPr>
          <w:rFonts w:asciiTheme="majorBidi" w:eastAsia="Times New Roman" w:hAnsiTheme="majorBidi" w:cstheme="majorBidi"/>
          <w:bCs/>
          <w:iCs/>
          <w:sz w:val="24"/>
          <w:szCs w:val="24"/>
        </w:rPr>
        <w:t>governance</w:t>
      </w:r>
      <w:r w:rsidR="00C66E4B">
        <w:rPr>
          <w:rFonts w:asciiTheme="majorBidi" w:eastAsia="Times New Roman" w:hAnsiTheme="majorBidi" w:cstheme="majorBidi"/>
          <w:bCs/>
          <w:iCs/>
          <w:sz w:val="24"/>
          <w:szCs w:val="24"/>
        </w:rPr>
        <w:t xml:space="preserve"> quality</w:t>
      </w:r>
      <w:r w:rsidR="00E71696" w:rsidRPr="008E772B">
        <w:rPr>
          <w:rFonts w:asciiTheme="majorBidi" w:eastAsia="Times New Roman" w:hAnsiTheme="majorBidi" w:cstheme="majorBidi"/>
          <w:bCs/>
          <w:iCs/>
          <w:sz w:val="24"/>
          <w:szCs w:val="24"/>
        </w:rPr>
        <w:t xml:space="preserve">; the opposite </w:t>
      </w:r>
      <w:r w:rsidR="000C5411">
        <w:rPr>
          <w:rFonts w:asciiTheme="majorBidi" w:eastAsia="Times New Roman" w:hAnsiTheme="majorBidi" w:cstheme="majorBidi"/>
          <w:bCs/>
          <w:iCs/>
          <w:sz w:val="24"/>
          <w:szCs w:val="24"/>
        </w:rPr>
        <w:t>may</w:t>
      </w:r>
      <w:r w:rsidR="00E71696" w:rsidRPr="008E772B">
        <w:rPr>
          <w:rFonts w:asciiTheme="majorBidi" w:eastAsia="Times New Roman" w:hAnsiTheme="majorBidi" w:cstheme="majorBidi"/>
          <w:bCs/>
          <w:iCs/>
          <w:sz w:val="24"/>
          <w:szCs w:val="24"/>
        </w:rPr>
        <w:t xml:space="preserve"> also </w:t>
      </w:r>
      <w:r w:rsidR="000C5411">
        <w:rPr>
          <w:rFonts w:asciiTheme="majorBidi" w:eastAsia="Times New Roman" w:hAnsiTheme="majorBidi" w:cstheme="majorBidi"/>
          <w:bCs/>
          <w:iCs/>
          <w:sz w:val="24"/>
          <w:szCs w:val="24"/>
        </w:rPr>
        <w:t>be applicable</w:t>
      </w:r>
      <w:r w:rsidR="00E71696" w:rsidRPr="008E772B">
        <w:rPr>
          <w:rFonts w:asciiTheme="majorBidi" w:eastAsia="Times New Roman" w:hAnsiTheme="majorBidi" w:cstheme="majorBidi"/>
          <w:bCs/>
          <w:iCs/>
          <w:sz w:val="24"/>
          <w:szCs w:val="24"/>
        </w:rPr>
        <w:t>.</w:t>
      </w:r>
    </w:p>
    <w:p w14:paraId="73F279DB" w14:textId="77AE764B" w:rsidR="007C4420" w:rsidRPr="008E772B" w:rsidRDefault="00CE0ECB" w:rsidP="00E474BB">
      <w:pPr>
        <w:spacing w:after="0" w:line="360" w:lineRule="auto"/>
        <w:ind w:firstLine="720"/>
        <w:jc w:val="lowKashida"/>
        <w:rPr>
          <w:rFonts w:asciiTheme="majorBidi" w:eastAsia="Times New Roman" w:hAnsiTheme="majorBidi" w:cstheme="majorBidi"/>
          <w:bCs/>
          <w:sz w:val="24"/>
          <w:szCs w:val="24"/>
        </w:rPr>
      </w:pPr>
      <w:r>
        <w:rPr>
          <w:rFonts w:asciiTheme="majorBidi" w:eastAsia="Times New Roman" w:hAnsiTheme="majorBidi" w:cstheme="majorBidi"/>
          <w:bCs/>
          <w:sz w:val="24"/>
          <w:szCs w:val="24"/>
        </w:rPr>
        <w:t>However, i</w:t>
      </w:r>
      <w:r w:rsidR="00C211AA">
        <w:rPr>
          <w:rFonts w:asciiTheme="majorBidi" w:eastAsia="Times New Roman" w:hAnsiTheme="majorBidi" w:cstheme="majorBidi"/>
          <w:bCs/>
          <w:sz w:val="24"/>
          <w:szCs w:val="24"/>
        </w:rPr>
        <w:t>t is noticeable that</w:t>
      </w:r>
      <w:r w:rsidR="00F87F10" w:rsidRPr="008E772B">
        <w:rPr>
          <w:rFonts w:asciiTheme="majorBidi" w:eastAsia="Times New Roman" w:hAnsiTheme="majorBidi" w:cstheme="majorBidi"/>
          <w:bCs/>
          <w:sz w:val="24"/>
          <w:szCs w:val="24"/>
        </w:rPr>
        <w:t xml:space="preserve"> m</w:t>
      </w:r>
      <w:r w:rsidR="000F3D32" w:rsidRPr="008E772B">
        <w:rPr>
          <w:rFonts w:asciiTheme="majorBidi" w:eastAsia="Times New Roman" w:hAnsiTheme="majorBidi" w:cstheme="majorBidi"/>
          <w:bCs/>
          <w:sz w:val="24"/>
          <w:szCs w:val="24"/>
        </w:rPr>
        <w:t xml:space="preserve">ost </w:t>
      </w:r>
      <w:r w:rsidR="00F87F10" w:rsidRPr="008E772B">
        <w:rPr>
          <w:rFonts w:asciiTheme="majorBidi" w:eastAsia="Times New Roman" w:hAnsiTheme="majorBidi" w:cstheme="majorBidi"/>
          <w:bCs/>
          <w:sz w:val="24"/>
          <w:szCs w:val="24"/>
        </w:rPr>
        <w:t xml:space="preserve">empirical </w:t>
      </w:r>
      <w:r w:rsidR="007C4420" w:rsidRPr="008E772B">
        <w:rPr>
          <w:rFonts w:asciiTheme="majorBidi" w:eastAsia="Times New Roman" w:hAnsiTheme="majorBidi" w:cstheme="majorBidi"/>
          <w:bCs/>
          <w:sz w:val="24"/>
          <w:szCs w:val="24"/>
        </w:rPr>
        <w:t xml:space="preserve">studies on audit </w:t>
      </w:r>
      <w:r w:rsidR="002B4367">
        <w:rPr>
          <w:rFonts w:asciiTheme="majorBidi" w:eastAsia="Times New Roman" w:hAnsiTheme="majorBidi" w:cstheme="majorBidi"/>
          <w:bCs/>
          <w:sz w:val="24"/>
          <w:szCs w:val="24"/>
        </w:rPr>
        <w:t>quality</w:t>
      </w:r>
      <w:r w:rsidR="007C4420" w:rsidRPr="008E772B">
        <w:rPr>
          <w:rFonts w:asciiTheme="majorBidi" w:eastAsia="Times New Roman" w:hAnsiTheme="majorBidi" w:cstheme="majorBidi"/>
          <w:bCs/>
          <w:sz w:val="24"/>
          <w:szCs w:val="24"/>
        </w:rPr>
        <w:t xml:space="preserve"> </w:t>
      </w:r>
      <w:r w:rsidR="00294CCA" w:rsidRPr="008E772B">
        <w:rPr>
          <w:rFonts w:asciiTheme="majorBidi" w:eastAsia="Times New Roman" w:hAnsiTheme="majorBidi" w:cstheme="majorBidi"/>
          <w:bCs/>
          <w:sz w:val="24"/>
          <w:szCs w:val="24"/>
        </w:rPr>
        <w:t>have focused</w:t>
      </w:r>
      <w:r w:rsidR="0036448A" w:rsidRPr="008E772B">
        <w:rPr>
          <w:rFonts w:asciiTheme="majorBidi" w:eastAsia="Times New Roman" w:hAnsiTheme="majorBidi" w:cstheme="majorBidi"/>
          <w:bCs/>
          <w:sz w:val="24"/>
          <w:szCs w:val="24"/>
        </w:rPr>
        <w:t xml:space="preserve"> mainly</w:t>
      </w:r>
      <w:r w:rsidR="00294CCA" w:rsidRPr="008E772B">
        <w:rPr>
          <w:rFonts w:asciiTheme="majorBidi" w:eastAsia="Times New Roman" w:hAnsiTheme="majorBidi" w:cstheme="majorBidi"/>
          <w:bCs/>
          <w:sz w:val="24"/>
          <w:szCs w:val="24"/>
        </w:rPr>
        <w:t xml:space="preserve"> </w:t>
      </w:r>
      <w:r w:rsidR="007C4420" w:rsidRPr="008E772B">
        <w:rPr>
          <w:rFonts w:asciiTheme="majorBidi" w:eastAsia="Times New Roman" w:hAnsiTheme="majorBidi" w:cstheme="majorBidi"/>
          <w:bCs/>
          <w:sz w:val="24"/>
          <w:szCs w:val="24"/>
        </w:rPr>
        <w:t>on the client’s characteristics (e.g., size, complexity</w:t>
      </w:r>
      <w:r w:rsidR="00C8115C">
        <w:rPr>
          <w:rFonts w:asciiTheme="majorBidi" w:eastAsia="Times New Roman" w:hAnsiTheme="majorBidi" w:cstheme="majorBidi"/>
          <w:bCs/>
          <w:sz w:val="24"/>
          <w:szCs w:val="24"/>
        </w:rPr>
        <w:t>,</w:t>
      </w:r>
      <w:r w:rsidR="007C4420" w:rsidRPr="008E772B">
        <w:rPr>
          <w:rFonts w:asciiTheme="majorBidi" w:eastAsia="Times New Roman" w:hAnsiTheme="majorBidi" w:cstheme="majorBidi"/>
          <w:bCs/>
          <w:sz w:val="24"/>
          <w:szCs w:val="24"/>
        </w:rPr>
        <w:t xml:space="preserve"> and risk) (Simunic, 1980; </w:t>
      </w:r>
      <w:r w:rsidR="00D71172" w:rsidRPr="008E772B">
        <w:rPr>
          <w:rFonts w:asciiTheme="majorBidi" w:eastAsia="Times New Roman" w:hAnsiTheme="majorBidi" w:cstheme="majorBidi"/>
          <w:bCs/>
          <w:sz w:val="24"/>
          <w:szCs w:val="24"/>
        </w:rPr>
        <w:t xml:space="preserve">Gul </w:t>
      </w:r>
      <w:r w:rsidR="00D71172" w:rsidRPr="008E772B">
        <w:rPr>
          <w:rFonts w:asciiTheme="majorBidi" w:eastAsia="Times New Roman" w:hAnsiTheme="majorBidi" w:cstheme="majorBidi"/>
          <w:bCs/>
          <w:i/>
          <w:iCs/>
          <w:sz w:val="24"/>
          <w:szCs w:val="24"/>
        </w:rPr>
        <w:t>et al</w:t>
      </w:r>
      <w:r w:rsidR="00D71172" w:rsidRPr="008E772B">
        <w:rPr>
          <w:rFonts w:asciiTheme="majorBidi" w:eastAsia="Times New Roman" w:hAnsiTheme="majorBidi" w:cstheme="majorBidi"/>
          <w:bCs/>
          <w:sz w:val="24"/>
          <w:szCs w:val="24"/>
        </w:rPr>
        <w:t>., 2013</w:t>
      </w:r>
      <w:r w:rsidR="007C4420" w:rsidRPr="008E772B">
        <w:rPr>
          <w:rFonts w:asciiTheme="majorBidi" w:eastAsia="Times New Roman" w:hAnsiTheme="majorBidi" w:cstheme="majorBidi"/>
          <w:bCs/>
          <w:sz w:val="24"/>
          <w:szCs w:val="24"/>
        </w:rPr>
        <w:t xml:space="preserve">) and the client-auditor relationship (e.g., auditor tenure and the type of non-audit services) (O’Sullivan </w:t>
      </w:r>
      <w:r w:rsidR="001C5247" w:rsidRPr="008E772B">
        <w:rPr>
          <w:rFonts w:asciiTheme="majorBidi" w:eastAsia="Times New Roman" w:hAnsiTheme="majorBidi" w:cstheme="majorBidi"/>
          <w:bCs/>
          <w:sz w:val="24"/>
          <w:szCs w:val="24"/>
        </w:rPr>
        <w:t>&amp;</w:t>
      </w:r>
      <w:r w:rsidR="007C4420" w:rsidRPr="008E772B">
        <w:rPr>
          <w:rFonts w:asciiTheme="majorBidi" w:eastAsia="Times New Roman" w:hAnsiTheme="majorBidi" w:cstheme="majorBidi"/>
          <w:bCs/>
          <w:sz w:val="24"/>
          <w:szCs w:val="24"/>
        </w:rPr>
        <w:t xml:space="preserve"> Diacon, 2002</w:t>
      </w:r>
      <w:r w:rsidR="00296264" w:rsidRPr="008E772B">
        <w:rPr>
          <w:rFonts w:asciiTheme="majorBidi" w:eastAsia="Times New Roman" w:hAnsiTheme="majorBidi" w:cstheme="majorBidi"/>
          <w:bCs/>
          <w:sz w:val="24"/>
          <w:szCs w:val="24"/>
        </w:rPr>
        <w:t xml:space="preserve">; Klumpes </w:t>
      </w:r>
      <w:r w:rsidR="00296264" w:rsidRPr="008E772B">
        <w:rPr>
          <w:rFonts w:asciiTheme="majorBidi" w:eastAsia="Times New Roman" w:hAnsiTheme="majorBidi" w:cstheme="majorBidi"/>
          <w:bCs/>
          <w:i/>
          <w:iCs/>
          <w:sz w:val="24"/>
          <w:szCs w:val="24"/>
        </w:rPr>
        <w:t>et al</w:t>
      </w:r>
      <w:r w:rsidR="00296264" w:rsidRPr="008E772B">
        <w:rPr>
          <w:rFonts w:asciiTheme="majorBidi" w:eastAsia="Times New Roman" w:hAnsiTheme="majorBidi" w:cstheme="majorBidi"/>
          <w:bCs/>
          <w:sz w:val="24"/>
          <w:szCs w:val="24"/>
        </w:rPr>
        <w:t>., 2016</w:t>
      </w:r>
      <w:r w:rsidR="007C4420" w:rsidRPr="008E772B">
        <w:rPr>
          <w:rFonts w:asciiTheme="majorBidi" w:eastAsia="Times New Roman" w:hAnsiTheme="majorBidi" w:cstheme="majorBidi"/>
          <w:bCs/>
          <w:sz w:val="24"/>
          <w:szCs w:val="24"/>
        </w:rPr>
        <w:t xml:space="preserve">) to explain variations in </w:t>
      </w:r>
      <w:r w:rsidR="001F0AA9" w:rsidRPr="001F0AA9">
        <w:rPr>
          <w:rFonts w:asciiTheme="majorBidi" w:eastAsia="Times New Roman" w:hAnsiTheme="majorBidi" w:cstheme="majorBidi"/>
          <w:bCs/>
          <w:sz w:val="24"/>
          <w:szCs w:val="24"/>
        </w:rPr>
        <w:t>audit quality</w:t>
      </w:r>
      <w:r w:rsidR="007C4420" w:rsidRPr="008E772B">
        <w:rPr>
          <w:rFonts w:asciiTheme="majorBidi" w:eastAsia="Times New Roman" w:hAnsiTheme="majorBidi" w:cstheme="majorBidi"/>
          <w:bCs/>
          <w:sz w:val="24"/>
          <w:szCs w:val="24"/>
        </w:rPr>
        <w:t xml:space="preserve">. In response to calls for empirical testing of the relationship between </w:t>
      </w:r>
      <w:r w:rsidR="00BE451A" w:rsidRPr="008E772B">
        <w:rPr>
          <w:rFonts w:asciiTheme="majorBidi" w:eastAsia="Times New Roman" w:hAnsiTheme="majorBidi" w:cstheme="majorBidi"/>
          <w:bCs/>
          <w:sz w:val="24"/>
          <w:szCs w:val="24"/>
        </w:rPr>
        <w:t>governance</w:t>
      </w:r>
      <w:r w:rsidR="007C4420" w:rsidRPr="008E772B">
        <w:rPr>
          <w:rFonts w:asciiTheme="majorBidi" w:eastAsia="Times New Roman" w:hAnsiTheme="majorBidi" w:cstheme="majorBidi"/>
          <w:bCs/>
          <w:sz w:val="24"/>
          <w:szCs w:val="24"/>
        </w:rPr>
        <w:t xml:space="preserve"> and audit quality (Al</w:t>
      </w:r>
      <w:r w:rsidR="007C4420" w:rsidRPr="008E772B">
        <w:rPr>
          <w:rFonts w:asciiTheme="majorBidi" w:eastAsia="Times New Roman" w:hAnsiTheme="majorBidi" w:cstheme="majorBidi"/>
          <w:bCs/>
          <w:iCs/>
          <w:sz w:val="24"/>
          <w:szCs w:val="24"/>
        </w:rPr>
        <w:t>-Ajmi, 2009</w:t>
      </w:r>
      <w:r w:rsidR="007500CD">
        <w:rPr>
          <w:rFonts w:asciiTheme="majorBidi" w:eastAsia="Times New Roman" w:hAnsiTheme="majorBidi" w:cstheme="majorBidi"/>
          <w:bCs/>
          <w:iCs/>
          <w:sz w:val="24"/>
          <w:szCs w:val="24"/>
        </w:rPr>
        <w:t xml:space="preserve">; </w:t>
      </w:r>
      <w:r w:rsidR="007500CD" w:rsidRPr="00F808B6">
        <w:rPr>
          <w:rFonts w:asciiTheme="majorBidi" w:eastAsia="Times New Roman" w:hAnsiTheme="majorBidi" w:cstheme="majorBidi"/>
          <w:bCs/>
          <w:iCs/>
          <w:sz w:val="24"/>
          <w:szCs w:val="24"/>
        </w:rPr>
        <w:t xml:space="preserve">Ben-Hassoun </w:t>
      </w:r>
      <w:r w:rsidR="007500CD" w:rsidRPr="002513C0">
        <w:rPr>
          <w:rFonts w:asciiTheme="majorBidi" w:eastAsia="Times New Roman" w:hAnsiTheme="majorBidi" w:cstheme="majorBidi"/>
          <w:bCs/>
          <w:i/>
          <w:iCs/>
          <w:sz w:val="24"/>
          <w:szCs w:val="24"/>
        </w:rPr>
        <w:t>et al.,</w:t>
      </w:r>
      <w:r w:rsidR="007500CD">
        <w:rPr>
          <w:rFonts w:asciiTheme="majorBidi" w:eastAsia="Times New Roman" w:hAnsiTheme="majorBidi" w:cstheme="majorBidi"/>
          <w:bCs/>
          <w:iCs/>
          <w:sz w:val="24"/>
          <w:szCs w:val="24"/>
        </w:rPr>
        <w:t xml:space="preserve"> </w:t>
      </w:r>
      <w:r w:rsidR="007500CD" w:rsidRPr="00F808B6">
        <w:rPr>
          <w:rFonts w:asciiTheme="majorBidi" w:eastAsia="Times New Roman" w:hAnsiTheme="majorBidi" w:cstheme="majorBidi"/>
          <w:bCs/>
          <w:iCs/>
          <w:sz w:val="24"/>
          <w:szCs w:val="24"/>
        </w:rPr>
        <w:t>2018</w:t>
      </w:r>
      <w:r w:rsidR="007C4420" w:rsidRPr="008E772B">
        <w:rPr>
          <w:rFonts w:asciiTheme="majorBidi" w:eastAsia="Times New Roman" w:hAnsiTheme="majorBidi" w:cstheme="majorBidi"/>
          <w:bCs/>
          <w:sz w:val="24"/>
          <w:szCs w:val="24"/>
        </w:rPr>
        <w:t xml:space="preserve">), this </w:t>
      </w:r>
      <w:r w:rsidR="005C72BE" w:rsidRPr="008E772B">
        <w:rPr>
          <w:rFonts w:asciiTheme="majorBidi" w:eastAsia="Times New Roman" w:hAnsiTheme="majorBidi" w:cstheme="majorBidi"/>
          <w:bCs/>
          <w:sz w:val="24"/>
          <w:szCs w:val="24"/>
        </w:rPr>
        <w:t>study</w:t>
      </w:r>
      <w:r w:rsidR="007C4420" w:rsidRPr="008E772B">
        <w:rPr>
          <w:rFonts w:asciiTheme="majorBidi" w:eastAsia="Times New Roman" w:hAnsiTheme="majorBidi" w:cstheme="majorBidi"/>
          <w:bCs/>
          <w:sz w:val="24"/>
          <w:szCs w:val="24"/>
        </w:rPr>
        <w:t xml:space="preserve"> </w:t>
      </w:r>
      <w:r w:rsidR="00A52EB6" w:rsidRPr="008E772B">
        <w:rPr>
          <w:rFonts w:asciiTheme="majorBidi" w:eastAsia="Times New Roman" w:hAnsiTheme="majorBidi" w:cstheme="majorBidi"/>
          <w:bCs/>
          <w:sz w:val="24"/>
          <w:szCs w:val="24"/>
        </w:rPr>
        <w:t>seeks</w:t>
      </w:r>
      <w:r w:rsidR="007C4420" w:rsidRPr="008E772B">
        <w:rPr>
          <w:rFonts w:asciiTheme="majorBidi" w:eastAsia="Times New Roman" w:hAnsiTheme="majorBidi" w:cstheme="majorBidi"/>
          <w:bCs/>
          <w:sz w:val="24"/>
          <w:szCs w:val="24"/>
        </w:rPr>
        <w:t xml:space="preserve"> to investigate the impact of</w:t>
      </w:r>
      <w:r w:rsidR="000F3D32" w:rsidRPr="008E772B">
        <w:rPr>
          <w:rFonts w:asciiTheme="majorBidi" w:eastAsia="Times New Roman" w:hAnsiTheme="majorBidi" w:cstheme="majorBidi"/>
          <w:bCs/>
          <w:sz w:val="24"/>
          <w:szCs w:val="24"/>
        </w:rPr>
        <w:t xml:space="preserve"> various </w:t>
      </w:r>
      <w:r w:rsidR="00AE4336" w:rsidRPr="008E772B">
        <w:rPr>
          <w:rFonts w:asciiTheme="majorBidi" w:eastAsia="Times New Roman" w:hAnsiTheme="majorBidi" w:cstheme="majorBidi"/>
          <w:bCs/>
          <w:sz w:val="24"/>
          <w:szCs w:val="24"/>
        </w:rPr>
        <w:t xml:space="preserve">firm- and country-level </w:t>
      </w:r>
      <w:r w:rsidR="00BE451A" w:rsidRPr="008E772B">
        <w:rPr>
          <w:rFonts w:asciiTheme="majorBidi" w:eastAsia="Times New Roman" w:hAnsiTheme="majorBidi" w:cstheme="majorBidi"/>
          <w:bCs/>
          <w:sz w:val="24"/>
          <w:szCs w:val="24"/>
        </w:rPr>
        <w:t>governance</w:t>
      </w:r>
      <w:r w:rsidR="000F3D32" w:rsidRPr="008E772B">
        <w:rPr>
          <w:rFonts w:asciiTheme="majorBidi" w:eastAsia="Times New Roman" w:hAnsiTheme="majorBidi" w:cstheme="majorBidi"/>
          <w:bCs/>
          <w:sz w:val="24"/>
          <w:szCs w:val="24"/>
        </w:rPr>
        <w:t xml:space="preserve"> mechanisms</w:t>
      </w:r>
      <w:r w:rsidR="007C4420" w:rsidRPr="008E772B">
        <w:rPr>
          <w:rFonts w:asciiTheme="majorBidi" w:eastAsia="Times New Roman" w:hAnsiTheme="majorBidi" w:cstheme="majorBidi"/>
          <w:bCs/>
          <w:sz w:val="24"/>
          <w:szCs w:val="24"/>
        </w:rPr>
        <w:t xml:space="preserve"> on </w:t>
      </w:r>
      <w:r w:rsidR="00F313A0" w:rsidRPr="00F313A0">
        <w:rPr>
          <w:rFonts w:asciiTheme="majorBidi" w:eastAsia="Times New Roman" w:hAnsiTheme="majorBidi" w:cstheme="majorBidi"/>
          <w:bCs/>
          <w:sz w:val="24"/>
          <w:szCs w:val="24"/>
        </w:rPr>
        <w:t>audit quality</w:t>
      </w:r>
      <w:r w:rsidR="007C4420" w:rsidRPr="008E772B">
        <w:rPr>
          <w:rFonts w:asciiTheme="majorBidi" w:eastAsia="Times New Roman" w:hAnsiTheme="majorBidi" w:cstheme="majorBidi"/>
          <w:bCs/>
          <w:sz w:val="24"/>
          <w:szCs w:val="24"/>
        </w:rPr>
        <w:t>.</w:t>
      </w:r>
      <w:r w:rsidR="00642CCA" w:rsidRPr="008E772B">
        <w:rPr>
          <w:rFonts w:asciiTheme="majorBidi" w:eastAsia="Times New Roman" w:hAnsiTheme="majorBidi" w:cstheme="majorBidi"/>
          <w:bCs/>
          <w:sz w:val="24"/>
          <w:szCs w:val="24"/>
        </w:rPr>
        <w:t xml:space="preserve"> </w:t>
      </w:r>
      <w:r w:rsidR="00A52EB6" w:rsidRPr="008E772B">
        <w:rPr>
          <w:rFonts w:asciiTheme="majorBidi" w:eastAsia="Times New Roman" w:hAnsiTheme="majorBidi" w:cstheme="majorBidi"/>
          <w:bCs/>
          <w:sz w:val="24"/>
          <w:szCs w:val="24"/>
        </w:rPr>
        <w:t>Similarly, m</w:t>
      </w:r>
      <w:r w:rsidR="007C4420" w:rsidRPr="008E772B">
        <w:rPr>
          <w:rFonts w:asciiTheme="majorBidi" w:eastAsia="Times New Roman" w:hAnsiTheme="majorBidi" w:cstheme="majorBidi"/>
          <w:bCs/>
          <w:sz w:val="24"/>
          <w:szCs w:val="24"/>
        </w:rPr>
        <w:t>ost of the</w:t>
      </w:r>
      <w:r w:rsidR="008501A4" w:rsidRPr="008E772B">
        <w:rPr>
          <w:rFonts w:asciiTheme="majorBidi" w:eastAsia="Times New Roman" w:hAnsiTheme="majorBidi" w:cstheme="majorBidi"/>
          <w:bCs/>
          <w:sz w:val="24"/>
          <w:szCs w:val="24"/>
        </w:rPr>
        <w:t xml:space="preserve"> existing</w:t>
      </w:r>
      <w:r w:rsidR="007C4420" w:rsidRPr="008E772B">
        <w:rPr>
          <w:rFonts w:asciiTheme="majorBidi" w:eastAsia="Times New Roman" w:hAnsiTheme="majorBidi" w:cstheme="majorBidi"/>
          <w:bCs/>
          <w:sz w:val="24"/>
          <w:szCs w:val="24"/>
        </w:rPr>
        <w:t xml:space="preserve"> </w:t>
      </w:r>
      <w:r w:rsidR="008501A4" w:rsidRPr="008E772B">
        <w:rPr>
          <w:rFonts w:asciiTheme="majorBidi" w:eastAsia="Times New Roman" w:hAnsiTheme="majorBidi" w:cstheme="majorBidi"/>
          <w:bCs/>
          <w:sz w:val="24"/>
          <w:szCs w:val="24"/>
        </w:rPr>
        <w:t xml:space="preserve">studies on </w:t>
      </w:r>
      <w:r w:rsidR="00F313A0" w:rsidRPr="00F313A0">
        <w:rPr>
          <w:rFonts w:asciiTheme="majorBidi" w:eastAsia="Times New Roman" w:hAnsiTheme="majorBidi" w:cstheme="majorBidi"/>
          <w:bCs/>
          <w:sz w:val="24"/>
          <w:szCs w:val="24"/>
        </w:rPr>
        <w:t xml:space="preserve">audit quality </w:t>
      </w:r>
      <w:r w:rsidR="008501A4" w:rsidRPr="008E772B">
        <w:rPr>
          <w:rFonts w:asciiTheme="majorBidi" w:eastAsia="Times New Roman" w:hAnsiTheme="majorBidi" w:cstheme="majorBidi"/>
          <w:bCs/>
          <w:sz w:val="24"/>
          <w:szCs w:val="24"/>
        </w:rPr>
        <w:t>have been conducted in</w:t>
      </w:r>
      <w:r w:rsidR="007C4420" w:rsidRPr="008E772B">
        <w:rPr>
          <w:rFonts w:asciiTheme="majorBidi" w:eastAsia="Times New Roman" w:hAnsiTheme="majorBidi" w:cstheme="majorBidi"/>
          <w:bCs/>
          <w:sz w:val="24"/>
          <w:szCs w:val="24"/>
        </w:rPr>
        <w:t xml:space="preserve"> developed countries (e.g., the US and UK)</w:t>
      </w:r>
      <w:r w:rsidR="008501A4" w:rsidRPr="008E772B">
        <w:rPr>
          <w:rFonts w:asciiTheme="majorBidi" w:eastAsia="Times New Roman" w:hAnsiTheme="majorBidi" w:cstheme="majorBidi"/>
          <w:bCs/>
          <w:sz w:val="24"/>
          <w:szCs w:val="24"/>
        </w:rPr>
        <w:t>,</w:t>
      </w:r>
      <w:r w:rsidR="007C4420" w:rsidRPr="008E772B">
        <w:rPr>
          <w:rFonts w:asciiTheme="majorBidi" w:eastAsia="Times New Roman" w:hAnsiTheme="majorBidi" w:cstheme="majorBidi"/>
          <w:bCs/>
          <w:sz w:val="24"/>
          <w:szCs w:val="24"/>
        </w:rPr>
        <w:t xml:space="preserve"> where the audit market and </w:t>
      </w:r>
      <w:r w:rsidR="00BE451A" w:rsidRPr="008E772B">
        <w:rPr>
          <w:rFonts w:asciiTheme="majorBidi" w:eastAsia="Times New Roman" w:hAnsiTheme="majorBidi" w:cstheme="majorBidi"/>
          <w:bCs/>
          <w:sz w:val="24"/>
          <w:szCs w:val="24"/>
        </w:rPr>
        <w:t>governance</w:t>
      </w:r>
      <w:r w:rsidR="007C4420" w:rsidRPr="008E772B">
        <w:rPr>
          <w:rFonts w:asciiTheme="majorBidi" w:eastAsia="Times New Roman" w:hAnsiTheme="majorBidi" w:cstheme="majorBidi"/>
          <w:bCs/>
          <w:sz w:val="24"/>
          <w:szCs w:val="24"/>
        </w:rPr>
        <w:t xml:space="preserve"> environment are not identical </w:t>
      </w:r>
      <w:r w:rsidR="005B3877" w:rsidRPr="008E772B">
        <w:rPr>
          <w:rFonts w:asciiTheme="majorBidi" w:eastAsia="Times New Roman" w:hAnsiTheme="majorBidi" w:cstheme="majorBidi"/>
          <w:bCs/>
          <w:sz w:val="24"/>
          <w:szCs w:val="24"/>
        </w:rPr>
        <w:t>to</w:t>
      </w:r>
      <w:r w:rsidR="007C4420" w:rsidRPr="008E772B">
        <w:rPr>
          <w:rFonts w:asciiTheme="majorBidi" w:eastAsia="Times New Roman" w:hAnsiTheme="majorBidi" w:cstheme="majorBidi"/>
          <w:bCs/>
          <w:sz w:val="24"/>
          <w:szCs w:val="24"/>
        </w:rPr>
        <w:t xml:space="preserve"> those in the MENA region</w:t>
      </w:r>
      <w:r w:rsidR="00902C59" w:rsidRPr="008E772B">
        <w:rPr>
          <w:rFonts w:asciiTheme="majorBidi" w:eastAsia="Times New Roman" w:hAnsiTheme="majorBidi" w:cstheme="majorBidi"/>
          <w:bCs/>
          <w:sz w:val="24"/>
          <w:szCs w:val="24"/>
        </w:rPr>
        <w:t xml:space="preserve"> </w:t>
      </w:r>
      <w:r w:rsidR="00806DDE" w:rsidRPr="008E772B">
        <w:rPr>
          <w:rFonts w:asciiTheme="majorBidi" w:eastAsia="Times New Roman" w:hAnsiTheme="majorBidi" w:cstheme="majorBidi"/>
          <w:bCs/>
          <w:sz w:val="24"/>
          <w:szCs w:val="24"/>
        </w:rPr>
        <w:t xml:space="preserve">and </w:t>
      </w:r>
      <w:r w:rsidR="00D60CD2">
        <w:rPr>
          <w:rFonts w:asciiTheme="majorBidi" w:eastAsia="Times New Roman" w:hAnsiTheme="majorBidi" w:cstheme="majorBidi"/>
          <w:bCs/>
          <w:sz w:val="24"/>
          <w:szCs w:val="24"/>
        </w:rPr>
        <w:t xml:space="preserve">thus, </w:t>
      </w:r>
      <w:r w:rsidR="00806DDE" w:rsidRPr="008E772B">
        <w:rPr>
          <w:rFonts w:asciiTheme="majorBidi" w:eastAsia="Times New Roman" w:hAnsiTheme="majorBidi" w:cstheme="majorBidi"/>
          <w:bCs/>
          <w:sz w:val="24"/>
          <w:szCs w:val="24"/>
        </w:rPr>
        <w:t xml:space="preserve">are expected to affect </w:t>
      </w:r>
      <w:r w:rsidR="00F313A0" w:rsidRPr="00F313A0">
        <w:rPr>
          <w:rFonts w:asciiTheme="majorBidi" w:eastAsia="Times New Roman" w:hAnsiTheme="majorBidi" w:cstheme="majorBidi"/>
          <w:bCs/>
          <w:sz w:val="24"/>
          <w:szCs w:val="24"/>
        </w:rPr>
        <w:t xml:space="preserve">audit quality </w:t>
      </w:r>
      <w:r w:rsidR="00D60CD2">
        <w:rPr>
          <w:rFonts w:asciiTheme="majorBidi" w:eastAsia="Times New Roman" w:hAnsiTheme="majorBidi" w:cstheme="majorBidi"/>
          <w:bCs/>
          <w:sz w:val="24"/>
          <w:szCs w:val="24"/>
        </w:rPr>
        <w:t xml:space="preserve">differently </w:t>
      </w:r>
      <w:r w:rsidR="007C4420" w:rsidRPr="008E772B">
        <w:rPr>
          <w:rFonts w:asciiTheme="majorBidi" w:eastAsia="Times New Roman" w:hAnsiTheme="majorBidi" w:cstheme="majorBidi"/>
          <w:bCs/>
          <w:sz w:val="24"/>
          <w:szCs w:val="24"/>
        </w:rPr>
        <w:t xml:space="preserve">(Chan </w:t>
      </w:r>
      <w:r w:rsidR="007C4420" w:rsidRPr="008E772B">
        <w:rPr>
          <w:rFonts w:asciiTheme="majorBidi" w:eastAsia="Times New Roman" w:hAnsiTheme="majorBidi" w:cstheme="majorBidi"/>
          <w:bCs/>
          <w:i/>
          <w:sz w:val="24"/>
          <w:szCs w:val="24"/>
        </w:rPr>
        <w:t>et al</w:t>
      </w:r>
      <w:r w:rsidR="007C4420" w:rsidRPr="008E772B">
        <w:rPr>
          <w:rFonts w:asciiTheme="majorBidi" w:eastAsia="Times New Roman" w:hAnsiTheme="majorBidi" w:cstheme="majorBidi"/>
          <w:bCs/>
          <w:sz w:val="24"/>
          <w:szCs w:val="24"/>
        </w:rPr>
        <w:t xml:space="preserve">., 1993; Carcello </w:t>
      </w:r>
      <w:r w:rsidR="007C4420" w:rsidRPr="008E772B">
        <w:rPr>
          <w:rFonts w:asciiTheme="majorBidi" w:eastAsia="Times New Roman" w:hAnsiTheme="majorBidi" w:cstheme="majorBidi"/>
          <w:bCs/>
          <w:i/>
          <w:sz w:val="24"/>
          <w:szCs w:val="24"/>
        </w:rPr>
        <w:t>et al</w:t>
      </w:r>
      <w:r w:rsidR="007C4420" w:rsidRPr="008E772B">
        <w:rPr>
          <w:rFonts w:asciiTheme="majorBidi" w:eastAsia="Times New Roman" w:hAnsiTheme="majorBidi" w:cstheme="majorBidi"/>
          <w:bCs/>
          <w:sz w:val="24"/>
          <w:szCs w:val="24"/>
        </w:rPr>
        <w:t>., 2002; Al</w:t>
      </w:r>
      <w:r w:rsidR="007C4420" w:rsidRPr="008E772B">
        <w:rPr>
          <w:rFonts w:asciiTheme="majorBidi" w:eastAsia="Times New Roman" w:hAnsiTheme="majorBidi" w:cstheme="majorBidi"/>
          <w:bCs/>
          <w:iCs/>
          <w:sz w:val="24"/>
          <w:szCs w:val="24"/>
        </w:rPr>
        <w:t>-Ajmi, 2009</w:t>
      </w:r>
      <w:r w:rsidR="0001064E" w:rsidRPr="008E772B">
        <w:rPr>
          <w:rFonts w:asciiTheme="majorBidi" w:eastAsia="Times New Roman" w:hAnsiTheme="majorBidi" w:cstheme="majorBidi"/>
          <w:bCs/>
          <w:iCs/>
          <w:sz w:val="24"/>
          <w:szCs w:val="24"/>
        </w:rPr>
        <w:t xml:space="preserve">; </w:t>
      </w:r>
      <w:r w:rsidR="0001064E" w:rsidRPr="008E772B">
        <w:rPr>
          <w:rFonts w:asciiTheme="majorBidi" w:eastAsia="Calibri" w:hAnsiTheme="majorBidi" w:cstheme="majorBidi"/>
          <w:sz w:val="24"/>
          <w:szCs w:val="24"/>
          <w:lang w:eastAsia="en-US"/>
        </w:rPr>
        <w:t xml:space="preserve">Gul </w:t>
      </w:r>
      <w:r w:rsidR="0001064E" w:rsidRPr="008E772B">
        <w:rPr>
          <w:rFonts w:asciiTheme="majorBidi" w:eastAsia="Calibri" w:hAnsiTheme="majorBidi" w:cstheme="majorBidi"/>
          <w:i/>
          <w:iCs/>
          <w:sz w:val="24"/>
          <w:szCs w:val="24"/>
          <w:lang w:eastAsia="en-US"/>
        </w:rPr>
        <w:t>et al</w:t>
      </w:r>
      <w:r w:rsidR="0001064E" w:rsidRPr="008E772B">
        <w:rPr>
          <w:rFonts w:asciiTheme="majorBidi" w:eastAsia="Calibri" w:hAnsiTheme="majorBidi" w:cstheme="majorBidi"/>
          <w:sz w:val="24"/>
          <w:szCs w:val="24"/>
          <w:lang w:eastAsia="en-US"/>
        </w:rPr>
        <w:t>, 2013</w:t>
      </w:r>
      <w:r w:rsidR="007500CD">
        <w:rPr>
          <w:rFonts w:asciiTheme="majorBidi" w:eastAsia="Calibri" w:hAnsiTheme="majorBidi" w:cstheme="majorBidi"/>
          <w:sz w:val="24"/>
          <w:szCs w:val="24"/>
          <w:lang w:eastAsia="en-US"/>
        </w:rPr>
        <w:t xml:space="preserve">; </w:t>
      </w:r>
      <w:r w:rsidR="007500CD" w:rsidRPr="00F808B6">
        <w:rPr>
          <w:rFonts w:asciiTheme="majorBidi" w:eastAsia="Times New Roman" w:hAnsiTheme="majorBidi" w:cstheme="majorBidi"/>
          <w:bCs/>
          <w:iCs/>
          <w:sz w:val="24"/>
          <w:szCs w:val="24"/>
        </w:rPr>
        <w:t xml:space="preserve">Ben-Hassoun </w:t>
      </w:r>
      <w:r w:rsidR="007500CD" w:rsidRPr="002513C0">
        <w:rPr>
          <w:rFonts w:asciiTheme="majorBidi" w:eastAsia="Times New Roman" w:hAnsiTheme="majorBidi" w:cstheme="majorBidi"/>
          <w:bCs/>
          <w:i/>
          <w:iCs/>
          <w:sz w:val="24"/>
          <w:szCs w:val="24"/>
        </w:rPr>
        <w:t>et al.,</w:t>
      </w:r>
      <w:r w:rsidR="007500CD">
        <w:rPr>
          <w:rFonts w:asciiTheme="majorBidi" w:eastAsia="Times New Roman" w:hAnsiTheme="majorBidi" w:cstheme="majorBidi"/>
          <w:bCs/>
          <w:iCs/>
          <w:sz w:val="24"/>
          <w:szCs w:val="24"/>
        </w:rPr>
        <w:t xml:space="preserve"> </w:t>
      </w:r>
      <w:r w:rsidR="007500CD" w:rsidRPr="00F808B6">
        <w:rPr>
          <w:rFonts w:asciiTheme="majorBidi" w:eastAsia="Times New Roman" w:hAnsiTheme="majorBidi" w:cstheme="majorBidi"/>
          <w:bCs/>
          <w:iCs/>
          <w:sz w:val="24"/>
          <w:szCs w:val="24"/>
        </w:rPr>
        <w:t>2018</w:t>
      </w:r>
      <w:r w:rsidR="007C4420" w:rsidRPr="008E772B">
        <w:rPr>
          <w:rFonts w:asciiTheme="majorBidi" w:eastAsia="Times New Roman" w:hAnsiTheme="majorBidi" w:cstheme="majorBidi"/>
          <w:bCs/>
          <w:sz w:val="24"/>
          <w:szCs w:val="24"/>
        </w:rPr>
        <w:t>).</w:t>
      </w:r>
      <w:r w:rsidR="001D33EC" w:rsidRPr="008E772B">
        <w:rPr>
          <w:rFonts w:asciiTheme="majorBidi" w:eastAsiaTheme="minorHAnsi" w:hAnsiTheme="majorBidi" w:cstheme="majorBidi"/>
          <w:color w:val="FF0000"/>
          <w:sz w:val="24"/>
          <w:szCs w:val="24"/>
          <w:lang w:eastAsia="en-US"/>
        </w:rPr>
        <w:t xml:space="preserve"> </w:t>
      </w:r>
      <w:r w:rsidR="005836F3" w:rsidRPr="000972D1">
        <w:rPr>
          <w:rFonts w:asciiTheme="majorBidi" w:eastAsiaTheme="minorHAnsi" w:hAnsiTheme="majorBidi" w:cstheme="majorBidi"/>
          <w:sz w:val="24"/>
          <w:szCs w:val="24"/>
          <w:lang w:eastAsia="en-US"/>
        </w:rPr>
        <w:t>For example</w:t>
      </w:r>
      <w:r w:rsidR="006B35D7" w:rsidRPr="000972D1">
        <w:rPr>
          <w:rFonts w:asciiTheme="majorBidi" w:eastAsiaTheme="minorHAnsi" w:hAnsiTheme="majorBidi" w:cstheme="majorBidi"/>
          <w:sz w:val="24"/>
          <w:szCs w:val="24"/>
          <w:lang w:eastAsia="en-US"/>
        </w:rPr>
        <w:t xml:space="preserve">, Barroso </w:t>
      </w:r>
      <w:r w:rsidR="006B35D7" w:rsidRPr="000972D1">
        <w:rPr>
          <w:rFonts w:asciiTheme="majorBidi" w:eastAsia="Times New Roman" w:hAnsiTheme="majorBidi" w:cstheme="majorBidi"/>
          <w:bCs/>
          <w:i/>
          <w:iCs/>
          <w:sz w:val="24"/>
          <w:szCs w:val="24"/>
        </w:rPr>
        <w:t>et al.</w:t>
      </w:r>
      <w:r w:rsidR="006B35D7" w:rsidRPr="000972D1">
        <w:rPr>
          <w:rFonts w:asciiTheme="majorBidi" w:eastAsiaTheme="minorHAnsi" w:hAnsiTheme="majorBidi" w:cstheme="majorBidi"/>
          <w:sz w:val="24"/>
          <w:szCs w:val="24"/>
          <w:lang w:eastAsia="en-US"/>
        </w:rPr>
        <w:t xml:space="preserve"> </w:t>
      </w:r>
      <w:r w:rsidR="00D60CD2" w:rsidRPr="000972D1">
        <w:rPr>
          <w:rFonts w:asciiTheme="majorBidi" w:eastAsiaTheme="minorHAnsi" w:hAnsiTheme="majorBidi" w:cstheme="majorBidi"/>
          <w:sz w:val="24"/>
          <w:szCs w:val="24"/>
          <w:lang w:eastAsia="en-US"/>
        </w:rPr>
        <w:t>(</w:t>
      </w:r>
      <w:r w:rsidR="006B35D7" w:rsidRPr="000972D1">
        <w:rPr>
          <w:rFonts w:asciiTheme="majorBidi" w:eastAsiaTheme="minorHAnsi" w:hAnsiTheme="majorBidi" w:cstheme="majorBidi"/>
          <w:sz w:val="24"/>
          <w:szCs w:val="24"/>
          <w:lang w:eastAsia="en-US"/>
        </w:rPr>
        <w:t>2018</w:t>
      </w:r>
      <w:r w:rsidR="00D60CD2" w:rsidRPr="000972D1">
        <w:rPr>
          <w:rFonts w:asciiTheme="majorBidi" w:eastAsiaTheme="minorHAnsi" w:hAnsiTheme="majorBidi" w:cstheme="majorBidi"/>
          <w:sz w:val="24"/>
          <w:szCs w:val="24"/>
          <w:lang w:eastAsia="en-US"/>
        </w:rPr>
        <w:t>)</w:t>
      </w:r>
      <w:r w:rsidR="006B35D7" w:rsidRPr="000972D1">
        <w:rPr>
          <w:rFonts w:asciiTheme="majorBidi" w:eastAsiaTheme="minorHAnsi" w:hAnsiTheme="majorBidi" w:cstheme="majorBidi"/>
          <w:sz w:val="24"/>
          <w:szCs w:val="24"/>
          <w:lang w:eastAsia="en-US"/>
        </w:rPr>
        <w:t xml:space="preserve"> examine how two prominent </w:t>
      </w:r>
      <w:r w:rsidR="00A34861" w:rsidRPr="00A34861">
        <w:rPr>
          <w:rFonts w:asciiTheme="majorBidi" w:eastAsiaTheme="minorHAnsi" w:hAnsiTheme="majorBidi" w:cstheme="majorBidi"/>
          <w:bCs/>
          <w:iCs/>
          <w:sz w:val="24"/>
          <w:szCs w:val="24"/>
          <w:lang w:eastAsia="en-US"/>
        </w:rPr>
        <w:t>corporate governance</w:t>
      </w:r>
      <w:r w:rsidR="00A34861" w:rsidRPr="00A34861">
        <w:rPr>
          <w:rFonts w:asciiTheme="majorBidi" w:eastAsiaTheme="minorHAnsi" w:hAnsiTheme="majorBidi" w:cstheme="majorBidi"/>
          <w:sz w:val="24"/>
          <w:szCs w:val="24"/>
          <w:lang w:eastAsia="en-US"/>
        </w:rPr>
        <w:t xml:space="preserve"> </w:t>
      </w:r>
      <w:r w:rsidR="006B35D7" w:rsidRPr="000972D1">
        <w:rPr>
          <w:rFonts w:asciiTheme="majorBidi" w:eastAsiaTheme="minorHAnsi" w:hAnsiTheme="majorBidi" w:cstheme="majorBidi"/>
          <w:sz w:val="24"/>
          <w:szCs w:val="24"/>
          <w:lang w:eastAsia="en-US"/>
        </w:rPr>
        <w:t>models, namely the shareholder and stakeholder models</w:t>
      </w:r>
      <w:r w:rsidR="00D60CD2" w:rsidRPr="000972D1">
        <w:rPr>
          <w:rFonts w:asciiTheme="majorBidi" w:eastAsiaTheme="minorHAnsi" w:hAnsiTheme="majorBidi" w:cstheme="majorBidi"/>
          <w:sz w:val="24"/>
          <w:szCs w:val="24"/>
          <w:lang w:eastAsia="en-US"/>
        </w:rPr>
        <w:t xml:space="preserve"> tend to</w:t>
      </w:r>
      <w:r w:rsidR="006B35D7" w:rsidRPr="000972D1">
        <w:rPr>
          <w:rFonts w:asciiTheme="majorBidi" w:eastAsiaTheme="minorHAnsi" w:hAnsiTheme="majorBidi" w:cstheme="majorBidi"/>
          <w:sz w:val="24"/>
          <w:szCs w:val="24"/>
          <w:lang w:eastAsia="en-US"/>
        </w:rPr>
        <w:t xml:space="preserve"> have different effects on the relation</w:t>
      </w:r>
      <w:r w:rsidR="004863F2">
        <w:rPr>
          <w:rFonts w:asciiTheme="majorBidi" w:eastAsiaTheme="minorHAnsi" w:hAnsiTheme="majorBidi" w:cstheme="majorBidi"/>
          <w:sz w:val="24"/>
          <w:szCs w:val="24"/>
          <w:lang w:eastAsia="en-US"/>
        </w:rPr>
        <w:t>ship</w:t>
      </w:r>
      <w:r w:rsidR="006B35D7" w:rsidRPr="000972D1">
        <w:rPr>
          <w:rFonts w:asciiTheme="majorBidi" w:eastAsiaTheme="minorHAnsi" w:hAnsiTheme="majorBidi" w:cstheme="majorBidi"/>
          <w:sz w:val="24"/>
          <w:szCs w:val="24"/>
          <w:lang w:eastAsia="en-US"/>
        </w:rPr>
        <w:t xml:space="preserve"> between block ownership and audit fees in 19 countries</w:t>
      </w:r>
      <w:r w:rsidR="00D60CD2" w:rsidRPr="000972D1">
        <w:rPr>
          <w:rFonts w:asciiTheme="majorBidi" w:eastAsiaTheme="minorHAnsi" w:hAnsiTheme="majorBidi" w:cstheme="majorBidi"/>
          <w:sz w:val="24"/>
          <w:szCs w:val="24"/>
          <w:lang w:eastAsia="en-US"/>
        </w:rPr>
        <w:t>, but did not include any developing or MENA countries in their sample</w:t>
      </w:r>
      <w:r w:rsidR="006B35D7" w:rsidRPr="000972D1">
        <w:rPr>
          <w:rFonts w:asciiTheme="majorBidi" w:eastAsiaTheme="minorHAnsi" w:hAnsiTheme="majorBidi" w:cstheme="majorBidi"/>
          <w:sz w:val="24"/>
          <w:szCs w:val="24"/>
          <w:lang w:eastAsia="en-US"/>
        </w:rPr>
        <w:t>.</w:t>
      </w:r>
      <w:r w:rsidR="006B35D7" w:rsidRPr="003B07D2">
        <w:rPr>
          <w:rFonts w:asciiTheme="majorBidi" w:eastAsiaTheme="minorHAnsi" w:hAnsiTheme="majorBidi" w:cstheme="majorBidi"/>
          <w:sz w:val="24"/>
          <w:szCs w:val="24"/>
          <w:lang w:eastAsia="en-US"/>
        </w:rPr>
        <w:t xml:space="preserve"> </w:t>
      </w:r>
      <w:r w:rsidR="006B5816" w:rsidRPr="00CF4BFD">
        <w:rPr>
          <w:rFonts w:asciiTheme="majorBidi" w:eastAsia="Times New Roman" w:hAnsiTheme="majorBidi" w:cstheme="majorBidi"/>
          <w:bCs/>
          <w:sz w:val="24"/>
          <w:szCs w:val="24"/>
        </w:rPr>
        <w:t>In particular, the</w:t>
      </w:r>
      <w:r w:rsidR="006B5816">
        <w:rPr>
          <w:rFonts w:asciiTheme="majorBidi" w:eastAsiaTheme="minorHAnsi" w:hAnsiTheme="majorBidi" w:cstheme="majorBidi"/>
          <w:color w:val="FF0000"/>
          <w:sz w:val="24"/>
          <w:szCs w:val="24"/>
          <w:lang w:eastAsia="en-US"/>
        </w:rPr>
        <w:t xml:space="preserve"> </w:t>
      </w:r>
      <w:r w:rsidR="001D33EC" w:rsidRPr="008E772B">
        <w:rPr>
          <w:rFonts w:asciiTheme="majorBidi" w:eastAsia="Times New Roman" w:hAnsiTheme="majorBidi" w:cstheme="majorBidi"/>
          <w:bCs/>
          <w:sz w:val="24"/>
          <w:szCs w:val="24"/>
        </w:rPr>
        <w:t xml:space="preserve">MENA context has distinctive cultural features of having strong hierarchical </w:t>
      </w:r>
      <w:r w:rsidR="00A57978">
        <w:rPr>
          <w:rFonts w:asciiTheme="majorBidi" w:eastAsia="Times New Roman" w:hAnsiTheme="majorBidi" w:cstheme="majorBidi"/>
          <w:bCs/>
          <w:sz w:val="24"/>
          <w:szCs w:val="24"/>
        </w:rPr>
        <w:t>(e.g., royalty)</w:t>
      </w:r>
      <w:r w:rsidR="00A57978" w:rsidRPr="008E772B">
        <w:rPr>
          <w:rFonts w:asciiTheme="majorBidi" w:eastAsia="Times New Roman" w:hAnsiTheme="majorBidi" w:cstheme="majorBidi"/>
          <w:bCs/>
          <w:sz w:val="24"/>
          <w:szCs w:val="24"/>
        </w:rPr>
        <w:t xml:space="preserve"> </w:t>
      </w:r>
      <w:r w:rsidR="001D33EC" w:rsidRPr="008E772B">
        <w:rPr>
          <w:rFonts w:asciiTheme="majorBidi" w:eastAsia="Times New Roman" w:hAnsiTheme="majorBidi" w:cstheme="majorBidi"/>
          <w:bCs/>
          <w:sz w:val="24"/>
          <w:szCs w:val="24"/>
        </w:rPr>
        <w:t>social</w:t>
      </w:r>
      <w:r w:rsidR="00174D78">
        <w:rPr>
          <w:rFonts w:asciiTheme="majorBidi" w:eastAsia="Times New Roman" w:hAnsiTheme="majorBidi" w:cstheme="majorBidi"/>
          <w:bCs/>
          <w:sz w:val="24"/>
          <w:szCs w:val="24"/>
        </w:rPr>
        <w:t xml:space="preserve"> </w:t>
      </w:r>
      <w:r w:rsidR="001D33EC" w:rsidRPr="008E772B">
        <w:rPr>
          <w:rFonts w:asciiTheme="majorBidi" w:eastAsia="Times New Roman" w:hAnsiTheme="majorBidi" w:cstheme="majorBidi"/>
          <w:bCs/>
          <w:sz w:val="24"/>
          <w:szCs w:val="24"/>
        </w:rPr>
        <w:t xml:space="preserve">structure, where greater </w:t>
      </w:r>
      <w:r w:rsidR="001D33EC" w:rsidRPr="008E772B">
        <w:rPr>
          <w:rFonts w:asciiTheme="majorBidi" w:eastAsia="Times New Roman" w:hAnsiTheme="majorBidi" w:cstheme="majorBidi"/>
          <w:bCs/>
          <w:sz w:val="24"/>
          <w:szCs w:val="24"/>
        </w:rPr>
        <w:lastRenderedPageBreak/>
        <w:t xml:space="preserve">importance is usually attached to informal relationships, such as family loyalty, norms and tribalism than formal </w:t>
      </w:r>
      <w:r w:rsidR="0087260E">
        <w:rPr>
          <w:rFonts w:asciiTheme="majorBidi" w:eastAsia="Times New Roman" w:hAnsiTheme="majorBidi" w:cstheme="majorBidi"/>
          <w:bCs/>
          <w:sz w:val="24"/>
          <w:szCs w:val="24"/>
        </w:rPr>
        <w:t>governance</w:t>
      </w:r>
      <w:r w:rsidR="001D33EC" w:rsidRPr="008E772B">
        <w:rPr>
          <w:rFonts w:asciiTheme="majorBidi" w:eastAsia="Times New Roman" w:hAnsiTheme="majorBidi" w:cstheme="majorBidi"/>
          <w:bCs/>
          <w:sz w:val="24"/>
          <w:szCs w:val="24"/>
        </w:rPr>
        <w:t xml:space="preserve"> and accountability mechanisms</w:t>
      </w:r>
      <w:r w:rsidR="00B2434B">
        <w:rPr>
          <w:rFonts w:asciiTheme="majorBidi" w:eastAsia="Times New Roman" w:hAnsiTheme="majorBidi" w:cstheme="majorBidi"/>
          <w:bCs/>
          <w:sz w:val="24"/>
          <w:szCs w:val="24"/>
        </w:rPr>
        <w:t>,</w:t>
      </w:r>
      <w:r w:rsidR="001D33EC" w:rsidRPr="008E772B">
        <w:rPr>
          <w:rFonts w:asciiTheme="majorBidi" w:eastAsia="Times New Roman" w:hAnsiTheme="majorBidi" w:cstheme="majorBidi"/>
          <w:bCs/>
          <w:sz w:val="24"/>
          <w:szCs w:val="24"/>
        </w:rPr>
        <w:t xml:space="preserve"> like corporate boards (Haniffa </w:t>
      </w:r>
      <w:r w:rsidR="00BD2839" w:rsidRPr="008E772B">
        <w:rPr>
          <w:rFonts w:asciiTheme="majorBidi" w:eastAsia="Times New Roman" w:hAnsiTheme="majorBidi" w:cstheme="majorBidi"/>
          <w:bCs/>
          <w:sz w:val="24"/>
          <w:szCs w:val="24"/>
        </w:rPr>
        <w:t>&amp;</w:t>
      </w:r>
      <w:r w:rsidR="001D33EC" w:rsidRPr="008E772B">
        <w:rPr>
          <w:rFonts w:asciiTheme="majorBidi" w:eastAsia="Times New Roman" w:hAnsiTheme="majorBidi" w:cstheme="majorBidi"/>
          <w:bCs/>
          <w:sz w:val="24"/>
          <w:szCs w:val="24"/>
        </w:rPr>
        <w:t xml:space="preserve"> Hudaib, 2007; Al-Bassam </w:t>
      </w:r>
      <w:r w:rsidR="001D33EC" w:rsidRPr="008E772B">
        <w:rPr>
          <w:rFonts w:asciiTheme="majorBidi" w:eastAsia="Times New Roman" w:hAnsiTheme="majorBidi" w:cstheme="majorBidi"/>
          <w:bCs/>
          <w:i/>
          <w:iCs/>
          <w:sz w:val="24"/>
          <w:szCs w:val="24"/>
        </w:rPr>
        <w:t>et al</w:t>
      </w:r>
      <w:r w:rsidR="001D33EC" w:rsidRPr="008E772B">
        <w:rPr>
          <w:rFonts w:asciiTheme="majorBidi" w:eastAsia="Times New Roman" w:hAnsiTheme="majorBidi" w:cstheme="majorBidi"/>
          <w:bCs/>
          <w:sz w:val="24"/>
          <w:szCs w:val="24"/>
        </w:rPr>
        <w:t xml:space="preserve">., </w:t>
      </w:r>
      <w:r w:rsidR="00594CA4" w:rsidRPr="008E772B">
        <w:rPr>
          <w:rFonts w:asciiTheme="majorBidi" w:eastAsia="Times New Roman" w:hAnsiTheme="majorBidi" w:cstheme="majorBidi"/>
          <w:bCs/>
          <w:sz w:val="24"/>
          <w:szCs w:val="24"/>
        </w:rPr>
        <w:t>201</w:t>
      </w:r>
      <w:r w:rsidR="00594CA4">
        <w:rPr>
          <w:rFonts w:asciiTheme="majorBidi" w:eastAsia="Times New Roman" w:hAnsiTheme="majorBidi" w:cstheme="majorBidi"/>
          <w:bCs/>
          <w:sz w:val="24"/>
          <w:szCs w:val="24"/>
        </w:rPr>
        <w:t>8</w:t>
      </w:r>
      <w:r w:rsidR="001D33EC" w:rsidRPr="008E772B">
        <w:rPr>
          <w:rFonts w:asciiTheme="majorBidi" w:eastAsia="Times New Roman" w:hAnsiTheme="majorBidi" w:cstheme="majorBidi"/>
          <w:bCs/>
          <w:sz w:val="24"/>
          <w:szCs w:val="24"/>
        </w:rPr>
        <w:t xml:space="preserve">). The MENA corporate setting is further characterised by concentrated shareholding structures, especially by government and families, and low levels of institutional shareholdings, resulting in weak ability of shareholders to enforce managerial accountability, responsibility and control (Haniffa </w:t>
      </w:r>
      <w:r w:rsidR="00BD2839" w:rsidRPr="008E772B">
        <w:rPr>
          <w:rFonts w:asciiTheme="majorBidi" w:eastAsia="Times New Roman" w:hAnsiTheme="majorBidi" w:cstheme="majorBidi"/>
          <w:bCs/>
          <w:sz w:val="24"/>
          <w:szCs w:val="24"/>
        </w:rPr>
        <w:t>&amp;</w:t>
      </w:r>
      <w:r w:rsidR="001D33EC" w:rsidRPr="008E772B">
        <w:rPr>
          <w:rFonts w:asciiTheme="majorBidi" w:eastAsia="Times New Roman" w:hAnsiTheme="majorBidi" w:cstheme="majorBidi"/>
          <w:bCs/>
          <w:sz w:val="24"/>
          <w:szCs w:val="24"/>
        </w:rPr>
        <w:t xml:space="preserve"> Hudaib, 2007; Piesse </w:t>
      </w:r>
      <w:r w:rsidR="001D33EC" w:rsidRPr="008E772B">
        <w:rPr>
          <w:rFonts w:asciiTheme="majorBidi" w:eastAsia="Times New Roman" w:hAnsiTheme="majorBidi" w:cstheme="majorBidi"/>
          <w:bCs/>
          <w:i/>
          <w:iCs/>
          <w:sz w:val="24"/>
          <w:szCs w:val="24"/>
        </w:rPr>
        <w:t>et al</w:t>
      </w:r>
      <w:r w:rsidR="001D33EC" w:rsidRPr="008E772B">
        <w:rPr>
          <w:rFonts w:asciiTheme="majorBidi" w:eastAsia="Times New Roman" w:hAnsiTheme="majorBidi" w:cstheme="majorBidi"/>
          <w:bCs/>
          <w:sz w:val="24"/>
          <w:szCs w:val="24"/>
        </w:rPr>
        <w:t>., 2012</w:t>
      </w:r>
      <w:r w:rsidR="001B153B" w:rsidRPr="008E772B">
        <w:rPr>
          <w:rFonts w:asciiTheme="majorBidi" w:eastAsia="Times New Roman" w:hAnsiTheme="majorBidi" w:cstheme="majorBidi"/>
          <w:bCs/>
          <w:sz w:val="24"/>
          <w:szCs w:val="24"/>
        </w:rPr>
        <w:t>; Khalil &amp; Ozkan, 2016</w:t>
      </w:r>
      <w:r w:rsidR="001D33EC" w:rsidRPr="008E772B">
        <w:rPr>
          <w:rFonts w:asciiTheme="majorBidi" w:eastAsia="Times New Roman" w:hAnsiTheme="majorBidi" w:cstheme="majorBidi"/>
          <w:bCs/>
          <w:sz w:val="24"/>
          <w:szCs w:val="24"/>
        </w:rPr>
        <w:t xml:space="preserve">). </w:t>
      </w:r>
      <w:r w:rsidR="003946AF" w:rsidRPr="000972D1">
        <w:rPr>
          <w:rFonts w:asciiTheme="majorBidi" w:eastAsia="Times New Roman" w:hAnsiTheme="majorBidi" w:cstheme="majorBidi"/>
          <w:bCs/>
          <w:sz w:val="24"/>
          <w:szCs w:val="24"/>
        </w:rPr>
        <w:t>Arg</w:t>
      </w:r>
      <w:r w:rsidR="00C758AE" w:rsidRPr="000972D1">
        <w:rPr>
          <w:rFonts w:asciiTheme="majorBidi" w:eastAsia="Times New Roman" w:hAnsiTheme="majorBidi" w:cstheme="majorBidi"/>
          <w:bCs/>
          <w:sz w:val="24"/>
          <w:szCs w:val="24"/>
        </w:rPr>
        <w:t xml:space="preserve">uably, these factors may have an </w:t>
      </w:r>
      <w:r w:rsidR="003946AF" w:rsidRPr="000972D1">
        <w:rPr>
          <w:rFonts w:asciiTheme="majorBidi" w:eastAsia="Times New Roman" w:hAnsiTheme="majorBidi" w:cstheme="majorBidi"/>
          <w:bCs/>
          <w:sz w:val="24"/>
          <w:szCs w:val="24"/>
        </w:rPr>
        <w:t>effect on the incentive to p</w:t>
      </w:r>
      <w:r w:rsidR="005C325B">
        <w:rPr>
          <w:rFonts w:asciiTheme="majorBidi" w:eastAsia="Times New Roman" w:hAnsiTheme="majorBidi" w:cstheme="majorBidi"/>
          <w:bCs/>
          <w:sz w:val="24"/>
          <w:szCs w:val="24"/>
        </w:rPr>
        <w:t>ursue</w:t>
      </w:r>
      <w:r w:rsidR="003946AF" w:rsidRPr="000972D1">
        <w:rPr>
          <w:rFonts w:asciiTheme="majorBidi" w:eastAsia="Times New Roman" w:hAnsiTheme="majorBidi" w:cstheme="majorBidi"/>
          <w:bCs/>
          <w:sz w:val="24"/>
          <w:szCs w:val="24"/>
        </w:rPr>
        <w:t xml:space="preserve"> high-quality audits. </w:t>
      </w:r>
      <w:r w:rsidR="00EB24C2">
        <w:rPr>
          <w:rFonts w:asciiTheme="majorBidi" w:eastAsia="Times New Roman" w:hAnsiTheme="majorBidi" w:cstheme="majorBidi"/>
          <w:bCs/>
          <w:sz w:val="24"/>
          <w:szCs w:val="24"/>
        </w:rPr>
        <w:t>Meanwhile, t</w:t>
      </w:r>
      <w:r w:rsidR="00850043">
        <w:rPr>
          <w:rFonts w:asciiTheme="majorBidi" w:eastAsia="Times New Roman" w:hAnsiTheme="majorBidi" w:cstheme="majorBidi"/>
          <w:bCs/>
          <w:sz w:val="24"/>
          <w:szCs w:val="24"/>
        </w:rPr>
        <w:t>he e</w:t>
      </w:r>
      <w:r w:rsidR="00C758AE" w:rsidRPr="000972D1">
        <w:rPr>
          <w:rFonts w:asciiTheme="majorBidi" w:eastAsia="Times New Roman" w:hAnsiTheme="majorBidi" w:cstheme="majorBidi"/>
          <w:bCs/>
          <w:sz w:val="24"/>
          <w:szCs w:val="24"/>
        </w:rPr>
        <w:t xml:space="preserve">xtant </w:t>
      </w:r>
      <w:r w:rsidR="003946AF" w:rsidRPr="000972D1">
        <w:rPr>
          <w:rFonts w:asciiTheme="majorBidi" w:eastAsia="Times New Roman" w:hAnsiTheme="majorBidi" w:cstheme="majorBidi"/>
          <w:bCs/>
          <w:sz w:val="24"/>
          <w:szCs w:val="24"/>
        </w:rPr>
        <w:t xml:space="preserve">literature suggests that contextual factors </w:t>
      </w:r>
      <w:r w:rsidR="008660EF">
        <w:rPr>
          <w:rFonts w:asciiTheme="majorBidi" w:eastAsia="Times New Roman" w:hAnsiTheme="majorBidi" w:cstheme="majorBidi"/>
          <w:bCs/>
          <w:sz w:val="24"/>
          <w:szCs w:val="24"/>
        </w:rPr>
        <w:t xml:space="preserve">tend to </w:t>
      </w:r>
      <w:r w:rsidR="003946AF" w:rsidRPr="000972D1">
        <w:rPr>
          <w:rFonts w:asciiTheme="majorBidi" w:eastAsia="Times New Roman" w:hAnsiTheme="majorBidi" w:cstheme="majorBidi"/>
          <w:bCs/>
          <w:sz w:val="24"/>
          <w:szCs w:val="24"/>
        </w:rPr>
        <w:t xml:space="preserve">determine the </w:t>
      </w:r>
      <w:r w:rsidR="008660EF">
        <w:rPr>
          <w:rFonts w:asciiTheme="majorBidi" w:eastAsia="Times New Roman" w:hAnsiTheme="majorBidi" w:cstheme="majorBidi"/>
          <w:bCs/>
          <w:sz w:val="24"/>
          <w:szCs w:val="24"/>
        </w:rPr>
        <w:t xml:space="preserve">degree of </w:t>
      </w:r>
      <w:r w:rsidR="003946AF" w:rsidRPr="000972D1">
        <w:rPr>
          <w:rFonts w:asciiTheme="majorBidi" w:eastAsia="Times New Roman" w:hAnsiTheme="majorBidi" w:cstheme="majorBidi"/>
          <w:bCs/>
          <w:sz w:val="24"/>
          <w:szCs w:val="24"/>
        </w:rPr>
        <w:t>audit effort</w:t>
      </w:r>
      <w:r w:rsidR="008660EF">
        <w:rPr>
          <w:rFonts w:asciiTheme="majorBidi" w:eastAsia="Times New Roman" w:hAnsiTheme="majorBidi" w:cstheme="majorBidi"/>
          <w:bCs/>
          <w:sz w:val="24"/>
          <w:szCs w:val="24"/>
        </w:rPr>
        <w:t>,</w:t>
      </w:r>
      <w:r w:rsidR="003946AF" w:rsidRPr="000972D1">
        <w:rPr>
          <w:rFonts w:asciiTheme="majorBidi" w:eastAsia="Times New Roman" w:hAnsiTheme="majorBidi" w:cstheme="majorBidi"/>
          <w:bCs/>
          <w:sz w:val="24"/>
          <w:szCs w:val="24"/>
        </w:rPr>
        <w:t xml:space="preserve"> and hence</w:t>
      </w:r>
      <w:r w:rsidR="008660EF">
        <w:rPr>
          <w:rFonts w:asciiTheme="majorBidi" w:eastAsia="Times New Roman" w:hAnsiTheme="majorBidi" w:cstheme="majorBidi"/>
          <w:bCs/>
          <w:sz w:val="24"/>
          <w:szCs w:val="24"/>
        </w:rPr>
        <w:t>,</w:t>
      </w:r>
      <w:r w:rsidR="003946AF" w:rsidRPr="000972D1">
        <w:rPr>
          <w:rFonts w:asciiTheme="majorBidi" w:eastAsia="Times New Roman" w:hAnsiTheme="majorBidi" w:cstheme="majorBidi"/>
          <w:bCs/>
          <w:sz w:val="24"/>
          <w:szCs w:val="24"/>
        </w:rPr>
        <w:t xml:space="preserve"> audit quality (Barroso </w:t>
      </w:r>
      <w:r w:rsidR="003946AF" w:rsidRPr="000972D1">
        <w:rPr>
          <w:rFonts w:asciiTheme="majorBidi" w:eastAsia="Times New Roman" w:hAnsiTheme="majorBidi" w:cstheme="majorBidi"/>
          <w:bCs/>
          <w:i/>
          <w:iCs/>
          <w:sz w:val="24"/>
          <w:szCs w:val="24"/>
        </w:rPr>
        <w:t>et al</w:t>
      </w:r>
      <w:r w:rsidR="003946AF" w:rsidRPr="000972D1">
        <w:rPr>
          <w:rFonts w:asciiTheme="majorBidi" w:eastAsia="Times New Roman" w:hAnsiTheme="majorBidi" w:cstheme="majorBidi"/>
          <w:bCs/>
          <w:sz w:val="24"/>
          <w:szCs w:val="24"/>
        </w:rPr>
        <w:t>., 2018).</w:t>
      </w:r>
      <w:r w:rsidR="00320274">
        <w:rPr>
          <w:rFonts w:asciiTheme="majorBidi" w:eastAsia="Times New Roman" w:hAnsiTheme="majorBidi" w:cstheme="majorBidi"/>
          <w:bCs/>
          <w:sz w:val="24"/>
          <w:szCs w:val="24"/>
        </w:rPr>
        <w:t xml:space="preserve"> </w:t>
      </w:r>
      <w:r w:rsidR="003946AF">
        <w:rPr>
          <w:rFonts w:asciiTheme="majorBidi" w:eastAsia="Times New Roman" w:hAnsiTheme="majorBidi" w:cstheme="majorBidi"/>
          <w:bCs/>
          <w:sz w:val="24"/>
          <w:szCs w:val="24"/>
        </w:rPr>
        <w:t>Accordingly</w:t>
      </w:r>
      <w:r w:rsidR="001D33EC" w:rsidRPr="008E772B">
        <w:rPr>
          <w:rFonts w:asciiTheme="majorBidi" w:eastAsia="Times New Roman" w:hAnsiTheme="majorBidi" w:cstheme="majorBidi"/>
          <w:bCs/>
          <w:sz w:val="24"/>
          <w:szCs w:val="24"/>
        </w:rPr>
        <w:t xml:space="preserve">, these contextual challenges raise serious empirical questions as to whether voluntary compliance </w:t>
      </w:r>
      <w:r w:rsidR="00D10333" w:rsidRPr="008E772B">
        <w:rPr>
          <w:rFonts w:asciiTheme="majorBidi" w:eastAsia="Times New Roman" w:hAnsiTheme="majorBidi" w:cstheme="majorBidi"/>
          <w:bCs/>
          <w:sz w:val="24"/>
          <w:szCs w:val="24"/>
        </w:rPr>
        <w:t>with</w:t>
      </w:r>
      <w:r w:rsidR="001D33EC" w:rsidRPr="008E772B">
        <w:rPr>
          <w:rFonts w:asciiTheme="majorBidi" w:eastAsia="Times New Roman" w:hAnsiTheme="majorBidi" w:cstheme="majorBidi"/>
          <w:bCs/>
          <w:sz w:val="24"/>
          <w:szCs w:val="24"/>
        </w:rPr>
        <w:t xml:space="preserve"> </w:t>
      </w:r>
      <w:r w:rsidR="0087260E">
        <w:rPr>
          <w:rFonts w:asciiTheme="majorBidi" w:eastAsia="Times New Roman" w:hAnsiTheme="majorBidi" w:cstheme="majorBidi"/>
          <w:bCs/>
          <w:sz w:val="24"/>
          <w:szCs w:val="24"/>
        </w:rPr>
        <w:t>governance</w:t>
      </w:r>
      <w:r w:rsidR="001D33EC" w:rsidRPr="008E772B">
        <w:rPr>
          <w:rFonts w:asciiTheme="majorBidi" w:eastAsia="Times New Roman" w:hAnsiTheme="majorBidi" w:cstheme="majorBidi"/>
          <w:bCs/>
          <w:sz w:val="24"/>
          <w:szCs w:val="24"/>
        </w:rPr>
        <w:t xml:space="preserve"> codes that are prevalent in MENA economies</w:t>
      </w:r>
      <w:r w:rsidR="00655DA6">
        <w:rPr>
          <w:rFonts w:asciiTheme="majorBidi" w:eastAsia="Times New Roman" w:hAnsiTheme="majorBidi" w:cstheme="majorBidi"/>
          <w:bCs/>
          <w:sz w:val="24"/>
          <w:szCs w:val="24"/>
        </w:rPr>
        <w:t>, on their own,</w:t>
      </w:r>
      <w:r w:rsidR="001D33EC" w:rsidRPr="008E772B">
        <w:rPr>
          <w:rFonts w:asciiTheme="majorBidi" w:eastAsia="Times New Roman" w:hAnsiTheme="majorBidi" w:cstheme="majorBidi"/>
          <w:bCs/>
          <w:sz w:val="24"/>
          <w:szCs w:val="24"/>
        </w:rPr>
        <w:t xml:space="preserve"> can </w:t>
      </w:r>
      <w:r w:rsidR="00DD5777">
        <w:rPr>
          <w:rFonts w:asciiTheme="majorBidi" w:eastAsia="Times New Roman" w:hAnsiTheme="majorBidi" w:cstheme="majorBidi"/>
          <w:bCs/>
          <w:sz w:val="24"/>
          <w:szCs w:val="24"/>
        </w:rPr>
        <w:t xml:space="preserve">help </w:t>
      </w:r>
      <w:r w:rsidR="001D33EC" w:rsidRPr="008E772B">
        <w:rPr>
          <w:rFonts w:asciiTheme="majorBidi" w:eastAsia="Times New Roman" w:hAnsiTheme="majorBidi" w:cstheme="majorBidi"/>
          <w:bCs/>
          <w:sz w:val="24"/>
          <w:szCs w:val="24"/>
        </w:rPr>
        <w:t>improve audit quality in their listed corporations (</w:t>
      </w:r>
      <w:r w:rsidR="00BD2839" w:rsidRPr="008E772B">
        <w:rPr>
          <w:rFonts w:asciiTheme="majorBidi" w:eastAsia="Times New Roman" w:hAnsiTheme="majorBidi" w:cstheme="majorBidi"/>
          <w:bCs/>
          <w:sz w:val="24"/>
          <w:szCs w:val="24"/>
        </w:rPr>
        <w:t>Al</w:t>
      </w:r>
      <w:r w:rsidR="00BD2839" w:rsidRPr="008E772B">
        <w:rPr>
          <w:rFonts w:asciiTheme="majorBidi" w:eastAsia="Times New Roman" w:hAnsiTheme="majorBidi" w:cstheme="majorBidi"/>
          <w:bCs/>
          <w:iCs/>
          <w:sz w:val="24"/>
          <w:szCs w:val="24"/>
        </w:rPr>
        <w:t xml:space="preserve">-Ajmi, 2009; </w:t>
      </w:r>
      <w:r w:rsidR="001D33EC" w:rsidRPr="008E772B">
        <w:rPr>
          <w:rFonts w:asciiTheme="majorBidi" w:eastAsia="Times New Roman" w:hAnsiTheme="majorBidi" w:cstheme="majorBidi"/>
          <w:bCs/>
          <w:sz w:val="24"/>
          <w:szCs w:val="24"/>
        </w:rPr>
        <w:t xml:space="preserve">Al-Bassam </w:t>
      </w:r>
      <w:r w:rsidR="001D33EC" w:rsidRPr="008B2A5B">
        <w:rPr>
          <w:rFonts w:asciiTheme="majorBidi" w:eastAsia="Times New Roman" w:hAnsiTheme="majorBidi" w:cstheme="majorBidi"/>
          <w:bCs/>
          <w:i/>
          <w:iCs/>
          <w:sz w:val="24"/>
          <w:szCs w:val="24"/>
        </w:rPr>
        <w:t>et al</w:t>
      </w:r>
      <w:r w:rsidR="001D33EC" w:rsidRPr="008E772B">
        <w:rPr>
          <w:rFonts w:asciiTheme="majorBidi" w:eastAsia="Times New Roman" w:hAnsiTheme="majorBidi" w:cstheme="majorBidi"/>
          <w:bCs/>
          <w:sz w:val="24"/>
          <w:szCs w:val="24"/>
        </w:rPr>
        <w:t xml:space="preserve">., </w:t>
      </w:r>
      <w:r w:rsidR="00594CA4" w:rsidRPr="008E772B">
        <w:rPr>
          <w:rFonts w:asciiTheme="majorBidi" w:eastAsia="Times New Roman" w:hAnsiTheme="majorBidi" w:cstheme="majorBidi"/>
          <w:bCs/>
          <w:sz w:val="24"/>
          <w:szCs w:val="24"/>
        </w:rPr>
        <w:t>201</w:t>
      </w:r>
      <w:r w:rsidR="00594CA4">
        <w:rPr>
          <w:rFonts w:asciiTheme="majorBidi" w:eastAsia="Times New Roman" w:hAnsiTheme="majorBidi" w:cstheme="majorBidi"/>
          <w:bCs/>
          <w:sz w:val="24"/>
          <w:szCs w:val="24"/>
        </w:rPr>
        <w:t>8</w:t>
      </w:r>
      <w:r w:rsidR="001D33EC" w:rsidRPr="008E772B">
        <w:rPr>
          <w:rFonts w:asciiTheme="majorBidi" w:eastAsia="Times New Roman" w:hAnsiTheme="majorBidi" w:cstheme="majorBidi"/>
          <w:bCs/>
          <w:sz w:val="24"/>
          <w:szCs w:val="24"/>
        </w:rPr>
        <w:t>).</w:t>
      </w:r>
      <w:r w:rsidR="007C4420" w:rsidRPr="008E772B">
        <w:rPr>
          <w:rFonts w:asciiTheme="majorBidi" w:eastAsia="Times New Roman" w:hAnsiTheme="majorBidi" w:cstheme="majorBidi"/>
          <w:bCs/>
          <w:sz w:val="24"/>
          <w:szCs w:val="24"/>
        </w:rPr>
        <w:t xml:space="preserve"> </w:t>
      </w:r>
    </w:p>
    <w:p w14:paraId="65E2316B" w14:textId="6824ACE6" w:rsidR="00F95902" w:rsidRDefault="005B3877" w:rsidP="004746ED">
      <w:pPr>
        <w:spacing w:after="0" w:line="360" w:lineRule="auto"/>
        <w:ind w:firstLine="720"/>
        <w:jc w:val="both"/>
        <w:rPr>
          <w:rFonts w:asciiTheme="majorBidi" w:eastAsiaTheme="minorHAnsi" w:hAnsiTheme="majorBidi" w:cstheme="majorBidi"/>
          <w:bCs/>
          <w:iCs/>
          <w:sz w:val="24"/>
          <w:szCs w:val="24"/>
          <w:lang w:eastAsia="en-US"/>
        </w:rPr>
      </w:pPr>
      <w:r w:rsidRPr="008E772B">
        <w:rPr>
          <w:rFonts w:asciiTheme="majorBidi" w:eastAsia="Times New Roman" w:hAnsiTheme="majorBidi" w:cstheme="majorBidi"/>
          <w:bCs/>
          <w:sz w:val="24"/>
          <w:szCs w:val="24"/>
        </w:rPr>
        <w:t xml:space="preserve">Consequently, </w:t>
      </w:r>
      <w:r w:rsidR="00C47AE3" w:rsidRPr="008E772B">
        <w:rPr>
          <w:rFonts w:asciiTheme="majorBidi" w:eastAsia="Times New Roman" w:hAnsiTheme="majorBidi" w:cstheme="majorBidi"/>
          <w:bCs/>
          <w:sz w:val="24"/>
          <w:szCs w:val="24"/>
        </w:rPr>
        <w:t>this study seeks to examine the extent to which firm-</w:t>
      </w:r>
      <w:r w:rsidR="00BE451A" w:rsidRPr="008E772B">
        <w:rPr>
          <w:rFonts w:asciiTheme="majorBidi" w:eastAsia="Times New Roman" w:hAnsiTheme="majorBidi" w:cstheme="majorBidi"/>
          <w:bCs/>
          <w:sz w:val="24"/>
          <w:szCs w:val="24"/>
        </w:rPr>
        <w:t xml:space="preserve"> and country-level governance </w:t>
      </w:r>
      <w:r w:rsidR="00C47AE3" w:rsidRPr="008E772B">
        <w:rPr>
          <w:rFonts w:asciiTheme="majorBidi" w:eastAsia="Times New Roman" w:hAnsiTheme="majorBidi" w:cstheme="majorBidi"/>
          <w:bCs/>
          <w:sz w:val="24"/>
          <w:szCs w:val="24"/>
        </w:rPr>
        <w:t xml:space="preserve">quality and characteristics influence </w:t>
      </w:r>
      <w:r w:rsidR="00DC7D83" w:rsidRPr="00DC7D83">
        <w:rPr>
          <w:rFonts w:asciiTheme="majorBidi" w:eastAsia="Times New Roman" w:hAnsiTheme="majorBidi" w:cstheme="majorBidi"/>
          <w:bCs/>
          <w:sz w:val="24"/>
          <w:szCs w:val="24"/>
        </w:rPr>
        <w:t>audit quality</w:t>
      </w:r>
      <w:r w:rsidR="00F95902">
        <w:rPr>
          <w:rFonts w:asciiTheme="majorBidi" w:eastAsia="Times New Roman" w:hAnsiTheme="majorBidi" w:cstheme="majorBidi"/>
          <w:bCs/>
          <w:sz w:val="24"/>
          <w:szCs w:val="24"/>
        </w:rPr>
        <w:t>, where evidence is rare</w:t>
      </w:r>
      <w:r w:rsidR="00C47AE3" w:rsidRPr="008E772B">
        <w:rPr>
          <w:rFonts w:asciiTheme="majorBidi" w:eastAsia="Times New Roman" w:hAnsiTheme="majorBidi" w:cstheme="majorBidi"/>
          <w:bCs/>
          <w:sz w:val="24"/>
          <w:szCs w:val="24"/>
        </w:rPr>
        <w:t xml:space="preserve">, and thereby making a number of new contributions to the extant auditing and </w:t>
      </w:r>
      <w:r w:rsidR="00985AC4" w:rsidRPr="008E772B">
        <w:rPr>
          <w:rFonts w:asciiTheme="majorBidi" w:eastAsia="Times New Roman" w:hAnsiTheme="majorBidi" w:cstheme="majorBidi"/>
          <w:bCs/>
          <w:sz w:val="24"/>
          <w:szCs w:val="24"/>
        </w:rPr>
        <w:t>governance</w:t>
      </w:r>
      <w:r w:rsidR="00C47AE3" w:rsidRPr="008E772B">
        <w:rPr>
          <w:rFonts w:asciiTheme="majorBidi" w:eastAsia="Times New Roman" w:hAnsiTheme="majorBidi" w:cstheme="majorBidi"/>
          <w:bCs/>
          <w:sz w:val="24"/>
          <w:szCs w:val="24"/>
        </w:rPr>
        <w:t xml:space="preserve"> literature. First, the paper contributes to</w:t>
      </w:r>
      <w:r w:rsidR="000F04A3" w:rsidRPr="008E772B">
        <w:rPr>
          <w:rFonts w:asciiTheme="majorBidi" w:eastAsia="Times New Roman" w:hAnsiTheme="majorBidi" w:cstheme="majorBidi"/>
          <w:bCs/>
          <w:sz w:val="24"/>
          <w:szCs w:val="24"/>
        </w:rPr>
        <w:t xml:space="preserve"> the</w:t>
      </w:r>
      <w:r w:rsidR="00280610" w:rsidRPr="008E772B">
        <w:rPr>
          <w:rFonts w:asciiTheme="majorBidi" w:eastAsia="Times New Roman" w:hAnsiTheme="majorBidi" w:cstheme="majorBidi"/>
          <w:bCs/>
          <w:sz w:val="24"/>
          <w:szCs w:val="24"/>
        </w:rPr>
        <w:t xml:space="preserve"> </w:t>
      </w:r>
      <w:r w:rsidR="00B76C3F" w:rsidRPr="008E772B">
        <w:rPr>
          <w:rFonts w:asciiTheme="majorBidi" w:eastAsia="Times New Roman" w:hAnsiTheme="majorBidi" w:cstheme="majorBidi"/>
          <w:bCs/>
          <w:sz w:val="24"/>
          <w:szCs w:val="24"/>
        </w:rPr>
        <w:t xml:space="preserve">literature </w:t>
      </w:r>
      <w:r w:rsidR="000F04A3" w:rsidRPr="008E772B">
        <w:rPr>
          <w:rFonts w:asciiTheme="majorBidi" w:eastAsia="Times New Roman" w:hAnsiTheme="majorBidi" w:cstheme="majorBidi"/>
          <w:bCs/>
          <w:sz w:val="24"/>
          <w:szCs w:val="24"/>
        </w:rPr>
        <w:t xml:space="preserve">by </w:t>
      </w:r>
      <w:r w:rsidR="00B76C3F" w:rsidRPr="008E772B">
        <w:rPr>
          <w:rFonts w:asciiTheme="majorBidi" w:eastAsia="Times New Roman" w:hAnsiTheme="majorBidi" w:cstheme="majorBidi"/>
          <w:bCs/>
          <w:sz w:val="24"/>
          <w:szCs w:val="24"/>
        </w:rPr>
        <w:t xml:space="preserve">offering new evidence on the extent to which </w:t>
      </w:r>
      <w:r w:rsidR="008B3FB6" w:rsidRPr="008E772B">
        <w:rPr>
          <w:rFonts w:asciiTheme="majorBidi" w:eastAsia="Times New Roman" w:hAnsiTheme="majorBidi" w:cstheme="majorBidi"/>
          <w:bCs/>
          <w:sz w:val="24"/>
          <w:szCs w:val="24"/>
        </w:rPr>
        <w:t xml:space="preserve">board characteristics (e.g., board size, </w:t>
      </w:r>
      <w:r w:rsidR="00022777" w:rsidRPr="008E772B">
        <w:rPr>
          <w:rFonts w:asciiTheme="majorBidi" w:eastAsia="Times New Roman" w:hAnsiTheme="majorBidi" w:cstheme="majorBidi"/>
          <w:bCs/>
          <w:sz w:val="24"/>
          <w:szCs w:val="24"/>
        </w:rPr>
        <w:t xml:space="preserve">board </w:t>
      </w:r>
      <w:r w:rsidR="008B3FB6" w:rsidRPr="008E772B">
        <w:rPr>
          <w:rFonts w:asciiTheme="majorBidi" w:eastAsia="Times New Roman" w:hAnsiTheme="majorBidi" w:cstheme="majorBidi"/>
          <w:bCs/>
          <w:sz w:val="24"/>
          <w:szCs w:val="24"/>
        </w:rPr>
        <w:t>independence</w:t>
      </w:r>
      <w:r w:rsidR="00022777" w:rsidRPr="008E772B">
        <w:rPr>
          <w:rFonts w:asciiTheme="majorBidi" w:eastAsia="Times New Roman" w:hAnsiTheme="majorBidi" w:cstheme="majorBidi"/>
          <w:bCs/>
          <w:sz w:val="24"/>
          <w:szCs w:val="24"/>
        </w:rPr>
        <w:t xml:space="preserve"> and board leadership</w:t>
      </w:r>
      <w:r w:rsidR="008858F7">
        <w:rPr>
          <w:rFonts w:asciiTheme="majorBidi" w:eastAsia="Times New Roman" w:hAnsiTheme="majorBidi" w:cstheme="majorBidi"/>
          <w:bCs/>
          <w:sz w:val="24"/>
          <w:szCs w:val="24"/>
        </w:rPr>
        <w:t xml:space="preserve"> structure</w:t>
      </w:r>
      <w:r w:rsidR="008B3FB6" w:rsidRPr="008E772B">
        <w:rPr>
          <w:rFonts w:asciiTheme="majorBidi" w:eastAsia="Times New Roman" w:hAnsiTheme="majorBidi" w:cstheme="majorBidi"/>
          <w:bCs/>
          <w:sz w:val="24"/>
          <w:szCs w:val="24"/>
        </w:rPr>
        <w:t>)</w:t>
      </w:r>
      <w:r w:rsidR="00B76C3F" w:rsidRPr="008E772B">
        <w:rPr>
          <w:rFonts w:asciiTheme="majorBidi" w:eastAsia="Times New Roman" w:hAnsiTheme="majorBidi" w:cstheme="majorBidi"/>
          <w:bCs/>
          <w:sz w:val="24"/>
          <w:szCs w:val="24"/>
        </w:rPr>
        <w:t xml:space="preserve"> influence </w:t>
      </w:r>
      <w:r w:rsidR="00FA777A" w:rsidRPr="00FA777A">
        <w:rPr>
          <w:rFonts w:asciiTheme="majorBidi" w:eastAsia="Times New Roman" w:hAnsiTheme="majorBidi" w:cstheme="majorBidi"/>
          <w:bCs/>
          <w:sz w:val="24"/>
          <w:szCs w:val="24"/>
        </w:rPr>
        <w:t>audit quality</w:t>
      </w:r>
      <w:r w:rsidR="00B76C3F" w:rsidRPr="008E772B">
        <w:rPr>
          <w:rFonts w:asciiTheme="majorBidi" w:eastAsia="Times New Roman" w:hAnsiTheme="majorBidi" w:cstheme="majorBidi"/>
          <w:bCs/>
          <w:sz w:val="24"/>
          <w:szCs w:val="24"/>
        </w:rPr>
        <w:t xml:space="preserve">. Second, we provide </w:t>
      </w:r>
      <w:r w:rsidR="009D76EA" w:rsidRPr="008E772B">
        <w:rPr>
          <w:rFonts w:asciiTheme="majorBidi" w:eastAsia="Times New Roman" w:hAnsiTheme="majorBidi" w:cstheme="majorBidi"/>
          <w:bCs/>
          <w:sz w:val="24"/>
          <w:szCs w:val="24"/>
        </w:rPr>
        <w:t xml:space="preserve">new </w:t>
      </w:r>
      <w:r w:rsidR="00B76C3F" w:rsidRPr="008E772B">
        <w:rPr>
          <w:rFonts w:asciiTheme="majorBidi" w:eastAsia="Times New Roman" w:hAnsiTheme="majorBidi" w:cstheme="majorBidi"/>
          <w:bCs/>
          <w:sz w:val="24"/>
          <w:szCs w:val="24"/>
        </w:rPr>
        <w:t xml:space="preserve">evidence </w:t>
      </w:r>
      <w:r w:rsidR="009D76EA" w:rsidRPr="008E772B">
        <w:rPr>
          <w:rFonts w:asciiTheme="majorBidi" w:eastAsia="Times New Roman" w:hAnsiTheme="majorBidi" w:cstheme="majorBidi"/>
          <w:bCs/>
          <w:sz w:val="24"/>
          <w:szCs w:val="24"/>
        </w:rPr>
        <w:t xml:space="preserve">on the effect of </w:t>
      </w:r>
      <w:r w:rsidR="00C81356" w:rsidRPr="008E772B">
        <w:rPr>
          <w:rFonts w:asciiTheme="majorBidi" w:eastAsia="Times New Roman" w:hAnsiTheme="majorBidi" w:cstheme="majorBidi"/>
          <w:bCs/>
          <w:sz w:val="24"/>
          <w:szCs w:val="24"/>
        </w:rPr>
        <w:t>shareholding</w:t>
      </w:r>
      <w:r w:rsidR="009D76EA" w:rsidRPr="008E772B">
        <w:rPr>
          <w:rFonts w:asciiTheme="majorBidi" w:eastAsia="Times New Roman" w:hAnsiTheme="majorBidi" w:cstheme="majorBidi"/>
          <w:bCs/>
          <w:sz w:val="24"/>
          <w:szCs w:val="24"/>
        </w:rPr>
        <w:t xml:space="preserve"> structure (e.g., </w:t>
      </w:r>
      <w:r w:rsidR="00F9797A" w:rsidRPr="008E772B">
        <w:rPr>
          <w:rFonts w:asciiTheme="majorBidi" w:eastAsia="Times New Roman" w:hAnsiTheme="majorBidi" w:cstheme="majorBidi"/>
          <w:bCs/>
          <w:sz w:val="24"/>
          <w:szCs w:val="24"/>
        </w:rPr>
        <w:t>government</w:t>
      </w:r>
      <w:r w:rsidR="009D76EA" w:rsidRPr="008E772B">
        <w:rPr>
          <w:rFonts w:asciiTheme="majorBidi" w:eastAsia="Times New Roman" w:hAnsiTheme="majorBidi" w:cstheme="majorBidi"/>
          <w:bCs/>
          <w:sz w:val="24"/>
          <w:szCs w:val="24"/>
        </w:rPr>
        <w:t xml:space="preserve">, director and </w:t>
      </w:r>
      <w:r w:rsidR="00C758AE">
        <w:rPr>
          <w:rFonts w:asciiTheme="majorBidi" w:eastAsia="Times New Roman" w:hAnsiTheme="majorBidi" w:cstheme="majorBidi"/>
          <w:bCs/>
          <w:sz w:val="24"/>
          <w:szCs w:val="24"/>
        </w:rPr>
        <w:t>family</w:t>
      </w:r>
      <w:r w:rsidR="00C758AE" w:rsidRPr="008E772B">
        <w:rPr>
          <w:rFonts w:asciiTheme="majorBidi" w:eastAsia="Times New Roman" w:hAnsiTheme="majorBidi" w:cstheme="majorBidi"/>
          <w:bCs/>
          <w:sz w:val="24"/>
          <w:szCs w:val="24"/>
        </w:rPr>
        <w:t xml:space="preserve"> </w:t>
      </w:r>
      <w:r w:rsidR="00C81356" w:rsidRPr="008E772B">
        <w:rPr>
          <w:rFonts w:asciiTheme="majorBidi" w:eastAsia="Times New Roman" w:hAnsiTheme="majorBidi" w:cstheme="majorBidi"/>
          <w:bCs/>
          <w:sz w:val="24"/>
          <w:szCs w:val="24"/>
        </w:rPr>
        <w:t>shareholding</w:t>
      </w:r>
      <w:r w:rsidR="00D775B5">
        <w:rPr>
          <w:rFonts w:asciiTheme="majorBidi" w:eastAsia="Times New Roman" w:hAnsiTheme="majorBidi" w:cstheme="majorBidi"/>
          <w:bCs/>
          <w:sz w:val="24"/>
          <w:szCs w:val="24"/>
        </w:rPr>
        <w:t>s</w:t>
      </w:r>
      <w:r w:rsidR="009D76EA" w:rsidRPr="008E772B">
        <w:rPr>
          <w:rFonts w:asciiTheme="majorBidi" w:eastAsia="Times New Roman" w:hAnsiTheme="majorBidi" w:cstheme="majorBidi"/>
          <w:bCs/>
          <w:sz w:val="24"/>
          <w:szCs w:val="24"/>
        </w:rPr>
        <w:t xml:space="preserve">) on </w:t>
      </w:r>
      <w:r w:rsidR="00FA777A" w:rsidRPr="00FA777A">
        <w:rPr>
          <w:rFonts w:asciiTheme="majorBidi" w:eastAsia="Times New Roman" w:hAnsiTheme="majorBidi" w:cstheme="majorBidi"/>
          <w:bCs/>
          <w:sz w:val="24"/>
          <w:szCs w:val="24"/>
        </w:rPr>
        <w:t>audit quality</w:t>
      </w:r>
      <w:r w:rsidR="008B3FB6" w:rsidRPr="008E772B">
        <w:rPr>
          <w:rFonts w:asciiTheme="majorBidi" w:eastAsia="Times New Roman" w:hAnsiTheme="majorBidi" w:cstheme="majorBidi"/>
          <w:bCs/>
          <w:sz w:val="24"/>
          <w:szCs w:val="24"/>
        </w:rPr>
        <w:t xml:space="preserve">. </w:t>
      </w:r>
      <w:r w:rsidR="009D76EA" w:rsidRPr="008E772B">
        <w:rPr>
          <w:rFonts w:asciiTheme="majorBidi" w:eastAsia="Times New Roman" w:hAnsiTheme="majorBidi" w:cstheme="majorBidi"/>
          <w:bCs/>
          <w:sz w:val="24"/>
          <w:szCs w:val="24"/>
        </w:rPr>
        <w:t xml:space="preserve">Finally, we </w:t>
      </w:r>
      <w:r w:rsidR="0073291F" w:rsidRPr="008E772B">
        <w:rPr>
          <w:rFonts w:asciiTheme="majorBidi" w:eastAsia="Times New Roman" w:hAnsiTheme="majorBidi" w:cstheme="majorBidi"/>
          <w:bCs/>
          <w:sz w:val="24"/>
          <w:szCs w:val="24"/>
        </w:rPr>
        <w:t xml:space="preserve">offer </w:t>
      </w:r>
      <w:r w:rsidR="009D76EA" w:rsidRPr="008E772B">
        <w:rPr>
          <w:rFonts w:asciiTheme="majorBidi" w:eastAsia="Times New Roman" w:hAnsiTheme="majorBidi" w:cstheme="majorBidi"/>
          <w:bCs/>
          <w:sz w:val="24"/>
          <w:szCs w:val="24"/>
        </w:rPr>
        <w:t>evidence on the extent to which coun</w:t>
      </w:r>
      <w:r w:rsidR="008D5842" w:rsidRPr="008E772B">
        <w:rPr>
          <w:rFonts w:asciiTheme="majorBidi" w:eastAsia="Times New Roman" w:hAnsiTheme="majorBidi" w:cstheme="majorBidi"/>
          <w:bCs/>
          <w:sz w:val="24"/>
          <w:szCs w:val="24"/>
        </w:rPr>
        <w:t xml:space="preserve">try-level </w:t>
      </w:r>
      <w:r w:rsidR="00596F21" w:rsidRPr="008E772B">
        <w:rPr>
          <w:rFonts w:asciiTheme="majorBidi" w:eastAsia="Times New Roman" w:hAnsiTheme="majorBidi" w:cstheme="majorBidi"/>
          <w:bCs/>
          <w:sz w:val="24"/>
          <w:szCs w:val="24"/>
        </w:rPr>
        <w:t>governance</w:t>
      </w:r>
      <w:r w:rsidR="008D5842" w:rsidRPr="008E772B">
        <w:rPr>
          <w:rFonts w:asciiTheme="majorBidi" w:eastAsia="Times New Roman" w:hAnsiTheme="majorBidi" w:cstheme="majorBidi"/>
          <w:bCs/>
          <w:sz w:val="24"/>
          <w:szCs w:val="24"/>
        </w:rPr>
        <w:t xml:space="preserve"> </w:t>
      </w:r>
      <w:r w:rsidR="00C321B6">
        <w:rPr>
          <w:rFonts w:asciiTheme="majorBidi" w:eastAsia="Times New Roman" w:hAnsiTheme="majorBidi" w:cstheme="majorBidi"/>
          <w:bCs/>
          <w:sz w:val="24"/>
          <w:szCs w:val="24"/>
        </w:rPr>
        <w:t xml:space="preserve">quality </w:t>
      </w:r>
      <w:r w:rsidR="008D5842" w:rsidRPr="008E772B">
        <w:rPr>
          <w:rFonts w:asciiTheme="majorBidi" w:eastAsia="Times New Roman" w:hAnsiTheme="majorBidi" w:cstheme="majorBidi"/>
          <w:bCs/>
          <w:sz w:val="24"/>
          <w:szCs w:val="24"/>
        </w:rPr>
        <w:t>drive</w:t>
      </w:r>
      <w:r w:rsidR="00C321B6">
        <w:rPr>
          <w:rFonts w:asciiTheme="majorBidi" w:eastAsia="Times New Roman" w:hAnsiTheme="majorBidi" w:cstheme="majorBidi"/>
          <w:bCs/>
          <w:sz w:val="24"/>
          <w:szCs w:val="24"/>
        </w:rPr>
        <w:t>s</w:t>
      </w:r>
      <w:r w:rsidR="008D5842" w:rsidRPr="008E772B">
        <w:rPr>
          <w:rFonts w:asciiTheme="majorBidi" w:eastAsia="Times New Roman" w:hAnsiTheme="majorBidi" w:cstheme="majorBidi"/>
          <w:bCs/>
          <w:sz w:val="24"/>
          <w:szCs w:val="24"/>
        </w:rPr>
        <w:t xml:space="preserve"> </w:t>
      </w:r>
      <w:r w:rsidR="00FA777A" w:rsidRPr="00FA777A">
        <w:rPr>
          <w:rFonts w:asciiTheme="majorBidi" w:eastAsia="Times New Roman" w:hAnsiTheme="majorBidi" w:cstheme="majorBidi"/>
          <w:bCs/>
          <w:sz w:val="24"/>
          <w:szCs w:val="24"/>
        </w:rPr>
        <w:t>audit quality</w:t>
      </w:r>
      <w:r w:rsidR="00AE639B" w:rsidRPr="008E772B">
        <w:rPr>
          <w:rFonts w:asciiTheme="majorBidi" w:eastAsia="Times New Roman" w:hAnsiTheme="majorBidi" w:cstheme="majorBidi"/>
          <w:bCs/>
          <w:sz w:val="24"/>
          <w:szCs w:val="24"/>
        </w:rPr>
        <w:t>.</w:t>
      </w:r>
      <w:r w:rsidR="00B03F99" w:rsidRPr="008E772B">
        <w:rPr>
          <w:rFonts w:asciiTheme="majorBidi" w:eastAsia="Times New Roman" w:hAnsiTheme="majorBidi" w:cstheme="majorBidi"/>
          <w:bCs/>
          <w:sz w:val="24"/>
          <w:szCs w:val="24"/>
        </w:rPr>
        <w:t xml:space="preserve"> To the best of our knowledge, this is the first </w:t>
      </w:r>
      <w:r w:rsidR="00C873E8">
        <w:rPr>
          <w:rFonts w:asciiTheme="majorBidi" w:eastAsia="Times New Roman" w:hAnsiTheme="majorBidi" w:cstheme="majorBidi"/>
          <w:bCs/>
          <w:sz w:val="24"/>
          <w:szCs w:val="24"/>
        </w:rPr>
        <w:t xml:space="preserve">major </w:t>
      </w:r>
      <w:r w:rsidR="00B03F99" w:rsidRPr="008E772B">
        <w:rPr>
          <w:rFonts w:asciiTheme="majorBidi" w:eastAsia="Times New Roman" w:hAnsiTheme="majorBidi" w:cstheme="majorBidi"/>
          <w:bCs/>
          <w:sz w:val="24"/>
          <w:szCs w:val="24"/>
        </w:rPr>
        <w:t xml:space="preserve">study to test the potential relationship between </w:t>
      </w:r>
      <w:r w:rsidR="00FF6FB4" w:rsidRPr="008E772B">
        <w:rPr>
          <w:rFonts w:asciiTheme="majorBidi" w:eastAsia="Times New Roman" w:hAnsiTheme="majorBidi" w:cstheme="majorBidi"/>
          <w:bCs/>
          <w:sz w:val="24"/>
          <w:szCs w:val="24"/>
        </w:rPr>
        <w:t>firm- and country-level governance</w:t>
      </w:r>
      <w:r w:rsidR="00585C1B" w:rsidRPr="008E772B">
        <w:rPr>
          <w:rFonts w:asciiTheme="majorBidi" w:eastAsia="Times New Roman" w:hAnsiTheme="majorBidi" w:cstheme="majorBidi"/>
          <w:bCs/>
          <w:sz w:val="24"/>
          <w:szCs w:val="24"/>
        </w:rPr>
        <w:t xml:space="preserve"> quality</w:t>
      </w:r>
      <w:r w:rsidR="00B03F99" w:rsidRPr="008E772B">
        <w:rPr>
          <w:rFonts w:asciiTheme="majorBidi" w:eastAsia="Times New Roman" w:hAnsiTheme="majorBidi" w:cstheme="majorBidi"/>
          <w:bCs/>
          <w:sz w:val="24"/>
          <w:szCs w:val="24"/>
        </w:rPr>
        <w:t xml:space="preserve">, on the one hand, and </w:t>
      </w:r>
      <w:r w:rsidR="00707118" w:rsidRPr="00707118">
        <w:rPr>
          <w:rFonts w:asciiTheme="majorBidi" w:eastAsia="Times New Roman" w:hAnsiTheme="majorBidi" w:cstheme="majorBidi"/>
          <w:bCs/>
          <w:sz w:val="24"/>
          <w:szCs w:val="24"/>
        </w:rPr>
        <w:t>audit quality</w:t>
      </w:r>
      <w:r w:rsidR="00B03F99" w:rsidRPr="008E772B">
        <w:rPr>
          <w:rFonts w:asciiTheme="majorBidi" w:eastAsia="Times New Roman" w:hAnsiTheme="majorBidi" w:cstheme="majorBidi"/>
          <w:bCs/>
          <w:sz w:val="24"/>
          <w:szCs w:val="24"/>
        </w:rPr>
        <w:t>, on the other hand</w:t>
      </w:r>
      <w:r w:rsidR="00915709" w:rsidRPr="008E772B">
        <w:rPr>
          <w:rFonts w:asciiTheme="majorBidi" w:eastAsia="Times New Roman" w:hAnsiTheme="majorBidi" w:cstheme="majorBidi"/>
          <w:bCs/>
          <w:sz w:val="24"/>
          <w:szCs w:val="24"/>
        </w:rPr>
        <w:t xml:space="preserve"> </w:t>
      </w:r>
      <w:r w:rsidR="006C45DB">
        <w:rPr>
          <w:rFonts w:asciiTheme="majorBidi" w:eastAsia="Times New Roman" w:hAnsiTheme="majorBidi" w:cstheme="majorBidi"/>
          <w:bCs/>
          <w:sz w:val="24"/>
          <w:szCs w:val="24"/>
        </w:rPr>
        <w:t>with</w:t>
      </w:r>
      <w:r w:rsidR="00915709" w:rsidRPr="008E772B">
        <w:rPr>
          <w:rFonts w:asciiTheme="majorBidi" w:eastAsia="Times New Roman" w:hAnsiTheme="majorBidi" w:cstheme="majorBidi"/>
          <w:bCs/>
          <w:sz w:val="24"/>
          <w:szCs w:val="24"/>
        </w:rPr>
        <w:t>in the MENA context</w:t>
      </w:r>
      <w:r w:rsidR="00B03F99" w:rsidRPr="008E772B">
        <w:rPr>
          <w:rFonts w:asciiTheme="majorBidi" w:eastAsia="Times New Roman" w:hAnsiTheme="majorBidi" w:cstheme="majorBidi"/>
          <w:bCs/>
          <w:sz w:val="24"/>
          <w:szCs w:val="24"/>
        </w:rPr>
        <w:t>.</w:t>
      </w:r>
      <w:r w:rsidR="00DC3D18" w:rsidRPr="008E772B">
        <w:rPr>
          <w:rFonts w:asciiTheme="majorBidi" w:eastAsiaTheme="minorHAnsi" w:hAnsiTheme="majorBidi" w:cstheme="majorBidi"/>
          <w:sz w:val="24"/>
          <w:szCs w:val="24"/>
          <w:lang w:eastAsia="en-US"/>
        </w:rPr>
        <w:t xml:space="preserve"> </w:t>
      </w:r>
      <w:r w:rsidR="0033237A" w:rsidRPr="000972D1">
        <w:rPr>
          <w:rFonts w:asciiTheme="majorBidi" w:eastAsiaTheme="minorHAnsi" w:hAnsiTheme="majorBidi" w:cstheme="majorBidi"/>
          <w:sz w:val="24"/>
          <w:szCs w:val="24"/>
          <w:lang w:eastAsia="en-US"/>
        </w:rPr>
        <w:t>In this case</w:t>
      </w:r>
      <w:r w:rsidR="0066676E" w:rsidRPr="000972D1">
        <w:rPr>
          <w:rFonts w:asciiTheme="majorBidi" w:eastAsiaTheme="minorHAnsi" w:hAnsiTheme="majorBidi" w:cstheme="majorBidi"/>
          <w:sz w:val="24"/>
          <w:szCs w:val="24"/>
          <w:lang w:eastAsia="en-US"/>
        </w:rPr>
        <w:t>, our study responds</w:t>
      </w:r>
      <w:r w:rsidR="0033237A" w:rsidRPr="000972D1">
        <w:rPr>
          <w:rFonts w:asciiTheme="majorBidi" w:eastAsiaTheme="minorHAnsi" w:hAnsiTheme="majorBidi" w:cstheme="majorBidi"/>
          <w:sz w:val="24"/>
          <w:szCs w:val="24"/>
          <w:lang w:eastAsia="en-US"/>
        </w:rPr>
        <w:t xml:space="preserve"> directly</w:t>
      </w:r>
      <w:r w:rsidR="0066676E" w:rsidRPr="000972D1">
        <w:rPr>
          <w:rFonts w:asciiTheme="majorBidi" w:eastAsiaTheme="minorHAnsi" w:hAnsiTheme="majorBidi" w:cstheme="majorBidi"/>
          <w:sz w:val="24"/>
          <w:szCs w:val="24"/>
          <w:lang w:eastAsia="en-US"/>
        </w:rPr>
        <w:t xml:space="preserve"> to </w:t>
      </w:r>
      <w:r w:rsidR="0066676E" w:rsidRPr="000972D1">
        <w:rPr>
          <w:rFonts w:asciiTheme="majorBidi" w:eastAsiaTheme="minorHAnsi" w:hAnsiTheme="majorBidi" w:cstheme="majorBidi"/>
          <w:bCs/>
          <w:sz w:val="24"/>
          <w:szCs w:val="24"/>
          <w:lang w:eastAsia="en-US"/>
        </w:rPr>
        <w:t>Zahra</w:t>
      </w:r>
      <w:r w:rsidR="0033237A" w:rsidRPr="000972D1">
        <w:rPr>
          <w:rFonts w:asciiTheme="majorBidi" w:eastAsiaTheme="minorHAnsi" w:hAnsiTheme="majorBidi" w:cstheme="majorBidi"/>
          <w:bCs/>
          <w:sz w:val="24"/>
          <w:szCs w:val="24"/>
          <w:lang w:eastAsia="en-US"/>
        </w:rPr>
        <w:t>’s</w:t>
      </w:r>
      <w:r w:rsidR="0066676E" w:rsidRPr="000972D1">
        <w:rPr>
          <w:rFonts w:asciiTheme="majorBidi" w:eastAsiaTheme="minorHAnsi" w:hAnsiTheme="majorBidi" w:cstheme="majorBidi"/>
          <w:bCs/>
          <w:sz w:val="24"/>
          <w:szCs w:val="24"/>
          <w:lang w:eastAsia="en-US"/>
        </w:rPr>
        <w:t xml:space="preserve"> (2014) </w:t>
      </w:r>
      <w:r w:rsidR="00144414" w:rsidRPr="000972D1">
        <w:rPr>
          <w:rFonts w:asciiTheme="majorBidi" w:eastAsiaTheme="minorHAnsi" w:hAnsiTheme="majorBidi" w:cstheme="majorBidi"/>
          <w:bCs/>
          <w:sz w:val="24"/>
          <w:szCs w:val="24"/>
          <w:lang w:eastAsia="en-US"/>
        </w:rPr>
        <w:t xml:space="preserve">and </w:t>
      </w:r>
      <w:r w:rsidR="00144414" w:rsidRPr="000972D1">
        <w:rPr>
          <w:rFonts w:asciiTheme="majorBidi" w:eastAsiaTheme="minorHAnsi" w:hAnsiTheme="majorBidi" w:cstheme="majorBidi"/>
          <w:bCs/>
          <w:iCs/>
          <w:sz w:val="24"/>
          <w:szCs w:val="24"/>
          <w:lang w:eastAsia="en-US"/>
        </w:rPr>
        <w:t xml:space="preserve">Barroso </w:t>
      </w:r>
      <w:r w:rsidR="00144414" w:rsidRPr="000972D1">
        <w:rPr>
          <w:rFonts w:asciiTheme="majorBidi" w:eastAsia="Times New Roman" w:hAnsiTheme="majorBidi" w:cstheme="majorBidi"/>
          <w:bCs/>
          <w:i/>
          <w:iCs/>
          <w:sz w:val="24"/>
          <w:szCs w:val="24"/>
        </w:rPr>
        <w:t>et al</w:t>
      </w:r>
      <w:r w:rsidR="00144414" w:rsidRPr="000972D1">
        <w:rPr>
          <w:rFonts w:asciiTheme="majorBidi" w:eastAsiaTheme="minorHAnsi" w:hAnsiTheme="majorBidi" w:cstheme="majorBidi"/>
          <w:bCs/>
          <w:iCs/>
          <w:sz w:val="24"/>
          <w:szCs w:val="24"/>
          <w:lang w:eastAsia="en-US"/>
        </w:rPr>
        <w:t>.</w:t>
      </w:r>
      <w:r w:rsidR="00EE5067">
        <w:rPr>
          <w:rFonts w:asciiTheme="majorBidi" w:eastAsiaTheme="minorHAnsi" w:hAnsiTheme="majorBidi" w:cstheme="majorBidi"/>
          <w:bCs/>
          <w:iCs/>
          <w:sz w:val="24"/>
          <w:szCs w:val="24"/>
          <w:lang w:eastAsia="en-US"/>
        </w:rPr>
        <w:t>’s</w:t>
      </w:r>
      <w:r w:rsidR="00144414" w:rsidRPr="000972D1">
        <w:rPr>
          <w:rFonts w:asciiTheme="majorBidi" w:eastAsiaTheme="minorHAnsi" w:hAnsiTheme="majorBidi" w:cstheme="majorBidi"/>
          <w:bCs/>
          <w:iCs/>
          <w:sz w:val="24"/>
          <w:szCs w:val="24"/>
          <w:lang w:eastAsia="en-US"/>
        </w:rPr>
        <w:t xml:space="preserve"> (2018) </w:t>
      </w:r>
      <w:r w:rsidR="0033237A" w:rsidRPr="000972D1">
        <w:rPr>
          <w:rFonts w:asciiTheme="majorBidi" w:eastAsiaTheme="minorHAnsi" w:hAnsiTheme="majorBidi" w:cstheme="majorBidi"/>
          <w:bCs/>
          <w:sz w:val="24"/>
          <w:szCs w:val="24"/>
          <w:lang w:eastAsia="en-US"/>
        </w:rPr>
        <w:t>specific call</w:t>
      </w:r>
      <w:r w:rsidR="00EE5067">
        <w:rPr>
          <w:rFonts w:asciiTheme="majorBidi" w:eastAsiaTheme="minorHAnsi" w:hAnsiTheme="majorBidi" w:cstheme="majorBidi"/>
          <w:bCs/>
          <w:sz w:val="24"/>
          <w:szCs w:val="24"/>
          <w:lang w:eastAsia="en-US"/>
        </w:rPr>
        <w:t>s</w:t>
      </w:r>
      <w:r w:rsidR="0033237A" w:rsidRPr="000972D1">
        <w:rPr>
          <w:rFonts w:asciiTheme="majorBidi" w:eastAsiaTheme="minorHAnsi" w:hAnsiTheme="majorBidi" w:cstheme="majorBidi"/>
          <w:bCs/>
          <w:sz w:val="24"/>
          <w:szCs w:val="24"/>
          <w:lang w:eastAsia="en-US"/>
        </w:rPr>
        <w:t xml:space="preserve"> for researchers </w:t>
      </w:r>
      <w:r w:rsidR="0066676E" w:rsidRPr="000972D1">
        <w:rPr>
          <w:rFonts w:asciiTheme="majorBidi" w:eastAsiaTheme="minorHAnsi" w:hAnsiTheme="majorBidi" w:cstheme="majorBidi"/>
          <w:bCs/>
          <w:sz w:val="24"/>
          <w:szCs w:val="24"/>
          <w:lang w:eastAsia="en-US"/>
        </w:rPr>
        <w:t xml:space="preserve">to </w:t>
      </w:r>
      <w:r w:rsidR="0033237A" w:rsidRPr="000972D1">
        <w:rPr>
          <w:rFonts w:asciiTheme="majorBidi" w:eastAsiaTheme="minorHAnsi" w:hAnsiTheme="majorBidi" w:cstheme="majorBidi"/>
          <w:sz w:val="24"/>
          <w:szCs w:val="24"/>
          <w:lang w:eastAsia="en-US"/>
        </w:rPr>
        <w:t>further examine</w:t>
      </w:r>
      <w:r w:rsidR="0066676E" w:rsidRPr="000972D1">
        <w:rPr>
          <w:rFonts w:asciiTheme="majorBidi" w:eastAsiaTheme="minorHAnsi" w:hAnsiTheme="majorBidi" w:cstheme="majorBidi"/>
          <w:sz w:val="24"/>
          <w:szCs w:val="24"/>
          <w:lang w:eastAsia="en-US"/>
        </w:rPr>
        <w:t xml:space="preserve"> whether </w:t>
      </w:r>
      <w:r w:rsidR="006D41E6" w:rsidRPr="000972D1">
        <w:rPr>
          <w:rFonts w:asciiTheme="majorBidi" w:eastAsiaTheme="minorHAnsi" w:hAnsiTheme="majorBidi" w:cstheme="majorBidi"/>
          <w:bCs/>
          <w:sz w:val="24"/>
          <w:szCs w:val="24"/>
          <w:lang w:eastAsia="en-US"/>
        </w:rPr>
        <w:t>country-level</w:t>
      </w:r>
      <w:r w:rsidR="0066676E" w:rsidRPr="000972D1">
        <w:rPr>
          <w:rFonts w:asciiTheme="majorBidi" w:eastAsiaTheme="minorHAnsi" w:hAnsiTheme="majorBidi" w:cstheme="majorBidi"/>
          <w:bCs/>
          <w:sz w:val="24"/>
          <w:szCs w:val="24"/>
          <w:lang w:eastAsia="en-US"/>
        </w:rPr>
        <w:t xml:space="preserve"> governance </w:t>
      </w:r>
      <w:r w:rsidR="000651A1" w:rsidRPr="000972D1">
        <w:rPr>
          <w:rFonts w:asciiTheme="majorBidi" w:eastAsiaTheme="minorHAnsi" w:hAnsiTheme="majorBidi" w:cstheme="majorBidi"/>
          <w:bCs/>
          <w:sz w:val="24"/>
          <w:szCs w:val="24"/>
          <w:lang w:eastAsia="en-US"/>
        </w:rPr>
        <w:t xml:space="preserve">mechanisms </w:t>
      </w:r>
      <w:r w:rsidR="0066676E" w:rsidRPr="000972D1">
        <w:rPr>
          <w:rFonts w:asciiTheme="majorBidi" w:eastAsiaTheme="minorHAnsi" w:hAnsiTheme="majorBidi" w:cstheme="majorBidi"/>
          <w:bCs/>
          <w:sz w:val="24"/>
          <w:szCs w:val="24"/>
          <w:lang w:eastAsia="en-US"/>
        </w:rPr>
        <w:t xml:space="preserve">(country’s legal system and legislative processes) are complements or substitutes to </w:t>
      </w:r>
      <w:r w:rsidR="006D41E6" w:rsidRPr="000972D1">
        <w:rPr>
          <w:rFonts w:asciiTheme="majorBidi" w:eastAsiaTheme="minorHAnsi" w:hAnsiTheme="majorBidi" w:cstheme="majorBidi"/>
          <w:bCs/>
          <w:sz w:val="24"/>
          <w:szCs w:val="24"/>
          <w:lang w:eastAsia="en-US"/>
        </w:rPr>
        <w:t xml:space="preserve">firm-level </w:t>
      </w:r>
      <w:r w:rsidR="0066676E" w:rsidRPr="000972D1">
        <w:rPr>
          <w:rFonts w:asciiTheme="majorBidi" w:eastAsiaTheme="minorHAnsi" w:hAnsiTheme="majorBidi" w:cstheme="majorBidi"/>
          <w:bCs/>
          <w:sz w:val="24"/>
          <w:szCs w:val="24"/>
          <w:lang w:eastAsia="en-US"/>
        </w:rPr>
        <w:t xml:space="preserve">governance systems </w:t>
      </w:r>
      <w:r w:rsidR="00113A69" w:rsidRPr="000972D1">
        <w:rPr>
          <w:rFonts w:asciiTheme="majorBidi" w:eastAsiaTheme="minorHAnsi" w:hAnsiTheme="majorBidi" w:cstheme="majorBidi"/>
          <w:bCs/>
          <w:sz w:val="24"/>
          <w:szCs w:val="24"/>
          <w:lang w:eastAsia="en-US"/>
        </w:rPr>
        <w:t>in protecting stakeholders interests through securing high</w:t>
      </w:r>
      <w:r w:rsidR="00677BC1" w:rsidRPr="000972D1">
        <w:rPr>
          <w:rFonts w:asciiTheme="majorBidi" w:eastAsiaTheme="minorHAnsi" w:hAnsiTheme="majorBidi" w:cstheme="majorBidi"/>
          <w:bCs/>
          <w:sz w:val="24"/>
          <w:szCs w:val="24"/>
          <w:lang w:eastAsia="en-US"/>
        </w:rPr>
        <w:t>er</w:t>
      </w:r>
      <w:r w:rsidR="00113A69" w:rsidRPr="000972D1">
        <w:rPr>
          <w:rFonts w:asciiTheme="majorBidi" w:eastAsiaTheme="minorHAnsi" w:hAnsiTheme="majorBidi" w:cstheme="majorBidi"/>
          <w:bCs/>
          <w:sz w:val="24"/>
          <w:szCs w:val="24"/>
          <w:lang w:eastAsia="en-US"/>
        </w:rPr>
        <w:t xml:space="preserve"> </w:t>
      </w:r>
      <w:r w:rsidR="0066676E" w:rsidRPr="000972D1">
        <w:rPr>
          <w:rFonts w:asciiTheme="majorBidi" w:eastAsiaTheme="minorHAnsi" w:hAnsiTheme="majorBidi" w:cstheme="majorBidi"/>
          <w:bCs/>
          <w:sz w:val="24"/>
          <w:szCs w:val="24"/>
          <w:lang w:eastAsia="en-US"/>
        </w:rPr>
        <w:t xml:space="preserve">audit quality. </w:t>
      </w:r>
      <w:r w:rsidR="004746ED">
        <w:rPr>
          <w:rFonts w:asciiTheme="majorBidi" w:eastAsiaTheme="minorHAnsi" w:hAnsiTheme="majorBidi" w:cstheme="majorBidi"/>
          <w:bCs/>
          <w:sz w:val="24"/>
          <w:szCs w:val="24"/>
          <w:lang w:eastAsia="en-US"/>
        </w:rPr>
        <w:t xml:space="preserve"> </w:t>
      </w:r>
      <w:r w:rsidR="00EE5067">
        <w:rPr>
          <w:rFonts w:asciiTheme="majorBidi" w:eastAsiaTheme="minorHAnsi" w:hAnsiTheme="majorBidi" w:cstheme="majorBidi"/>
          <w:bCs/>
          <w:sz w:val="24"/>
          <w:szCs w:val="24"/>
          <w:lang w:eastAsia="en-US"/>
        </w:rPr>
        <w:t>In this case, o</w:t>
      </w:r>
      <w:r w:rsidR="004746ED">
        <w:rPr>
          <w:rFonts w:asciiTheme="majorBidi" w:eastAsiaTheme="minorHAnsi" w:hAnsiTheme="majorBidi" w:cstheme="majorBidi"/>
          <w:bCs/>
          <w:sz w:val="24"/>
          <w:szCs w:val="24"/>
          <w:lang w:eastAsia="en-US"/>
        </w:rPr>
        <w:t xml:space="preserve">ur study provides a </w:t>
      </w:r>
      <w:r w:rsidR="004746ED" w:rsidRPr="004746ED">
        <w:rPr>
          <w:rFonts w:asciiTheme="majorBidi" w:eastAsiaTheme="minorHAnsi" w:hAnsiTheme="majorBidi" w:cstheme="majorBidi"/>
          <w:bCs/>
          <w:sz w:val="24"/>
          <w:szCs w:val="24"/>
          <w:lang w:eastAsia="en-US"/>
        </w:rPr>
        <w:t>multi</w:t>
      </w:r>
      <w:r w:rsidR="004746ED">
        <w:rPr>
          <w:rFonts w:asciiTheme="majorBidi" w:eastAsiaTheme="minorHAnsi" w:hAnsiTheme="majorBidi" w:cstheme="majorBidi"/>
          <w:bCs/>
          <w:sz w:val="24"/>
          <w:szCs w:val="24"/>
          <w:lang w:eastAsia="en-US"/>
        </w:rPr>
        <w:t>-</w:t>
      </w:r>
      <w:r w:rsidR="004746ED" w:rsidRPr="004746ED">
        <w:rPr>
          <w:rFonts w:asciiTheme="majorBidi" w:eastAsiaTheme="minorHAnsi" w:hAnsiTheme="majorBidi" w:cstheme="majorBidi"/>
          <w:bCs/>
          <w:sz w:val="24"/>
          <w:szCs w:val="24"/>
          <w:lang w:eastAsia="en-US"/>
        </w:rPr>
        <w:t xml:space="preserve">country </w:t>
      </w:r>
      <w:r w:rsidR="004746ED">
        <w:rPr>
          <w:rFonts w:asciiTheme="majorBidi" w:eastAsiaTheme="minorHAnsi" w:hAnsiTheme="majorBidi" w:cstheme="majorBidi"/>
          <w:bCs/>
          <w:sz w:val="24"/>
          <w:szCs w:val="24"/>
          <w:lang w:eastAsia="en-US"/>
        </w:rPr>
        <w:t>evidence on the effect of</w:t>
      </w:r>
      <w:r w:rsidR="004746ED" w:rsidRPr="004746ED">
        <w:rPr>
          <w:rFonts w:asciiTheme="majorBidi" w:eastAsia="Times New Roman" w:hAnsiTheme="majorBidi" w:cstheme="majorBidi"/>
          <w:bCs/>
          <w:sz w:val="24"/>
          <w:szCs w:val="24"/>
        </w:rPr>
        <w:t xml:space="preserve"> </w:t>
      </w:r>
      <w:r w:rsidR="004746ED" w:rsidRPr="004746ED">
        <w:rPr>
          <w:rFonts w:asciiTheme="majorBidi" w:eastAsiaTheme="minorHAnsi" w:hAnsiTheme="majorBidi" w:cstheme="majorBidi"/>
          <w:bCs/>
          <w:sz w:val="24"/>
          <w:szCs w:val="24"/>
          <w:lang w:eastAsia="en-US"/>
        </w:rPr>
        <w:t>firm- and country-level governance quality and characteristics</w:t>
      </w:r>
      <w:r w:rsidR="004746ED">
        <w:rPr>
          <w:rFonts w:asciiTheme="majorBidi" w:eastAsiaTheme="minorHAnsi" w:hAnsiTheme="majorBidi" w:cstheme="majorBidi"/>
          <w:bCs/>
          <w:sz w:val="24"/>
          <w:szCs w:val="24"/>
          <w:lang w:eastAsia="en-US"/>
        </w:rPr>
        <w:t xml:space="preserve"> on </w:t>
      </w:r>
      <w:r w:rsidR="004746ED" w:rsidRPr="004746ED">
        <w:rPr>
          <w:rFonts w:asciiTheme="majorBidi" w:eastAsiaTheme="minorHAnsi" w:hAnsiTheme="majorBidi" w:cstheme="majorBidi"/>
          <w:bCs/>
          <w:sz w:val="24"/>
          <w:szCs w:val="24"/>
          <w:lang w:eastAsia="en-US"/>
        </w:rPr>
        <w:t>audit</w:t>
      </w:r>
      <w:r w:rsidR="00C1542B">
        <w:rPr>
          <w:rFonts w:asciiTheme="majorBidi" w:eastAsiaTheme="minorHAnsi" w:hAnsiTheme="majorBidi" w:cstheme="majorBidi"/>
          <w:bCs/>
          <w:sz w:val="24"/>
          <w:szCs w:val="24"/>
          <w:lang w:eastAsia="en-US"/>
        </w:rPr>
        <w:t xml:space="preserve"> </w:t>
      </w:r>
      <w:r w:rsidR="004746ED" w:rsidRPr="004746ED">
        <w:rPr>
          <w:rFonts w:asciiTheme="majorBidi" w:eastAsiaTheme="minorHAnsi" w:hAnsiTheme="majorBidi" w:cstheme="majorBidi"/>
          <w:bCs/>
          <w:sz w:val="24"/>
          <w:szCs w:val="24"/>
          <w:lang w:eastAsia="en-US"/>
        </w:rPr>
        <w:t>quality</w:t>
      </w:r>
      <w:r w:rsidR="00C1542B">
        <w:rPr>
          <w:rFonts w:asciiTheme="majorBidi" w:eastAsiaTheme="minorHAnsi" w:hAnsiTheme="majorBidi" w:cstheme="majorBidi"/>
          <w:bCs/>
          <w:sz w:val="24"/>
          <w:szCs w:val="24"/>
          <w:lang w:eastAsia="en-US"/>
        </w:rPr>
        <w:t xml:space="preserve">, </w:t>
      </w:r>
      <w:r w:rsidR="00C1542B" w:rsidRPr="00C1542B">
        <w:rPr>
          <w:rFonts w:asciiTheme="majorBidi" w:eastAsiaTheme="minorHAnsi" w:hAnsiTheme="majorBidi" w:cstheme="majorBidi"/>
          <w:bCs/>
          <w:sz w:val="24"/>
          <w:szCs w:val="24"/>
          <w:lang w:eastAsia="en-US"/>
        </w:rPr>
        <w:t>measured by auditor choice and audit fees.</w:t>
      </w:r>
      <w:r w:rsidR="00C1542B">
        <w:rPr>
          <w:rFonts w:asciiTheme="majorBidi" w:eastAsiaTheme="minorHAnsi" w:hAnsiTheme="majorBidi" w:cstheme="majorBidi"/>
          <w:bCs/>
          <w:sz w:val="24"/>
          <w:szCs w:val="24"/>
          <w:lang w:eastAsia="en-US"/>
        </w:rPr>
        <w:t xml:space="preserve"> </w:t>
      </w:r>
      <w:r w:rsidR="00063DCA">
        <w:rPr>
          <w:rFonts w:asciiTheme="majorBidi" w:eastAsiaTheme="minorHAnsi" w:hAnsiTheme="majorBidi" w:cstheme="majorBidi"/>
          <w:bCs/>
          <w:sz w:val="24"/>
          <w:szCs w:val="24"/>
          <w:lang w:eastAsia="en-US"/>
        </w:rPr>
        <w:t>Therefore</w:t>
      </w:r>
      <w:r w:rsidR="00F95902" w:rsidRPr="000972D1">
        <w:rPr>
          <w:rFonts w:asciiTheme="majorBidi" w:eastAsiaTheme="minorHAnsi" w:hAnsiTheme="majorBidi" w:cstheme="majorBidi"/>
          <w:bCs/>
          <w:sz w:val="24"/>
          <w:szCs w:val="24"/>
          <w:lang w:eastAsia="en-US"/>
        </w:rPr>
        <w:t>, our study is distinct from past MENA studies that have investigated audit</w:t>
      </w:r>
      <w:r w:rsidR="003D4A1D" w:rsidRPr="000972D1">
        <w:rPr>
          <w:rFonts w:asciiTheme="majorBidi" w:eastAsiaTheme="minorHAnsi" w:hAnsiTheme="majorBidi" w:cstheme="majorBidi"/>
          <w:bCs/>
          <w:sz w:val="24"/>
          <w:szCs w:val="24"/>
          <w:lang w:eastAsia="en-US"/>
        </w:rPr>
        <w:t xml:space="preserve"> quality</w:t>
      </w:r>
      <w:r w:rsidR="00F95902" w:rsidRPr="000972D1">
        <w:rPr>
          <w:rFonts w:asciiTheme="majorBidi" w:eastAsiaTheme="minorHAnsi" w:hAnsiTheme="majorBidi" w:cstheme="majorBidi"/>
          <w:bCs/>
          <w:sz w:val="24"/>
          <w:szCs w:val="24"/>
          <w:lang w:eastAsia="en-US"/>
        </w:rPr>
        <w:t xml:space="preserve"> in that </w:t>
      </w:r>
      <w:r w:rsidR="00F95902" w:rsidRPr="000972D1">
        <w:rPr>
          <w:rFonts w:asciiTheme="majorBidi" w:eastAsiaTheme="minorHAnsi" w:hAnsiTheme="majorBidi" w:cstheme="majorBidi"/>
          <w:bCs/>
          <w:sz w:val="24"/>
          <w:szCs w:val="24"/>
          <w:lang w:val="en-US" w:eastAsia="en-US"/>
        </w:rPr>
        <w:t>they are either</w:t>
      </w:r>
      <w:r w:rsidR="00F95902" w:rsidRPr="000972D1">
        <w:rPr>
          <w:rFonts w:asciiTheme="majorBidi" w:eastAsiaTheme="minorHAnsi" w:hAnsiTheme="majorBidi" w:cstheme="majorBidi"/>
          <w:bCs/>
          <w:iCs/>
          <w:sz w:val="24"/>
          <w:szCs w:val="24"/>
          <w:lang w:eastAsia="en-US"/>
        </w:rPr>
        <w:t xml:space="preserve"> </w:t>
      </w:r>
      <w:r w:rsidR="003F00DC" w:rsidRPr="000972D1">
        <w:rPr>
          <w:rFonts w:asciiTheme="majorBidi" w:eastAsiaTheme="minorHAnsi" w:hAnsiTheme="majorBidi" w:cstheme="majorBidi"/>
          <w:bCs/>
          <w:iCs/>
          <w:sz w:val="24"/>
          <w:szCs w:val="24"/>
          <w:lang w:eastAsia="en-US"/>
        </w:rPr>
        <w:t xml:space="preserve">exclusively single country-focused </w:t>
      </w:r>
      <w:r w:rsidR="003F00DC" w:rsidRPr="000972D1">
        <w:rPr>
          <w:rFonts w:asciiTheme="majorBidi" w:eastAsiaTheme="minorHAnsi" w:hAnsiTheme="majorBidi" w:cstheme="majorBidi"/>
          <w:bCs/>
          <w:iCs/>
          <w:sz w:val="24"/>
          <w:szCs w:val="24"/>
          <w:lang w:val="en-US" w:eastAsia="en-US"/>
        </w:rPr>
        <w:t xml:space="preserve">(e.g., </w:t>
      </w:r>
      <w:r w:rsidR="003F00DC" w:rsidRPr="000972D1">
        <w:rPr>
          <w:rFonts w:asciiTheme="majorBidi" w:eastAsiaTheme="minorHAnsi" w:hAnsiTheme="majorBidi" w:cstheme="majorBidi"/>
          <w:bCs/>
          <w:iCs/>
          <w:sz w:val="24"/>
          <w:szCs w:val="24"/>
          <w:lang w:eastAsia="en-US"/>
        </w:rPr>
        <w:t xml:space="preserve">Afify, 2009; Al-Ajmi, 2009; Baatwah </w:t>
      </w:r>
      <w:r w:rsidR="003F00DC" w:rsidRPr="000972D1">
        <w:rPr>
          <w:rFonts w:asciiTheme="majorBidi" w:eastAsiaTheme="minorHAnsi" w:hAnsiTheme="majorBidi" w:cstheme="majorBidi"/>
          <w:bCs/>
          <w:i/>
          <w:iCs/>
          <w:sz w:val="24"/>
          <w:szCs w:val="24"/>
          <w:lang w:eastAsia="en-US"/>
        </w:rPr>
        <w:t>et al</w:t>
      </w:r>
      <w:r w:rsidR="003F00DC" w:rsidRPr="000972D1">
        <w:rPr>
          <w:rFonts w:asciiTheme="majorBidi" w:eastAsiaTheme="minorHAnsi" w:hAnsiTheme="majorBidi" w:cstheme="majorBidi"/>
          <w:bCs/>
          <w:iCs/>
          <w:sz w:val="24"/>
          <w:szCs w:val="24"/>
          <w:lang w:eastAsia="en-US"/>
        </w:rPr>
        <w:t>., 2015</w:t>
      </w:r>
      <w:r w:rsidR="003D4A1D" w:rsidRPr="000972D1">
        <w:rPr>
          <w:rFonts w:asciiTheme="majorBidi" w:eastAsiaTheme="minorHAnsi" w:hAnsiTheme="majorBidi" w:cstheme="majorBidi"/>
          <w:bCs/>
          <w:iCs/>
          <w:sz w:val="24"/>
          <w:szCs w:val="24"/>
          <w:lang w:eastAsia="en-US"/>
        </w:rPr>
        <w:t xml:space="preserve">; </w:t>
      </w:r>
      <w:r w:rsidR="003F00DC" w:rsidRPr="000972D1">
        <w:rPr>
          <w:rFonts w:asciiTheme="majorBidi" w:eastAsiaTheme="minorHAnsi" w:hAnsiTheme="majorBidi" w:cstheme="majorBidi"/>
          <w:bCs/>
          <w:iCs/>
          <w:sz w:val="24"/>
          <w:szCs w:val="24"/>
          <w:lang w:eastAsia="en-US"/>
        </w:rPr>
        <w:t xml:space="preserve">El-Dyasty, 2017) or </w:t>
      </w:r>
      <w:r w:rsidR="003B07D2" w:rsidRPr="000972D1">
        <w:rPr>
          <w:rFonts w:asciiTheme="majorBidi" w:eastAsiaTheme="minorHAnsi" w:hAnsiTheme="majorBidi" w:cstheme="majorBidi"/>
          <w:bCs/>
          <w:iCs/>
          <w:sz w:val="24"/>
          <w:szCs w:val="24"/>
          <w:lang w:eastAsia="en-US"/>
        </w:rPr>
        <w:t>concentrate on</w:t>
      </w:r>
      <w:r w:rsidR="003F00DC" w:rsidRPr="000972D1">
        <w:rPr>
          <w:rFonts w:asciiTheme="majorBidi" w:eastAsiaTheme="minorHAnsi" w:hAnsiTheme="majorBidi" w:cstheme="majorBidi"/>
          <w:bCs/>
          <w:iCs/>
          <w:sz w:val="24"/>
          <w:szCs w:val="24"/>
          <w:lang w:eastAsia="en-US"/>
        </w:rPr>
        <w:t xml:space="preserve"> only one proxy </w:t>
      </w:r>
      <w:r w:rsidR="00F95902" w:rsidRPr="000972D1">
        <w:rPr>
          <w:rFonts w:asciiTheme="majorBidi" w:eastAsiaTheme="minorHAnsi" w:hAnsiTheme="majorBidi" w:cstheme="majorBidi"/>
          <w:bCs/>
          <w:iCs/>
          <w:sz w:val="24"/>
          <w:szCs w:val="24"/>
          <w:lang w:eastAsia="en-US"/>
        </w:rPr>
        <w:t>of</w:t>
      </w:r>
      <w:r w:rsidR="003F00DC" w:rsidRPr="000972D1">
        <w:rPr>
          <w:rFonts w:asciiTheme="majorBidi" w:eastAsiaTheme="minorHAnsi" w:hAnsiTheme="majorBidi" w:cstheme="majorBidi"/>
          <w:bCs/>
          <w:iCs/>
          <w:sz w:val="24"/>
          <w:szCs w:val="24"/>
          <w:lang w:eastAsia="en-US"/>
        </w:rPr>
        <w:t xml:space="preserve"> audit quality (audit report lag or Big 4) (e.g., Afify, 2009, Al-Ajmi, 2009; Baatwah </w:t>
      </w:r>
      <w:r w:rsidR="003F00DC" w:rsidRPr="000972D1">
        <w:rPr>
          <w:rFonts w:asciiTheme="majorBidi" w:eastAsiaTheme="minorHAnsi" w:hAnsiTheme="majorBidi" w:cstheme="majorBidi"/>
          <w:bCs/>
          <w:i/>
          <w:iCs/>
          <w:sz w:val="24"/>
          <w:szCs w:val="24"/>
          <w:lang w:eastAsia="en-US"/>
        </w:rPr>
        <w:t>et al</w:t>
      </w:r>
      <w:r w:rsidR="003F00DC" w:rsidRPr="000972D1">
        <w:rPr>
          <w:rFonts w:asciiTheme="majorBidi" w:eastAsiaTheme="minorHAnsi" w:hAnsiTheme="majorBidi" w:cstheme="majorBidi"/>
          <w:bCs/>
          <w:iCs/>
          <w:sz w:val="24"/>
          <w:szCs w:val="24"/>
          <w:lang w:eastAsia="en-US"/>
        </w:rPr>
        <w:t>., 2015, El-Dyasty, 2017</w:t>
      </w:r>
      <w:r w:rsidR="003D4A1D" w:rsidRPr="000972D1">
        <w:rPr>
          <w:rFonts w:asciiTheme="majorBidi" w:eastAsiaTheme="minorHAnsi" w:hAnsiTheme="majorBidi" w:cstheme="majorBidi"/>
          <w:bCs/>
          <w:iCs/>
          <w:sz w:val="24"/>
          <w:szCs w:val="24"/>
          <w:lang w:eastAsia="en-US"/>
        </w:rPr>
        <w:t>;</w:t>
      </w:r>
      <w:r w:rsidR="003F00DC" w:rsidRPr="000972D1">
        <w:rPr>
          <w:rFonts w:asciiTheme="majorBidi" w:eastAsiaTheme="minorHAnsi" w:hAnsiTheme="majorBidi" w:cstheme="majorBidi"/>
          <w:bCs/>
          <w:iCs/>
          <w:sz w:val="24"/>
          <w:szCs w:val="24"/>
          <w:lang w:eastAsia="en-US"/>
        </w:rPr>
        <w:t xml:space="preserve"> Hassoun </w:t>
      </w:r>
      <w:r w:rsidR="003F00DC" w:rsidRPr="000972D1">
        <w:rPr>
          <w:rFonts w:asciiTheme="majorBidi" w:eastAsiaTheme="minorHAnsi" w:hAnsiTheme="majorBidi" w:cstheme="majorBidi"/>
          <w:bCs/>
          <w:i/>
          <w:iCs/>
          <w:sz w:val="24"/>
          <w:szCs w:val="24"/>
          <w:lang w:eastAsia="en-US"/>
        </w:rPr>
        <w:t>et al</w:t>
      </w:r>
      <w:r w:rsidR="003F00DC" w:rsidRPr="000972D1">
        <w:rPr>
          <w:rFonts w:asciiTheme="majorBidi" w:eastAsiaTheme="minorHAnsi" w:hAnsiTheme="majorBidi" w:cstheme="majorBidi"/>
          <w:bCs/>
          <w:iCs/>
          <w:sz w:val="24"/>
          <w:szCs w:val="24"/>
          <w:lang w:eastAsia="en-US"/>
        </w:rPr>
        <w:t>., 2018).</w:t>
      </w:r>
      <w:r w:rsidR="003F00DC">
        <w:rPr>
          <w:rFonts w:asciiTheme="majorBidi" w:eastAsiaTheme="minorHAnsi" w:hAnsiTheme="majorBidi" w:cstheme="majorBidi"/>
          <w:bCs/>
          <w:iCs/>
          <w:sz w:val="24"/>
          <w:szCs w:val="24"/>
          <w:lang w:eastAsia="en-US"/>
        </w:rPr>
        <w:t xml:space="preserve"> </w:t>
      </w:r>
    </w:p>
    <w:p w14:paraId="41756060" w14:textId="51EBAF56" w:rsidR="007C4420" w:rsidRDefault="007C4420" w:rsidP="00F95902">
      <w:pPr>
        <w:spacing w:after="0" w:line="360" w:lineRule="auto"/>
        <w:ind w:firstLine="720"/>
        <w:jc w:val="both"/>
        <w:rPr>
          <w:rFonts w:asciiTheme="majorBidi" w:eastAsia="Times New Roman" w:hAnsiTheme="majorBidi" w:cstheme="majorBidi"/>
          <w:bCs/>
          <w:sz w:val="24"/>
          <w:szCs w:val="24"/>
        </w:rPr>
      </w:pPr>
      <w:r w:rsidRPr="008E772B">
        <w:rPr>
          <w:rFonts w:asciiTheme="majorBidi" w:eastAsia="Times New Roman" w:hAnsiTheme="majorBidi" w:cstheme="majorBidi"/>
          <w:bCs/>
          <w:sz w:val="24"/>
          <w:szCs w:val="24"/>
        </w:rPr>
        <w:lastRenderedPageBreak/>
        <w:t xml:space="preserve">The </w:t>
      </w:r>
      <w:r w:rsidR="002239EB" w:rsidRPr="008E772B">
        <w:rPr>
          <w:rFonts w:asciiTheme="majorBidi" w:eastAsia="Times New Roman" w:hAnsiTheme="majorBidi" w:cstheme="majorBidi"/>
          <w:bCs/>
          <w:sz w:val="24"/>
          <w:szCs w:val="24"/>
        </w:rPr>
        <w:t>rest of</w:t>
      </w:r>
      <w:r w:rsidR="0089223A" w:rsidRPr="008E772B">
        <w:rPr>
          <w:rFonts w:asciiTheme="majorBidi" w:eastAsia="Times New Roman" w:hAnsiTheme="majorBidi" w:cstheme="majorBidi"/>
          <w:bCs/>
          <w:sz w:val="24"/>
          <w:szCs w:val="24"/>
        </w:rPr>
        <w:t xml:space="preserve"> the</w:t>
      </w:r>
      <w:r w:rsidR="002239EB" w:rsidRPr="008E772B">
        <w:rPr>
          <w:rFonts w:asciiTheme="majorBidi" w:eastAsia="Times New Roman" w:hAnsiTheme="majorBidi" w:cstheme="majorBidi"/>
          <w:bCs/>
          <w:sz w:val="24"/>
          <w:szCs w:val="24"/>
        </w:rPr>
        <w:t xml:space="preserve"> </w:t>
      </w:r>
      <w:r w:rsidR="00C02B0F" w:rsidRPr="008E772B">
        <w:rPr>
          <w:rFonts w:asciiTheme="majorBidi" w:eastAsia="Times New Roman" w:hAnsiTheme="majorBidi" w:cstheme="majorBidi"/>
          <w:bCs/>
          <w:sz w:val="24"/>
          <w:szCs w:val="24"/>
        </w:rPr>
        <w:t>paper</w:t>
      </w:r>
      <w:r w:rsidRPr="008E772B">
        <w:rPr>
          <w:rFonts w:asciiTheme="majorBidi" w:eastAsia="Times New Roman" w:hAnsiTheme="majorBidi" w:cstheme="majorBidi"/>
          <w:bCs/>
          <w:sz w:val="24"/>
          <w:szCs w:val="24"/>
        </w:rPr>
        <w:t xml:space="preserve"> is organised as follows. </w:t>
      </w:r>
      <w:r w:rsidR="00B41E31">
        <w:rPr>
          <w:rFonts w:asciiTheme="majorBidi" w:eastAsia="Times New Roman" w:hAnsiTheme="majorBidi" w:cstheme="majorBidi"/>
          <w:bCs/>
          <w:sz w:val="24"/>
          <w:szCs w:val="24"/>
        </w:rPr>
        <w:t>The next</w:t>
      </w:r>
      <w:r w:rsidRPr="008E772B">
        <w:rPr>
          <w:rFonts w:asciiTheme="majorBidi" w:eastAsia="Times New Roman" w:hAnsiTheme="majorBidi" w:cstheme="majorBidi"/>
          <w:bCs/>
          <w:sz w:val="24"/>
          <w:szCs w:val="24"/>
        </w:rPr>
        <w:t xml:space="preserve"> </w:t>
      </w:r>
      <w:r w:rsidR="00CF4BFD">
        <w:rPr>
          <w:rFonts w:asciiTheme="majorBidi" w:eastAsia="Times New Roman" w:hAnsiTheme="majorBidi" w:cstheme="majorBidi"/>
          <w:bCs/>
          <w:sz w:val="24"/>
          <w:szCs w:val="24"/>
        </w:rPr>
        <w:t xml:space="preserve">section </w:t>
      </w:r>
      <w:r w:rsidRPr="008E772B">
        <w:rPr>
          <w:rFonts w:asciiTheme="majorBidi" w:eastAsia="Times New Roman" w:hAnsiTheme="majorBidi" w:cstheme="majorBidi"/>
          <w:bCs/>
          <w:sz w:val="24"/>
          <w:szCs w:val="24"/>
        </w:rPr>
        <w:t xml:space="preserve">presents </w:t>
      </w:r>
      <w:r w:rsidR="006B4E53" w:rsidRPr="008E772B">
        <w:rPr>
          <w:rFonts w:asciiTheme="majorBidi" w:eastAsia="Times New Roman" w:hAnsiTheme="majorBidi" w:cstheme="majorBidi"/>
          <w:bCs/>
          <w:sz w:val="24"/>
          <w:szCs w:val="24"/>
        </w:rPr>
        <w:t>issues relating to</w:t>
      </w:r>
      <w:r w:rsidRPr="008E772B">
        <w:rPr>
          <w:rFonts w:asciiTheme="majorBidi" w:eastAsia="Times New Roman" w:hAnsiTheme="majorBidi" w:cstheme="majorBidi"/>
          <w:bCs/>
          <w:sz w:val="24"/>
          <w:szCs w:val="24"/>
        </w:rPr>
        <w:t xml:space="preserve"> audit quality and audit profession in the MENA region. </w:t>
      </w:r>
      <w:r w:rsidR="00B41E31">
        <w:rPr>
          <w:rFonts w:asciiTheme="majorBidi" w:eastAsia="Times New Roman" w:hAnsiTheme="majorBidi" w:cstheme="majorBidi"/>
          <w:bCs/>
          <w:sz w:val="24"/>
          <w:szCs w:val="24"/>
        </w:rPr>
        <w:t>The following sections</w:t>
      </w:r>
      <w:r w:rsidRPr="008E772B">
        <w:rPr>
          <w:rFonts w:asciiTheme="majorBidi" w:eastAsia="Times New Roman" w:hAnsiTheme="majorBidi" w:cstheme="majorBidi"/>
          <w:bCs/>
          <w:sz w:val="24"/>
          <w:szCs w:val="24"/>
        </w:rPr>
        <w:t xml:space="preserve"> review the literature and formulate hypotheses</w:t>
      </w:r>
      <w:r w:rsidR="00B41E31">
        <w:rPr>
          <w:rFonts w:asciiTheme="majorBidi" w:eastAsia="Times New Roman" w:hAnsiTheme="majorBidi" w:cstheme="majorBidi"/>
          <w:bCs/>
          <w:sz w:val="24"/>
          <w:szCs w:val="24"/>
        </w:rPr>
        <w:t>, present t</w:t>
      </w:r>
      <w:r w:rsidRPr="008E772B">
        <w:rPr>
          <w:rFonts w:asciiTheme="majorBidi" w:eastAsia="Times New Roman" w:hAnsiTheme="majorBidi" w:cstheme="majorBidi"/>
          <w:bCs/>
          <w:sz w:val="24"/>
          <w:szCs w:val="24"/>
        </w:rPr>
        <w:t>he research design</w:t>
      </w:r>
      <w:r w:rsidR="00B41E31">
        <w:rPr>
          <w:rFonts w:asciiTheme="majorBidi" w:eastAsia="Times New Roman" w:hAnsiTheme="majorBidi" w:cstheme="majorBidi"/>
          <w:bCs/>
          <w:sz w:val="24"/>
          <w:szCs w:val="24"/>
        </w:rPr>
        <w:t xml:space="preserve">, and </w:t>
      </w:r>
      <w:r w:rsidRPr="008E772B">
        <w:rPr>
          <w:rFonts w:asciiTheme="majorBidi" w:eastAsia="Times New Roman" w:hAnsiTheme="majorBidi" w:cstheme="majorBidi"/>
          <w:bCs/>
          <w:sz w:val="24"/>
          <w:szCs w:val="24"/>
        </w:rPr>
        <w:t>discuss the empirical results and sensitivity tests</w:t>
      </w:r>
      <w:r w:rsidR="00B41E31">
        <w:rPr>
          <w:rFonts w:asciiTheme="majorBidi" w:eastAsia="Times New Roman" w:hAnsiTheme="majorBidi" w:cstheme="majorBidi"/>
          <w:bCs/>
          <w:sz w:val="24"/>
          <w:szCs w:val="24"/>
        </w:rPr>
        <w:t>, whilst the final section concludes the paper</w:t>
      </w:r>
      <w:r w:rsidRPr="008E772B">
        <w:rPr>
          <w:rFonts w:asciiTheme="majorBidi" w:eastAsia="Times New Roman" w:hAnsiTheme="majorBidi" w:cstheme="majorBidi"/>
          <w:bCs/>
          <w:sz w:val="24"/>
          <w:szCs w:val="24"/>
        </w:rPr>
        <w:t>.</w:t>
      </w:r>
    </w:p>
    <w:p w14:paraId="59B24FEE" w14:textId="77777777" w:rsidR="00CC5A86" w:rsidRPr="008E772B" w:rsidRDefault="00CC5A86" w:rsidP="00F95902">
      <w:pPr>
        <w:spacing w:after="0" w:line="360" w:lineRule="auto"/>
        <w:ind w:firstLine="720"/>
        <w:jc w:val="both"/>
        <w:rPr>
          <w:rFonts w:asciiTheme="majorBidi" w:hAnsiTheme="majorBidi" w:cstheme="majorBidi"/>
          <w:b/>
          <w:bCs/>
          <w:sz w:val="24"/>
          <w:szCs w:val="24"/>
        </w:rPr>
      </w:pPr>
    </w:p>
    <w:p w14:paraId="29C723A2" w14:textId="20092C50" w:rsidR="007C4420" w:rsidRPr="00157823" w:rsidRDefault="00157823" w:rsidP="001E3C94">
      <w:pPr>
        <w:spacing w:after="0" w:line="360" w:lineRule="auto"/>
        <w:ind w:left="284" w:hanging="284"/>
        <w:jc w:val="lowKashida"/>
        <w:rPr>
          <w:rFonts w:asciiTheme="majorBidi" w:eastAsia="Times New Roman" w:hAnsiTheme="majorBidi" w:cstheme="majorBidi"/>
          <w:b/>
          <w:sz w:val="24"/>
          <w:szCs w:val="24"/>
        </w:rPr>
      </w:pPr>
      <w:r w:rsidRPr="00157823">
        <w:rPr>
          <w:rFonts w:asciiTheme="majorBidi" w:eastAsia="Times New Roman" w:hAnsiTheme="majorBidi" w:cstheme="majorBidi"/>
          <w:b/>
          <w:sz w:val="24"/>
          <w:szCs w:val="24"/>
        </w:rPr>
        <w:t>2. Audit Quality and Audit Profession in the MENA Region: Background and Institutional Framework</w:t>
      </w:r>
    </w:p>
    <w:p w14:paraId="2478F402" w14:textId="06AE50E2" w:rsidR="00052189" w:rsidRDefault="007C4420" w:rsidP="00482AFE">
      <w:pPr>
        <w:spacing w:after="0" w:line="360" w:lineRule="auto"/>
        <w:ind w:firstLine="720"/>
        <w:jc w:val="lowKashida"/>
        <w:rPr>
          <w:rFonts w:asciiTheme="majorBidi" w:eastAsiaTheme="minorHAnsi" w:hAnsiTheme="majorBidi" w:cstheme="majorBidi"/>
          <w:sz w:val="24"/>
          <w:szCs w:val="24"/>
          <w:lang w:eastAsia="en-US"/>
        </w:rPr>
      </w:pPr>
      <w:r w:rsidRPr="008E772B">
        <w:rPr>
          <w:rFonts w:asciiTheme="majorBidi" w:eastAsia="Times New Roman" w:hAnsiTheme="majorBidi" w:cstheme="majorBidi"/>
          <w:bCs/>
          <w:iCs/>
          <w:sz w:val="24"/>
          <w:szCs w:val="24"/>
        </w:rPr>
        <w:t>MENA countries, like other developing countries, share common cultural characteristics</w:t>
      </w:r>
      <w:r w:rsidR="009357D4" w:rsidRPr="008E772B">
        <w:rPr>
          <w:rFonts w:asciiTheme="majorBidi" w:eastAsia="Times New Roman" w:hAnsiTheme="majorBidi" w:cstheme="majorBidi"/>
          <w:bCs/>
          <w:iCs/>
          <w:sz w:val="24"/>
          <w:szCs w:val="24"/>
        </w:rPr>
        <w:t>,</w:t>
      </w:r>
      <w:r w:rsidRPr="008E772B">
        <w:rPr>
          <w:rFonts w:asciiTheme="majorBidi" w:eastAsia="Times New Roman" w:hAnsiTheme="majorBidi" w:cstheme="majorBidi"/>
          <w:bCs/>
          <w:iCs/>
          <w:sz w:val="24"/>
          <w:szCs w:val="24"/>
        </w:rPr>
        <w:t xml:space="preserve"> such as a strong hierarchical social structure, </w:t>
      </w:r>
      <w:r w:rsidR="00DB760C">
        <w:rPr>
          <w:rFonts w:asciiTheme="majorBidi" w:eastAsia="Times New Roman" w:hAnsiTheme="majorBidi" w:cstheme="majorBidi"/>
          <w:bCs/>
          <w:iCs/>
          <w:sz w:val="24"/>
          <w:szCs w:val="24"/>
        </w:rPr>
        <w:t xml:space="preserve">greater </w:t>
      </w:r>
      <w:r w:rsidRPr="008E772B">
        <w:rPr>
          <w:rFonts w:asciiTheme="majorBidi" w:eastAsia="Times New Roman" w:hAnsiTheme="majorBidi" w:cstheme="majorBidi"/>
          <w:bCs/>
          <w:iCs/>
          <w:sz w:val="24"/>
          <w:szCs w:val="24"/>
        </w:rPr>
        <w:t xml:space="preserve">importance of personal relationships, religion, accountability and trust, and </w:t>
      </w:r>
      <w:r w:rsidR="00DB760C">
        <w:rPr>
          <w:rFonts w:asciiTheme="majorBidi" w:eastAsia="Times New Roman" w:hAnsiTheme="majorBidi" w:cstheme="majorBidi"/>
          <w:bCs/>
          <w:iCs/>
          <w:sz w:val="24"/>
          <w:szCs w:val="24"/>
        </w:rPr>
        <w:t>developmental status of</w:t>
      </w:r>
      <w:r w:rsidRPr="008E772B">
        <w:rPr>
          <w:rFonts w:asciiTheme="majorBidi" w:eastAsia="Times New Roman" w:hAnsiTheme="majorBidi" w:cstheme="majorBidi"/>
          <w:bCs/>
          <w:iCs/>
          <w:sz w:val="24"/>
          <w:szCs w:val="24"/>
        </w:rPr>
        <w:t xml:space="preserve"> socio-economic institutions (Haniffa </w:t>
      </w:r>
      <w:r w:rsidR="001C5247" w:rsidRPr="008E772B">
        <w:rPr>
          <w:rFonts w:asciiTheme="majorBidi" w:eastAsia="Times New Roman" w:hAnsiTheme="majorBidi" w:cstheme="majorBidi"/>
          <w:bCs/>
          <w:sz w:val="24"/>
          <w:szCs w:val="24"/>
        </w:rPr>
        <w:t>&amp;</w:t>
      </w:r>
      <w:r w:rsidRPr="008E772B">
        <w:rPr>
          <w:rFonts w:asciiTheme="majorBidi" w:eastAsia="Times New Roman" w:hAnsiTheme="majorBidi" w:cstheme="majorBidi"/>
          <w:bCs/>
          <w:iCs/>
          <w:sz w:val="24"/>
          <w:szCs w:val="24"/>
        </w:rPr>
        <w:t xml:space="preserve"> Hudaib, 2007; Al-Ajmi, 2009</w:t>
      </w:r>
      <w:r w:rsidR="007A4BAB" w:rsidRPr="008E772B">
        <w:rPr>
          <w:rFonts w:asciiTheme="majorBidi" w:eastAsia="Times New Roman" w:hAnsiTheme="majorBidi" w:cstheme="majorBidi"/>
          <w:bCs/>
          <w:iCs/>
          <w:sz w:val="24"/>
          <w:szCs w:val="24"/>
        </w:rPr>
        <w:t xml:space="preserve">; Habbash </w:t>
      </w:r>
      <w:r w:rsidR="001C5247" w:rsidRPr="008E772B">
        <w:rPr>
          <w:rFonts w:asciiTheme="majorBidi" w:eastAsia="Times New Roman" w:hAnsiTheme="majorBidi" w:cstheme="majorBidi"/>
          <w:bCs/>
          <w:iCs/>
          <w:sz w:val="24"/>
          <w:szCs w:val="24"/>
        </w:rPr>
        <w:t>&amp;</w:t>
      </w:r>
      <w:r w:rsidR="007A4BAB" w:rsidRPr="008E772B">
        <w:rPr>
          <w:rFonts w:asciiTheme="majorBidi" w:eastAsia="Times New Roman" w:hAnsiTheme="majorBidi" w:cstheme="majorBidi"/>
          <w:bCs/>
          <w:iCs/>
          <w:sz w:val="24"/>
          <w:szCs w:val="24"/>
        </w:rPr>
        <w:t xml:space="preserve"> Alghamdi, </w:t>
      </w:r>
      <w:r w:rsidR="00255825" w:rsidRPr="008E772B">
        <w:rPr>
          <w:rFonts w:asciiTheme="majorBidi" w:eastAsia="Times New Roman" w:hAnsiTheme="majorBidi" w:cstheme="majorBidi"/>
          <w:bCs/>
          <w:iCs/>
          <w:sz w:val="24"/>
          <w:szCs w:val="24"/>
        </w:rPr>
        <w:t>2017</w:t>
      </w:r>
      <w:r w:rsidRPr="008E772B">
        <w:rPr>
          <w:rFonts w:asciiTheme="majorBidi" w:eastAsia="Times New Roman" w:hAnsiTheme="majorBidi" w:cstheme="majorBidi"/>
          <w:bCs/>
          <w:iCs/>
          <w:sz w:val="24"/>
          <w:szCs w:val="24"/>
        </w:rPr>
        <w:t xml:space="preserve">). </w:t>
      </w:r>
      <w:r w:rsidR="00DB760C">
        <w:rPr>
          <w:rFonts w:asciiTheme="majorBidi" w:eastAsia="Times New Roman" w:hAnsiTheme="majorBidi" w:cstheme="majorBidi"/>
          <w:bCs/>
          <w:iCs/>
          <w:sz w:val="24"/>
          <w:szCs w:val="24"/>
        </w:rPr>
        <w:t>Similarly, the s</w:t>
      </w:r>
      <w:r w:rsidR="006405FC" w:rsidRPr="008E772B">
        <w:rPr>
          <w:rFonts w:asciiTheme="majorBidi" w:eastAsia="Times New Roman" w:hAnsiTheme="majorBidi" w:cstheme="majorBidi"/>
          <w:bCs/>
          <w:iCs/>
          <w:sz w:val="24"/>
          <w:szCs w:val="24"/>
        </w:rPr>
        <w:t xml:space="preserve">tock markets in the </w:t>
      </w:r>
      <w:r w:rsidRPr="008E772B">
        <w:rPr>
          <w:rFonts w:asciiTheme="majorBidi" w:eastAsia="Times New Roman" w:hAnsiTheme="majorBidi" w:cstheme="majorBidi"/>
          <w:bCs/>
          <w:iCs/>
          <w:sz w:val="24"/>
          <w:szCs w:val="24"/>
        </w:rPr>
        <w:t xml:space="preserve">MENA </w:t>
      </w:r>
      <w:r w:rsidR="001A6B43" w:rsidRPr="008E772B">
        <w:rPr>
          <w:rFonts w:asciiTheme="majorBidi" w:eastAsia="Times New Roman" w:hAnsiTheme="majorBidi" w:cstheme="majorBidi"/>
          <w:bCs/>
          <w:iCs/>
          <w:sz w:val="24"/>
          <w:szCs w:val="24"/>
        </w:rPr>
        <w:t>region a</w:t>
      </w:r>
      <w:r w:rsidR="00DB760C">
        <w:rPr>
          <w:rFonts w:asciiTheme="majorBidi" w:eastAsia="Times New Roman" w:hAnsiTheme="majorBidi" w:cstheme="majorBidi"/>
          <w:bCs/>
          <w:iCs/>
          <w:sz w:val="24"/>
          <w:szCs w:val="24"/>
        </w:rPr>
        <w:t>long with</w:t>
      </w:r>
      <w:r w:rsidR="006405FC" w:rsidRPr="008E772B">
        <w:rPr>
          <w:rFonts w:asciiTheme="majorBidi" w:eastAsia="Times New Roman" w:hAnsiTheme="majorBidi" w:cstheme="majorBidi"/>
          <w:bCs/>
          <w:iCs/>
          <w:sz w:val="24"/>
          <w:szCs w:val="24"/>
        </w:rPr>
        <w:t xml:space="preserve"> the</w:t>
      </w:r>
      <w:r w:rsidRPr="008E772B">
        <w:rPr>
          <w:rFonts w:asciiTheme="majorBidi" w:eastAsia="Times New Roman" w:hAnsiTheme="majorBidi" w:cstheme="majorBidi"/>
          <w:bCs/>
          <w:iCs/>
          <w:sz w:val="24"/>
          <w:szCs w:val="24"/>
        </w:rPr>
        <w:t xml:space="preserve"> auditing environment have some distinct features</w:t>
      </w:r>
      <w:r w:rsidR="00585C1B" w:rsidRPr="008E772B">
        <w:rPr>
          <w:rFonts w:asciiTheme="majorBidi" w:eastAsia="Times New Roman" w:hAnsiTheme="majorBidi" w:cstheme="majorBidi"/>
          <w:bCs/>
          <w:iCs/>
          <w:sz w:val="24"/>
          <w:szCs w:val="24"/>
        </w:rPr>
        <w:t xml:space="preserve"> that are</w:t>
      </w:r>
      <w:r w:rsidRPr="008E772B">
        <w:rPr>
          <w:rFonts w:asciiTheme="majorBidi" w:eastAsia="Times New Roman" w:hAnsiTheme="majorBidi" w:cstheme="majorBidi"/>
          <w:bCs/>
          <w:iCs/>
          <w:sz w:val="24"/>
          <w:szCs w:val="24"/>
        </w:rPr>
        <w:t xml:space="preserve"> different from </w:t>
      </w:r>
      <w:r w:rsidR="00585C1B" w:rsidRPr="008E772B">
        <w:rPr>
          <w:rFonts w:asciiTheme="majorBidi" w:eastAsia="Times New Roman" w:hAnsiTheme="majorBidi" w:cstheme="majorBidi"/>
          <w:bCs/>
          <w:iCs/>
          <w:sz w:val="24"/>
          <w:szCs w:val="24"/>
        </w:rPr>
        <w:t xml:space="preserve">those of </w:t>
      </w:r>
      <w:r w:rsidRPr="008E772B">
        <w:rPr>
          <w:rFonts w:asciiTheme="majorBidi" w:eastAsia="Times New Roman" w:hAnsiTheme="majorBidi" w:cstheme="majorBidi"/>
          <w:bCs/>
          <w:iCs/>
          <w:sz w:val="24"/>
          <w:szCs w:val="24"/>
        </w:rPr>
        <w:t xml:space="preserve">most developed countries. For instance </w:t>
      </w:r>
      <w:r w:rsidR="00CA3774" w:rsidRPr="008E772B">
        <w:rPr>
          <w:rFonts w:asciiTheme="majorBidi" w:eastAsia="Times New Roman" w:hAnsiTheme="majorBidi" w:cstheme="majorBidi"/>
          <w:bCs/>
          <w:iCs/>
          <w:sz w:val="24"/>
          <w:szCs w:val="24"/>
        </w:rPr>
        <w:t xml:space="preserve">and generally, </w:t>
      </w:r>
      <w:r w:rsidRPr="008E772B">
        <w:rPr>
          <w:rFonts w:asciiTheme="majorBidi" w:eastAsia="Times New Roman" w:hAnsiTheme="majorBidi" w:cstheme="majorBidi"/>
          <w:bCs/>
          <w:iCs/>
          <w:sz w:val="24"/>
          <w:szCs w:val="24"/>
        </w:rPr>
        <w:t xml:space="preserve">there is concentrated </w:t>
      </w:r>
      <w:r w:rsidR="00C81356" w:rsidRPr="008E772B">
        <w:rPr>
          <w:rFonts w:asciiTheme="majorBidi" w:eastAsia="Times New Roman" w:hAnsiTheme="majorBidi" w:cstheme="majorBidi"/>
          <w:bCs/>
          <w:sz w:val="24"/>
          <w:szCs w:val="24"/>
        </w:rPr>
        <w:t>shareholding</w:t>
      </w:r>
      <w:r w:rsidRPr="008E772B">
        <w:rPr>
          <w:rFonts w:asciiTheme="majorBidi" w:eastAsia="Times New Roman" w:hAnsiTheme="majorBidi" w:cstheme="majorBidi"/>
          <w:bCs/>
          <w:iCs/>
          <w:sz w:val="24"/>
          <w:szCs w:val="24"/>
        </w:rPr>
        <w:t xml:space="preserve"> </w:t>
      </w:r>
      <w:r w:rsidR="003003BF">
        <w:rPr>
          <w:rFonts w:asciiTheme="majorBidi" w:eastAsia="Times New Roman" w:hAnsiTheme="majorBidi" w:cstheme="majorBidi"/>
          <w:bCs/>
          <w:iCs/>
          <w:sz w:val="24"/>
          <w:szCs w:val="24"/>
        </w:rPr>
        <w:t xml:space="preserve">structure often </w:t>
      </w:r>
      <w:r w:rsidRPr="008E772B">
        <w:rPr>
          <w:rFonts w:asciiTheme="majorBidi" w:eastAsia="Times New Roman" w:hAnsiTheme="majorBidi" w:cstheme="majorBidi"/>
          <w:bCs/>
          <w:iCs/>
          <w:sz w:val="24"/>
          <w:szCs w:val="24"/>
        </w:rPr>
        <w:t>dominated by the state and powerful families</w:t>
      </w:r>
      <w:r w:rsidR="00CA3774" w:rsidRPr="008E772B">
        <w:rPr>
          <w:rFonts w:asciiTheme="majorBidi" w:eastAsia="Times New Roman" w:hAnsiTheme="majorBidi" w:cstheme="majorBidi"/>
          <w:bCs/>
          <w:iCs/>
          <w:sz w:val="24"/>
          <w:szCs w:val="24"/>
        </w:rPr>
        <w:t xml:space="preserve">, especially royal families </w:t>
      </w:r>
      <w:r w:rsidRPr="008E772B">
        <w:rPr>
          <w:rFonts w:asciiTheme="majorBidi" w:eastAsia="Times New Roman" w:hAnsiTheme="majorBidi" w:cstheme="majorBidi"/>
          <w:bCs/>
          <w:iCs/>
          <w:sz w:val="24"/>
          <w:szCs w:val="24"/>
        </w:rPr>
        <w:t xml:space="preserve">(Wahdan </w:t>
      </w:r>
      <w:r w:rsidRPr="008E772B">
        <w:rPr>
          <w:rFonts w:asciiTheme="majorBidi" w:eastAsia="Times New Roman" w:hAnsiTheme="majorBidi" w:cstheme="majorBidi"/>
          <w:bCs/>
          <w:i/>
          <w:iCs/>
          <w:sz w:val="24"/>
          <w:szCs w:val="24"/>
        </w:rPr>
        <w:t>et al</w:t>
      </w:r>
      <w:r w:rsidRPr="008E772B">
        <w:rPr>
          <w:rFonts w:asciiTheme="majorBidi" w:eastAsia="Times New Roman" w:hAnsiTheme="majorBidi" w:cstheme="majorBidi"/>
          <w:bCs/>
          <w:iCs/>
          <w:sz w:val="24"/>
          <w:szCs w:val="24"/>
        </w:rPr>
        <w:t xml:space="preserve">., 2005; Al-Ajmi, 2009; Samaha </w:t>
      </w:r>
      <w:r w:rsidR="001C5247" w:rsidRPr="008E772B">
        <w:rPr>
          <w:rFonts w:asciiTheme="majorBidi" w:eastAsia="Times New Roman" w:hAnsiTheme="majorBidi" w:cstheme="majorBidi"/>
          <w:bCs/>
          <w:sz w:val="24"/>
          <w:szCs w:val="24"/>
        </w:rPr>
        <w:t>&amp;</w:t>
      </w:r>
      <w:r w:rsidRPr="008E772B">
        <w:rPr>
          <w:rFonts w:asciiTheme="majorBidi" w:eastAsia="Times New Roman" w:hAnsiTheme="majorBidi" w:cstheme="majorBidi"/>
          <w:bCs/>
          <w:iCs/>
          <w:sz w:val="24"/>
          <w:szCs w:val="24"/>
        </w:rPr>
        <w:t xml:space="preserve"> Hegazy, 2010; Mohamed </w:t>
      </w:r>
      <w:r w:rsidR="001C5247" w:rsidRPr="008E772B">
        <w:rPr>
          <w:rFonts w:asciiTheme="majorBidi" w:eastAsia="Times New Roman" w:hAnsiTheme="majorBidi" w:cstheme="majorBidi"/>
          <w:bCs/>
          <w:sz w:val="24"/>
          <w:szCs w:val="24"/>
        </w:rPr>
        <w:t>&amp;</w:t>
      </w:r>
      <w:r w:rsidRPr="008E772B">
        <w:rPr>
          <w:rFonts w:asciiTheme="majorBidi" w:eastAsia="Times New Roman" w:hAnsiTheme="majorBidi" w:cstheme="majorBidi"/>
          <w:bCs/>
          <w:iCs/>
          <w:sz w:val="24"/>
          <w:szCs w:val="24"/>
        </w:rPr>
        <w:t xml:space="preserve"> Habib, 2013</w:t>
      </w:r>
      <w:r w:rsidR="007A4BAB" w:rsidRPr="008E772B">
        <w:rPr>
          <w:rFonts w:asciiTheme="majorBidi" w:eastAsia="Times New Roman" w:hAnsiTheme="majorBidi" w:cstheme="majorBidi"/>
          <w:bCs/>
          <w:iCs/>
          <w:sz w:val="24"/>
          <w:szCs w:val="24"/>
        </w:rPr>
        <w:t>;</w:t>
      </w:r>
      <w:r w:rsidR="007A4BAB" w:rsidRPr="008E772B">
        <w:rPr>
          <w:rFonts w:asciiTheme="majorBidi" w:eastAsia="Times New Roman" w:hAnsiTheme="majorBidi" w:cstheme="majorBidi"/>
          <w:bCs/>
          <w:sz w:val="24"/>
          <w:szCs w:val="24"/>
        </w:rPr>
        <w:t xml:space="preserve"> </w:t>
      </w:r>
      <w:r w:rsidR="007A4BAB" w:rsidRPr="008E772B">
        <w:rPr>
          <w:rFonts w:asciiTheme="majorBidi" w:eastAsia="Times New Roman" w:hAnsiTheme="majorBidi" w:cstheme="majorBidi"/>
          <w:bCs/>
          <w:iCs/>
          <w:sz w:val="24"/>
          <w:szCs w:val="24"/>
        </w:rPr>
        <w:t xml:space="preserve">Habbash </w:t>
      </w:r>
      <w:r w:rsidR="001C5247" w:rsidRPr="008E772B">
        <w:rPr>
          <w:rFonts w:asciiTheme="majorBidi" w:eastAsia="Times New Roman" w:hAnsiTheme="majorBidi" w:cstheme="majorBidi"/>
          <w:bCs/>
          <w:iCs/>
          <w:sz w:val="24"/>
          <w:szCs w:val="24"/>
        </w:rPr>
        <w:t>&amp;</w:t>
      </w:r>
      <w:r w:rsidR="007A4BAB" w:rsidRPr="008E772B">
        <w:rPr>
          <w:rFonts w:asciiTheme="majorBidi" w:eastAsia="Times New Roman" w:hAnsiTheme="majorBidi" w:cstheme="majorBidi"/>
          <w:bCs/>
          <w:iCs/>
          <w:sz w:val="24"/>
          <w:szCs w:val="24"/>
        </w:rPr>
        <w:t xml:space="preserve"> Alghamdi, </w:t>
      </w:r>
      <w:r w:rsidR="00255825" w:rsidRPr="008E772B">
        <w:rPr>
          <w:rFonts w:asciiTheme="majorBidi" w:eastAsia="Times New Roman" w:hAnsiTheme="majorBidi" w:cstheme="majorBidi"/>
          <w:bCs/>
          <w:iCs/>
          <w:sz w:val="24"/>
          <w:szCs w:val="24"/>
        </w:rPr>
        <w:t>2017</w:t>
      </w:r>
      <w:r w:rsidR="00495CDF">
        <w:rPr>
          <w:rFonts w:asciiTheme="majorBidi" w:eastAsia="Times New Roman" w:hAnsiTheme="majorBidi" w:cstheme="majorBidi"/>
          <w:bCs/>
          <w:iCs/>
          <w:sz w:val="24"/>
          <w:szCs w:val="24"/>
        </w:rPr>
        <w:t xml:space="preserve">; </w:t>
      </w:r>
      <w:r w:rsidR="00495CDF" w:rsidRPr="00F808B6">
        <w:rPr>
          <w:rFonts w:asciiTheme="majorBidi" w:eastAsia="Times New Roman" w:hAnsiTheme="majorBidi" w:cstheme="majorBidi"/>
          <w:bCs/>
          <w:iCs/>
          <w:sz w:val="24"/>
          <w:szCs w:val="24"/>
        </w:rPr>
        <w:t xml:space="preserve">Ben-Hassoun </w:t>
      </w:r>
      <w:r w:rsidR="00495CDF" w:rsidRPr="00D94C5C">
        <w:rPr>
          <w:rFonts w:asciiTheme="majorBidi" w:eastAsia="Times New Roman" w:hAnsiTheme="majorBidi" w:cstheme="majorBidi"/>
          <w:bCs/>
          <w:i/>
          <w:iCs/>
          <w:sz w:val="24"/>
          <w:szCs w:val="24"/>
        </w:rPr>
        <w:t>et al.,</w:t>
      </w:r>
      <w:r w:rsidR="00495CDF">
        <w:rPr>
          <w:rFonts w:asciiTheme="majorBidi" w:eastAsia="Times New Roman" w:hAnsiTheme="majorBidi" w:cstheme="majorBidi"/>
          <w:bCs/>
          <w:iCs/>
          <w:sz w:val="24"/>
          <w:szCs w:val="24"/>
        </w:rPr>
        <w:t xml:space="preserve"> </w:t>
      </w:r>
      <w:r w:rsidR="00495CDF" w:rsidRPr="00F808B6">
        <w:rPr>
          <w:rFonts w:asciiTheme="majorBidi" w:eastAsia="Times New Roman" w:hAnsiTheme="majorBidi" w:cstheme="majorBidi"/>
          <w:bCs/>
          <w:iCs/>
          <w:sz w:val="24"/>
          <w:szCs w:val="24"/>
        </w:rPr>
        <w:t>2018</w:t>
      </w:r>
      <w:r w:rsidRPr="008E772B">
        <w:rPr>
          <w:rFonts w:asciiTheme="majorBidi" w:eastAsia="Times New Roman" w:hAnsiTheme="majorBidi" w:cstheme="majorBidi"/>
          <w:bCs/>
          <w:iCs/>
          <w:sz w:val="24"/>
          <w:szCs w:val="24"/>
        </w:rPr>
        <w:t>).</w:t>
      </w:r>
      <w:r w:rsidR="00293C13" w:rsidRPr="008E772B">
        <w:rPr>
          <w:rFonts w:asciiTheme="majorBidi" w:eastAsiaTheme="minorHAnsi" w:hAnsiTheme="majorBidi" w:cstheme="majorBidi"/>
          <w:sz w:val="24"/>
          <w:szCs w:val="24"/>
          <w:lang w:eastAsia="en-US"/>
        </w:rPr>
        <w:t xml:space="preserve"> </w:t>
      </w:r>
      <w:r w:rsidR="00312655">
        <w:rPr>
          <w:rFonts w:asciiTheme="majorBidi" w:eastAsiaTheme="minorHAnsi" w:hAnsiTheme="majorBidi" w:cstheme="majorBidi"/>
          <w:sz w:val="24"/>
          <w:szCs w:val="24"/>
          <w:lang w:eastAsia="en-US"/>
        </w:rPr>
        <w:t>External a</w:t>
      </w:r>
      <w:r w:rsidR="00312655" w:rsidRPr="00312655">
        <w:rPr>
          <w:rFonts w:asciiTheme="majorBidi" w:eastAsiaTheme="minorHAnsi" w:hAnsiTheme="majorBidi" w:cstheme="majorBidi"/>
          <w:sz w:val="24"/>
          <w:szCs w:val="24"/>
          <w:lang w:eastAsia="en-US"/>
        </w:rPr>
        <w:t xml:space="preserve">uditing mitigates agency problems by </w:t>
      </w:r>
      <w:r w:rsidR="00482AFE">
        <w:rPr>
          <w:rFonts w:asciiTheme="majorBidi" w:eastAsiaTheme="minorHAnsi" w:hAnsiTheme="majorBidi" w:cstheme="majorBidi"/>
          <w:sz w:val="24"/>
          <w:szCs w:val="24"/>
          <w:lang w:eastAsia="en-US"/>
        </w:rPr>
        <w:t>verifying</w:t>
      </w:r>
      <w:r w:rsidR="00312655" w:rsidRPr="00312655">
        <w:rPr>
          <w:rFonts w:asciiTheme="majorBidi" w:eastAsiaTheme="minorHAnsi" w:hAnsiTheme="majorBidi" w:cstheme="majorBidi"/>
          <w:sz w:val="24"/>
          <w:szCs w:val="24"/>
          <w:lang w:eastAsia="en-US"/>
        </w:rPr>
        <w:t xml:space="preserve"> the quality of the financial statements, which reduces information asymmetry and </w:t>
      </w:r>
      <w:r w:rsidR="00482AFE">
        <w:rPr>
          <w:rFonts w:asciiTheme="majorBidi" w:eastAsiaTheme="minorHAnsi" w:hAnsiTheme="majorBidi" w:cstheme="majorBidi"/>
          <w:sz w:val="24"/>
          <w:szCs w:val="24"/>
          <w:lang w:eastAsia="en-US"/>
        </w:rPr>
        <w:t xml:space="preserve">thereby </w:t>
      </w:r>
      <w:r w:rsidR="00312655">
        <w:rPr>
          <w:rFonts w:asciiTheme="majorBidi" w:eastAsiaTheme="minorHAnsi" w:hAnsiTheme="majorBidi" w:cstheme="majorBidi"/>
          <w:sz w:val="24"/>
          <w:szCs w:val="24"/>
          <w:lang w:eastAsia="en-US"/>
        </w:rPr>
        <w:t>ensur</w:t>
      </w:r>
      <w:r w:rsidR="00482AFE">
        <w:rPr>
          <w:rFonts w:asciiTheme="majorBidi" w:eastAsiaTheme="minorHAnsi" w:hAnsiTheme="majorBidi" w:cstheme="majorBidi"/>
          <w:sz w:val="24"/>
          <w:szCs w:val="24"/>
          <w:lang w:eastAsia="en-US"/>
        </w:rPr>
        <w:t>ing</w:t>
      </w:r>
      <w:r w:rsidR="00312655">
        <w:rPr>
          <w:rFonts w:asciiTheme="majorBidi" w:eastAsiaTheme="minorHAnsi" w:hAnsiTheme="majorBidi" w:cstheme="majorBidi"/>
          <w:sz w:val="24"/>
          <w:szCs w:val="24"/>
          <w:lang w:eastAsia="en-US"/>
        </w:rPr>
        <w:t xml:space="preserve"> </w:t>
      </w:r>
      <w:r w:rsidR="00482AFE">
        <w:rPr>
          <w:rFonts w:asciiTheme="majorBidi" w:eastAsiaTheme="minorHAnsi" w:hAnsiTheme="majorBidi" w:cstheme="majorBidi"/>
          <w:sz w:val="24"/>
          <w:szCs w:val="24"/>
          <w:lang w:eastAsia="en-US"/>
        </w:rPr>
        <w:t xml:space="preserve">that </w:t>
      </w:r>
      <w:r w:rsidR="00312655">
        <w:rPr>
          <w:rFonts w:asciiTheme="majorBidi" w:eastAsiaTheme="minorHAnsi" w:hAnsiTheme="majorBidi" w:cstheme="majorBidi"/>
          <w:sz w:val="24"/>
          <w:szCs w:val="24"/>
          <w:lang w:eastAsia="en-US"/>
        </w:rPr>
        <w:t xml:space="preserve">the interests of other </w:t>
      </w:r>
      <w:r w:rsidR="0043403C">
        <w:rPr>
          <w:rFonts w:asciiTheme="majorBidi" w:eastAsiaTheme="minorHAnsi" w:hAnsiTheme="majorBidi" w:cstheme="majorBidi"/>
          <w:sz w:val="24"/>
          <w:szCs w:val="24"/>
          <w:lang w:eastAsia="en-US"/>
        </w:rPr>
        <w:t xml:space="preserve">external </w:t>
      </w:r>
      <w:r w:rsidR="0043403C" w:rsidRPr="00312655">
        <w:rPr>
          <w:rFonts w:asciiTheme="majorBidi" w:eastAsiaTheme="minorHAnsi" w:hAnsiTheme="majorBidi" w:cstheme="majorBidi"/>
          <w:sz w:val="24"/>
          <w:szCs w:val="24"/>
          <w:lang w:eastAsia="en-US"/>
        </w:rPr>
        <w:t>shareholders</w:t>
      </w:r>
      <w:r w:rsidR="00312655" w:rsidRPr="00312655">
        <w:rPr>
          <w:rFonts w:asciiTheme="majorBidi" w:eastAsiaTheme="minorHAnsi" w:hAnsiTheme="majorBidi" w:cstheme="majorBidi"/>
          <w:sz w:val="24"/>
          <w:szCs w:val="24"/>
          <w:lang w:eastAsia="en-US"/>
        </w:rPr>
        <w:t xml:space="preserve"> </w:t>
      </w:r>
      <w:r w:rsidR="00482AFE">
        <w:rPr>
          <w:rFonts w:asciiTheme="majorBidi" w:eastAsiaTheme="minorHAnsi" w:hAnsiTheme="majorBidi" w:cstheme="majorBidi"/>
          <w:sz w:val="24"/>
          <w:szCs w:val="24"/>
          <w:lang w:eastAsia="en-US"/>
        </w:rPr>
        <w:t xml:space="preserve">are protected </w:t>
      </w:r>
      <w:r w:rsidR="00312655" w:rsidRPr="00312655">
        <w:rPr>
          <w:rFonts w:asciiTheme="majorBidi" w:eastAsiaTheme="minorHAnsi" w:hAnsiTheme="majorBidi" w:cstheme="majorBidi"/>
          <w:sz w:val="24"/>
          <w:szCs w:val="24"/>
          <w:lang w:eastAsia="en-US"/>
        </w:rPr>
        <w:t>(Francis &amp; Wang, 2008</w:t>
      </w:r>
      <w:r w:rsidR="005E38A5">
        <w:rPr>
          <w:rFonts w:asciiTheme="majorBidi" w:eastAsiaTheme="minorHAnsi" w:hAnsiTheme="majorBidi" w:cstheme="majorBidi"/>
          <w:sz w:val="24"/>
          <w:szCs w:val="24"/>
          <w:lang w:eastAsia="en-US"/>
        </w:rPr>
        <w:t>;</w:t>
      </w:r>
      <w:r w:rsidR="005E38A5" w:rsidRPr="005E38A5">
        <w:t xml:space="preserve"> </w:t>
      </w:r>
      <w:r w:rsidR="005E38A5">
        <w:rPr>
          <w:rFonts w:asciiTheme="majorBidi" w:eastAsiaTheme="minorHAnsi" w:hAnsiTheme="majorBidi" w:cstheme="majorBidi"/>
          <w:sz w:val="24"/>
          <w:szCs w:val="24"/>
          <w:lang w:eastAsia="en-US"/>
        </w:rPr>
        <w:t xml:space="preserve">Desender </w:t>
      </w:r>
      <w:r w:rsidR="005E38A5" w:rsidRPr="00D94C5C">
        <w:rPr>
          <w:rFonts w:asciiTheme="majorBidi" w:eastAsia="Times New Roman" w:hAnsiTheme="majorBidi" w:cstheme="majorBidi"/>
          <w:bCs/>
          <w:i/>
          <w:iCs/>
          <w:sz w:val="24"/>
          <w:szCs w:val="24"/>
        </w:rPr>
        <w:t>et al</w:t>
      </w:r>
      <w:r w:rsidR="005E38A5">
        <w:rPr>
          <w:rFonts w:asciiTheme="majorBidi" w:eastAsiaTheme="minorHAnsi" w:hAnsiTheme="majorBidi" w:cstheme="majorBidi"/>
          <w:sz w:val="24"/>
          <w:szCs w:val="24"/>
          <w:lang w:eastAsia="en-US"/>
        </w:rPr>
        <w:t>.</w:t>
      </w:r>
      <w:r w:rsidR="0043403C">
        <w:rPr>
          <w:rFonts w:asciiTheme="majorBidi" w:eastAsiaTheme="minorHAnsi" w:hAnsiTheme="majorBidi" w:cstheme="majorBidi"/>
          <w:sz w:val="24"/>
          <w:szCs w:val="24"/>
          <w:lang w:eastAsia="en-US"/>
        </w:rPr>
        <w:t>,</w:t>
      </w:r>
      <w:r w:rsidR="0043403C" w:rsidRPr="005E38A5">
        <w:rPr>
          <w:rFonts w:asciiTheme="majorBidi" w:eastAsiaTheme="minorHAnsi" w:hAnsiTheme="majorBidi" w:cstheme="majorBidi"/>
          <w:sz w:val="24"/>
          <w:szCs w:val="24"/>
          <w:lang w:eastAsia="en-US"/>
        </w:rPr>
        <w:t xml:space="preserve"> 2013</w:t>
      </w:r>
      <w:r w:rsidR="0043403C">
        <w:rPr>
          <w:rFonts w:asciiTheme="majorBidi" w:eastAsiaTheme="minorHAnsi" w:hAnsiTheme="majorBidi" w:cstheme="majorBidi"/>
          <w:sz w:val="24"/>
          <w:szCs w:val="24"/>
          <w:lang w:eastAsia="en-US"/>
        </w:rPr>
        <w:t xml:space="preserve">; </w:t>
      </w:r>
      <w:r w:rsidR="0043403C" w:rsidRPr="0043403C">
        <w:rPr>
          <w:rFonts w:asciiTheme="majorBidi" w:eastAsiaTheme="minorHAnsi" w:hAnsiTheme="majorBidi" w:cstheme="majorBidi"/>
          <w:sz w:val="24"/>
          <w:szCs w:val="24"/>
          <w:lang w:eastAsia="en-US"/>
        </w:rPr>
        <w:t>Barroso</w:t>
      </w:r>
      <w:r w:rsidR="0043403C">
        <w:rPr>
          <w:rFonts w:asciiTheme="majorBidi" w:eastAsiaTheme="minorHAnsi" w:hAnsiTheme="majorBidi" w:cstheme="majorBidi"/>
          <w:sz w:val="24"/>
          <w:szCs w:val="24"/>
          <w:lang w:eastAsia="en-US"/>
        </w:rPr>
        <w:t xml:space="preserve"> </w:t>
      </w:r>
      <w:r w:rsidR="0043403C" w:rsidRPr="00D94C5C">
        <w:rPr>
          <w:rFonts w:asciiTheme="majorBidi" w:eastAsia="Times New Roman" w:hAnsiTheme="majorBidi" w:cstheme="majorBidi"/>
          <w:bCs/>
          <w:i/>
          <w:iCs/>
          <w:sz w:val="24"/>
          <w:szCs w:val="24"/>
        </w:rPr>
        <w:t>et al.,</w:t>
      </w:r>
      <w:r w:rsidR="0043403C">
        <w:rPr>
          <w:rFonts w:asciiTheme="majorBidi" w:eastAsiaTheme="minorHAnsi" w:hAnsiTheme="majorBidi" w:cstheme="majorBidi"/>
          <w:sz w:val="24"/>
          <w:szCs w:val="24"/>
          <w:lang w:eastAsia="en-US"/>
        </w:rPr>
        <w:t xml:space="preserve"> 2018</w:t>
      </w:r>
      <w:r w:rsidR="00312655" w:rsidRPr="00312655">
        <w:rPr>
          <w:rFonts w:asciiTheme="majorBidi" w:eastAsiaTheme="minorHAnsi" w:hAnsiTheme="majorBidi" w:cstheme="majorBidi"/>
          <w:sz w:val="24"/>
          <w:szCs w:val="24"/>
          <w:lang w:eastAsia="en-US"/>
        </w:rPr>
        <w:t>).</w:t>
      </w:r>
      <w:r w:rsidR="00312655">
        <w:rPr>
          <w:rFonts w:asciiTheme="majorBidi" w:eastAsiaTheme="minorHAnsi" w:hAnsiTheme="majorBidi" w:cstheme="majorBidi"/>
          <w:sz w:val="24"/>
          <w:szCs w:val="24"/>
          <w:lang w:eastAsia="en-US"/>
        </w:rPr>
        <w:t xml:space="preserve"> </w:t>
      </w:r>
    </w:p>
    <w:p w14:paraId="7629EF90" w14:textId="6BCDDA48" w:rsidR="007C4420" w:rsidRPr="008E772B" w:rsidRDefault="007C4420" w:rsidP="004D18BE">
      <w:pPr>
        <w:spacing w:after="0" w:line="360" w:lineRule="auto"/>
        <w:ind w:firstLine="720"/>
        <w:jc w:val="lowKashida"/>
        <w:rPr>
          <w:rFonts w:asciiTheme="majorBidi" w:eastAsia="Calibri" w:hAnsiTheme="majorBidi" w:cstheme="majorBidi"/>
          <w:sz w:val="24"/>
          <w:szCs w:val="24"/>
        </w:rPr>
      </w:pPr>
      <w:r w:rsidRPr="008E772B">
        <w:rPr>
          <w:rFonts w:asciiTheme="majorBidi" w:eastAsia="Times New Roman" w:hAnsiTheme="majorBidi" w:cstheme="majorBidi"/>
          <w:bCs/>
          <w:iCs/>
          <w:sz w:val="24"/>
          <w:szCs w:val="24"/>
        </w:rPr>
        <w:t xml:space="preserve">In addition, the </w:t>
      </w:r>
      <w:r w:rsidR="0043403C">
        <w:rPr>
          <w:rFonts w:asciiTheme="majorBidi" w:eastAsia="Times New Roman" w:hAnsiTheme="majorBidi" w:cstheme="majorBidi"/>
          <w:bCs/>
          <w:iCs/>
          <w:sz w:val="24"/>
          <w:szCs w:val="24"/>
        </w:rPr>
        <w:t xml:space="preserve">accounting and </w:t>
      </w:r>
      <w:r w:rsidRPr="008E772B">
        <w:rPr>
          <w:rFonts w:asciiTheme="majorBidi" w:eastAsia="Times New Roman" w:hAnsiTheme="majorBidi" w:cstheme="majorBidi"/>
          <w:bCs/>
          <w:iCs/>
          <w:sz w:val="24"/>
          <w:szCs w:val="24"/>
        </w:rPr>
        <w:t>auditing profession</w:t>
      </w:r>
      <w:r w:rsidR="0043403C">
        <w:rPr>
          <w:rFonts w:asciiTheme="majorBidi" w:eastAsia="Times New Roman" w:hAnsiTheme="majorBidi" w:cstheme="majorBidi"/>
          <w:bCs/>
          <w:iCs/>
          <w:sz w:val="24"/>
          <w:szCs w:val="24"/>
        </w:rPr>
        <w:t>s</w:t>
      </w:r>
      <w:r w:rsidRPr="008E772B">
        <w:rPr>
          <w:rFonts w:asciiTheme="majorBidi" w:eastAsia="Times New Roman" w:hAnsiTheme="majorBidi" w:cstheme="majorBidi"/>
          <w:bCs/>
          <w:iCs/>
          <w:sz w:val="24"/>
          <w:szCs w:val="24"/>
        </w:rPr>
        <w:t xml:space="preserve"> </w:t>
      </w:r>
      <w:r w:rsidR="00DD2F95">
        <w:rPr>
          <w:rFonts w:asciiTheme="majorBidi" w:eastAsia="Times New Roman" w:hAnsiTheme="majorBidi" w:cstheme="majorBidi"/>
          <w:bCs/>
          <w:iCs/>
          <w:sz w:val="24"/>
          <w:szCs w:val="24"/>
        </w:rPr>
        <w:t xml:space="preserve">are </w:t>
      </w:r>
      <w:r w:rsidR="00DD2F95" w:rsidRPr="008E772B">
        <w:rPr>
          <w:rFonts w:asciiTheme="majorBidi" w:eastAsia="Times New Roman" w:hAnsiTheme="majorBidi" w:cstheme="majorBidi"/>
          <w:bCs/>
          <w:iCs/>
          <w:sz w:val="24"/>
          <w:szCs w:val="24"/>
        </w:rPr>
        <w:t>often</w:t>
      </w:r>
      <w:r w:rsidR="003C4DE2">
        <w:rPr>
          <w:rFonts w:asciiTheme="majorBidi" w:eastAsia="Times New Roman" w:hAnsiTheme="majorBidi" w:cstheme="majorBidi"/>
          <w:bCs/>
          <w:iCs/>
          <w:sz w:val="24"/>
          <w:szCs w:val="24"/>
        </w:rPr>
        <w:t xml:space="preserve"> </w:t>
      </w:r>
      <w:r w:rsidRPr="008E772B">
        <w:rPr>
          <w:rFonts w:asciiTheme="majorBidi" w:eastAsia="Times New Roman" w:hAnsiTheme="majorBidi" w:cstheme="majorBidi"/>
          <w:bCs/>
          <w:iCs/>
          <w:sz w:val="24"/>
          <w:szCs w:val="24"/>
        </w:rPr>
        <w:t xml:space="preserve">directly regulated by </w:t>
      </w:r>
      <w:r w:rsidR="003C4DE2">
        <w:rPr>
          <w:rFonts w:asciiTheme="majorBidi" w:eastAsia="Times New Roman" w:hAnsiTheme="majorBidi" w:cstheme="majorBidi"/>
          <w:bCs/>
          <w:iCs/>
          <w:sz w:val="24"/>
          <w:szCs w:val="24"/>
        </w:rPr>
        <w:t>central</w:t>
      </w:r>
      <w:r w:rsidRPr="008E772B">
        <w:rPr>
          <w:rFonts w:asciiTheme="majorBidi" w:eastAsia="Times New Roman" w:hAnsiTheme="majorBidi" w:cstheme="majorBidi"/>
          <w:bCs/>
          <w:iCs/>
          <w:sz w:val="24"/>
          <w:szCs w:val="24"/>
        </w:rPr>
        <w:t xml:space="preserve"> government</w:t>
      </w:r>
      <w:r w:rsidR="003C4DE2">
        <w:rPr>
          <w:rFonts w:asciiTheme="majorBidi" w:eastAsia="Times New Roman" w:hAnsiTheme="majorBidi" w:cstheme="majorBidi"/>
          <w:bCs/>
          <w:iCs/>
          <w:sz w:val="24"/>
          <w:szCs w:val="24"/>
        </w:rPr>
        <w:t>s</w:t>
      </w:r>
      <w:r w:rsidR="007F5DD2">
        <w:rPr>
          <w:rFonts w:asciiTheme="majorBidi" w:eastAsia="Times New Roman" w:hAnsiTheme="majorBidi" w:cstheme="majorBidi"/>
          <w:bCs/>
          <w:iCs/>
          <w:sz w:val="24"/>
          <w:szCs w:val="24"/>
        </w:rPr>
        <w:t>,</w:t>
      </w:r>
      <w:r w:rsidRPr="008E772B">
        <w:rPr>
          <w:rFonts w:asciiTheme="majorBidi" w:eastAsia="Times New Roman" w:hAnsiTheme="majorBidi" w:cstheme="majorBidi"/>
          <w:bCs/>
          <w:iCs/>
          <w:sz w:val="24"/>
          <w:szCs w:val="24"/>
        </w:rPr>
        <w:t xml:space="preserve"> and</w:t>
      </w:r>
      <w:r w:rsidR="0043403C">
        <w:rPr>
          <w:rFonts w:asciiTheme="majorBidi" w:eastAsia="Times New Roman" w:hAnsiTheme="majorBidi" w:cstheme="majorBidi"/>
          <w:bCs/>
          <w:iCs/>
          <w:sz w:val="24"/>
          <w:szCs w:val="24"/>
        </w:rPr>
        <w:t xml:space="preserve"> </w:t>
      </w:r>
      <w:r w:rsidR="0043403C" w:rsidRPr="0043403C">
        <w:rPr>
          <w:rFonts w:asciiTheme="majorBidi" w:eastAsia="Times New Roman" w:hAnsiTheme="majorBidi" w:cstheme="majorBidi"/>
          <w:bCs/>
          <w:iCs/>
          <w:sz w:val="24"/>
          <w:szCs w:val="24"/>
        </w:rPr>
        <w:t>litigation risk</w:t>
      </w:r>
      <w:r w:rsidRPr="008E772B">
        <w:rPr>
          <w:rFonts w:asciiTheme="majorBidi" w:eastAsia="Times New Roman" w:hAnsiTheme="majorBidi" w:cstheme="majorBidi"/>
          <w:bCs/>
          <w:iCs/>
          <w:sz w:val="24"/>
          <w:szCs w:val="24"/>
        </w:rPr>
        <w:t xml:space="preserve"> </w:t>
      </w:r>
      <w:r w:rsidR="0043403C">
        <w:rPr>
          <w:rFonts w:asciiTheme="majorBidi" w:eastAsia="Times New Roman" w:hAnsiTheme="majorBidi" w:cstheme="majorBidi"/>
          <w:bCs/>
          <w:iCs/>
          <w:sz w:val="24"/>
          <w:szCs w:val="24"/>
        </w:rPr>
        <w:t xml:space="preserve">is </w:t>
      </w:r>
      <w:r w:rsidR="00DD2F95" w:rsidRPr="0043403C">
        <w:rPr>
          <w:rFonts w:asciiTheme="majorBidi" w:eastAsia="Times New Roman" w:hAnsiTheme="majorBidi" w:cstheme="majorBidi"/>
          <w:bCs/>
          <w:iCs/>
          <w:sz w:val="24"/>
          <w:szCs w:val="24"/>
        </w:rPr>
        <w:t xml:space="preserve">low </w:t>
      </w:r>
      <w:r w:rsidR="00DD2F95" w:rsidRPr="008E772B">
        <w:rPr>
          <w:rFonts w:asciiTheme="majorBidi" w:eastAsia="Times New Roman" w:hAnsiTheme="majorBidi" w:cstheme="majorBidi"/>
          <w:bCs/>
          <w:iCs/>
          <w:sz w:val="24"/>
          <w:szCs w:val="24"/>
        </w:rPr>
        <w:t>in</w:t>
      </w:r>
      <w:r w:rsidRPr="008E772B">
        <w:rPr>
          <w:rFonts w:asciiTheme="majorBidi" w:eastAsia="Times New Roman" w:hAnsiTheme="majorBidi" w:cstheme="majorBidi"/>
          <w:bCs/>
          <w:iCs/>
          <w:sz w:val="24"/>
          <w:szCs w:val="24"/>
        </w:rPr>
        <w:t xml:space="preserve"> </w:t>
      </w:r>
      <w:r w:rsidR="003C4DE2">
        <w:rPr>
          <w:rFonts w:asciiTheme="majorBidi" w:eastAsia="Times New Roman" w:hAnsiTheme="majorBidi" w:cstheme="majorBidi"/>
          <w:bCs/>
          <w:iCs/>
          <w:sz w:val="24"/>
          <w:szCs w:val="24"/>
        </w:rPr>
        <w:t>the context of a</w:t>
      </w:r>
      <w:r w:rsidRPr="008E772B">
        <w:rPr>
          <w:rFonts w:asciiTheme="majorBidi" w:eastAsia="Times New Roman" w:hAnsiTheme="majorBidi" w:cstheme="majorBidi"/>
          <w:bCs/>
          <w:iCs/>
          <w:sz w:val="24"/>
          <w:szCs w:val="24"/>
        </w:rPr>
        <w:t xml:space="preserve"> relatively less efficient capital market</w:t>
      </w:r>
      <w:r w:rsidR="00227206" w:rsidRPr="008E772B">
        <w:rPr>
          <w:rFonts w:asciiTheme="majorBidi" w:eastAsia="Times New Roman" w:hAnsiTheme="majorBidi" w:cstheme="majorBidi"/>
          <w:bCs/>
          <w:iCs/>
          <w:sz w:val="24"/>
          <w:szCs w:val="24"/>
        </w:rPr>
        <w:t>s</w:t>
      </w:r>
      <w:r w:rsidRPr="008E772B">
        <w:rPr>
          <w:rFonts w:asciiTheme="majorBidi" w:eastAsia="Times New Roman" w:hAnsiTheme="majorBidi" w:cstheme="majorBidi"/>
          <w:bCs/>
          <w:iCs/>
          <w:sz w:val="24"/>
          <w:szCs w:val="24"/>
        </w:rPr>
        <w:t xml:space="preserve"> </w:t>
      </w:r>
      <w:r w:rsidR="00B47369" w:rsidRPr="008E772B">
        <w:rPr>
          <w:rFonts w:asciiTheme="majorBidi" w:eastAsia="Times New Roman" w:hAnsiTheme="majorBidi" w:cstheme="majorBidi"/>
          <w:bCs/>
          <w:iCs/>
          <w:sz w:val="24"/>
          <w:szCs w:val="24"/>
        </w:rPr>
        <w:t xml:space="preserve">operating </w:t>
      </w:r>
      <w:r w:rsidR="00227206" w:rsidRPr="008E772B">
        <w:rPr>
          <w:rFonts w:asciiTheme="majorBidi" w:eastAsia="Times New Roman" w:hAnsiTheme="majorBidi" w:cstheme="majorBidi"/>
          <w:bCs/>
          <w:iCs/>
          <w:sz w:val="24"/>
          <w:szCs w:val="24"/>
        </w:rPr>
        <w:t>in</w:t>
      </w:r>
      <w:r w:rsidRPr="008E772B">
        <w:rPr>
          <w:rFonts w:asciiTheme="majorBidi" w:eastAsia="Times New Roman" w:hAnsiTheme="majorBidi" w:cstheme="majorBidi"/>
          <w:bCs/>
          <w:iCs/>
          <w:sz w:val="24"/>
          <w:szCs w:val="24"/>
        </w:rPr>
        <w:t xml:space="preserve"> the MENA region (Wahdan </w:t>
      </w:r>
      <w:r w:rsidRPr="008E772B">
        <w:rPr>
          <w:rFonts w:asciiTheme="majorBidi" w:eastAsia="Times New Roman" w:hAnsiTheme="majorBidi" w:cstheme="majorBidi"/>
          <w:bCs/>
          <w:i/>
          <w:iCs/>
          <w:sz w:val="24"/>
          <w:szCs w:val="24"/>
        </w:rPr>
        <w:t>et al</w:t>
      </w:r>
      <w:r w:rsidRPr="008E772B">
        <w:rPr>
          <w:rFonts w:asciiTheme="majorBidi" w:eastAsia="Times New Roman" w:hAnsiTheme="majorBidi" w:cstheme="majorBidi"/>
          <w:bCs/>
          <w:iCs/>
          <w:sz w:val="24"/>
          <w:szCs w:val="24"/>
        </w:rPr>
        <w:t xml:space="preserve">., 2005; Al-Ajmi, 2009; Samaha </w:t>
      </w:r>
      <w:r w:rsidR="001C5247" w:rsidRPr="008E772B">
        <w:rPr>
          <w:rFonts w:asciiTheme="majorBidi" w:eastAsia="Times New Roman" w:hAnsiTheme="majorBidi" w:cstheme="majorBidi"/>
          <w:bCs/>
          <w:sz w:val="24"/>
          <w:szCs w:val="24"/>
        </w:rPr>
        <w:t>&amp;</w:t>
      </w:r>
      <w:r w:rsidRPr="008E772B">
        <w:rPr>
          <w:rFonts w:asciiTheme="majorBidi" w:eastAsia="Times New Roman" w:hAnsiTheme="majorBidi" w:cstheme="majorBidi"/>
          <w:bCs/>
          <w:iCs/>
          <w:sz w:val="24"/>
          <w:szCs w:val="24"/>
        </w:rPr>
        <w:t xml:space="preserve"> Hegazy, 2010; </w:t>
      </w:r>
      <w:r w:rsidR="00644C8F">
        <w:rPr>
          <w:rFonts w:asciiTheme="majorBidi" w:eastAsia="Times New Roman" w:hAnsiTheme="majorBidi" w:cstheme="majorBidi"/>
          <w:bCs/>
          <w:iCs/>
          <w:sz w:val="24"/>
          <w:szCs w:val="24"/>
        </w:rPr>
        <w:t xml:space="preserve">Khalifa, </w:t>
      </w:r>
      <w:r w:rsidR="00644C8F" w:rsidRPr="00644C8F">
        <w:rPr>
          <w:rFonts w:asciiTheme="majorBidi" w:eastAsia="Times New Roman" w:hAnsiTheme="majorBidi" w:cstheme="majorBidi"/>
          <w:bCs/>
          <w:iCs/>
          <w:sz w:val="24"/>
          <w:szCs w:val="24"/>
        </w:rPr>
        <w:t>2012</w:t>
      </w:r>
      <w:r w:rsidR="00644C8F">
        <w:rPr>
          <w:rFonts w:asciiTheme="majorBidi" w:eastAsia="Times New Roman" w:hAnsiTheme="majorBidi" w:cstheme="majorBidi"/>
          <w:bCs/>
          <w:iCs/>
          <w:sz w:val="24"/>
          <w:szCs w:val="24"/>
        </w:rPr>
        <w:t xml:space="preserve">; </w:t>
      </w:r>
      <w:r w:rsidRPr="008E772B">
        <w:rPr>
          <w:rFonts w:asciiTheme="majorBidi" w:eastAsia="Times New Roman" w:hAnsiTheme="majorBidi" w:cstheme="majorBidi"/>
          <w:bCs/>
          <w:iCs/>
          <w:sz w:val="24"/>
          <w:szCs w:val="24"/>
        </w:rPr>
        <w:t xml:space="preserve">Mohamed </w:t>
      </w:r>
      <w:r w:rsidR="001C5247" w:rsidRPr="008E772B">
        <w:rPr>
          <w:rFonts w:asciiTheme="majorBidi" w:eastAsia="Times New Roman" w:hAnsiTheme="majorBidi" w:cstheme="majorBidi"/>
          <w:bCs/>
          <w:sz w:val="24"/>
          <w:szCs w:val="24"/>
        </w:rPr>
        <w:t>&amp;</w:t>
      </w:r>
      <w:r w:rsidRPr="008E772B">
        <w:rPr>
          <w:rFonts w:asciiTheme="majorBidi" w:eastAsia="Times New Roman" w:hAnsiTheme="majorBidi" w:cstheme="majorBidi"/>
          <w:bCs/>
          <w:iCs/>
          <w:sz w:val="24"/>
          <w:szCs w:val="24"/>
        </w:rPr>
        <w:t xml:space="preserve"> Habib, 2013</w:t>
      </w:r>
      <w:r w:rsidR="00495CDF">
        <w:rPr>
          <w:rFonts w:asciiTheme="majorBidi" w:eastAsia="Times New Roman" w:hAnsiTheme="majorBidi" w:cstheme="majorBidi"/>
          <w:bCs/>
          <w:iCs/>
          <w:sz w:val="24"/>
          <w:szCs w:val="24"/>
        </w:rPr>
        <w:t xml:space="preserve">; </w:t>
      </w:r>
      <w:r w:rsidR="0043403C">
        <w:rPr>
          <w:rFonts w:asciiTheme="majorBidi" w:eastAsia="Times New Roman" w:hAnsiTheme="majorBidi" w:cstheme="majorBidi"/>
          <w:bCs/>
          <w:iCs/>
          <w:sz w:val="24"/>
          <w:szCs w:val="24"/>
        </w:rPr>
        <w:t xml:space="preserve">Barroso </w:t>
      </w:r>
      <w:r w:rsidR="0043403C" w:rsidRPr="00D94C5C">
        <w:rPr>
          <w:rFonts w:asciiTheme="majorBidi" w:eastAsia="Times New Roman" w:hAnsiTheme="majorBidi" w:cstheme="majorBidi"/>
          <w:bCs/>
          <w:i/>
          <w:iCs/>
          <w:sz w:val="24"/>
          <w:szCs w:val="24"/>
        </w:rPr>
        <w:t>et al</w:t>
      </w:r>
      <w:r w:rsidR="0043403C">
        <w:rPr>
          <w:rFonts w:asciiTheme="majorBidi" w:eastAsia="Times New Roman" w:hAnsiTheme="majorBidi" w:cstheme="majorBidi"/>
          <w:bCs/>
          <w:iCs/>
          <w:sz w:val="24"/>
          <w:szCs w:val="24"/>
        </w:rPr>
        <w:t xml:space="preserve">., 2018; </w:t>
      </w:r>
      <w:r w:rsidR="00495CDF" w:rsidRPr="00F808B6">
        <w:rPr>
          <w:rFonts w:asciiTheme="majorBidi" w:eastAsia="Times New Roman" w:hAnsiTheme="majorBidi" w:cstheme="majorBidi"/>
          <w:bCs/>
          <w:iCs/>
          <w:sz w:val="24"/>
          <w:szCs w:val="24"/>
        </w:rPr>
        <w:t xml:space="preserve">Ben-Hassoun </w:t>
      </w:r>
      <w:r w:rsidR="00495CDF" w:rsidRPr="00D94C5C">
        <w:rPr>
          <w:rFonts w:asciiTheme="majorBidi" w:eastAsia="Times New Roman" w:hAnsiTheme="majorBidi" w:cstheme="majorBidi"/>
          <w:bCs/>
          <w:i/>
          <w:iCs/>
          <w:sz w:val="24"/>
          <w:szCs w:val="24"/>
        </w:rPr>
        <w:t>et al</w:t>
      </w:r>
      <w:r w:rsidR="00495CDF" w:rsidRPr="00F808B6">
        <w:rPr>
          <w:rFonts w:asciiTheme="majorBidi" w:eastAsia="Times New Roman" w:hAnsiTheme="majorBidi" w:cstheme="majorBidi"/>
          <w:bCs/>
          <w:iCs/>
          <w:sz w:val="24"/>
          <w:szCs w:val="24"/>
        </w:rPr>
        <w:t>.</w:t>
      </w:r>
      <w:r w:rsidR="00495CDF">
        <w:rPr>
          <w:rFonts w:asciiTheme="majorBidi" w:eastAsia="Times New Roman" w:hAnsiTheme="majorBidi" w:cstheme="majorBidi"/>
          <w:bCs/>
          <w:iCs/>
          <w:sz w:val="24"/>
          <w:szCs w:val="24"/>
        </w:rPr>
        <w:t xml:space="preserve">, </w:t>
      </w:r>
      <w:r w:rsidR="00495CDF" w:rsidRPr="00F808B6">
        <w:rPr>
          <w:rFonts w:asciiTheme="majorBidi" w:eastAsia="Times New Roman" w:hAnsiTheme="majorBidi" w:cstheme="majorBidi"/>
          <w:bCs/>
          <w:iCs/>
          <w:sz w:val="24"/>
          <w:szCs w:val="24"/>
        </w:rPr>
        <w:t>2018</w:t>
      </w:r>
      <w:r w:rsidRPr="008E772B">
        <w:rPr>
          <w:rFonts w:asciiTheme="majorBidi" w:eastAsia="Times New Roman" w:hAnsiTheme="majorBidi" w:cstheme="majorBidi"/>
          <w:bCs/>
          <w:iCs/>
          <w:sz w:val="24"/>
          <w:szCs w:val="24"/>
        </w:rPr>
        <w:t>).</w:t>
      </w:r>
      <w:r w:rsidR="00786C6B" w:rsidRPr="008E772B">
        <w:rPr>
          <w:rFonts w:asciiTheme="majorBidi" w:eastAsia="Times New Roman" w:hAnsiTheme="majorBidi" w:cstheme="majorBidi"/>
          <w:bCs/>
          <w:iCs/>
          <w:sz w:val="24"/>
          <w:szCs w:val="24"/>
        </w:rPr>
        <w:t xml:space="preserve"> </w:t>
      </w:r>
      <w:r w:rsidR="00FB0B6E">
        <w:rPr>
          <w:rFonts w:asciiTheme="majorBidi" w:eastAsia="Times New Roman" w:hAnsiTheme="majorBidi" w:cstheme="majorBidi"/>
          <w:bCs/>
          <w:iCs/>
          <w:sz w:val="24"/>
          <w:szCs w:val="24"/>
        </w:rPr>
        <w:t xml:space="preserve"> </w:t>
      </w:r>
      <w:r w:rsidR="00CD0234">
        <w:rPr>
          <w:rFonts w:asciiTheme="majorBidi" w:eastAsia="Times New Roman" w:hAnsiTheme="majorBidi" w:cstheme="majorBidi"/>
          <w:bCs/>
          <w:iCs/>
          <w:sz w:val="24"/>
          <w:szCs w:val="24"/>
        </w:rPr>
        <w:t>In particular, t</w:t>
      </w:r>
      <w:r w:rsidRPr="008E772B">
        <w:rPr>
          <w:rFonts w:asciiTheme="majorBidi" w:eastAsia="Times New Roman" w:hAnsiTheme="majorBidi" w:cstheme="majorBidi"/>
          <w:bCs/>
          <w:iCs/>
          <w:sz w:val="24"/>
          <w:szCs w:val="24"/>
        </w:rPr>
        <w:t xml:space="preserve">he state and powerful </w:t>
      </w:r>
      <w:r w:rsidR="00155FDF">
        <w:rPr>
          <w:rFonts w:asciiTheme="majorBidi" w:eastAsia="Times New Roman" w:hAnsiTheme="majorBidi" w:cstheme="majorBidi"/>
          <w:bCs/>
          <w:iCs/>
          <w:sz w:val="24"/>
          <w:szCs w:val="24"/>
        </w:rPr>
        <w:t xml:space="preserve">royal </w:t>
      </w:r>
      <w:r w:rsidRPr="008E772B">
        <w:rPr>
          <w:rFonts w:asciiTheme="majorBidi" w:eastAsia="Times New Roman" w:hAnsiTheme="majorBidi" w:cstheme="majorBidi"/>
          <w:bCs/>
          <w:iCs/>
          <w:sz w:val="24"/>
          <w:szCs w:val="24"/>
        </w:rPr>
        <w:t xml:space="preserve">families in most MENA countries can influence the recruitment and appointment </w:t>
      </w:r>
      <w:r w:rsidR="003578F9" w:rsidRPr="008E772B">
        <w:rPr>
          <w:rFonts w:asciiTheme="majorBidi" w:eastAsia="Times New Roman" w:hAnsiTheme="majorBidi" w:cstheme="majorBidi"/>
          <w:bCs/>
          <w:iCs/>
          <w:sz w:val="24"/>
          <w:szCs w:val="24"/>
        </w:rPr>
        <w:t xml:space="preserve">of </w:t>
      </w:r>
      <w:r w:rsidRPr="008E772B">
        <w:rPr>
          <w:rFonts w:asciiTheme="majorBidi" w:eastAsia="Times New Roman" w:hAnsiTheme="majorBidi" w:cstheme="majorBidi"/>
          <w:bCs/>
          <w:iCs/>
          <w:sz w:val="24"/>
          <w:szCs w:val="24"/>
        </w:rPr>
        <w:t xml:space="preserve">members </w:t>
      </w:r>
      <w:r w:rsidR="003578F9" w:rsidRPr="008E772B">
        <w:rPr>
          <w:rFonts w:asciiTheme="majorBidi" w:eastAsia="Times New Roman" w:hAnsiTheme="majorBidi" w:cstheme="majorBidi"/>
          <w:bCs/>
          <w:iCs/>
          <w:sz w:val="24"/>
          <w:szCs w:val="24"/>
        </w:rPr>
        <w:t xml:space="preserve">of staff </w:t>
      </w:r>
      <w:r w:rsidRPr="008E772B">
        <w:rPr>
          <w:rFonts w:asciiTheme="majorBidi" w:eastAsia="Times New Roman" w:hAnsiTheme="majorBidi" w:cstheme="majorBidi"/>
          <w:bCs/>
          <w:iCs/>
          <w:sz w:val="24"/>
          <w:szCs w:val="24"/>
        </w:rPr>
        <w:t xml:space="preserve">in most professions, including audit firms (Wahdan </w:t>
      </w:r>
      <w:r w:rsidRPr="008E772B">
        <w:rPr>
          <w:rFonts w:asciiTheme="majorBidi" w:eastAsia="Times New Roman" w:hAnsiTheme="majorBidi" w:cstheme="majorBidi"/>
          <w:bCs/>
          <w:i/>
          <w:iCs/>
          <w:sz w:val="24"/>
          <w:szCs w:val="24"/>
        </w:rPr>
        <w:t>et al</w:t>
      </w:r>
      <w:r w:rsidRPr="008E772B">
        <w:rPr>
          <w:rFonts w:asciiTheme="majorBidi" w:eastAsia="Times New Roman" w:hAnsiTheme="majorBidi" w:cstheme="majorBidi"/>
          <w:bCs/>
          <w:iCs/>
          <w:sz w:val="24"/>
          <w:szCs w:val="24"/>
        </w:rPr>
        <w:t xml:space="preserve">., 2005; Mohamed </w:t>
      </w:r>
      <w:r w:rsidR="001C5247" w:rsidRPr="008E772B">
        <w:rPr>
          <w:rFonts w:asciiTheme="majorBidi" w:eastAsia="Times New Roman" w:hAnsiTheme="majorBidi" w:cstheme="majorBidi"/>
          <w:bCs/>
          <w:sz w:val="24"/>
          <w:szCs w:val="24"/>
        </w:rPr>
        <w:t>&amp;</w:t>
      </w:r>
      <w:r w:rsidRPr="008E772B">
        <w:rPr>
          <w:rFonts w:asciiTheme="majorBidi" w:eastAsia="Times New Roman" w:hAnsiTheme="majorBidi" w:cstheme="majorBidi"/>
          <w:bCs/>
          <w:iCs/>
          <w:sz w:val="24"/>
          <w:szCs w:val="24"/>
        </w:rPr>
        <w:t xml:space="preserve"> Habib, 2013). The political and legal structure</w:t>
      </w:r>
      <w:r w:rsidR="00AF2C34">
        <w:rPr>
          <w:rFonts w:asciiTheme="majorBidi" w:eastAsia="Times New Roman" w:hAnsiTheme="majorBidi" w:cstheme="majorBidi"/>
          <w:bCs/>
          <w:iCs/>
          <w:sz w:val="24"/>
          <w:szCs w:val="24"/>
        </w:rPr>
        <w:t>s</w:t>
      </w:r>
      <w:r w:rsidRPr="008E772B">
        <w:rPr>
          <w:rFonts w:asciiTheme="majorBidi" w:eastAsia="Times New Roman" w:hAnsiTheme="majorBidi" w:cstheme="majorBidi"/>
          <w:bCs/>
          <w:iCs/>
          <w:sz w:val="24"/>
          <w:szCs w:val="24"/>
        </w:rPr>
        <w:t xml:space="preserve"> and social values (</w:t>
      </w:r>
      <w:r w:rsidR="00D825DF">
        <w:rPr>
          <w:rFonts w:asciiTheme="majorBidi" w:eastAsia="Times New Roman" w:hAnsiTheme="majorBidi" w:cstheme="majorBidi"/>
          <w:bCs/>
          <w:iCs/>
          <w:sz w:val="24"/>
          <w:szCs w:val="24"/>
        </w:rPr>
        <w:t>such as</w:t>
      </w:r>
      <w:r w:rsidR="004525D6">
        <w:rPr>
          <w:rFonts w:asciiTheme="majorBidi" w:eastAsia="Times New Roman" w:hAnsiTheme="majorBidi" w:cstheme="majorBidi"/>
          <w:bCs/>
          <w:iCs/>
          <w:sz w:val="24"/>
          <w:szCs w:val="24"/>
        </w:rPr>
        <w:t>,</w:t>
      </w:r>
      <w:r w:rsidR="00D825DF">
        <w:rPr>
          <w:rFonts w:asciiTheme="majorBidi" w:eastAsia="Times New Roman" w:hAnsiTheme="majorBidi" w:cstheme="majorBidi"/>
          <w:bCs/>
          <w:iCs/>
          <w:sz w:val="24"/>
          <w:szCs w:val="24"/>
        </w:rPr>
        <w:t xml:space="preserve"> </w:t>
      </w:r>
      <w:r w:rsidRPr="008E772B">
        <w:rPr>
          <w:rFonts w:asciiTheme="majorBidi" w:eastAsia="Times New Roman" w:hAnsiTheme="majorBidi" w:cstheme="majorBidi"/>
          <w:bCs/>
          <w:iCs/>
          <w:sz w:val="24"/>
          <w:szCs w:val="24"/>
        </w:rPr>
        <w:t xml:space="preserve">religion, </w:t>
      </w:r>
      <w:r w:rsidR="00BC284F" w:rsidRPr="00BC284F">
        <w:rPr>
          <w:rFonts w:asciiTheme="majorBidi" w:eastAsia="Times New Roman" w:hAnsiTheme="majorBidi" w:cstheme="majorBidi"/>
          <w:bCs/>
          <w:iCs/>
          <w:sz w:val="24"/>
          <w:szCs w:val="24"/>
        </w:rPr>
        <w:t>hierarchical social structure</w:t>
      </w:r>
      <w:r w:rsidR="00BC284F">
        <w:rPr>
          <w:rFonts w:asciiTheme="majorBidi" w:eastAsia="Times New Roman" w:hAnsiTheme="majorBidi" w:cstheme="majorBidi"/>
          <w:bCs/>
          <w:iCs/>
          <w:sz w:val="24"/>
          <w:szCs w:val="24"/>
        </w:rPr>
        <w:t>,</w:t>
      </w:r>
      <w:r w:rsidR="00BC284F" w:rsidRPr="00BC284F">
        <w:rPr>
          <w:rFonts w:asciiTheme="majorBidi" w:eastAsia="Times New Roman" w:hAnsiTheme="majorBidi" w:cstheme="majorBidi"/>
          <w:bCs/>
          <w:iCs/>
          <w:sz w:val="24"/>
          <w:szCs w:val="24"/>
        </w:rPr>
        <w:t xml:space="preserve"> importance of kinship</w:t>
      </w:r>
      <w:r w:rsidR="00BC284F">
        <w:rPr>
          <w:rFonts w:asciiTheme="majorBidi" w:eastAsia="Times New Roman" w:hAnsiTheme="majorBidi" w:cstheme="majorBidi"/>
          <w:bCs/>
          <w:iCs/>
          <w:sz w:val="24"/>
          <w:szCs w:val="24"/>
        </w:rPr>
        <w:t xml:space="preserve">, </w:t>
      </w:r>
      <w:r w:rsidRPr="008E772B">
        <w:rPr>
          <w:rFonts w:asciiTheme="majorBidi" w:eastAsia="Times New Roman" w:hAnsiTheme="majorBidi" w:cstheme="majorBidi"/>
          <w:bCs/>
          <w:iCs/>
          <w:sz w:val="24"/>
          <w:szCs w:val="24"/>
        </w:rPr>
        <w:t>norms and ethics) may also impact the audit profession</w:t>
      </w:r>
      <w:r w:rsidR="00EE5067">
        <w:rPr>
          <w:rFonts w:asciiTheme="majorBidi" w:eastAsia="Times New Roman" w:hAnsiTheme="majorBidi" w:cstheme="majorBidi"/>
          <w:bCs/>
          <w:iCs/>
          <w:sz w:val="24"/>
          <w:szCs w:val="24"/>
        </w:rPr>
        <w:t>,</w:t>
      </w:r>
      <w:r w:rsidRPr="008E772B">
        <w:rPr>
          <w:rFonts w:asciiTheme="majorBidi" w:eastAsia="Times New Roman" w:hAnsiTheme="majorBidi" w:cstheme="majorBidi"/>
          <w:bCs/>
          <w:iCs/>
          <w:sz w:val="24"/>
          <w:szCs w:val="24"/>
        </w:rPr>
        <w:t xml:space="preserve"> and</w:t>
      </w:r>
      <w:r w:rsidR="00AF2C34">
        <w:rPr>
          <w:rFonts w:asciiTheme="majorBidi" w:eastAsia="Times New Roman" w:hAnsiTheme="majorBidi" w:cstheme="majorBidi"/>
          <w:bCs/>
          <w:iCs/>
          <w:sz w:val="24"/>
          <w:szCs w:val="24"/>
        </w:rPr>
        <w:t xml:space="preserve"> consequently</w:t>
      </w:r>
      <w:r w:rsidR="00EE5067">
        <w:rPr>
          <w:rFonts w:asciiTheme="majorBidi" w:eastAsia="Times New Roman" w:hAnsiTheme="majorBidi" w:cstheme="majorBidi"/>
          <w:bCs/>
          <w:iCs/>
          <w:sz w:val="24"/>
          <w:szCs w:val="24"/>
        </w:rPr>
        <w:t>,</w:t>
      </w:r>
      <w:r w:rsidRPr="008E772B">
        <w:rPr>
          <w:rFonts w:asciiTheme="majorBidi" w:eastAsia="Times New Roman" w:hAnsiTheme="majorBidi" w:cstheme="majorBidi"/>
          <w:bCs/>
          <w:iCs/>
          <w:sz w:val="24"/>
          <w:szCs w:val="24"/>
        </w:rPr>
        <w:t xml:space="preserve"> the quality of audit services provided (Haniffa </w:t>
      </w:r>
      <w:r w:rsidR="001C5247" w:rsidRPr="008E772B">
        <w:rPr>
          <w:rFonts w:asciiTheme="majorBidi" w:eastAsia="Times New Roman" w:hAnsiTheme="majorBidi" w:cstheme="majorBidi"/>
          <w:bCs/>
          <w:sz w:val="24"/>
          <w:szCs w:val="24"/>
        </w:rPr>
        <w:t>&amp;</w:t>
      </w:r>
      <w:r w:rsidRPr="008E772B">
        <w:rPr>
          <w:rFonts w:asciiTheme="majorBidi" w:eastAsia="Times New Roman" w:hAnsiTheme="majorBidi" w:cstheme="majorBidi"/>
          <w:bCs/>
          <w:iCs/>
          <w:sz w:val="24"/>
          <w:szCs w:val="24"/>
        </w:rPr>
        <w:t xml:space="preserve"> Hudaib, 2007).</w:t>
      </w:r>
      <w:r w:rsidR="00BC284F" w:rsidRPr="00BC284F">
        <w:rPr>
          <w:rFonts w:ascii="Times New Roman" w:hAnsi="Times New Roman" w:cs="Times New Roman"/>
          <w:color w:val="000000"/>
          <w:sz w:val="23"/>
          <w:szCs w:val="23"/>
        </w:rPr>
        <w:t xml:space="preserve"> </w:t>
      </w:r>
      <w:r w:rsidR="00BC284F" w:rsidRPr="00BC284F">
        <w:rPr>
          <w:rFonts w:asciiTheme="majorBidi" w:eastAsia="Times New Roman" w:hAnsiTheme="majorBidi" w:cstheme="majorBidi"/>
          <w:bCs/>
          <w:iCs/>
          <w:sz w:val="24"/>
          <w:szCs w:val="24"/>
        </w:rPr>
        <w:t>These factors</w:t>
      </w:r>
      <w:r w:rsidR="004D18BE">
        <w:rPr>
          <w:rFonts w:asciiTheme="majorBidi" w:eastAsia="Times New Roman" w:hAnsiTheme="majorBidi" w:cstheme="majorBidi"/>
          <w:bCs/>
          <w:iCs/>
          <w:sz w:val="24"/>
          <w:szCs w:val="24"/>
        </w:rPr>
        <w:t xml:space="preserve"> tend to</w:t>
      </w:r>
      <w:r w:rsidR="00BC284F" w:rsidRPr="00BC284F">
        <w:rPr>
          <w:rFonts w:asciiTheme="majorBidi" w:eastAsia="Times New Roman" w:hAnsiTheme="majorBidi" w:cstheme="majorBidi"/>
          <w:bCs/>
          <w:iCs/>
          <w:sz w:val="24"/>
          <w:szCs w:val="24"/>
        </w:rPr>
        <w:t xml:space="preserve"> </w:t>
      </w:r>
      <w:r w:rsidR="004D18BE">
        <w:rPr>
          <w:rFonts w:asciiTheme="majorBidi" w:eastAsia="Times New Roman" w:hAnsiTheme="majorBidi" w:cstheme="majorBidi"/>
          <w:bCs/>
          <w:iCs/>
          <w:sz w:val="24"/>
          <w:szCs w:val="24"/>
        </w:rPr>
        <w:t>impact negatively on auditor independence</w:t>
      </w:r>
      <w:r w:rsidR="001C0EEA">
        <w:rPr>
          <w:rFonts w:asciiTheme="majorBidi" w:eastAsia="Times New Roman" w:hAnsiTheme="majorBidi" w:cstheme="majorBidi"/>
          <w:bCs/>
          <w:iCs/>
          <w:sz w:val="24"/>
          <w:szCs w:val="24"/>
        </w:rPr>
        <w:t>,</w:t>
      </w:r>
      <w:r w:rsidR="004D18BE">
        <w:rPr>
          <w:rFonts w:asciiTheme="majorBidi" w:eastAsia="Times New Roman" w:hAnsiTheme="majorBidi" w:cstheme="majorBidi"/>
          <w:bCs/>
          <w:iCs/>
          <w:sz w:val="24"/>
          <w:szCs w:val="24"/>
        </w:rPr>
        <w:t xml:space="preserve"> and therefore</w:t>
      </w:r>
      <w:r w:rsidR="001C0EEA">
        <w:rPr>
          <w:rFonts w:asciiTheme="majorBidi" w:eastAsia="Times New Roman" w:hAnsiTheme="majorBidi" w:cstheme="majorBidi"/>
          <w:bCs/>
          <w:iCs/>
          <w:sz w:val="24"/>
          <w:szCs w:val="24"/>
        </w:rPr>
        <w:t>,</w:t>
      </w:r>
      <w:r w:rsidR="004D18BE">
        <w:rPr>
          <w:rFonts w:asciiTheme="majorBidi" w:eastAsia="Times New Roman" w:hAnsiTheme="majorBidi" w:cstheme="majorBidi"/>
          <w:bCs/>
          <w:iCs/>
          <w:sz w:val="24"/>
          <w:szCs w:val="24"/>
        </w:rPr>
        <w:t xml:space="preserve"> can affect the capacity of auditors </w:t>
      </w:r>
      <w:r w:rsidR="00BC284F" w:rsidRPr="00BC284F">
        <w:rPr>
          <w:rFonts w:asciiTheme="majorBidi" w:eastAsia="Times New Roman" w:hAnsiTheme="majorBidi" w:cstheme="majorBidi"/>
          <w:bCs/>
          <w:iCs/>
          <w:sz w:val="24"/>
          <w:szCs w:val="24"/>
        </w:rPr>
        <w:t xml:space="preserve">to </w:t>
      </w:r>
      <w:r w:rsidR="004D18BE">
        <w:rPr>
          <w:rFonts w:asciiTheme="majorBidi" w:eastAsia="Times New Roman" w:hAnsiTheme="majorBidi" w:cstheme="majorBidi"/>
          <w:bCs/>
          <w:iCs/>
          <w:sz w:val="24"/>
          <w:szCs w:val="24"/>
        </w:rPr>
        <w:t>conduct</w:t>
      </w:r>
      <w:r w:rsidR="00BC284F" w:rsidRPr="00BC284F">
        <w:rPr>
          <w:rFonts w:asciiTheme="majorBidi" w:eastAsia="Times New Roman" w:hAnsiTheme="majorBidi" w:cstheme="majorBidi"/>
          <w:bCs/>
          <w:iCs/>
          <w:sz w:val="24"/>
          <w:szCs w:val="24"/>
        </w:rPr>
        <w:t xml:space="preserve"> high-quality audit</w:t>
      </w:r>
      <w:r w:rsidR="004D18BE">
        <w:rPr>
          <w:rFonts w:asciiTheme="majorBidi" w:eastAsia="Times New Roman" w:hAnsiTheme="majorBidi" w:cstheme="majorBidi"/>
          <w:bCs/>
          <w:iCs/>
          <w:sz w:val="24"/>
          <w:szCs w:val="24"/>
        </w:rPr>
        <w:t>s</w:t>
      </w:r>
      <w:r w:rsidR="00BC284F" w:rsidRPr="00BC284F">
        <w:rPr>
          <w:rFonts w:asciiTheme="majorBidi" w:eastAsia="Times New Roman" w:hAnsiTheme="majorBidi" w:cstheme="majorBidi"/>
          <w:bCs/>
          <w:iCs/>
          <w:sz w:val="24"/>
          <w:szCs w:val="24"/>
        </w:rPr>
        <w:t xml:space="preserve"> (Haniffa </w:t>
      </w:r>
      <w:r w:rsidR="00D94C5C">
        <w:rPr>
          <w:rFonts w:asciiTheme="majorBidi" w:eastAsia="Times New Roman" w:hAnsiTheme="majorBidi" w:cstheme="majorBidi"/>
          <w:bCs/>
          <w:iCs/>
          <w:sz w:val="24"/>
          <w:szCs w:val="24"/>
        </w:rPr>
        <w:t>&amp;</w:t>
      </w:r>
      <w:r w:rsidR="00BC284F" w:rsidRPr="00BC284F">
        <w:rPr>
          <w:rFonts w:asciiTheme="majorBidi" w:eastAsia="Times New Roman" w:hAnsiTheme="majorBidi" w:cstheme="majorBidi"/>
          <w:bCs/>
          <w:iCs/>
          <w:sz w:val="24"/>
          <w:szCs w:val="24"/>
        </w:rPr>
        <w:t xml:space="preserve"> Hudaib, 2007</w:t>
      </w:r>
      <w:r w:rsidR="00BC284F">
        <w:rPr>
          <w:rFonts w:asciiTheme="majorBidi" w:eastAsia="Times New Roman" w:hAnsiTheme="majorBidi" w:cstheme="majorBidi"/>
          <w:bCs/>
          <w:iCs/>
          <w:sz w:val="24"/>
          <w:szCs w:val="24"/>
        </w:rPr>
        <w:t xml:space="preserve">; Barroso </w:t>
      </w:r>
      <w:r w:rsidR="00BC284F" w:rsidRPr="00D94C5C">
        <w:rPr>
          <w:rFonts w:asciiTheme="majorBidi" w:eastAsia="Times New Roman" w:hAnsiTheme="majorBidi" w:cstheme="majorBidi"/>
          <w:bCs/>
          <w:i/>
          <w:sz w:val="24"/>
          <w:szCs w:val="24"/>
        </w:rPr>
        <w:t>et al</w:t>
      </w:r>
      <w:r w:rsidR="00BC284F">
        <w:rPr>
          <w:rFonts w:asciiTheme="majorBidi" w:eastAsia="Times New Roman" w:hAnsiTheme="majorBidi" w:cstheme="majorBidi"/>
          <w:bCs/>
          <w:iCs/>
          <w:sz w:val="24"/>
          <w:szCs w:val="24"/>
        </w:rPr>
        <w:t>., 2018</w:t>
      </w:r>
      <w:r w:rsidR="00BC284F" w:rsidRPr="00BC284F">
        <w:rPr>
          <w:rFonts w:asciiTheme="majorBidi" w:eastAsia="Times New Roman" w:hAnsiTheme="majorBidi" w:cstheme="majorBidi"/>
          <w:bCs/>
          <w:iCs/>
          <w:sz w:val="24"/>
          <w:szCs w:val="24"/>
        </w:rPr>
        <w:t xml:space="preserve">). </w:t>
      </w:r>
      <w:r w:rsidR="003F4270" w:rsidRPr="000972D1">
        <w:rPr>
          <w:rFonts w:asciiTheme="majorBidi" w:eastAsia="Calibri" w:hAnsiTheme="majorBidi" w:cstheme="majorBidi"/>
          <w:bCs/>
          <w:iCs/>
          <w:sz w:val="24"/>
          <w:szCs w:val="24"/>
        </w:rPr>
        <w:t xml:space="preserve">Some of these countries also have laws requiring audit firms to hire a certain percentage of nationals. The Saudi Organisation for Certified Public Accountants (SOCPA), for example, requires all audit firms to have at least 30% of their staff to be composed purely of Saudi nationals. This may affect the </w:t>
      </w:r>
      <w:r w:rsidR="003F4270" w:rsidRPr="000972D1">
        <w:rPr>
          <w:rFonts w:asciiTheme="majorBidi" w:eastAsia="Calibri" w:hAnsiTheme="majorBidi" w:cstheme="majorBidi"/>
          <w:bCs/>
          <w:iCs/>
          <w:sz w:val="24"/>
          <w:szCs w:val="24"/>
        </w:rPr>
        <w:lastRenderedPageBreak/>
        <w:t xml:space="preserve">quality of the audit service provided in these countries by limiting the pool of talents that audit firms can recruit from (Haniffa </w:t>
      </w:r>
      <w:r w:rsidR="003F4270" w:rsidRPr="000972D1">
        <w:rPr>
          <w:rFonts w:asciiTheme="majorBidi" w:eastAsia="Calibri" w:hAnsiTheme="majorBidi" w:cstheme="majorBidi"/>
          <w:bCs/>
          <w:sz w:val="24"/>
          <w:szCs w:val="24"/>
        </w:rPr>
        <w:t>&amp;</w:t>
      </w:r>
      <w:r w:rsidR="003F4270" w:rsidRPr="000972D1">
        <w:rPr>
          <w:rFonts w:asciiTheme="majorBidi" w:eastAsia="Calibri" w:hAnsiTheme="majorBidi" w:cstheme="majorBidi"/>
          <w:bCs/>
          <w:iCs/>
          <w:sz w:val="24"/>
          <w:szCs w:val="24"/>
        </w:rPr>
        <w:t xml:space="preserve"> Hudaib, 2007).</w:t>
      </w:r>
      <w:r w:rsidR="00BC284F" w:rsidRPr="00BC284F">
        <w:rPr>
          <w:rFonts w:asciiTheme="majorBidi" w:eastAsia="Times New Roman" w:hAnsiTheme="majorBidi" w:cstheme="majorBidi"/>
          <w:bCs/>
          <w:iCs/>
          <w:sz w:val="24"/>
          <w:szCs w:val="24"/>
        </w:rPr>
        <w:t xml:space="preserve"> </w:t>
      </w:r>
    </w:p>
    <w:p w14:paraId="41D86558" w14:textId="533BDD7D" w:rsidR="007C4420" w:rsidRPr="008E772B" w:rsidRDefault="00B277F6" w:rsidP="00100D74">
      <w:pPr>
        <w:spacing w:after="0" w:line="360" w:lineRule="auto"/>
        <w:ind w:firstLine="720"/>
        <w:jc w:val="lowKashida"/>
        <w:rPr>
          <w:rFonts w:asciiTheme="majorBidi" w:eastAsia="Times New Roman" w:hAnsiTheme="majorBidi" w:cstheme="majorBidi"/>
          <w:bCs/>
          <w:iCs/>
          <w:sz w:val="24"/>
          <w:szCs w:val="24"/>
        </w:rPr>
      </w:pPr>
      <w:r>
        <w:rPr>
          <w:rFonts w:asciiTheme="majorBidi" w:eastAsia="Times New Roman" w:hAnsiTheme="majorBidi" w:cstheme="majorBidi"/>
          <w:bCs/>
          <w:iCs/>
          <w:sz w:val="24"/>
          <w:szCs w:val="24"/>
        </w:rPr>
        <w:t xml:space="preserve">Apart </w:t>
      </w:r>
      <w:r w:rsidR="001C0EEA">
        <w:rPr>
          <w:rFonts w:asciiTheme="majorBidi" w:eastAsia="Times New Roman" w:hAnsiTheme="majorBidi" w:cstheme="majorBidi"/>
          <w:bCs/>
          <w:iCs/>
          <w:sz w:val="24"/>
          <w:szCs w:val="24"/>
        </w:rPr>
        <w:t xml:space="preserve">from </w:t>
      </w:r>
      <w:r>
        <w:rPr>
          <w:rFonts w:asciiTheme="majorBidi" w:eastAsia="Times New Roman" w:hAnsiTheme="majorBidi" w:cstheme="majorBidi"/>
          <w:bCs/>
          <w:iCs/>
          <w:sz w:val="24"/>
          <w:szCs w:val="24"/>
        </w:rPr>
        <w:t>the above</w:t>
      </w:r>
      <w:r w:rsidR="00610518">
        <w:rPr>
          <w:rFonts w:asciiTheme="majorBidi" w:eastAsia="Times New Roman" w:hAnsiTheme="majorBidi" w:cstheme="majorBidi"/>
          <w:bCs/>
          <w:iCs/>
          <w:sz w:val="24"/>
          <w:szCs w:val="24"/>
        </w:rPr>
        <w:t>, t</w:t>
      </w:r>
      <w:r w:rsidR="00C86D88" w:rsidRPr="008E772B">
        <w:rPr>
          <w:rFonts w:asciiTheme="majorBidi" w:eastAsia="Times New Roman" w:hAnsiTheme="majorBidi" w:cstheme="majorBidi"/>
          <w:bCs/>
          <w:iCs/>
          <w:sz w:val="24"/>
          <w:szCs w:val="24"/>
        </w:rPr>
        <w:t xml:space="preserve">here </w:t>
      </w:r>
      <w:r w:rsidR="00786C6B" w:rsidRPr="008E772B">
        <w:rPr>
          <w:rFonts w:asciiTheme="majorBidi" w:eastAsia="Times New Roman" w:hAnsiTheme="majorBidi" w:cstheme="majorBidi"/>
          <w:bCs/>
          <w:iCs/>
          <w:sz w:val="24"/>
          <w:szCs w:val="24"/>
        </w:rPr>
        <w:t>are</w:t>
      </w:r>
      <w:r w:rsidR="00E874EA" w:rsidRPr="008E772B">
        <w:rPr>
          <w:rFonts w:asciiTheme="majorBidi" w:eastAsia="Times New Roman" w:hAnsiTheme="majorBidi" w:cstheme="majorBidi"/>
          <w:bCs/>
          <w:iCs/>
          <w:sz w:val="24"/>
          <w:szCs w:val="24"/>
        </w:rPr>
        <w:t xml:space="preserve"> a number of</w:t>
      </w:r>
      <w:r w:rsidR="007C4420" w:rsidRPr="008E772B">
        <w:rPr>
          <w:rFonts w:asciiTheme="majorBidi" w:eastAsia="Times New Roman" w:hAnsiTheme="majorBidi" w:cstheme="majorBidi"/>
          <w:bCs/>
          <w:iCs/>
          <w:sz w:val="24"/>
          <w:szCs w:val="24"/>
        </w:rPr>
        <w:t xml:space="preserve"> factors</w:t>
      </w:r>
      <w:r w:rsidR="00E874EA" w:rsidRPr="008E772B">
        <w:rPr>
          <w:rFonts w:asciiTheme="majorBidi" w:eastAsia="Times New Roman" w:hAnsiTheme="majorBidi" w:cstheme="majorBidi"/>
          <w:bCs/>
          <w:iCs/>
          <w:sz w:val="24"/>
          <w:szCs w:val="24"/>
        </w:rPr>
        <w:t xml:space="preserve"> that may</w:t>
      </w:r>
      <w:r w:rsidR="007C4420" w:rsidRPr="008E772B">
        <w:rPr>
          <w:rFonts w:asciiTheme="majorBidi" w:eastAsia="Times New Roman" w:hAnsiTheme="majorBidi" w:cstheme="majorBidi"/>
          <w:bCs/>
          <w:iCs/>
          <w:sz w:val="24"/>
          <w:szCs w:val="24"/>
        </w:rPr>
        <w:t xml:space="preserve"> negatively affect audit quality </w:t>
      </w:r>
      <w:r w:rsidR="00E776A1" w:rsidRPr="008E772B">
        <w:rPr>
          <w:rFonts w:asciiTheme="majorBidi" w:eastAsia="Times New Roman" w:hAnsiTheme="majorBidi" w:cstheme="majorBidi"/>
          <w:bCs/>
          <w:iCs/>
          <w:sz w:val="24"/>
          <w:szCs w:val="24"/>
        </w:rPr>
        <w:t xml:space="preserve">in </w:t>
      </w:r>
      <w:r w:rsidR="00386DAA" w:rsidRPr="008E772B">
        <w:rPr>
          <w:rFonts w:asciiTheme="majorBidi" w:eastAsia="Times New Roman" w:hAnsiTheme="majorBidi" w:cstheme="majorBidi"/>
          <w:bCs/>
          <w:iCs/>
          <w:sz w:val="24"/>
          <w:szCs w:val="24"/>
        </w:rPr>
        <w:t>most MENA countries</w:t>
      </w:r>
      <w:r w:rsidR="007C4420" w:rsidRPr="008E772B">
        <w:rPr>
          <w:rFonts w:asciiTheme="majorBidi" w:eastAsia="Times New Roman" w:hAnsiTheme="majorBidi" w:cstheme="majorBidi"/>
          <w:bCs/>
          <w:iCs/>
          <w:sz w:val="24"/>
          <w:szCs w:val="24"/>
        </w:rPr>
        <w:t>. First, there is</w:t>
      </w:r>
      <w:r w:rsidR="00D0444A">
        <w:rPr>
          <w:rFonts w:asciiTheme="majorBidi" w:eastAsia="Times New Roman" w:hAnsiTheme="majorBidi" w:cstheme="majorBidi"/>
          <w:bCs/>
          <w:iCs/>
          <w:sz w:val="24"/>
          <w:szCs w:val="24"/>
        </w:rPr>
        <w:t xml:space="preserve"> often</w:t>
      </w:r>
      <w:r w:rsidR="007C4420" w:rsidRPr="008E772B">
        <w:rPr>
          <w:rFonts w:asciiTheme="majorBidi" w:eastAsia="Times New Roman" w:hAnsiTheme="majorBidi" w:cstheme="majorBidi"/>
          <w:bCs/>
          <w:iCs/>
          <w:sz w:val="24"/>
          <w:szCs w:val="24"/>
        </w:rPr>
        <w:t xml:space="preserve"> no effective code of professional ethics governing </w:t>
      </w:r>
      <w:r w:rsidR="005F21F7" w:rsidRPr="008E772B">
        <w:rPr>
          <w:rFonts w:asciiTheme="majorBidi" w:eastAsia="Times New Roman" w:hAnsiTheme="majorBidi" w:cstheme="majorBidi"/>
          <w:bCs/>
          <w:iCs/>
          <w:sz w:val="24"/>
          <w:szCs w:val="24"/>
        </w:rPr>
        <w:t xml:space="preserve">the work and practices of </w:t>
      </w:r>
      <w:r w:rsidR="00DF1F47">
        <w:rPr>
          <w:rFonts w:asciiTheme="majorBidi" w:eastAsia="Times New Roman" w:hAnsiTheme="majorBidi" w:cstheme="majorBidi"/>
          <w:bCs/>
          <w:iCs/>
          <w:sz w:val="24"/>
          <w:szCs w:val="24"/>
        </w:rPr>
        <w:t>accountants and auditors</w:t>
      </w:r>
      <w:r w:rsidR="007C4420" w:rsidRPr="008E772B">
        <w:rPr>
          <w:rFonts w:asciiTheme="majorBidi" w:eastAsia="Times New Roman" w:hAnsiTheme="majorBidi" w:cstheme="majorBidi"/>
          <w:bCs/>
          <w:iCs/>
          <w:sz w:val="24"/>
          <w:szCs w:val="24"/>
        </w:rPr>
        <w:t xml:space="preserve"> (Wahdan </w:t>
      </w:r>
      <w:r w:rsidR="007C4420" w:rsidRPr="008E772B">
        <w:rPr>
          <w:rFonts w:asciiTheme="majorBidi" w:eastAsia="Times New Roman" w:hAnsiTheme="majorBidi" w:cstheme="majorBidi"/>
          <w:bCs/>
          <w:i/>
          <w:iCs/>
          <w:sz w:val="24"/>
          <w:szCs w:val="24"/>
        </w:rPr>
        <w:t>et al</w:t>
      </w:r>
      <w:r w:rsidR="007C4420" w:rsidRPr="008E772B">
        <w:rPr>
          <w:rFonts w:asciiTheme="majorBidi" w:eastAsia="Times New Roman" w:hAnsiTheme="majorBidi" w:cstheme="majorBidi"/>
          <w:bCs/>
          <w:iCs/>
          <w:sz w:val="24"/>
          <w:szCs w:val="24"/>
        </w:rPr>
        <w:t xml:space="preserve">., 2005; Samaha </w:t>
      </w:r>
      <w:r w:rsidR="001C5247" w:rsidRPr="008E772B">
        <w:rPr>
          <w:rFonts w:asciiTheme="majorBidi" w:eastAsia="Times New Roman" w:hAnsiTheme="majorBidi" w:cstheme="majorBidi"/>
          <w:bCs/>
          <w:sz w:val="24"/>
          <w:szCs w:val="24"/>
        </w:rPr>
        <w:t>&amp;</w:t>
      </w:r>
      <w:r w:rsidR="007C4420" w:rsidRPr="008E772B">
        <w:rPr>
          <w:rFonts w:asciiTheme="majorBidi" w:eastAsia="Times New Roman" w:hAnsiTheme="majorBidi" w:cstheme="majorBidi"/>
          <w:bCs/>
          <w:iCs/>
          <w:sz w:val="24"/>
          <w:szCs w:val="24"/>
        </w:rPr>
        <w:t xml:space="preserve"> Hegazy, 2010; Mohamed </w:t>
      </w:r>
      <w:r w:rsidR="001C5247" w:rsidRPr="008E772B">
        <w:rPr>
          <w:rFonts w:asciiTheme="majorBidi" w:eastAsia="Times New Roman" w:hAnsiTheme="majorBidi" w:cstheme="majorBidi"/>
          <w:bCs/>
          <w:sz w:val="24"/>
          <w:szCs w:val="24"/>
        </w:rPr>
        <w:t>&amp;</w:t>
      </w:r>
      <w:r w:rsidR="007C4420" w:rsidRPr="008E772B">
        <w:rPr>
          <w:rFonts w:asciiTheme="majorBidi" w:eastAsia="Times New Roman" w:hAnsiTheme="majorBidi" w:cstheme="majorBidi"/>
          <w:bCs/>
          <w:iCs/>
          <w:sz w:val="24"/>
          <w:szCs w:val="24"/>
        </w:rPr>
        <w:t xml:space="preserve"> Habib, 2013). Second</w:t>
      </w:r>
      <w:r w:rsidR="00786C6B" w:rsidRPr="008E772B">
        <w:rPr>
          <w:rFonts w:asciiTheme="majorBidi" w:eastAsia="Times New Roman" w:hAnsiTheme="majorBidi" w:cstheme="majorBidi"/>
          <w:bCs/>
          <w:iCs/>
          <w:sz w:val="24"/>
          <w:szCs w:val="24"/>
        </w:rPr>
        <w:t>,</w:t>
      </w:r>
      <w:r w:rsidR="007C4420" w:rsidRPr="008E772B">
        <w:rPr>
          <w:rFonts w:asciiTheme="majorBidi" w:eastAsia="Times New Roman" w:hAnsiTheme="majorBidi" w:cstheme="majorBidi"/>
          <w:bCs/>
          <w:iCs/>
          <w:sz w:val="24"/>
          <w:szCs w:val="24"/>
        </w:rPr>
        <w:t xml:space="preserve"> powerful professional organisation</w:t>
      </w:r>
      <w:r w:rsidR="0061120F" w:rsidRPr="008E772B">
        <w:rPr>
          <w:rFonts w:asciiTheme="majorBidi" w:eastAsia="Times New Roman" w:hAnsiTheme="majorBidi" w:cstheme="majorBidi"/>
          <w:bCs/>
          <w:iCs/>
          <w:sz w:val="24"/>
          <w:szCs w:val="24"/>
        </w:rPr>
        <w:t>s</w:t>
      </w:r>
      <w:r w:rsidR="007C4420" w:rsidRPr="008E772B">
        <w:rPr>
          <w:rFonts w:asciiTheme="majorBidi" w:eastAsia="Times New Roman" w:hAnsiTheme="majorBidi" w:cstheme="majorBidi"/>
          <w:bCs/>
          <w:iCs/>
          <w:sz w:val="24"/>
          <w:szCs w:val="24"/>
        </w:rPr>
        <w:t xml:space="preserve"> responsible for developing the audit profession</w:t>
      </w:r>
      <w:r w:rsidR="00E874EA" w:rsidRPr="008E772B">
        <w:rPr>
          <w:rFonts w:asciiTheme="majorBidi" w:eastAsia="Times New Roman" w:hAnsiTheme="majorBidi" w:cstheme="majorBidi"/>
          <w:bCs/>
          <w:iCs/>
          <w:sz w:val="24"/>
          <w:szCs w:val="24"/>
        </w:rPr>
        <w:t xml:space="preserve"> are often absent</w:t>
      </w:r>
      <w:r w:rsidR="00894687" w:rsidRPr="008E772B">
        <w:rPr>
          <w:rFonts w:asciiTheme="majorBidi" w:eastAsia="Times New Roman" w:hAnsiTheme="majorBidi" w:cstheme="majorBidi"/>
          <w:bCs/>
          <w:iCs/>
          <w:sz w:val="24"/>
          <w:szCs w:val="24"/>
        </w:rPr>
        <w:t xml:space="preserve"> (Al-Ajmi, 2009; Samaha &amp; Hegazy, 2010)</w:t>
      </w:r>
      <w:r w:rsidR="00386DAA" w:rsidRPr="008E772B">
        <w:rPr>
          <w:rFonts w:asciiTheme="majorBidi" w:eastAsia="Times New Roman" w:hAnsiTheme="majorBidi" w:cstheme="majorBidi"/>
          <w:bCs/>
          <w:iCs/>
          <w:sz w:val="24"/>
          <w:szCs w:val="24"/>
        </w:rPr>
        <w:t xml:space="preserve">. </w:t>
      </w:r>
      <w:r w:rsidR="007C4420" w:rsidRPr="008E772B">
        <w:rPr>
          <w:rFonts w:asciiTheme="majorBidi" w:eastAsia="Times New Roman" w:hAnsiTheme="majorBidi" w:cstheme="majorBidi"/>
          <w:bCs/>
          <w:iCs/>
          <w:sz w:val="24"/>
          <w:szCs w:val="24"/>
        </w:rPr>
        <w:t>Third, there are few opportunities for new audit</w:t>
      </w:r>
      <w:r w:rsidR="00E874EA" w:rsidRPr="008E772B">
        <w:rPr>
          <w:rFonts w:asciiTheme="majorBidi" w:eastAsia="Times New Roman" w:hAnsiTheme="majorBidi" w:cstheme="majorBidi"/>
          <w:bCs/>
          <w:iCs/>
          <w:sz w:val="24"/>
          <w:szCs w:val="24"/>
        </w:rPr>
        <w:t xml:space="preserve"> firms and auditors </w:t>
      </w:r>
      <w:r w:rsidR="007C4420" w:rsidRPr="008E772B">
        <w:rPr>
          <w:rFonts w:asciiTheme="majorBidi" w:eastAsia="Times New Roman" w:hAnsiTheme="majorBidi" w:cstheme="majorBidi"/>
          <w:bCs/>
          <w:iCs/>
          <w:sz w:val="24"/>
          <w:szCs w:val="24"/>
        </w:rPr>
        <w:t xml:space="preserve">to enter the </w:t>
      </w:r>
      <w:r w:rsidR="00386DAA" w:rsidRPr="008E772B">
        <w:rPr>
          <w:rFonts w:asciiTheme="majorBidi" w:eastAsia="Times New Roman" w:hAnsiTheme="majorBidi" w:cstheme="majorBidi"/>
          <w:bCs/>
          <w:iCs/>
          <w:sz w:val="24"/>
          <w:szCs w:val="24"/>
        </w:rPr>
        <w:t xml:space="preserve">MENA </w:t>
      </w:r>
      <w:r w:rsidR="007C4420" w:rsidRPr="008E772B">
        <w:rPr>
          <w:rFonts w:asciiTheme="majorBidi" w:eastAsia="Times New Roman" w:hAnsiTheme="majorBidi" w:cstheme="majorBidi"/>
          <w:bCs/>
          <w:iCs/>
          <w:sz w:val="24"/>
          <w:szCs w:val="24"/>
        </w:rPr>
        <w:t>market</w:t>
      </w:r>
      <w:r w:rsidR="00386DAA" w:rsidRPr="008E772B">
        <w:rPr>
          <w:rFonts w:asciiTheme="majorBidi" w:eastAsia="Times New Roman" w:hAnsiTheme="majorBidi" w:cstheme="majorBidi"/>
          <w:bCs/>
          <w:iCs/>
          <w:sz w:val="24"/>
          <w:szCs w:val="24"/>
        </w:rPr>
        <w:t>s</w:t>
      </w:r>
      <w:r w:rsidR="007C4420" w:rsidRPr="008E772B">
        <w:rPr>
          <w:rFonts w:asciiTheme="majorBidi" w:eastAsia="Times New Roman" w:hAnsiTheme="majorBidi" w:cstheme="majorBidi"/>
          <w:bCs/>
          <w:iCs/>
          <w:sz w:val="24"/>
          <w:szCs w:val="24"/>
        </w:rPr>
        <w:t xml:space="preserve">, </w:t>
      </w:r>
      <w:r w:rsidR="00E874EA" w:rsidRPr="008E772B">
        <w:rPr>
          <w:rFonts w:asciiTheme="majorBidi" w:eastAsia="Times New Roman" w:hAnsiTheme="majorBidi" w:cstheme="majorBidi"/>
          <w:bCs/>
          <w:iCs/>
          <w:sz w:val="24"/>
          <w:szCs w:val="24"/>
        </w:rPr>
        <w:t>and thereby</w:t>
      </w:r>
      <w:r w:rsidR="001B0034" w:rsidRPr="008E772B">
        <w:rPr>
          <w:rFonts w:asciiTheme="majorBidi" w:eastAsia="Times New Roman" w:hAnsiTheme="majorBidi" w:cstheme="majorBidi"/>
          <w:bCs/>
          <w:iCs/>
          <w:sz w:val="24"/>
          <w:szCs w:val="24"/>
        </w:rPr>
        <w:t xml:space="preserve"> further</w:t>
      </w:r>
      <w:r w:rsidR="00E874EA" w:rsidRPr="008E772B">
        <w:rPr>
          <w:rFonts w:asciiTheme="majorBidi" w:eastAsia="Times New Roman" w:hAnsiTheme="majorBidi" w:cstheme="majorBidi"/>
          <w:bCs/>
          <w:iCs/>
          <w:sz w:val="24"/>
          <w:szCs w:val="24"/>
        </w:rPr>
        <w:t xml:space="preserve"> </w:t>
      </w:r>
      <w:r w:rsidR="007C4420" w:rsidRPr="008E772B">
        <w:rPr>
          <w:rFonts w:asciiTheme="majorBidi" w:eastAsia="Times New Roman" w:hAnsiTheme="majorBidi" w:cstheme="majorBidi"/>
          <w:bCs/>
          <w:iCs/>
          <w:sz w:val="24"/>
          <w:szCs w:val="24"/>
        </w:rPr>
        <w:t xml:space="preserve">limiting </w:t>
      </w:r>
      <w:r w:rsidR="00FE592C" w:rsidRPr="008E772B">
        <w:rPr>
          <w:rFonts w:asciiTheme="majorBidi" w:eastAsia="Times New Roman" w:hAnsiTheme="majorBidi" w:cstheme="majorBidi"/>
          <w:bCs/>
          <w:iCs/>
          <w:sz w:val="24"/>
          <w:szCs w:val="24"/>
        </w:rPr>
        <w:t>auditor independence</w:t>
      </w:r>
      <w:r w:rsidR="007C4420" w:rsidRPr="008E772B">
        <w:rPr>
          <w:rFonts w:asciiTheme="majorBidi" w:eastAsia="Times New Roman" w:hAnsiTheme="majorBidi" w:cstheme="majorBidi"/>
          <w:bCs/>
          <w:iCs/>
          <w:sz w:val="24"/>
          <w:szCs w:val="24"/>
        </w:rPr>
        <w:t xml:space="preserve"> and audit quality (Mohamed </w:t>
      </w:r>
      <w:r w:rsidR="0013216A" w:rsidRPr="008E772B">
        <w:rPr>
          <w:rFonts w:asciiTheme="majorBidi" w:eastAsia="Times New Roman" w:hAnsiTheme="majorBidi" w:cstheme="majorBidi"/>
          <w:bCs/>
          <w:sz w:val="24"/>
          <w:szCs w:val="24"/>
        </w:rPr>
        <w:t>&amp;</w:t>
      </w:r>
      <w:r w:rsidR="0013216A" w:rsidRPr="008E772B">
        <w:rPr>
          <w:rFonts w:asciiTheme="majorBidi" w:eastAsia="Times New Roman" w:hAnsiTheme="majorBidi" w:cstheme="majorBidi"/>
          <w:bCs/>
          <w:iCs/>
          <w:sz w:val="24"/>
          <w:szCs w:val="24"/>
        </w:rPr>
        <w:t xml:space="preserve"> </w:t>
      </w:r>
      <w:r w:rsidR="007C4420" w:rsidRPr="008E772B">
        <w:rPr>
          <w:rFonts w:asciiTheme="majorBidi" w:eastAsia="Times New Roman" w:hAnsiTheme="majorBidi" w:cstheme="majorBidi"/>
          <w:bCs/>
          <w:iCs/>
          <w:sz w:val="24"/>
          <w:szCs w:val="24"/>
        </w:rPr>
        <w:t>Habib, 2013</w:t>
      </w:r>
      <w:r w:rsidR="00E95837" w:rsidRPr="008E772B">
        <w:rPr>
          <w:rFonts w:asciiTheme="majorBidi" w:eastAsia="Times New Roman" w:hAnsiTheme="majorBidi" w:cstheme="majorBidi"/>
          <w:bCs/>
          <w:iCs/>
          <w:sz w:val="24"/>
          <w:szCs w:val="24"/>
        </w:rPr>
        <w:t xml:space="preserve">; Habbash </w:t>
      </w:r>
      <w:r w:rsidR="0013216A" w:rsidRPr="008E772B">
        <w:rPr>
          <w:rFonts w:asciiTheme="majorBidi" w:eastAsia="Times New Roman" w:hAnsiTheme="majorBidi" w:cstheme="majorBidi"/>
          <w:bCs/>
          <w:iCs/>
          <w:sz w:val="24"/>
          <w:szCs w:val="24"/>
        </w:rPr>
        <w:t>&amp;</w:t>
      </w:r>
      <w:r w:rsidR="00E95837" w:rsidRPr="008E772B">
        <w:rPr>
          <w:rFonts w:asciiTheme="majorBidi" w:eastAsia="Times New Roman" w:hAnsiTheme="majorBidi" w:cstheme="majorBidi"/>
          <w:bCs/>
          <w:iCs/>
          <w:sz w:val="24"/>
          <w:szCs w:val="24"/>
        </w:rPr>
        <w:t xml:space="preserve"> Alghamdi, 2017</w:t>
      </w:r>
      <w:r w:rsidR="007C4420" w:rsidRPr="008E772B">
        <w:rPr>
          <w:rFonts w:asciiTheme="majorBidi" w:eastAsia="Times New Roman" w:hAnsiTheme="majorBidi" w:cstheme="majorBidi"/>
          <w:bCs/>
          <w:iCs/>
          <w:sz w:val="24"/>
          <w:szCs w:val="24"/>
        </w:rPr>
        <w:t>).</w:t>
      </w:r>
      <w:r w:rsidR="00070B06" w:rsidRPr="008E772B">
        <w:rPr>
          <w:rFonts w:asciiTheme="majorBidi" w:eastAsiaTheme="minorHAnsi" w:hAnsiTheme="majorBidi" w:cstheme="majorBidi"/>
          <w:sz w:val="24"/>
          <w:szCs w:val="24"/>
          <w:lang w:eastAsia="en-US"/>
        </w:rPr>
        <w:t xml:space="preserve"> </w:t>
      </w:r>
      <w:r w:rsidR="00331466">
        <w:rPr>
          <w:rFonts w:asciiTheme="majorBidi" w:eastAsiaTheme="minorHAnsi" w:hAnsiTheme="majorBidi" w:cstheme="majorBidi"/>
          <w:bCs/>
          <w:iCs/>
          <w:sz w:val="24"/>
          <w:szCs w:val="24"/>
          <w:lang w:eastAsia="en-US"/>
        </w:rPr>
        <w:t>F</w:t>
      </w:r>
      <w:r w:rsidR="002A3A6C">
        <w:rPr>
          <w:rFonts w:asciiTheme="majorBidi" w:eastAsiaTheme="minorHAnsi" w:hAnsiTheme="majorBidi" w:cstheme="majorBidi"/>
          <w:bCs/>
          <w:iCs/>
          <w:sz w:val="24"/>
          <w:szCs w:val="24"/>
          <w:lang w:eastAsia="en-US"/>
        </w:rPr>
        <w:t>our</w:t>
      </w:r>
      <w:r w:rsidR="00331466">
        <w:rPr>
          <w:rFonts w:asciiTheme="majorBidi" w:eastAsiaTheme="minorHAnsi" w:hAnsiTheme="majorBidi" w:cstheme="majorBidi"/>
          <w:bCs/>
          <w:iCs/>
          <w:sz w:val="24"/>
          <w:szCs w:val="24"/>
          <w:lang w:eastAsia="en-US"/>
        </w:rPr>
        <w:t>th</w:t>
      </w:r>
      <w:r w:rsidR="009C4F81" w:rsidRPr="008E772B">
        <w:rPr>
          <w:rFonts w:asciiTheme="majorBidi" w:eastAsiaTheme="minorHAnsi" w:hAnsiTheme="majorBidi" w:cstheme="majorBidi"/>
          <w:bCs/>
          <w:iCs/>
          <w:sz w:val="24"/>
          <w:szCs w:val="24"/>
          <w:lang w:eastAsia="en-US"/>
        </w:rPr>
        <w:t>, there is no independent regulat</w:t>
      </w:r>
      <w:r w:rsidR="000A2117">
        <w:rPr>
          <w:rFonts w:asciiTheme="majorBidi" w:eastAsiaTheme="minorHAnsi" w:hAnsiTheme="majorBidi" w:cstheme="majorBidi"/>
          <w:bCs/>
          <w:iCs/>
          <w:sz w:val="24"/>
          <w:szCs w:val="24"/>
          <w:lang w:eastAsia="en-US"/>
        </w:rPr>
        <w:t>ory</w:t>
      </w:r>
      <w:r w:rsidR="009C4F81" w:rsidRPr="008E772B">
        <w:rPr>
          <w:rFonts w:asciiTheme="majorBidi" w:eastAsiaTheme="minorHAnsi" w:hAnsiTheme="majorBidi" w:cstheme="majorBidi"/>
          <w:bCs/>
          <w:iCs/>
          <w:sz w:val="24"/>
          <w:szCs w:val="24"/>
          <w:lang w:eastAsia="en-US"/>
        </w:rPr>
        <w:t xml:space="preserve"> </w:t>
      </w:r>
      <w:r w:rsidR="000A2117">
        <w:rPr>
          <w:rFonts w:asciiTheme="majorBidi" w:eastAsiaTheme="minorHAnsi" w:hAnsiTheme="majorBidi" w:cstheme="majorBidi"/>
          <w:bCs/>
          <w:iCs/>
          <w:sz w:val="24"/>
          <w:szCs w:val="24"/>
          <w:lang w:eastAsia="en-US"/>
        </w:rPr>
        <w:t>body</w:t>
      </w:r>
      <w:r w:rsidR="009C4F81" w:rsidRPr="008E772B">
        <w:rPr>
          <w:rFonts w:asciiTheme="majorBidi" w:eastAsiaTheme="minorHAnsi" w:hAnsiTheme="majorBidi" w:cstheme="majorBidi"/>
          <w:bCs/>
          <w:iCs/>
          <w:sz w:val="24"/>
          <w:szCs w:val="24"/>
          <w:lang w:eastAsia="en-US"/>
        </w:rPr>
        <w:t xml:space="preserve"> to reinforce the independence of auditors and to improve the governance and regulation of the auditing profession (Al-Ajmi, 2009</w:t>
      </w:r>
      <w:r w:rsidR="00CD546A">
        <w:rPr>
          <w:rFonts w:asciiTheme="majorBidi" w:eastAsiaTheme="minorHAnsi" w:hAnsiTheme="majorBidi" w:cstheme="majorBidi"/>
          <w:bCs/>
          <w:iCs/>
          <w:sz w:val="24"/>
          <w:szCs w:val="24"/>
          <w:lang w:eastAsia="en-US"/>
        </w:rPr>
        <w:t xml:space="preserve">; </w:t>
      </w:r>
      <w:r w:rsidR="00CD546A" w:rsidRPr="00BC284F">
        <w:rPr>
          <w:rFonts w:asciiTheme="majorBidi" w:eastAsia="Calibri" w:hAnsiTheme="majorBidi" w:cstheme="majorBidi"/>
          <w:bCs/>
          <w:iCs/>
          <w:sz w:val="24"/>
          <w:szCs w:val="24"/>
        </w:rPr>
        <w:t>Barroso et al., 2018</w:t>
      </w:r>
      <w:r w:rsidR="009C4F81" w:rsidRPr="008E772B">
        <w:rPr>
          <w:rFonts w:asciiTheme="majorBidi" w:eastAsiaTheme="minorHAnsi" w:hAnsiTheme="majorBidi" w:cstheme="majorBidi"/>
          <w:bCs/>
          <w:iCs/>
          <w:sz w:val="24"/>
          <w:szCs w:val="24"/>
          <w:lang w:eastAsia="en-US"/>
        </w:rPr>
        <w:t>).</w:t>
      </w:r>
      <w:r w:rsidR="00331466">
        <w:rPr>
          <w:rFonts w:asciiTheme="majorBidi" w:eastAsiaTheme="minorHAnsi" w:hAnsiTheme="majorBidi" w:cstheme="majorBidi"/>
          <w:bCs/>
          <w:iCs/>
          <w:sz w:val="24"/>
          <w:szCs w:val="24"/>
          <w:lang w:eastAsia="en-US"/>
        </w:rPr>
        <w:t xml:space="preserve"> </w:t>
      </w:r>
      <w:r w:rsidR="00331466" w:rsidRPr="000972D1">
        <w:rPr>
          <w:rFonts w:asciiTheme="majorBidi" w:eastAsiaTheme="minorHAnsi" w:hAnsiTheme="majorBidi" w:cstheme="majorBidi"/>
          <w:bCs/>
          <w:iCs/>
          <w:sz w:val="24"/>
          <w:szCs w:val="24"/>
          <w:lang w:eastAsia="en-US"/>
        </w:rPr>
        <w:t xml:space="preserve">Finally, the number of listed companies </w:t>
      </w:r>
      <w:r w:rsidR="00A97A2E" w:rsidRPr="000972D1">
        <w:rPr>
          <w:rFonts w:asciiTheme="majorBidi" w:eastAsiaTheme="minorHAnsi" w:hAnsiTheme="majorBidi" w:cstheme="majorBidi"/>
          <w:bCs/>
          <w:iCs/>
          <w:sz w:val="24"/>
          <w:szCs w:val="24"/>
          <w:lang w:eastAsia="en-US"/>
        </w:rPr>
        <w:t xml:space="preserve">tends to be </w:t>
      </w:r>
      <w:r w:rsidR="00331466" w:rsidRPr="000972D1">
        <w:rPr>
          <w:rFonts w:asciiTheme="majorBidi" w:eastAsiaTheme="minorHAnsi" w:hAnsiTheme="majorBidi" w:cstheme="majorBidi"/>
          <w:bCs/>
          <w:iCs/>
          <w:sz w:val="24"/>
          <w:szCs w:val="24"/>
          <w:lang w:eastAsia="en-US"/>
        </w:rPr>
        <w:t>very small</w:t>
      </w:r>
      <w:r w:rsidR="00005185" w:rsidRPr="000972D1">
        <w:rPr>
          <w:rFonts w:asciiTheme="majorBidi" w:eastAsiaTheme="minorHAnsi" w:hAnsiTheme="majorBidi" w:cstheme="majorBidi"/>
          <w:bCs/>
          <w:iCs/>
          <w:sz w:val="24"/>
          <w:szCs w:val="24"/>
          <w:lang w:eastAsia="en-US"/>
        </w:rPr>
        <w:t xml:space="preserve"> in which</w:t>
      </w:r>
      <w:r w:rsidR="00331466" w:rsidRPr="000972D1">
        <w:rPr>
          <w:rFonts w:asciiTheme="majorBidi" w:eastAsiaTheme="minorHAnsi" w:hAnsiTheme="majorBidi" w:cstheme="majorBidi"/>
          <w:bCs/>
          <w:iCs/>
          <w:sz w:val="24"/>
          <w:szCs w:val="24"/>
          <w:lang w:eastAsia="en-US"/>
        </w:rPr>
        <w:t xml:space="preserve"> auditors are prohibited from providing many types of non-audit services or having a long-term client relationship. Consequently, there is very intense competition among audit firms </w:t>
      </w:r>
      <w:r w:rsidR="00005185" w:rsidRPr="000972D1">
        <w:rPr>
          <w:rFonts w:asciiTheme="majorBidi" w:eastAsiaTheme="minorHAnsi" w:hAnsiTheme="majorBidi" w:cstheme="majorBidi"/>
          <w:bCs/>
          <w:iCs/>
          <w:sz w:val="24"/>
          <w:szCs w:val="24"/>
          <w:lang w:eastAsia="en-US"/>
        </w:rPr>
        <w:t>with</w:t>
      </w:r>
      <w:r w:rsidR="00331466" w:rsidRPr="000972D1">
        <w:rPr>
          <w:rFonts w:asciiTheme="majorBidi" w:eastAsiaTheme="minorHAnsi" w:hAnsiTheme="majorBidi" w:cstheme="majorBidi"/>
          <w:bCs/>
          <w:iCs/>
          <w:sz w:val="24"/>
          <w:szCs w:val="24"/>
          <w:lang w:eastAsia="en-US"/>
        </w:rPr>
        <w:t>in the audit market</w:t>
      </w:r>
      <w:r w:rsidR="00331466" w:rsidRPr="000972D1">
        <w:rPr>
          <w:rFonts w:asciiTheme="majorBidi" w:eastAsia="Calibri" w:hAnsiTheme="majorBidi" w:cstheme="majorBidi"/>
          <w:bCs/>
          <w:iCs/>
          <w:sz w:val="24"/>
          <w:szCs w:val="24"/>
        </w:rPr>
        <w:t xml:space="preserve"> (</w:t>
      </w:r>
      <w:r w:rsidR="00EE0412" w:rsidRPr="000972D1">
        <w:rPr>
          <w:rFonts w:asciiTheme="majorBidi" w:eastAsia="Calibri" w:hAnsiTheme="majorBidi" w:cstheme="majorBidi"/>
          <w:bCs/>
          <w:iCs/>
          <w:sz w:val="24"/>
          <w:szCs w:val="24"/>
        </w:rPr>
        <w:t xml:space="preserve">El-Dyasty, 2017; </w:t>
      </w:r>
      <w:r w:rsidR="00331466" w:rsidRPr="000972D1">
        <w:rPr>
          <w:rFonts w:asciiTheme="majorBidi" w:eastAsiaTheme="minorHAnsi" w:hAnsiTheme="majorBidi" w:cstheme="majorBidi"/>
          <w:bCs/>
          <w:iCs/>
          <w:sz w:val="24"/>
          <w:szCs w:val="24"/>
          <w:lang w:eastAsia="en-US"/>
        </w:rPr>
        <w:t xml:space="preserve">Barroso </w:t>
      </w:r>
      <w:r w:rsidR="00331466" w:rsidRPr="000972D1">
        <w:rPr>
          <w:rFonts w:asciiTheme="majorBidi" w:eastAsia="Times New Roman" w:hAnsiTheme="majorBidi" w:cstheme="majorBidi"/>
          <w:bCs/>
          <w:i/>
          <w:sz w:val="24"/>
          <w:szCs w:val="24"/>
        </w:rPr>
        <w:t>et al.,</w:t>
      </w:r>
      <w:r w:rsidR="00331466" w:rsidRPr="000972D1">
        <w:rPr>
          <w:rFonts w:asciiTheme="majorBidi" w:eastAsiaTheme="minorHAnsi" w:hAnsiTheme="majorBidi" w:cstheme="majorBidi"/>
          <w:bCs/>
          <w:iCs/>
          <w:sz w:val="24"/>
          <w:szCs w:val="24"/>
          <w:lang w:eastAsia="en-US"/>
        </w:rPr>
        <w:t xml:space="preserve"> 2018). This may induce auditors to attract and retain clients by providing a fee-cutting strategy or be compliant with </w:t>
      </w:r>
      <w:r w:rsidR="00005185" w:rsidRPr="000972D1">
        <w:rPr>
          <w:rFonts w:asciiTheme="majorBidi" w:eastAsiaTheme="minorHAnsi" w:hAnsiTheme="majorBidi" w:cstheme="majorBidi"/>
          <w:bCs/>
          <w:iCs/>
          <w:sz w:val="24"/>
          <w:szCs w:val="24"/>
          <w:lang w:eastAsia="en-US"/>
        </w:rPr>
        <w:t xml:space="preserve">whims and caprices of </w:t>
      </w:r>
      <w:r w:rsidR="00331466" w:rsidRPr="000972D1">
        <w:rPr>
          <w:rFonts w:asciiTheme="majorBidi" w:eastAsiaTheme="minorHAnsi" w:hAnsiTheme="majorBidi" w:cstheme="majorBidi"/>
          <w:bCs/>
          <w:iCs/>
          <w:sz w:val="24"/>
          <w:szCs w:val="24"/>
          <w:lang w:eastAsia="en-US"/>
        </w:rPr>
        <w:t>management</w:t>
      </w:r>
      <w:r w:rsidR="00005185" w:rsidRPr="000972D1">
        <w:rPr>
          <w:rFonts w:asciiTheme="majorBidi" w:eastAsiaTheme="minorHAnsi" w:hAnsiTheme="majorBidi" w:cstheme="majorBidi"/>
          <w:bCs/>
          <w:iCs/>
          <w:sz w:val="24"/>
          <w:szCs w:val="24"/>
          <w:lang w:eastAsia="en-US"/>
        </w:rPr>
        <w:t>, and thereby impacting negatively on audit quality</w:t>
      </w:r>
      <w:r w:rsidR="00331466" w:rsidRPr="000972D1">
        <w:rPr>
          <w:rFonts w:asciiTheme="majorBidi" w:eastAsiaTheme="minorHAnsi" w:hAnsiTheme="majorBidi" w:cstheme="majorBidi"/>
          <w:bCs/>
          <w:iCs/>
          <w:sz w:val="24"/>
          <w:szCs w:val="24"/>
          <w:lang w:eastAsia="en-US"/>
        </w:rPr>
        <w:t xml:space="preserve"> (</w:t>
      </w:r>
      <w:r w:rsidR="00331466" w:rsidRPr="000972D1">
        <w:rPr>
          <w:rFonts w:asciiTheme="majorBidi" w:eastAsia="Calibri" w:hAnsiTheme="majorBidi" w:cstheme="majorBidi"/>
          <w:bCs/>
          <w:iCs/>
          <w:sz w:val="24"/>
          <w:szCs w:val="24"/>
        </w:rPr>
        <w:t xml:space="preserve">Barroso </w:t>
      </w:r>
      <w:r w:rsidR="00331466" w:rsidRPr="000972D1">
        <w:rPr>
          <w:rFonts w:asciiTheme="majorBidi" w:eastAsia="Times New Roman" w:hAnsiTheme="majorBidi" w:cstheme="majorBidi"/>
          <w:bCs/>
          <w:i/>
          <w:iCs/>
          <w:sz w:val="24"/>
          <w:szCs w:val="24"/>
        </w:rPr>
        <w:t>et al</w:t>
      </w:r>
      <w:r w:rsidR="00331466" w:rsidRPr="000972D1">
        <w:rPr>
          <w:rFonts w:asciiTheme="majorBidi" w:eastAsia="Calibri" w:hAnsiTheme="majorBidi" w:cstheme="majorBidi"/>
          <w:bCs/>
          <w:iCs/>
          <w:sz w:val="24"/>
          <w:szCs w:val="24"/>
        </w:rPr>
        <w:t>., 2018</w:t>
      </w:r>
      <w:r w:rsidR="00331466" w:rsidRPr="000972D1">
        <w:rPr>
          <w:rFonts w:asciiTheme="majorBidi" w:eastAsiaTheme="minorHAnsi" w:hAnsiTheme="majorBidi" w:cstheme="majorBidi"/>
          <w:bCs/>
          <w:iCs/>
          <w:sz w:val="24"/>
          <w:szCs w:val="24"/>
          <w:lang w:eastAsia="en-US"/>
        </w:rPr>
        <w:t>).</w:t>
      </w:r>
      <w:r w:rsidR="00331466" w:rsidRPr="00331466">
        <w:rPr>
          <w:rFonts w:asciiTheme="majorBidi" w:eastAsiaTheme="minorHAnsi" w:hAnsiTheme="majorBidi" w:cstheme="majorBidi"/>
          <w:bCs/>
          <w:iCs/>
          <w:sz w:val="24"/>
          <w:szCs w:val="24"/>
          <w:lang w:eastAsia="en-US"/>
        </w:rPr>
        <w:t xml:space="preserve"> </w:t>
      </w:r>
    </w:p>
    <w:p w14:paraId="658D1817" w14:textId="3AACDC74" w:rsidR="007000CE" w:rsidRDefault="007C4420" w:rsidP="00A92745">
      <w:pPr>
        <w:spacing w:after="0" w:line="360" w:lineRule="auto"/>
        <w:ind w:firstLine="720"/>
        <w:jc w:val="lowKashida"/>
        <w:rPr>
          <w:rFonts w:asciiTheme="majorBidi" w:eastAsia="Times New Roman" w:hAnsiTheme="majorBidi" w:cstheme="majorBidi"/>
          <w:bCs/>
          <w:iCs/>
          <w:sz w:val="24"/>
          <w:szCs w:val="24"/>
        </w:rPr>
      </w:pPr>
      <w:r w:rsidRPr="008E772B">
        <w:rPr>
          <w:rFonts w:asciiTheme="majorBidi" w:eastAsia="Times New Roman" w:hAnsiTheme="majorBidi" w:cstheme="majorBidi"/>
          <w:bCs/>
          <w:iCs/>
          <w:sz w:val="24"/>
          <w:szCs w:val="24"/>
        </w:rPr>
        <w:t>Despite the unde</w:t>
      </w:r>
      <w:r w:rsidR="00E874EA" w:rsidRPr="008E772B">
        <w:rPr>
          <w:rFonts w:asciiTheme="majorBidi" w:eastAsia="Times New Roman" w:hAnsiTheme="majorBidi" w:cstheme="majorBidi"/>
          <w:bCs/>
          <w:iCs/>
          <w:sz w:val="24"/>
          <w:szCs w:val="24"/>
        </w:rPr>
        <w:t>rde</w:t>
      </w:r>
      <w:r w:rsidRPr="008E772B">
        <w:rPr>
          <w:rFonts w:asciiTheme="majorBidi" w:eastAsia="Times New Roman" w:hAnsiTheme="majorBidi" w:cstheme="majorBidi"/>
          <w:bCs/>
          <w:iCs/>
          <w:sz w:val="24"/>
          <w:szCs w:val="24"/>
        </w:rPr>
        <w:t>velopment of the audit profession and audit market in the MENA region, most MENA countries</w:t>
      </w:r>
      <w:r w:rsidR="00E874EA" w:rsidRPr="008E772B">
        <w:rPr>
          <w:rFonts w:asciiTheme="majorBidi" w:eastAsia="Times New Roman" w:hAnsiTheme="majorBidi" w:cstheme="majorBidi"/>
          <w:bCs/>
          <w:iCs/>
          <w:sz w:val="24"/>
          <w:szCs w:val="24"/>
        </w:rPr>
        <w:t xml:space="preserve"> have</w:t>
      </w:r>
      <w:r w:rsidRPr="008E772B">
        <w:rPr>
          <w:rFonts w:asciiTheme="majorBidi" w:eastAsia="Times New Roman" w:hAnsiTheme="majorBidi" w:cstheme="majorBidi"/>
          <w:bCs/>
          <w:iCs/>
          <w:sz w:val="24"/>
          <w:szCs w:val="24"/>
        </w:rPr>
        <w:t xml:space="preserve"> experienced a rapid shift in economic development following the oil boom of the 1970s, </w:t>
      </w:r>
      <w:r w:rsidR="00E874EA" w:rsidRPr="008E772B">
        <w:rPr>
          <w:rFonts w:asciiTheme="majorBidi" w:eastAsia="Times New Roman" w:hAnsiTheme="majorBidi" w:cstheme="majorBidi"/>
          <w:bCs/>
          <w:iCs/>
          <w:sz w:val="24"/>
          <w:szCs w:val="24"/>
        </w:rPr>
        <w:t xml:space="preserve">and </w:t>
      </w:r>
      <w:r w:rsidRPr="008E772B">
        <w:rPr>
          <w:rFonts w:asciiTheme="majorBidi" w:eastAsia="Times New Roman" w:hAnsiTheme="majorBidi" w:cstheme="majorBidi"/>
          <w:bCs/>
          <w:iCs/>
          <w:sz w:val="24"/>
          <w:szCs w:val="24"/>
        </w:rPr>
        <w:t>th</w:t>
      </w:r>
      <w:r w:rsidR="00005185">
        <w:rPr>
          <w:rFonts w:asciiTheme="majorBidi" w:eastAsia="Times New Roman" w:hAnsiTheme="majorBidi" w:cstheme="majorBidi"/>
          <w:bCs/>
          <w:iCs/>
          <w:sz w:val="24"/>
          <w:szCs w:val="24"/>
        </w:rPr>
        <w:t>is has</w:t>
      </w:r>
      <w:r w:rsidRPr="008E772B">
        <w:rPr>
          <w:rFonts w:asciiTheme="majorBidi" w:eastAsia="Times New Roman" w:hAnsiTheme="majorBidi" w:cstheme="majorBidi"/>
          <w:bCs/>
          <w:iCs/>
          <w:sz w:val="24"/>
          <w:szCs w:val="24"/>
        </w:rPr>
        <w:t xml:space="preserve"> increas</w:t>
      </w:r>
      <w:r w:rsidR="00005185">
        <w:rPr>
          <w:rFonts w:asciiTheme="majorBidi" w:eastAsia="Times New Roman" w:hAnsiTheme="majorBidi" w:cstheme="majorBidi"/>
          <w:bCs/>
          <w:iCs/>
          <w:sz w:val="24"/>
          <w:szCs w:val="24"/>
        </w:rPr>
        <w:t>ed</w:t>
      </w:r>
      <w:r w:rsidRPr="008E772B">
        <w:rPr>
          <w:rFonts w:asciiTheme="majorBidi" w:eastAsia="Times New Roman" w:hAnsiTheme="majorBidi" w:cstheme="majorBidi"/>
          <w:bCs/>
          <w:iCs/>
          <w:sz w:val="24"/>
          <w:szCs w:val="24"/>
        </w:rPr>
        <w:t xml:space="preserve"> the demand for high-quality audit</w:t>
      </w:r>
      <w:r w:rsidR="00E874EA" w:rsidRPr="008E772B">
        <w:rPr>
          <w:rFonts w:asciiTheme="majorBidi" w:eastAsia="Times New Roman" w:hAnsiTheme="majorBidi" w:cstheme="majorBidi"/>
          <w:bCs/>
          <w:iCs/>
          <w:sz w:val="24"/>
          <w:szCs w:val="24"/>
        </w:rPr>
        <w:t xml:space="preserve"> service</w:t>
      </w:r>
      <w:r w:rsidRPr="008E772B">
        <w:rPr>
          <w:rFonts w:asciiTheme="majorBidi" w:eastAsia="Times New Roman" w:hAnsiTheme="majorBidi" w:cstheme="majorBidi"/>
          <w:bCs/>
          <w:iCs/>
          <w:sz w:val="24"/>
          <w:szCs w:val="24"/>
        </w:rPr>
        <w:t xml:space="preserve"> (Haniffa </w:t>
      </w:r>
      <w:r w:rsidR="001C5247" w:rsidRPr="008E772B">
        <w:rPr>
          <w:rFonts w:asciiTheme="majorBidi" w:eastAsia="Times New Roman" w:hAnsiTheme="majorBidi" w:cstheme="majorBidi"/>
          <w:bCs/>
          <w:sz w:val="24"/>
          <w:szCs w:val="24"/>
        </w:rPr>
        <w:t>&amp;</w:t>
      </w:r>
      <w:r w:rsidRPr="008E772B">
        <w:rPr>
          <w:rFonts w:asciiTheme="majorBidi" w:eastAsia="Times New Roman" w:hAnsiTheme="majorBidi" w:cstheme="majorBidi"/>
          <w:bCs/>
          <w:iCs/>
          <w:sz w:val="24"/>
          <w:szCs w:val="24"/>
        </w:rPr>
        <w:t xml:space="preserve"> Hudaib, 2007</w:t>
      </w:r>
      <w:r w:rsidR="001E4F83" w:rsidRPr="008E772B">
        <w:rPr>
          <w:rFonts w:asciiTheme="majorBidi" w:eastAsia="Times New Roman" w:hAnsiTheme="majorBidi" w:cstheme="majorBidi"/>
          <w:bCs/>
          <w:iCs/>
          <w:sz w:val="24"/>
          <w:szCs w:val="24"/>
        </w:rPr>
        <w:t>;</w:t>
      </w:r>
      <w:r w:rsidR="001E4F83" w:rsidRPr="008E772B">
        <w:rPr>
          <w:rFonts w:asciiTheme="majorBidi" w:eastAsia="Calibri" w:hAnsiTheme="majorBidi" w:cstheme="majorBidi"/>
          <w:bCs/>
          <w:iCs/>
          <w:sz w:val="24"/>
          <w:szCs w:val="24"/>
        </w:rPr>
        <w:t xml:space="preserve"> </w:t>
      </w:r>
      <w:r w:rsidR="001E4F83" w:rsidRPr="008E772B">
        <w:rPr>
          <w:rFonts w:asciiTheme="majorBidi" w:eastAsia="Times New Roman" w:hAnsiTheme="majorBidi" w:cstheme="majorBidi"/>
          <w:bCs/>
          <w:iCs/>
          <w:sz w:val="24"/>
          <w:szCs w:val="24"/>
        </w:rPr>
        <w:t>Ajmi, 2009</w:t>
      </w:r>
      <w:r w:rsidR="00B412F3">
        <w:rPr>
          <w:rFonts w:asciiTheme="majorBidi" w:eastAsia="Times New Roman" w:hAnsiTheme="majorBidi" w:cstheme="majorBidi"/>
          <w:bCs/>
          <w:iCs/>
          <w:sz w:val="24"/>
          <w:szCs w:val="24"/>
        </w:rPr>
        <w:t>;</w:t>
      </w:r>
      <w:r w:rsidR="00B412F3" w:rsidRPr="00B412F3">
        <w:rPr>
          <w:rFonts w:asciiTheme="majorBidi" w:eastAsia="Times New Roman" w:hAnsiTheme="majorBidi" w:cstheme="majorBidi"/>
          <w:bCs/>
          <w:iCs/>
          <w:sz w:val="24"/>
          <w:szCs w:val="24"/>
        </w:rPr>
        <w:t xml:space="preserve"> Ben-Hassoun </w:t>
      </w:r>
      <w:r w:rsidR="00B412F3" w:rsidRPr="002513C0">
        <w:rPr>
          <w:rFonts w:asciiTheme="majorBidi" w:eastAsia="Times New Roman" w:hAnsiTheme="majorBidi" w:cstheme="majorBidi"/>
          <w:bCs/>
          <w:i/>
          <w:iCs/>
          <w:sz w:val="24"/>
          <w:szCs w:val="24"/>
        </w:rPr>
        <w:t>et al.,</w:t>
      </w:r>
      <w:r w:rsidR="00B412F3" w:rsidRPr="00B412F3">
        <w:rPr>
          <w:rFonts w:asciiTheme="majorBidi" w:eastAsia="Times New Roman" w:hAnsiTheme="majorBidi" w:cstheme="majorBidi"/>
          <w:bCs/>
          <w:iCs/>
          <w:sz w:val="24"/>
          <w:szCs w:val="24"/>
        </w:rPr>
        <w:t xml:space="preserve"> 2018</w:t>
      </w:r>
      <w:r w:rsidRPr="008E772B">
        <w:rPr>
          <w:rFonts w:asciiTheme="majorBidi" w:eastAsia="Times New Roman" w:hAnsiTheme="majorBidi" w:cstheme="majorBidi"/>
          <w:bCs/>
          <w:iCs/>
          <w:sz w:val="24"/>
          <w:szCs w:val="24"/>
        </w:rPr>
        <w:t xml:space="preserve">). </w:t>
      </w:r>
      <w:r w:rsidR="00717260">
        <w:rPr>
          <w:rFonts w:asciiTheme="majorBidi" w:eastAsia="Times New Roman" w:hAnsiTheme="majorBidi" w:cstheme="majorBidi"/>
          <w:bCs/>
          <w:iCs/>
          <w:sz w:val="24"/>
          <w:szCs w:val="24"/>
        </w:rPr>
        <w:t>In particular, t</w:t>
      </w:r>
      <w:r w:rsidR="00B31E4A" w:rsidRPr="008E772B">
        <w:rPr>
          <w:rFonts w:asciiTheme="majorBidi" w:eastAsia="Times New Roman" w:hAnsiTheme="majorBidi" w:cstheme="majorBidi"/>
          <w:bCs/>
          <w:iCs/>
          <w:sz w:val="24"/>
          <w:szCs w:val="24"/>
        </w:rPr>
        <w:t>he</w:t>
      </w:r>
      <w:r w:rsidR="00717260">
        <w:rPr>
          <w:rFonts w:asciiTheme="majorBidi" w:eastAsia="Times New Roman" w:hAnsiTheme="majorBidi" w:cstheme="majorBidi"/>
          <w:bCs/>
          <w:iCs/>
          <w:sz w:val="24"/>
          <w:szCs w:val="24"/>
        </w:rPr>
        <w:t xml:space="preserve">re is a </w:t>
      </w:r>
      <w:r w:rsidRPr="008E772B">
        <w:rPr>
          <w:rFonts w:asciiTheme="majorBidi" w:eastAsia="Times New Roman" w:hAnsiTheme="majorBidi" w:cstheme="majorBidi"/>
          <w:bCs/>
          <w:iCs/>
          <w:sz w:val="24"/>
          <w:szCs w:val="24"/>
        </w:rPr>
        <w:t>strong presence of multinational firms and international financial institutions</w:t>
      </w:r>
      <w:r w:rsidR="00CC028F">
        <w:rPr>
          <w:rFonts w:asciiTheme="majorBidi" w:eastAsia="Times New Roman" w:hAnsiTheme="majorBidi" w:cstheme="majorBidi"/>
          <w:bCs/>
          <w:iCs/>
          <w:sz w:val="24"/>
          <w:szCs w:val="24"/>
        </w:rPr>
        <w:t xml:space="preserve"> along with</w:t>
      </w:r>
      <w:r w:rsidR="00717260">
        <w:rPr>
          <w:rFonts w:asciiTheme="majorBidi" w:eastAsia="Times New Roman" w:hAnsiTheme="majorBidi" w:cstheme="majorBidi"/>
          <w:bCs/>
          <w:iCs/>
          <w:sz w:val="24"/>
          <w:szCs w:val="24"/>
        </w:rPr>
        <w:t xml:space="preserve"> </w:t>
      </w:r>
      <w:r w:rsidR="00CC028F">
        <w:rPr>
          <w:rFonts w:asciiTheme="majorBidi" w:eastAsia="Times New Roman" w:hAnsiTheme="majorBidi" w:cstheme="majorBidi"/>
          <w:bCs/>
          <w:iCs/>
          <w:sz w:val="24"/>
          <w:szCs w:val="24"/>
        </w:rPr>
        <w:t xml:space="preserve">a </w:t>
      </w:r>
      <w:r w:rsidR="00717260">
        <w:rPr>
          <w:rFonts w:asciiTheme="majorBidi" w:eastAsia="Times New Roman" w:hAnsiTheme="majorBidi" w:cstheme="majorBidi"/>
          <w:bCs/>
          <w:iCs/>
          <w:sz w:val="24"/>
          <w:szCs w:val="24"/>
        </w:rPr>
        <w:t>gradual</w:t>
      </w:r>
      <w:r w:rsidR="00F32D66" w:rsidRPr="008E772B">
        <w:rPr>
          <w:rFonts w:asciiTheme="majorBidi" w:eastAsia="Times New Roman" w:hAnsiTheme="majorBidi" w:cstheme="majorBidi"/>
          <w:bCs/>
          <w:iCs/>
          <w:sz w:val="24"/>
          <w:szCs w:val="24"/>
        </w:rPr>
        <w:t xml:space="preserve"> </w:t>
      </w:r>
      <w:r w:rsidRPr="008E772B">
        <w:rPr>
          <w:rFonts w:asciiTheme="majorBidi" w:eastAsia="Times New Roman" w:hAnsiTheme="majorBidi" w:cstheme="majorBidi"/>
          <w:bCs/>
          <w:iCs/>
          <w:sz w:val="24"/>
          <w:szCs w:val="24"/>
        </w:rPr>
        <w:t>shift of ownership rights from the state to private and institutional investors</w:t>
      </w:r>
      <w:r w:rsidR="00005185">
        <w:rPr>
          <w:rFonts w:asciiTheme="majorBidi" w:eastAsia="Times New Roman" w:hAnsiTheme="majorBidi" w:cstheme="majorBidi"/>
          <w:bCs/>
          <w:iCs/>
          <w:sz w:val="24"/>
          <w:szCs w:val="24"/>
        </w:rPr>
        <w:t>,</w:t>
      </w:r>
      <w:r w:rsidR="00DB30A6">
        <w:rPr>
          <w:rFonts w:asciiTheme="majorBidi" w:eastAsia="Times New Roman" w:hAnsiTheme="majorBidi" w:cstheme="majorBidi"/>
          <w:bCs/>
          <w:iCs/>
          <w:sz w:val="24"/>
          <w:szCs w:val="24"/>
        </w:rPr>
        <w:t xml:space="preserve"> </w:t>
      </w:r>
      <w:r w:rsidR="00245BF7">
        <w:rPr>
          <w:rFonts w:asciiTheme="majorBidi" w:eastAsia="Times New Roman" w:hAnsiTheme="majorBidi" w:cstheme="majorBidi"/>
          <w:bCs/>
          <w:iCs/>
          <w:sz w:val="24"/>
          <w:szCs w:val="24"/>
        </w:rPr>
        <w:t xml:space="preserve">who </w:t>
      </w:r>
      <w:r w:rsidR="00DB30A6">
        <w:rPr>
          <w:rFonts w:asciiTheme="majorBidi" w:eastAsia="Times New Roman" w:hAnsiTheme="majorBidi" w:cstheme="majorBidi"/>
          <w:bCs/>
          <w:iCs/>
          <w:sz w:val="24"/>
          <w:szCs w:val="24"/>
        </w:rPr>
        <w:t>r</w:t>
      </w:r>
      <w:r w:rsidRPr="008E772B">
        <w:rPr>
          <w:rFonts w:asciiTheme="majorBidi" w:eastAsia="Times New Roman" w:hAnsiTheme="majorBidi" w:cstheme="majorBidi"/>
          <w:bCs/>
          <w:iCs/>
          <w:sz w:val="24"/>
          <w:szCs w:val="24"/>
        </w:rPr>
        <w:t>equire better protection of such investments through better-quality audit by more reputable auditors (</w:t>
      </w:r>
      <w:r w:rsidR="00987BF3" w:rsidRPr="008E772B">
        <w:rPr>
          <w:rFonts w:asciiTheme="majorBidi" w:eastAsia="Times New Roman" w:hAnsiTheme="majorBidi" w:cstheme="majorBidi"/>
          <w:bCs/>
          <w:iCs/>
          <w:sz w:val="24"/>
          <w:szCs w:val="24"/>
        </w:rPr>
        <w:t xml:space="preserve">Choi </w:t>
      </w:r>
      <w:r w:rsidR="00987BF3" w:rsidRPr="008E772B">
        <w:rPr>
          <w:rFonts w:asciiTheme="majorBidi" w:eastAsia="Times New Roman" w:hAnsiTheme="majorBidi" w:cstheme="majorBidi"/>
          <w:bCs/>
          <w:i/>
          <w:sz w:val="24"/>
          <w:szCs w:val="24"/>
        </w:rPr>
        <w:t>et a</w:t>
      </w:r>
      <w:r w:rsidR="00987BF3" w:rsidRPr="00DB56FA">
        <w:rPr>
          <w:rFonts w:asciiTheme="majorBidi" w:eastAsia="Times New Roman" w:hAnsiTheme="majorBidi" w:cstheme="majorBidi"/>
          <w:bCs/>
          <w:i/>
          <w:iCs/>
          <w:sz w:val="24"/>
          <w:szCs w:val="24"/>
        </w:rPr>
        <w:t>l</w:t>
      </w:r>
      <w:r w:rsidR="00987BF3" w:rsidRPr="008E772B">
        <w:rPr>
          <w:rFonts w:asciiTheme="majorBidi" w:eastAsia="Times New Roman" w:hAnsiTheme="majorBidi" w:cstheme="majorBidi"/>
          <w:bCs/>
          <w:iCs/>
          <w:sz w:val="24"/>
          <w:szCs w:val="24"/>
        </w:rPr>
        <w:t xml:space="preserve">., 2008; </w:t>
      </w:r>
      <w:r w:rsidRPr="008E772B">
        <w:rPr>
          <w:rFonts w:asciiTheme="majorBidi" w:eastAsia="Times New Roman" w:hAnsiTheme="majorBidi" w:cstheme="majorBidi"/>
          <w:bCs/>
          <w:iCs/>
          <w:sz w:val="24"/>
          <w:szCs w:val="24"/>
        </w:rPr>
        <w:t xml:space="preserve">Al-Ajmi, 2009; Samaha </w:t>
      </w:r>
      <w:r w:rsidR="001C5247" w:rsidRPr="008E772B">
        <w:rPr>
          <w:rFonts w:asciiTheme="majorBidi" w:eastAsia="Times New Roman" w:hAnsiTheme="majorBidi" w:cstheme="majorBidi"/>
          <w:bCs/>
          <w:sz w:val="24"/>
          <w:szCs w:val="24"/>
        </w:rPr>
        <w:t>&amp;</w:t>
      </w:r>
      <w:r w:rsidRPr="008E772B">
        <w:rPr>
          <w:rFonts w:asciiTheme="majorBidi" w:eastAsia="Times New Roman" w:hAnsiTheme="majorBidi" w:cstheme="majorBidi"/>
          <w:bCs/>
          <w:iCs/>
          <w:sz w:val="24"/>
          <w:szCs w:val="24"/>
        </w:rPr>
        <w:t xml:space="preserve"> Hegazy, 2010</w:t>
      </w:r>
      <w:r w:rsidR="00B412F3">
        <w:rPr>
          <w:rFonts w:asciiTheme="majorBidi" w:eastAsia="Times New Roman" w:hAnsiTheme="majorBidi" w:cstheme="majorBidi"/>
          <w:bCs/>
          <w:iCs/>
          <w:sz w:val="24"/>
          <w:szCs w:val="24"/>
        </w:rPr>
        <w:t>;</w:t>
      </w:r>
      <w:r w:rsidR="006E11AA" w:rsidRPr="006E11AA">
        <w:rPr>
          <w:rFonts w:asciiTheme="majorBidi" w:eastAsia="Times New Roman" w:hAnsiTheme="majorBidi" w:cstheme="majorBidi"/>
          <w:bCs/>
          <w:iCs/>
          <w:sz w:val="24"/>
          <w:szCs w:val="24"/>
        </w:rPr>
        <w:t xml:space="preserve"> Khalifa, 2012</w:t>
      </w:r>
      <w:r w:rsidR="006E11AA">
        <w:rPr>
          <w:rFonts w:asciiTheme="majorBidi" w:eastAsia="Times New Roman" w:hAnsiTheme="majorBidi" w:cstheme="majorBidi"/>
          <w:bCs/>
          <w:iCs/>
          <w:sz w:val="24"/>
          <w:szCs w:val="24"/>
        </w:rPr>
        <w:t>;</w:t>
      </w:r>
      <w:r w:rsidR="00B412F3">
        <w:rPr>
          <w:rFonts w:asciiTheme="majorBidi" w:eastAsia="Times New Roman" w:hAnsiTheme="majorBidi" w:cstheme="majorBidi"/>
          <w:bCs/>
          <w:iCs/>
          <w:sz w:val="24"/>
          <w:szCs w:val="24"/>
        </w:rPr>
        <w:t xml:space="preserve"> </w:t>
      </w:r>
      <w:r w:rsidR="00B412F3" w:rsidRPr="00F808B6">
        <w:rPr>
          <w:rFonts w:asciiTheme="majorBidi" w:eastAsia="Times New Roman" w:hAnsiTheme="majorBidi" w:cstheme="majorBidi"/>
          <w:bCs/>
          <w:iCs/>
          <w:sz w:val="24"/>
          <w:szCs w:val="24"/>
        </w:rPr>
        <w:t xml:space="preserve">Ben-Hassoun </w:t>
      </w:r>
      <w:r w:rsidR="00B412F3" w:rsidRPr="002513C0">
        <w:rPr>
          <w:rFonts w:asciiTheme="majorBidi" w:eastAsia="Times New Roman" w:hAnsiTheme="majorBidi" w:cstheme="majorBidi"/>
          <w:bCs/>
          <w:i/>
          <w:iCs/>
          <w:sz w:val="24"/>
          <w:szCs w:val="24"/>
        </w:rPr>
        <w:t>et al</w:t>
      </w:r>
      <w:r w:rsidR="00B412F3" w:rsidRPr="00F808B6">
        <w:rPr>
          <w:rFonts w:asciiTheme="majorBidi" w:eastAsia="Times New Roman" w:hAnsiTheme="majorBidi" w:cstheme="majorBidi"/>
          <w:bCs/>
          <w:iCs/>
          <w:sz w:val="24"/>
          <w:szCs w:val="24"/>
        </w:rPr>
        <w:t>.</w:t>
      </w:r>
      <w:r w:rsidR="00B412F3">
        <w:rPr>
          <w:rFonts w:asciiTheme="majorBidi" w:eastAsia="Times New Roman" w:hAnsiTheme="majorBidi" w:cstheme="majorBidi"/>
          <w:bCs/>
          <w:iCs/>
          <w:sz w:val="24"/>
          <w:szCs w:val="24"/>
        </w:rPr>
        <w:t xml:space="preserve">, </w:t>
      </w:r>
      <w:r w:rsidR="00B412F3" w:rsidRPr="00F808B6">
        <w:rPr>
          <w:rFonts w:asciiTheme="majorBidi" w:eastAsia="Times New Roman" w:hAnsiTheme="majorBidi" w:cstheme="majorBidi"/>
          <w:bCs/>
          <w:iCs/>
          <w:sz w:val="24"/>
          <w:szCs w:val="24"/>
        </w:rPr>
        <w:t>2018</w:t>
      </w:r>
      <w:r w:rsidRPr="008E772B">
        <w:rPr>
          <w:rFonts w:asciiTheme="majorBidi" w:eastAsia="Times New Roman" w:hAnsiTheme="majorBidi" w:cstheme="majorBidi"/>
          <w:bCs/>
          <w:iCs/>
          <w:sz w:val="24"/>
          <w:szCs w:val="24"/>
        </w:rPr>
        <w:t>).</w:t>
      </w:r>
      <w:r w:rsidR="003E0210" w:rsidRPr="008E772B">
        <w:rPr>
          <w:rFonts w:asciiTheme="majorBidi" w:eastAsia="Times New Roman" w:hAnsiTheme="majorBidi" w:cstheme="majorBidi"/>
          <w:bCs/>
          <w:iCs/>
          <w:sz w:val="24"/>
          <w:szCs w:val="24"/>
        </w:rPr>
        <w:t xml:space="preserve"> </w:t>
      </w:r>
    </w:p>
    <w:p w14:paraId="17A32EF2" w14:textId="14921207" w:rsidR="00106A7E" w:rsidRPr="000972D1" w:rsidRDefault="00106A7E" w:rsidP="00106A7E">
      <w:pPr>
        <w:spacing w:after="0" w:line="360" w:lineRule="auto"/>
        <w:jc w:val="lowKashida"/>
        <w:rPr>
          <w:rFonts w:asciiTheme="majorBidi" w:eastAsia="Times New Roman" w:hAnsiTheme="majorBidi" w:cstheme="majorBidi"/>
          <w:bCs/>
          <w:iCs/>
          <w:sz w:val="24"/>
          <w:szCs w:val="24"/>
        </w:rPr>
      </w:pPr>
      <w:r>
        <w:rPr>
          <w:rFonts w:asciiTheme="majorBidi" w:eastAsia="Times New Roman" w:hAnsiTheme="majorBidi" w:cstheme="majorBidi"/>
          <w:b/>
          <w:bCs/>
          <w:sz w:val="24"/>
          <w:szCs w:val="24"/>
        </w:rPr>
        <w:tab/>
      </w:r>
      <w:r w:rsidRPr="000972D1">
        <w:rPr>
          <w:rFonts w:asciiTheme="majorBidi" w:eastAsia="Times New Roman" w:hAnsiTheme="majorBidi" w:cstheme="majorBidi"/>
          <w:bCs/>
          <w:iCs/>
          <w:sz w:val="24"/>
          <w:szCs w:val="24"/>
        </w:rPr>
        <w:t>Moreover, international auditing firm networks working in MENA countries are not only familiar with national accounting standards, but also International Standards on Auditing (ISA) compared with small- and medium-size</w:t>
      </w:r>
      <w:r w:rsidR="005C1E25">
        <w:rPr>
          <w:rFonts w:asciiTheme="majorBidi" w:eastAsia="Times New Roman" w:hAnsiTheme="majorBidi" w:cstheme="majorBidi"/>
          <w:bCs/>
          <w:iCs/>
          <w:sz w:val="24"/>
          <w:szCs w:val="24"/>
        </w:rPr>
        <w:t>d</w:t>
      </w:r>
      <w:r w:rsidRPr="000972D1">
        <w:rPr>
          <w:rFonts w:asciiTheme="majorBidi" w:eastAsia="Times New Roman" w:hAnsiTheme="majorBidi" w:cstheme="majorBidi"/>
          <w:bCs/>
          <w:iCs/>
          <w:sz w:val="24"/>
          <w:szCs w:val="24"/>
        </w:rPr>
        <w:t xml:space="preserve"> audit firms (Al-Ajmi, 2009; Samaha &amp; Hegazy, 2010</w:t>
      </w:r>
      <w:r w:rsidR="00937CAB" w:rsidRPr="000972D1">
        <w:rPr>
          <w:rFonts w:asciiTheme="majorBidi" w:eastAsia="Times New Roman" w:hAnsiTheme="majorBidi" w:cstheme="majorBidi"/>
          <w:bCs/>
          <w:iCs/>
          <w:sz w:val="24"/>
          <w:szCs w:val="24"/>
        </w:rPr>
        <w:t>; El-Dyasty, 2017</w:t>
      </w:r>
      <w:r w:rsidRPr="000972D1">
        <w:rPr>
          <w:rFonts w:asciiTheme="majorBidi" w:eastAsia="Times New Roman" w:hAnsiTheme="majorBidi" w:cstheme="majorBidi"/>
          <w:bCs/>
          <w:iCs/>
          <w:sz w:val="24"/>
          <w:szCs w:val="24"/>
        </w:rPr>
        <w:t>). This is expected to enhance the quality of information issued by listed companies audited by large audit firms with international affiliation</w:t>
      </w:r>
      <w:r w:rsidR="0097288C" w:rsidRPr="000972D1">
        <w:rPr>
          <w:rFonts w:asciiTheme="majorBidi" w:eastAsia="Times New Roman" w:hAnsiTheme="majorBidi" w:cstheme="majorBidi"/>
          <w:bCs/>
          <w:iCs/>
          <w:sz w:val="24"/>
          <w:szCs w:val="24"/>
        </w:rPr>
        <w:t>s</w:t>
      </w:r>
      <w:r w:rsidRPr="000972D1">
        <w:rPr>
          <w:rFonts w:asciiTheme="majorBidi" w:eastAsia="Times New Roman" w:hAnsiTheme="majorBidi" w:cstheme="majorBidi"/>
          <w:bCs/>
          <w:iCs/>
          <w:sz w:val="24"/>
          <w:szCs w:val="24"/>
        </w:rPr>
        <w:t xml:space="preserve"> with explicit commitment to maintaining</w:t>
      </w:r>
      <w:r w:rsidR="00081D94">
        <w:rPr>
          <w:rFonts w:asciiTheme="majorBidi" w:eastAsia="Times New Roman" w:hAnsiTheme="majorBidi" w:cstheme="majorBidi"/>
          <w:bCs/>
          <w:iCs/>
          <w:sz w:val="24"/>
          <w:szCs w:val="24"/>
        </w:rPr>
        <w:t xml:space="preserve"> high</w:t>
      </w:r>
      <w:r w:rsidRPr="000972D1">
        <w:rPr>
          <w:rFonts w:asciiTheme="majorBidi" w:eastAsia="Times New Roman" w:hAnsiTheme="majorBidi" w:cstheme="majorBidi"/>
          <w:bCs/>
          <w:iCs/>
          <w:sz w:val="24"/>
          <w:szCs w:val="24"/>
        </w:rPr>
        <w:t xml:space="preserve"> audit standards set by the International Auditing and Assurance Standards Board (IAASB) (Samaha &amp; Hegazy, 2010</w:t>
      </w:r>
      <w:r w:rsidR="00937CAB" w:rsidRPr="000972D1">
        <w:rPr>
          <w:rFonts w:asciiTheme="majorBidi" w:eastAsia="Times New Roman" w:hAnsiTheme="majorBidi" w:cstheme="majorBidi"/>
          <w:bCs/>
          <w:iCs/>
          <w:sz w:val="24"/>
          <w:szCs w:val="24"/>
        </w:rPr>
        <w:t>; El-Dyasty, 2017</w:t>
      </w:r>
      <w:r w:rsidRPr="000972D1">
        <w:rPr>
          <w:rFonts w:asciiTheme="majorBidi" w:eastAsia="Times New Roman" w:hAnsiTheme="majorBidi" w:cstheme="majorBidi"/>
          <w:bCs/>
          <w:iCs/>
          <w:sz w:val="24"/>
          <w:szCs w:val="24"/>
        </w:rPr>
        <w:t xml:space="preserve">). Also, some governments in the MENA region often </w:t>
      </w:r>
      <w:r w:rsidRPr="000972D1">
        <w:rPr>
          <w:rFonts w:asciiTheme="majorBidi" w:eastAsia="Times New Roman" w:hAnsiTheme="majorBidi" w:cstheme="majorBidi"/>
          <w:bCs/>
          <w:iCs/>
          <w:sz w:val="24"/>
          <w:szCs w:val="24"/>
        </w:rPr>
        <w:lastRenderedPageBreak/>
        <w:t>offer training contracts to large audit firms with international networks to train nationals towards obtaining professional accounting qualifications from the US and UK (Al-Ajmi, 2009).</w:t>
      </w:r>
    </w:p>
    <w:p w14:paraId="7ED3E263" w14:textId="42CA5FC0" w:rsidR="00103EC4" w:rsidRPr="000972D1" w:rsidRDefault="0015654A" w:rsidP="00D22FC4">
      <w:pPr>
        <w:spacing w:after="0" w:line="360" w:lineRule="auto"/>
        <w:ind w:firstLine="720"/>
        <w:jc w:val="lowKashida"/>
        <w:rPr>
          <w:rFonts w:asciiTheme="majorBidi" w:eastAsia="Times New Roman" w:hAnsiTheme="majorBidi" w:cstheme="majorBidi"/>
          <w:bCs/>
          <w:sz w:val="24"/>
          <w:szCs w:val="24"/>
        </w:rPr>
      </w:pPr>
      <w:r>
        <w:rPr>
          <w:rFonts w:asciiTheme="majorBidi" w:eastAsia="Times New Roman" w:hAnsiTheme="majorBidi" w:cstheme="majorBidi"/>
          <w:bCs/>
          <w:sz w:val="24"/>
          <w:szCs w:val="24"/>
        </w:rPr>
        <w:t>In the meantime, i</w:t>
      </w:r>
      <w:r w:rsidR="00106A7E" w:rsidRPr="000972D1">
        <w:rPr>
          <w:rFonts w:asciiTheme="majorBidi" w:eastAsia="Times New Roman" w:hAnsiTheme="majorBidi" w:cstheme="majorBidi"/>
          <w:bCs/>
          <w:sz w:val="24"/>
          <w:szCs w:val="24"/>
        </w:rPr>
        <w:t>t should be noted that most MENA countries require listed firms to prepare their financial statements in accordance with International Accounting Standards (</w:t>
      </w:r>
      <w:r w:rsidR="00BC4784" w:rsidRPr="000972D1">
        <w:rPr>
          <w:rFonts w:asciiTheme="majorBidi" w:eastAsia="Times New Roman" w:hAnsiTheme="majorBidi" w:cstheme="majorBidi"/>
          <w:bCs/>
          <w:sz w:val="24"/>
          <w:szCs w:val="24"/>
        </w:rPr>
        <w:t>IFRS/</w:t>
      </w:r>
      <w:r w:rsidR="00106A7E" w:rsidRPr="000972D1">
        <w:rPr>
          <w:rFonts w:asciiTheme="majorBidi" w:eastAsia="Times New Roman" w:hAnsiTheme="majorBidi" w:cstheme="majorBidi"/>
          <w:bCs/>
          <w:sz w:val="24"/>
          <w:szCs w:val="24"/>
        </w:rPr>
        <w:t xml:space="preserve">IAS) or national accounting standards that have been developed in accordance with the </w:t>
      </w:r>
      <w:r w:rsidR="00BC4784" w:rsidRPr="000972D1">
        <w:rPr>
          <w:rFonts w:asciiTheme="majorBidi" w:eastAsia="Times New Roman" w:hAnsiTheme="majorBidi" w:cstheme="majorBidi"/>
          <w:bCs/>
          <w:sz w:val="24"/>
          <w:szCs w:val="24"/>
        </w:rPr>
        <w:t>IFRS/</w:t>
      </w:r>
      <w:r w:rsidR="00106A7E" w:rsidRPr="000972D1">
        <w:rPr>
          <w:rFonts w:asciiTheme="majorBidi" w:eastAsia="Times New Roman" w:hAnsiTheme="majorBidi" w:cstheme="majorBidi"/>
          <w:bCs/>
          <w:sz w:val="24"/>
          <w:szCs w:val="24"/>
        </w:rPr>
        <w:t>IAS</w:t>
      </w:r>
      <w:r w:rsidR="00114992" w:rsidRPr="000972D1">
        <w:rPr>
          <w:rFonts w:asciiTheme="majorBidi" w:eastAsia="Times New Roman" w:hAnsiTheme="majorBidi" w:cstheme="majorBidi"/>
          <w:bCs/>
          <w:sz w:val="24"/>
          <w:szCs w:val="24"/>
        </w:rPr>
        <w:t xml:space="preserve"> (</w:t>
      </w:r>
      <w:r w:rsidR="005B656E" w:rsidRPr="000972D1">
        <w:rPr>
          <w:rFonts w:asciiTheme="majorBidi" w:eastAsia="Times New Roman" w:hAnsiTheme="majorBidi" w:cstheme="majorBidi"/>
          <w:bCs/>
          <w:sz w:val="24"/>
          <w:szCs w:val="24"/>
        </w:rPr>
        <w:t xml:space="preserve">Afify, 2009; </w:t>
      </w:r>
      <w:r w:rsidR="00114992" w:rsidRPr="000972D1">
        <w:rPr>
          <w:rFonts w:asciiTheme="majorBidi" w:eastAsia="Times New Roman" w:hAnsiTheme="majorBidi" w:cstheme="majorBidi"/>
          <w:bCs/>
          <w:sz w:val="24"/>
          <w:szCs w:val="24"/>
        </w:rPr>
        <w:t xml:space="preserve">Baatwah </w:t>
      </w:r>
      <w:r w:rsidR="005B656E" w:rsidRPr="000972D1">
        <w:rPr>
          <w:rFonts w:asciiTheme="majorBidi" w:eastAsia="Times New Roman" w:hAnsiTheme="majorBidi" w:cstheme="majorBidi"/>
          <w:bCs/>
          <w:i/>
          <w:sz w:val="24"/>
          <w:szCs w:val="24"/>
        </w:rPr>
        <w:t>et al</w:t>
      </w:r>
      <w:r w:rsidR="00114992" w:rsidRPr="000972D1">
        <w:rPr>
          <w:rFonts w:asciiTheme="majorBidi" w:eastAsia="Times New Roman" w:hAnsiTheme="majorBidi" w:cstheme="majorBidi"/>
          <w:bCs/>
          <w:sz w:val="24"/>
          <w:szCs w:val="24"/>
        </w:rPr>
        <w:t>., 2015)</w:t>
      </w:r>
      <w:r w:rsidR="00106A7E" w:rsidRPr="000972D1">
        <w:rPr>
          <w:rFonts w:asciiTheme="majorBidi" w:eastAsia="Times New Roman" w:hAnsiTheme="majorBidi" w:cstheme="majorBidi"/>
          <w:bCs/>
          <w:sz w:val="24"/>
          <w:szCs w:val="24"/>
        </w:rPr>
        <w:t xml:space="preserve">. </w:t>
      </w:r>
      <w:r w:rsidR="00103EC4" w:rsidRPr="000972D1">
        <w:rPr>
          <w:rFonts w:asciiTheme="majorBidi" w:eastAsia="Times New Roman" w:hAnsiTheme="majorBidi" w:cstheme="majorBidi"/>
          <w:bCs/>
          <w:sz w:val="24"/>
          <w:szCs w:val="24"/>
        </w:rPr>
        <w:t xml:space="preserve">For example, </w:t>
      </w:r>
      <w:r w:rsidR="00103EC4" w:rsidRPr="000972D1">
        <w:rPr>
          <w:rFonts w:asciiTheme="majorBidi" w:eastAsia="Times New Roman" w:hAnsiTheme="majorBidi" w:cstheme="majorBidi"/>
          <w:bCs/>
          <w:sz w:val="24"/>
          <w:szCs w:val="24"/>
          <w:lang w:val="en"/>
        </w:rPr>
        <w:t>SOCPA</w:t>
      </w:r>
      <w:r w:rsidR="00103EC4" w:rsidRPr="000972D1">
        <w:rPr>
          <w:rFonts w:ascii="Helvetica" w:hAnsi="Helvetica" w:cs="Arial"/>
          <w:lang w:val="en"/>
        </w:rPr>
        <w:t xml:space="preserve"> </w:t>
      </w:r>
      <w:r w:rsidR="00103EC4" w:rsidRPr="000972D1">
        <w:rPr>
          <w:rFonts w:asciiTheme="majorBidi" w:eastAsia="Times New Roman" w:hAnsiTheme="majorBidi" w:cstheme="majorBidi"/>
          <w:bCs/>
          <w:sz w:val="24"/>
          <w:szCs w:val="24"/>
          <w:lang w:val="en"/>
        </w:rPr>
        <w:t>is a professional organisation established in 1991. It operates under the supervision of the Ministry of Commerce to promote the accounting and auditing profession.</w:t>
      </w:r>
      <w:r w:rsidR="00D22FC4" w:rsidRPr="000972D1">
        <w:rPr>
          <w:rFonts w:ascii="Times New Roman" w:eastAsia="Times New Roman" w:hAnsi="Times New Roman" w:cs="Times New Roman"/>
          <w:bCs/>
          <w:sz w:val="24"/>
          <w:szCs w:val="24"/>
        </w:rPr>
        <w:t xml:space="preserve"> In 2012</w:t>
      </w:r>
      <w:r w:rsidR="0097288C" w:rsidRPr="000972D1">
        <w:rPr>
          <w:rFonts w:ascii="Times New Roman" w:eastAsia="Times New Roman" w:hAnsi="Times New Roman" w:cs="Times New Roman"/>
          <w:bCs/>
          <w:sz w:val="24"/>
          <w:szCs w:val="24"/>
        </w:rPr>
        <w:t>,</w:t>
      </w:r>
      <w:r w:rsidR="00D22FC4" w:rsidRPr="000972D1">
        <w:rPr>
          <w:rFonts w:ascii="Times New Roman" w:eastAsia="Times New Roman" w:hAnsi="Times New Roman" w:cs="Times New Roman"/>
          <w:bCs/>
          <w:sz w:val="24"/>
          <w:szCs w:val="24"/>
        </w:rPr>
        <w:t xml:space="preserve"> SOCPA began its </w:t>
      </w:r>
      <w:r w:rsidR="00D22FC4" w:rsidRPr="000972D1">
        <w:rPr>
          <w:rFonts w:ascii="Times New Roman" w:eastAsia="Times New Roman" w:hAnsi="Times New Roman" w:cs="Times New Roman"/>
          <w:bCs/>
          <w:sz w:val="24"/>
          <w:szCs w:val="24"/>
          <w:lang w:val="en"/>
        </w:rPr>
        <w:t xml:space="preserve">project for transition to International Accounting </w:t>
      </w:r>
      <w:r w:rsidR="0049082F" w:rsidRPr="000972D1">
        <w:rPr>
          <w:rFonts w:ascii="Times New Roman" w:eastAsia="Times New Roman" w:hAnsi="Times New Roman" w:cs="Times New Roman"/>
          <w:bCs/>
          <w:sz w:val="24"/>
          <w:szCs w:val="24"/>
          <w:lang w:val="en"/>
        </w:rPr>
        <w:t xml:space="preserve">and </w:t>
      </w:r>
      <w:r w:rsidR="00D22FC4" w:rsidRPr="000972D1">
        <w:rPr>
          <w:rFonts w:ascii="Times New Roman" w:eastAsia="Times New Roman" w:hAnsi="Times New Roman" w:cs="Times New Roman"/>
          <w:bCs/>
          <w:sz w:val="24"/>
          <w:szCs w:val="24"/>
          <w:lang w:val="en"/>
        </w:rPr>
        <w:t>Auditing Standards</w:t>
      </w:r>
      <w:r w:rsidR="00D22FC4" w:rsidRPr="000972D1">
        <w:rPr>
          <w:rFonts w:ascii="Times New Roman" w:eastAsia="Times New Roman" w:hAnsi="Times New Roman" w:cs="Times New Roman"/>
          <w:bCs/>
          <w:sz w:val="24"/>
          <w:szCs w:val="24"/>
        </w:rPr>
        <w:t>, requiring listed firms other than banks and insurance companies to report using IFRSs with some modifications, which included: adding more disclosure requirements, removing optimal treatments and amending the requirements that contradicted Sharia or local laws. Meanwhile, the Saudi Arabia Monetary Authority (</w:t>
      </w:r>
      <w:r w:rsidR="009B5344" w:rsidRPr="000972D1">
        <w:rPr>
          <w:rFonts w:ascii="Times New Roman" w:eastAsia="Times New Roman" w:hAnsi="Times New Roman" w:cs="Times New Roman"/>
          <w:bCs/>
          <w:sz w:val="24"/>
          <w:szCs w:val="24"/>
        </w:rPr>
        <w:t>SAMA</w:t>
      </w:r>
      <w:r w:rsidR="00D22FC4" w:rsidRPr="000972D1">
        <w:rPr>
          <w:rFonts w:ascii="Times New Roman" w:eastAsia="Times New Roman" w:hAnsi="Times New Roman" w:cs="Times New Roman"/>
          <w:bCs/>
          <w:sz w:val="24"/>
          <w:szCs w:val="24"/>
        </w:rPr>
        <w:t xml:space="preserve">) required local banks and insurance companies to report using IFRS. </w:t>
      </w:r>
      <w:r w:rsidR="00103EC4" w:rsidRPr="000972D1">
        <w:rPr>
          <w:rFonts w:asciiTheme="majorBidi" w:eastAsia="Times New Roman" w:hAnsiTheme="majorBidi" w:cstheme="majorBidi"/>
          <w:bCs/>
          <w:sz w:val="24"/>
          <w:szCs w:val="24"/>
          <w:lang w:val="en"/>
        </w:rPr>
        <w:t xml:space="preserve">SOCPA </w:t>
      </w:r>
      <w:r w:rsidR="00241705" w:rsidRPr="000972D1">
        <w:rPr>
          <w:rFonts w:asciiTheme="majorBidi" w:eastAsia="Times New Roman" w:hAnsiTheme="majorBidi" w:cstheme="majorBidi"/>
          <w:bCs/>
          <w:sz w:val="24"/>
          <w:szCs w:val="24"/>
          <w:lang w:val="en"/>
        </w:rPr>
        <w:t xml:space="preserve">will </w:t>
      </w:r>
      <w:r w:rsidR="00103EC4" w:rsidRPr="000972D1">
        <w:rPr>
          <w:rFonts w:asciiTheme="majorBidi" w:eastAsia="Times New Roman" w:hAnsiTheme="majorBidi" w:cstheme="majorBidi"/>
          <w:bCs/>
          <w:sz w:val="24"/>
          <w:szCs w:val="24"/>
          <w:lang w:val="en"/>
        </w:rPr>
        <w:t xml:space="preserve">require the </w:t>
      </w:r>
      <w:r w:rsidR="00D22FC4" w:rsidRPr="000972D1">
        <w:rPr>
          <w:rFonts w:asciiTheme="majorBidi" w:eastAsia="Times New Roman" w:hAnsiTheme="majorBidi" w:cstheme="majorBidi"/>
          <w:bCs/>
          <w:sz w:val="24"/>
          <w:szCs w:val="24"/>
          <w:lang w:val="en"/>
        </w:rPr>
        <w:t>adoption</w:t>
      </w:r>
      <w:r w:rsidR="00103EC4" w:rsidRPr="000972D1">
        <w:rPr>
          <w:rFonts w:asciiTheme="majorBidi" w:eastAsia="Times New Roman" w:hAnsiTheme="majorBidi" w:cstheme="majorBidi"/>
          <w:bCs/>
          <w:sz w:val="24"/>
          <w:szCs w:val="24"/>
          <w:lang w:val="en"/>
        </w:rPr>
        <w:t xml:space="preserve"> of the IFRS Standards as issued by the IASB in addition to the requirements and disclosures added to some standards by SOCPA</w:t>
      </w:r>
      <w:r w:rsidR="00241705" w:rsidRPr="000972D1">
        <w:rPr>
          <w:rFonts w:asciiTheme="majorBidi" w:eastAsia="Times New Roman" w:hAnsiTheme="majorBidi" w:cstheme="majorBidi"/>
          <w:bCs/>
          <w:sz w:val="24"/>
          <w:szCs w:val="24"/>
          <w:lang w:val="en"/>
        </w:rPr>
        <w:t>,</w:t>
      </w:r>
      <w:r w:rsidR="00103EC4" w:rsidRPr="000972D1">
        <w:rPr>
          <w:rFonts w:asciiTheme="majorBidi" w:eastAsia="Times New Roman" w:hAnsiTheme="majorBidi" w:cstheme="majorBidi"/>
          <w:bCs/>
          <w:sz w:val="24"/>
          <w:szCs w:val="24"/>
          <w:lang w:val="en"/>
        </w:rPr>
        <w:t xml:space="preserve"> such as the subject of Zakat (religious tax)</w:t>
      </w:r>
      <w:r w:rsidR="00241705" w:rsidRPr="000972D1">
        <w:rPr>
          <w:rFonts w:asciiTheme="majorBidi" w:eastAsia="Times New Roman" w:hAnsiTheme="majorBidi" w:cstheme="majorBidi"/>
          <w:bCs/>
          <w:sz w:val="24"/>
          <w:szCs w:val="24"/>
          <w:lang w:val="en"/>
        </w:rPr>
        <w:t xml:space="preserve"> with </w:t>
      </w:r>
      <w:r w:rsidR="00E37A50">
        <w:rPr>
          <w:rFonts w:asciiTheme="majorBidi" w:eastAsia="Times New Roman" w:hAnsiTheme="majorBidi" w:cstheme="majorBidi"/>
          <w:bCs/>
          <w:sz w:val="24"/>
          <w:szCs w:val="24"/>
          <w:lang w:val="en"/>
        </w:rPr>
        <w:t xml:space="preserve">effect </w:t>
      </w:r>
      <w:r w:rsidR="00241705" w:rsidRPr="000972D1">
        <w:rPr>
          <w:rFonts w:asciiTheme="majorBidi" w:eastAsia="Times New Roman" w:hAnsiTheme="majorBidi" w:cstheme="majorBidi"/>
          <w:bCs/>
          <w:sz w:val="24"/>
          <w:szCs w:val="24"/>
          <w:lang w:val="en"/>
        </w:rPr>
        <w:t>from 2017 for all listed entities, and 2018 for all other publicly accountable entities</w:t>
      </w:r>
      <w:r w:rsidR="00103EC4" w:rsidRPr="000972D1">
        <w:rPr>
          <w:rFonts w:asciiTheme="majorBidi" w:eastAsia="Times New Roman" w:hAnsiTheme="majorBidi" w:cstheme="majorBidi"/>
          <w:bCs/>
          <w:sz w:val="24"/>
          <w:szCs w:val="24"/>
          <w:lang w:val="en"/>
        </w:rPr>
        <w:t>. </w:t>
      </w:r>
    </w:p>
    <w:p w14:paraId="2BC50080" w14:textId="5DCD5017" w:rsidR="005A6FD1" w:rsidRPr="000972D1" w:rsidRDefault="003A0DF0" w:rsidP="00103EC4">
      <w:pPr>
        <w:spacing w:after="0" w:line="360" w:lineRule="auto"/>
        <w:ind w:firstLine="720"/>
        <w:jc w:val="lowKashida"/>
        <w:rPr>
          <w:rFonts w:asciiTheme="majorBidi" w:eastAsia="Times New Roman" w:hAnsiTheme="majorBidi" w:cstheme="majorBidi"/>
          <w:bCs/>
          <w:sz w:val="24"/>
          <w:szCs w:val="24"/>
        </w:rPr>
      </w:pPr>
      <w:r w:rsidRPr="000972D1">
        <w:rPr>
          <w:rFonts w:asciiTheme="majorBidi" w:eastAsia="Times New Roman" w:hAnsiTheme="majorBidi" w:cstheme="majorBidi"/>
          <w:bCs/>
          <w:sz w:val="24"/>
          <w:szCs w:val="24"/>
        </w:rPr>
        <w:t xml:space="preserve">In </w:t>
      </w:r>
      <w:r w:rsidR="00241705" w:rsidRPr="000972D1">
        <w:rPr>
          <w:rFonts w:asciiTheme="majorBidi" w:eastAsia="Times New Roman" w:hAnsiTheme="majorBidi" w:cstheme="majorBidi"/>
          <w:bCs/>
          <w:sz w:val="24"/>
          <w:szCs w:val="24"/>
        </w:rPr>
        <w:t xml:space="preserve">the </w:t>
      </w:r>
      <w:r w:rsidR="001F01CF" w:rsidRPr="000972D1">
        <w:rPr>
          <w:rFonts w:asciiTheme="majorBidi" w:eastAsia="Times New Roman" w:hAnsiTheme="majorBidi" w:cstheme="majorBidi"/>
          <w:bCs/>
          <w:sz w:val="24"/>
          <w:szCs w:val="24"/>
        </w:rPr>
        <w:t>Sultanate of Oman</w:t>
      </w:r>
      <w:r w:rsidRPr="000972D1">
        <w:rPr>
          <w:rFonts w:asciiTheme="majorBidi" w:eastAsia="Times New Roman" w:hAnsiTheme="majorBidi" w:cstheme="majorBidi"/>
          <w:bCs/>
          <w:sz w:val="24"/>
          <w:szCs w:val="24"/>
        </w:rPr>
        <w:t xml:space="preserve">, </w:t>
      </w:r>
      <w:r w:rsidR="00241705" w:rsidRPr="000972D1">
        <w:rPr>
          <w:rFonts w:asciiTheme="majorBidi" w:eastAsia="Times New Roman" w:hAnsiTheme="majorBidi" w:cstheme="majorBidi"/>
          <w:bCs/>
          <w:sz w:val="24"/>
          <w:szCs w:val="24"/>
        </w:rPr>
        <w:t xml:space="preserve">the </w:t>
      </w:r>
      <w:r w:rsidRPr="000972D1">
        <w:rPr>
          <w:rFonts w:asciiTheme="majorBidi" w:eastAsia="Times New Roman" w:hAnsiTheme="majorBidi" w:cstheme="majorBidi"/>
          <w:bCs/>
          <w:sz w:val="24"/>
          <w:szCs w:val="24"/>
        </w:rPr>
        <w:t xml:space="preserve">Capital Market Authority </w:t>
      </w:r>
      <w:r w:rsidR="002A3A6C" w:rsidRPr="000972D1">
        <w:rPr>
          <w:rFonts w:asciiTheme="majorBidi" w:eastAsia="Times New Roman" w:hAnsiTheme="majorBidi" w:cstheme="majorBidi"/>
          <w:bCs/>
          <w:sz w:val="24"/>
          <w:szCs w:val="24"/>
        </w:rPr>
        <w:t xml:space="preserve">(CMA) </w:t>
      </w:r>
      <w:r w:rsidRPr="000972D1">
        <w:rPr>
          <w:rFonts w:asciiTheme="majorBidi" w:eastAsia="Times New Roman" w:hAnsiTheme="majorBidi" w:cstheme="majorBidi"/>
          <w:bCs/>
          <w:sz w:val="24"/>
          <w:szCs w:val="24"/>
        </w:rPr>
        <w:t>supervise</w:t>
      </w:r>
      <w:r w:rsidR="001F01CF" w:rsidRPr="000972D1">
        <w:rPr>
          <w:rFonts w:asciiTheme="majorBidi" w:eastAsia="Times New Roman" w:hAnsiTheme="majorBidi" w:cstheme="majorBidi"/>
          <w:bCs/>
          <w:sz w:val="24"/>
          <w:szCs w:val="24"/>
        </w:rPr>
        <w:t>s</w:t>
      </w:r>
      <w:r w:rsidRPr="000972D1">
        <w:rPr>
          <w:rFonts w:asciiTheme="majorBidi" w:eastAsia="Times New Roman" w:hAnsiTheme="majorBidi" w:cstheme="majorBidi"/>
          <w:bCs/>
          <w:sz w:val="24"/>
          <w:szCs w:val="24"/>
        </w:rPr>
        <w:t xml:space="preserve"> the capit</w:t>
      </w:r>
      <w:r w:rsidR="001F01CF" w:rsidRPr="000972D1">
        <w:rPr>
          <w:rFonts w:asciiTheme="majorBidi" w:eastAsia="Times New Roman" w:hAnsiTheme="majorBidi" w:cstheme="majorBidi"/>
          <w:bCs/>
          <w:sz w:val="24"/>
          <w:szCs w:val="24"/>
        </w:rPr>
        <w:t xml:space="preserve">al market and audit firms accredited to audit the financial statements of the companies regulated by </w:t>
      </w:r>
      <w:r w:rsidR="00E37A50">
        <w:rPr>
          <w:rFonts w:asciiTheme="majorBidi" w:eastAsia="Times New Roman" w:hAnsiTheme="majorBidi" w:cstheme="majorBidi"/>
          <w:bCs/>
          <w:sz w:val="24"/>
          <w:szCs w:val="24"/>
        </w:rPr>
        <w:t xml:space="preserve">the </w:t>
      </w:r>
      <w:r w:rsidR="001F01CF" w:rsidRPr="000972D1">
        <w:rPr>
          <w:rFonts w:asciiTheme="majorBidi" w:eastAsia="Times New Roman" w:hAnsiTheme="majorBidi" w:cstheme="majorBidi"/>
          <w:bCs/>
          <w:sz w:val="24"/>
          <w:szCs w:val="24"/>
        </w:rPr>
        <w:t xml:space="preserve">CMA among other roles. Article 282 of the Executive Regulation of the Capital Market Law issued in 1998 states that listed companies shall prepare financial statements in accordance with IFRS Standards. The </w:t>
      </w:r>
      <w:r w:rsidR="00241705" w:rsidRPr="000972D1">
        <w:rPr>
          <w:rFonts w:asciiTheme="majorBidi" w:eastAsia="Times New Roman" w:hAnsiTheme="majorBidi" w:cstheme="majorBidi"/>
          <w:bCs/>
          <w:sz w:val="24"/>
          <w:szCs w:val="24"/>
        </w:rPr>
        <w:t xml:space="preserve">2002 </w:t>
      </w:r>
      <w:r w:rsidR="001F01CF" w:rsidRPr="000972D1">
        <w:rPr>
          <w:rFonts w:asciiTheme="majorBidi" w:eastAsia="Times New Roman" w:hAnsiTheme="majorBidi" w:cstheme="majorBidi"/>
          <w:bCs/>
          <w:sz w:val="24"/>
          <w:szCs w:val="24"/>
        </w:rPr>
        <w:t xml:space="preserve">Omani </w:t>
      </w:r>
      <w:r w:rsidR="00B94810">
        <w:rPr>
          <w:rFonts w:asciiTheme="majorBidi" w:eastAsia="Times New Roman" w:hAnsiTheme="majorBidi" w:cstheme="majorBidi"/>
          <w:bCs/>
          <w:sz w:val="24"/>
          <w:szCs w:val="24"/>
        </w:rPr>
        <w:t>governance</w:t>
      </w:r>
      <w:r w:rsidR="00B94810" w:rsidRPr="000972D1">
        <w:rPr>
          <w:rFonts w:asciiTheme="majorBidi" w:eastAsia="Times New Roman" w:hAnsiTheme="majorBidi" w:cstheme="majorBidi"/>
          <w:bCs/>
          <w:sz w:val="24"/>
          <w:szCs w:val="24"/>
        </w:rPr>
        <w:t xml:space="preserve"> code </w:t>
      </w:r>
      <w:r w:rsidR="001F01CF" w:rsidRPr="000972D1">
        <w:rPr>
          <w:rFonts w:asciiTheme="majorBidi" w:eastAsia="Times New Roman" w:hAnsiTheme="majorBidi" w:cstheme="majorBidi"/>
          <w:bCs/>
          <w:sz w:val="24"/>
          <w:szCs w:val="24"/>
        </w:rPr>
        <w:t>also requires companies to prepare financial statements in accordance with IFRS.</w:t>
      </w:r>
      <w:r w:rsidR="00227F44" w:rsidRPr="000972D1">
        <w:rPr>
          <w:rFonts w:asciiTheme="majorBidi" w:eastAsia="Times New Roman" w:hAnsiTheme="majorBidi" w:cstheme="majorBidi"/>
          <w:bCs/>
          <w:sz w:val="24"/>
          <w:szCs w:val="24"/>
        </w:rPr>
        <w:t xml:space="preserve"> </w:t>
      </w:r>
      <w:r w:rsidR="00C20E8D" w:rsidRPr="000972D1">
        <w:rPr>
          <w:rFonts w:asciiTheme="majorBidi" w:eastAsia="Times New Roman" w:hAnsiTheme="majorBidi" w:cstheme="majorBidi"/>
          <w:bCs/>
          <w:sz w:val="24"/>
          <w:szCs w:val="24"/>
        </w:rPr>
        <w:t xml:space="preserve">The </w:t>
      </w:r>
      <w:r w:rsidR="00203D3A" w:rsidRPr="000972D1">
        <w:rPr>
          <w:rFonts w:asciiTheme="majorBidi" w:eastAsia="Times New Roman" w:hAnsiTheme="majorBidi" w:cstheme="majorBidi"/>
          <w:bCs/>
          <w:sz w:val="24"/>
          <w:szCs w:val="24"/>
        </w:rPr>
        <w:t>Egypt</w:t>
      </w:r>
      <w:r w:rsidR="00241705" w:rsidRPr="000972D1">
        <w:rPr>
          <w:rFonts w:asciiTheme="majorBidi" w:eastAsia="Times New Roman" w:hAnsiTheme="majorBidi" w:cstheme="majorBidi"/>
          <w:bCs/>
          <w:sz w:val="24"/>
          <w:szCs w:val="24"/>
        </w:rPr>
        <w:t>ian</w:t>
      </w:r>
      <w:r w:rsidR="00203D3A" w:rsidRPr="000972D1">
        <w:rPr>
          <w:rFonts w:asciiTheme="majorBidi" w:eastAsia="Times New Roman" w:hAnsiTheme="majorBidi" w:cstheme="majorBidi"/>
          <w:bCs/>
          <w:sz w:val="24"/>
          <w:szCs w:val="24"/>
        </w:rPr>
        <w:t xml:space="preserve"> </w:t>
      </w:r>
      <w:r w:rsidR="00C20E8D" w:rsidRPr="000972D1">
        <w:rPr>
          <w:rFonts w:asciiTheme="majorBidi" w:eastAsia="Times New Roman" w:hAnsiTheme="majorBidi" w:cstheme="majorBidi"/>
          <w:bCs/>
          <w:sz w:val="24"/>
          <w:szCs w:val="24"/>
        </w:rPr>
        <w:t>Minist</w:t>
      </w:r>
      <w:r w:rsidR="00241705" w:rsidRPr="000972D1">
        <w:rPr>
          <w:rFonts w:asciiTheme="majorBidi" w:eastAsia="Times New Roman" w:hAnsiTheme="majorBidi" w:cstheme="majorBidi"/>
          <w:bCs/>
          <w:sz w:val="24"/>
          <w:szCs w:val="24"/>
        </w:rPr>
        <w:t>ry</w:t>
      </w:r>
      <w:r w:rsidR="00C20E8D" w:rsidRPr="000972D1">
        <w:rPr>
          <w:rFonts w:asciiTheme="majorBidi" w:eastAsia="Times New Roman" w:hAnsiTheme="majorBidi" w:cstheme="majorBidi"/>
          <w:bCs/>
          <w:sz w:val="24"/>
          <w:szCs w:val="24"/>
        </w:rPr>
        <w:t xml:space="preserve"> of Investment</w:t>
      </w:r>
      <w:r w:rsidR="00203D3A" w:rsidRPr="000972D1">
        <w:rPr>
          <w:rFonts w:asciiTheme="majorBidi" w:eastAsia="Times New Roman" w:hAnsiTheme="majorBidi" w:cstheme="majorBidi"/>
          <w:bCs/>
          <w:sz w:val="24"/>
          <w:szCs w:val="24"/>
        </w:rPr>
        <w:t xml:space="preserve"> </w:t>
      </w:r>
      <w:r w:rsidR="00C20E8D" w:rsidRPr="000972D1">
        <w:rPr>
          <w:rFonts w:asciiTheme="majorBidi" w:eastAsia="Times New Roman" w:hAnsiTheme="majorBidi" w:cstheme="majorBidi"/>
          <w:bCs/>
          <w:sz w:val="24"/>
          <w:szCs w:val="24"/>
        </w:rPr>
        <w:t xml:space="preserve">issued Decree No. 110/2015. </w:t>
      </w:r>
      <w:r w:rsidR="00203D3A" w:rsidRPr="000972D1">
        <w:rPr>
          <w:rFonts w:asciiTheme="majorBidi" w:eastAsia="Times New Roman" w:hAnsiTheme="majorBidi" w:cstheme="majorBidi"/>
          <w:bCs/>
          <w:sz w:val="24"/>
          <w:szCs w:val="24"/>
        </w:rPr>
        <w:t xml:space="preserve"> </w:t>
      </w:r>
      <w:r w:rsidR="00C20E8D" w:rsidRPr="000972D1">
        <w:rPr>
          <w:rFonts w:asciiTheme="majorBidi" w:eastAsia="Times New Roman" w:hAnsiTheme="majorBidi" w:cstheme="majorBidi"/>
          <w:bCs/>
          <w:sz w:val="24"/>
          <w:szCs w:val="24"/>
        </w:rPr>
        <w:t xml:space="preserve">This decree required listed firms to follow </w:t>
      </w:r>
      <w:r w:rsidR="004525D6">
        <w:rPr>
          <w:rFonts w:asciiTheme="majorBidi" w:eastAsia="Times New Roman" w:hAnsiTheme="majorBidi" w:cstheme="majorBidi"/>
          <w:bCs/>
          <w:sz w:val="24"/>
          <w:szCs w:val="24"/>
        </w:rPr>
        <w:t xml:space="preserve">the </w:t>
      </w:r>
      <w:r w:rsidR="00203D3A" w:rsidRPr="000972D1">
        <w:rPr>
          <w:rFonts w:asciiTheme="majorBidi" w:eastAsia="Times New Roman" w:hAnsiTheme="majorBidi" w:cstheme="majorBidi"/>
          <w:bCs/>
          <w:sz w:val="24"/>
          <w:szCs w:val="24"/>
        </w:rPr>
        <w:t>39 Egyptian Accounting Standards (EAS) to replace the 35 former EAS that had been adopted in 2006 by Decree No. 243/2006. The 39 new EAS include many, but not all, of the principles in the</w:t>
      </w:r>
      <w:r w:rsidR="00C20E8D" w:rsidRPr="000972D1">
        <w:rPr>
          <w:rFonts w:asciiTheme="majorBidi" w:eastAsia="Times New Roman" w:hAnsiTheme="majorBidi" w:cstheme="majorBidi"/>
          <w:bCs/>
          <w:sz w:val="24"/>
          <w:szCs w:val="24"/>
        </w:rPr>
        <w:t xml:space="preserve"> IFRS Standards</w:t>
      </w:r>
      <w:r w:rsidR="00203D3A" w:rsidRPr="000972D1">
        <w:rPr>
          <w:rFonts w:asciiTheme="majorBidi" w:eastAsia="Times New Roman" w:hAnsiTheme="majorBidi" w:cstheme="majorBidi"/>
          <w:bCs/>
          <w:sz w:val="24"/>
          <w:szCs w:val="24"/>
        </w:rPr>
        <w:t>.</w:t>
      </w:r>
      <w:r w:rsidR="005A6FD1" w:rsidRPr="000972D1">
        <w:rPr>
          <w:rFonts w:asciiTheme="majorBidi" w:eastAsia="Times New Roman" w:hAnsiTheme="majorBidi" w:cstheme="majorBidi"/>
          <w:bCs/>
          <w:sz w:val="24"/>
          <w:szCs w:val="24"/>
        </w:rPr>
        <w:t xml:space="preserve"> In Jordan, Companies Law No. 22 issued in 1997</w:t>
      </w:r>
      <w:r w:rsidR="001B0B67" w:rsidRPr="000972D1">
        <w:rPr>
          <w:rFonts w:ascii="Times New Roman" w:eastAsia="Times New Roman" w:hAnsi="Times New Roman" w:cs="Times New Roman"/>
          <w:bCs/>
          <w:sz w:val="24"/>
          <w:szCs w:val="24"/>
        </w:rPr>
        <w:t xml:space="preserve"> </w:t>
      </w:r>
      <w:r w:rsidR="001B0B67" w:rsidRPr="000972D1">
        <w:rPr>
          <w:rFonts w:asciiTheme="majorBidi" w:eastAsia="Times New Roman" w:hAnsiTheme="majorBidi" w:cstheme="majorBidi"/>
          <w:bCs/>
          <w:sz w:val="24"/>
          <w:szCs w:val="24"/>
        </w:rPr>
        <w:t>by the National Assembly</w:t>
      </w:r>
      <w:r w:rsidR="00E31139" w:rsidRPr="000972D1">
        <w:rPr>
          <w:rFonts w:asciiTheme="majorBidi" w:eastAsia="Times New Roman" w:hAnsiTheme="majorBidi" w:cstheme="majorBidi"/>
          <w:bCs/>
          <w:sz w:val="24"/>
          <w:szCs w:val="24"/>
        </w:rPr>
        <w:t xml:space="preserve"> (the legislative body)</w:t>
      </w:r>
      <w:r w:rsidR="005A6FD1" w:rsidRPr="000972D1">
        <w:rPr>
          <w:rFonts w:asciiTheme="majorBidi" w:eastAsia="Times New Roman" w:hAnsiTheme="majorBidi" w:cstheme="majorBidi"/>
          <w:bCs/>
          <w:sz w:val="24"/>
          <w:szCs w:val="24"/>
        </w:rPr>
        <w:t xml:space="preserve"> required </w:t>
      </w:r>
      <w:r w:rsidR="00613246" w:rsidRPr="000972D1">
        <w:rPr>
          <w:rFonts w:asciiTheme="majorBidi" w:eastAsia="Times New Roman" w:hAnsiTheme="majorBidi" w:cstheme="majorBidi"/>
          <w:bCs/>
          <w:sz w:val="24"/>
          <w:szCs w:val="24"/>
        </w:rPr>
        <w:t>public and private shareholding companies, general partnerships, limited partnerships, limited liability companies, private shareholding companies and foreign companies operating in Jordan to organise their accounts and keep registers and books in accordance with recognised International Accounting and Auditing Standards.</w:t>
      </w:r>
      <w:r w:rsidR="00F27904" w:rsidRPr="000972D1">
        <w:rPr>
          <w:rFonts w:asciiTheme="majorBidi" w:eastAsia="Times New Roman" w:hAnsiTheme="majorBidi" w:cstheme="majorBidi"/>
          <w:bCs/>
          <w:sz w:val="24"/>
          <w:szCs w:val="24"/>
        </w:rPr>
        <w:t xml:space="preserve"> </w:t>
      </w:r>
    </w:p>
    <w:p w14:paraId="17345F7B" w14:textId="4896B8CA" w:rsidR="00C04151" w:rsidRPr="000972D1" w:rsidRDefault="006C52E2" w:rsidP="00241705">
      <w:pPr>
        <w:spacing w:after="0" w:line="360" w:lineRule="auto"/>
        <w:ind w:firstLine="720"/>
        <w:jc w:val="lowKashida"/>
        <w:rPr>
          <w:rFonts w:asciiTheme="majorBidi" w:eastAsia="Times New Roman" w:hAnsiTheme="majorBidi" w:cstheme="majorBidi"/>
          <w:bCs/>
          <w:sz w:val="24"/>
          <w:szCs w:val="24"/>
        </w:rPr>
      </w:pPr>
      <w:r w:rsidRPr="000972D1">
        <w:rPr>
          <w:rFonts w:asciiTheme="majorBidi" w:eastAsia="Times New Roman" w:hAnsiTheme="majorBidi" w:cstheme="majorBidi"/>
          <w:bCs/>
          <w:sz w:val="24"/>
          <w:szCs w:val="24"/>
        </w:rPr>
        <w:t xml:space="preserve">The UAE’s Federal Commercial Companies Law </w:t>
      </w:r>
      <w:r w:rsidR="00CE7CA2">
        <w:rPr>
          <w:rFonts w:asciiTheme="majorBidi" w:eastAsia="Times New Roman" w:hAnsiTheme="majorBidi" w:cstheme="majorBidi"/>
          <w:bCs/>
          <w:sz w:val="24"/>
          <w:szCs w:val="24"/>
        </w:rPr>
        <w:t>No.</w:t>
      </w:r>
      <w:r w:rsidR="00CE7CA2" w:rsidRPr="000972D1">
        <w:rPr>
          <w:rFonts w:asciiTheme="majorBidi" w:eastAsia="Times New Roman" w:hAnsiTheme="majorBidi" w:cstheme="majorBidi"/>
          <w:bCs/>
          <w:sz w:val="24"/>
          <w:szCs w:val="24"/>
        </w:rPr>
        <w:t xml:space="preserve"> </w:t>
      </w:r>
      <w:r w:rsidRPr="000972D1">
        <w:rPr>
          <w:rFonts w:asciiTheme="majorBidi" w:eastAsia="Times New Roman" w:hAnsiTheme="majorBidi" w:cstheme="majorBidi"/>
          <w:bCs/>
          <w:sz w:val="24"/>
          <w:szCs w:val="24"/>
        </w:rPr>
        <w:t xml:space="preserve">8 issued in 1984 and its amendment, law </w:t>
      </w:r>
      <w:r w:rsidR="00CE7CA2">
        <w:rPr>
          <w:rFonts w:asciiTheme="majorBidi" w:eastAsia="Times New Roman" w:hAnsiTheme="majorBidi" w:cstheme="majorBidi"/>
          <w:bCs/>
          <w:sz w:val="24"/>
          <w:szCs w:val="24"/>
        </w:rPr>
        <w:t>No.</w:t>
      </w:r>
      <w:r w:rsidR="00CE7CA2" w:rsidRPr="000972D1">
        <w:rPr>
          <w:rFonts w:asciiTheme="majorBidi" w:eastAsia="Times New Roman" w:hAnsiTheme="majorBidi" w:cstheme="majorBidi"/>
          <w:bCs/>
          <w:sz w:val="24"/>
          <w:szCs w:val="24"/>
        </w:rPr>
        <w:t xml:space="preserve"> </w:t>
      </w:r>
      <w:r w:rsidRPr="000972D1">
        <w:rPr>
          <w:rFonts w:asciiTheme="majorBidi" w:eastAsia="Times New Roman" w:hAnsiTheme="majorBidi" w:cstheme="majorBidi"/>
          <w:bCs/>
          <w:sz w:val="24"/>
          <w:szCs w:val="24"/>
        </w:rPr>
        <w:t xml:space="preserve">13 issued in 1988, were released by the Ministry of Economy. These two laws require firms to keep detailed records and to provide audited financial statements to the ministry and other authorities concerned, without </w:t>
      </w:r>
      <w:r w:rsidR="00241705" w:rsidRPr="000972D1">
        <w:rPr>
          <w:rFonts w:asciiTheme="majorBidi" w:eastAsia="Times New Roman" w:hAnsiTheme="majorBidi" w:cstheme="majorBidi"/>
          <w:bCs/>
          <w:sz w:val="24"/>
          <w:szCs w:val="24"/>
        </w:rPr>
        <w:t>explicit specification of the</w:t>
      </w:r>
      <w:r w:rsidRPr="000972D1">
        <w:rPr>
          <w:rFonts w:asciiTheme="majorBidi" w:eastAsia="Times New Roman" w:hAnsiTheme="majorBidi" w:cstheme="majorBidi"/>
          <w:bCs/>
          <w:sz w:val="24"/>
          <w:szCs w:val="24"/>
        </w:rPr>
        <w:t xml:space="preserve"> particular standards</w:t>
      </w:r>
      <w:r w:rsidR="00241705" w:rsidRPr="000972D1">
        <w:rPr>
          <w:rFonts w:asciiTheme="majorBidi" w:eastAsia="Times New Roman" w:hAnsiTheme="majorBidi" w:cstheme="majorBidi"/>
          <w:bCs/>
          <w:sz w:val="24"/>
          <w:szCs w:val="24"/>
        </w:rPr>
        <w:t xml:space="preserve"> to be followed</w:t>
      </w:r>
      <w:r w:rsidRPr="000972D1">
        <w:rPr>
          <w:rFonts w:asciiTheme="majorBidi" w:eastAsia="Times New Roman" w:hAnsiTheme="majorBidi" w:cstheme="majorBidi"/>
          <w:bCs/>
          <w:sz w:val="24"/>
          <w:szCs w:val="24"/>
        </w:rPr>
        <w:t xml:space="preserve">. </w:t>
      </w:r>
      <w:r w:rsidRPr="000972D1">
        <w:rPr>
          <w:rFonts w:asciiTheme="majorBidi" w:eastAsia="Times New Roman" w:hAnsiTheme="majorBidi" w:cstheme="majorBidi"/>
          <w:bCs/>
          <w:sz w:val="24"/>
          <w:szCs w:val="24"/>
        </w:rPr>
        <w:lastRenderedPageBreak/>
        <w:t>However, they can only recommend companies to follow international</w:t>
      </w:r>
      <w:r w:rsidR="00241705" w:rsidRPr="000972D1">
        <w:rPr>
          <w:rFonts w:asciiTheme="majorBidi" w:eastAsia="Times New Roman" w:hAnsiTheme="majorBidi" w:cstheme="majorBidi"/>
          <w:bCs/>
          <w:sz w:val="24"/>
          <w:szCs w:val="24"/>
        </w:rPr>
        <w:t>ly</w:t>
      </w:r>
      <w:r w:rsidRPr="000972D1">
        <w:rPr>
          <w:rFonts w:asciiTheme="majorBidi" w:eastAsia="Times New Roman" w:hAnsiTheme="majorBidi" w:cstheme="majorBidi"/>
          <w:bCs/>
          <w:sz w:val="24"/>
          <w:szCs w:val="24"/>
        </w:rPr>
        <w:t xml:space="preserve"> accepted accounting practices. </w:t>
      </w:r>
      <w:r w:rsidR="004F6FDD" w:rsidRPr="000972D1">
        <w:rPr>
          <w:rFonts w:asciiTheme="majorBidi" w:eastAsia="Times New Roman" w:hAnsiTheme="majorBidi" w:cstheme="majorBidi"/>
          <w:bCs/>
          <w:sz w:val="24"/>
          <w:szCs w:val="24"/>
        </w:rPr>
        <w:t>Additionally, t</w:t>
      </w:r>
      <w:r w:rsidRPr="000972D1">
        <w:rPr>
          <w:rFonts w:asciiTheme="majorBidi" w:eastAsia="Times New Roman" w:hAnsiTheme="majorBidi" w:cstheme="majorBidi"/>
          <w:bCs/>
          <w:sz w:val="24"/>
          <w:szCs w:val="24"/>
        </w:rPr>
        <w:t>he UAE issued Commercial Companies Law No</w:t>
      </w:r>
      <w:r w:rsidR="004F6FDD" w:rsidRPr="000972D1">
        <w:rPr>
          <w:rFonts w:asciiTheme="majorBidi" w:eastAsia="Times New Roman" w:hAnsiTheme="majorBidi" w:cstheme="majorBidi"/>
          <w:bCs/>
          <w:sz w:val="24"/>
          <w:szCs w:val="24"/>
        </w:rPr>
        <w:t>.</w:t>
      </w:r>
      <w:r w:rsidRPr="000972D1">
        <w:rPr>
          <w:rFonts w:asciiTheme="majorBidi" w:eastAsia="Times New Roman" w:hAnsiTheme="majorBidi" w:cstheme="majorBidi"/>
          <w:bCs/>
          <w:sz w:val="24"/>
          <w:szCs w:val="24"/>
        </w:rPr>
        <w:t xml:space="preserve"> 2 of 2015. This law requires all companies to apply </w:t>
      </w:r>
      <w:r w:rsidR="00D95C4F" w:rsidRPr="000972D1">
        <w:rPr>
          <w:rFonts w:asciiTheme="majorBidi" w:eastAsia="Times New Roman" w:hAnsiTheme="majorBidi" w:cstheme="majorBidi"/>
          <w:bCs/>
          <w:sz w:val="24"/>
          <w:szCs w:val="24"/>
        </w:rPr>
        <w:t xml:space="preserve">International Accounting Standards </w:t>
      </w:r>
      <w:r w:rsidRPr="000972D1">
        <w:rPr>
          <w:rFonts w:asciiTheme="majorBidi" w:eastAsia="Times New Roman" w:hAnsiTheme="majorBidi" w:cstheme="majorBidi"/>
          <w:bCs/>
          <w:sz w:val="24"/>
          <w:szCs w:val="24"/>
        </w:rPr>
        <w:t>and practices when preparing their accounts.</w:t>
      </w:r>
    </w:p>
    <w:p w14:paraId="7D4EBD27" w14:textId="54D1D2BA" w:rsidR="002E0912" w:rsidRPr="000972D1" w:rsidRDefault="005C32D6" w:rsidP="00D1747E">
      <w:pPr>
        <w:spacing w:after="0" w:line="360" w:lineRule="auto"/>
        <w:ind w:firstLine="720"/>
        <w:jc w:val="lowKashida"/>
        <w:rPr>
          <w:rFonts w:asciiTheme="majorBidi" w:eastAsia="Times New Roman" w:hAnsiTheme="majorBidi" w:cstheme="majorBidi"/>
          <w:bCs/>
          <w:iCs/>
          <w:color w:val="FF0000"/>
          <w:sz w:val="24"/>
          <w:szCs w:val="24"/>
        </w:rPr>
      </w:pPr>
      <w:r w:rsidRPr="000972D1">
        <w:rPr>
          <w:rFonts w:asciiTheme="majorBidi" w:eastAsia="Times New Roman" w:hAnsiTheme="majorBidi" w:cstheme="majorBidi"/>
          <w:bCs/>
          <w:sz w:val="24"/>
          <w:szCs w:val="24"/>
        </w:rPr>
        <w:t>Most</w:t>
      </w:r>
      <w:r w:rsidRPr="000972D1">
        <w:rPr>
          <w:rFonts w:asciiTheme="majorBidi" w:eastAsia="Times New Roman" w:hAnsiTheme="majorBidi" w:cstheme="majorBidi"/>
          <w:bCs/>
          <w:iCs/>
          <w:sz w:val="24"/>
          <w:szCs w:val="24"/>
        </w:rPr>
        <w:t xml:space="preserve"> </w:t>
      </w:r>
      <w:r w:rsidR="00106A7E" w:rsidRPr="000972D1">
        <w:rPr>
          <w:rFonts w:asciiTheme="majorBidi" w:eastAsia="Times New Roman" w:hAnsiTheme="majorBidi" w:cstheme="majorBidi"/>
          <w:bCs/>
          <w:iCs/>
          <w:sz w:val="24"/>
          <w:szCs w:val="24"/>
        </w:rPr>
        <w:t xml:space="preserve">governance codes issued in MENA countries </w:t>
      </w:r>
      <w:r w:rsidRPr="000972D1">
        <w:rPr>
          <w:rFonts w:asciiTheme="majorBidi" w:eastAsia="Times New Roman" w:hAnsiTheme="majorBidi" w:cstheme="majorBidi"/>
          <w:bCs/>
          <w:iCs/>
          <w:sz w:val="24"/>
          <w:szCs w:val="24"/>
        </w:rPr>
        <w:t xml:space="preserve">also </w:t>
      </w:r>
      <w:r w:rsidR="00106A7E" w:rsidRPr="000972D1">
        <w:rPr>
          <w:rFonts w:asciiTheme="majorBidi" w:eastAsia="Times New Roman" w:hAnsiTheme="majorBidi" w:cstheme="majorBidi"/>
          <w:bCs/>
          <w:iCs/>
          <w:sz w:val="24"/>
          <w:szCs w:val="24"/>
        </w:rPr>
        <w:t xml:space="preserve">stress the importance of the services provided by the external auditor in enhancing the quality and credibility of corporate financial statements (Samaha &amp; Hegazy, 2010; Habbash &amp; Alghamdi, 2017). In addition, these codes recommend measures </w:t>
      </w:r>
      <w:r w:rsidR="00E37A50">
        <w:rPr>
          <w:rFonts w:asciiTheme="majorBidi" w:eastAsia="Times New Roman" w:hAnsiTheme="majorBidi" w:cstheme="majorBidi"/>
          <w:bCs/>
          <w:iCs/>
          <w:sz w:val="24"/>
          <w:szCs w:val="24"/>
        </w:rPr>
        <w:t xml:space="preserve">that seek </w:t>
      </w:r>
      <w:r w:rsidR="00106A7E" w:rsidRPr="000972D1">
        <w:rPr>
          <w:rFonts w:asciiTheme="majorBidi" w:eastAsia="Times New Roman" w:hAnsiTheme="majorBidi" w:cstheme="majorBidi"/>
          <w:bCs/>
          <w:iCs/>
          <w:sz w:val="24"/>
          <w:szCs w:val="24"/>
        </w:rPr>
        <w:t xml:space="preserve">to ensure </w:t>
      </w:r>
      <w:r w:rsidR="00E37A50">
        <w:rPr>
          <w:rFonts w:asciiTheme="majorBidi" w:eastAsia="Times New Roman" w:hAnsiTheme="majorBidi" w:cstheme="majorBidi"/>
          <w:bCs/>
          <w:iCs/>
          <w:sz w:val="24"/>
          <w:szCs w:val="24"/>
        </w:rPr>
        <w:t xml:space="preserve">that </w:t>
      </w:r>
      <w:r w:rsidR="00106A7E" w:rsidRPr="000972D1">
        <w:rPr>
          <w:rFonts w:asciiTheme="majorBidi" w:eastAsia="Times New Roman" w:hAnsiTheme="majorBidi" w:cstheme="majorBidi"/>
          <w:bCs/>
          <w:iCs/>
          <w:sz w:val="24"/>
          <w:szCs w:val="24"/>
        </w:rPr>
        <w:t>external auditors</w:t>
      </w:r>
      <w:r w:rsidR="00E37A50">
        <w:rPr>
          <w:rFonts w:asciiTheme="majorBidi" w:eastAsia="Times New Roman" w:hAnsiTheme="majorBidi" w:cstheme="majorBidi"/>
          <w:bCs/>
          <w:iCs/>
          <w:sz w:val="24"/>
          <w:szCs w:val="24"/>
        </w:rPr>
        <w:t xml:space="preserve"> are</w:t>
      </w:r>
      <w:r w:rsidR="00106A7E" w:rsidRPr="000972D1">
        <w:rPr>
          <w:rFonts w:asciiTheme="majorBidi" w:eastAsia="Times New Roman" w:hAnsiTheme="majorBidi" w:cstheme="majorBidi"/>
          <w:bCs/>
          <w:iCs/>
          <w:sz w:val="24"/>
          <w:szCs w:val="24"/>
        </w:rPr>
        <w:t xml:space="preserve"> independen</w:t>
      </w:r>
      <w:r w:rsidR="00E37A50">
        <w:rPr>
          <w:rFonts w:asciiTheme="majorBidi" w:eastAsia="Times New Roman" w:hAnsiTheme="majorBidi" w:cstheme="majorBidi"/>
          <w:bCs/>
          <w:iCs/>
          <w:sz w:val="24"/>
          <w:szCs w:val="24"/>
        </w:rPr>
        <w:t>t</w:t>
      </w:r>
      <w:r w:rsidR="00106A7E" w:rsidRPr="000972D1">
        <w:rPr>
          <w:rFonts w:asciiTheme="majorBidi" w:eastAsia="Times New Roman" w:hAnsiTheme="majorBidi" w:cstheme="majorBidi"/>
          <w:bCs/>
          <w:iCs/>
          <w:sz w:val="24"/>
          <w:szCs w:val="24"/>
        </w:rPr>
        <w:t xml:space="preserve"> from management. For example, Jordanian and Omani governance codes suggest that during their annual general meeting, shareholders shall appoint the external auditor for one year, to be renewable as appropriate. The board of directors, after consulting the audit committee, can also make recommendations for the selection, appointment, re</w:t>
      </w:r>
      <w:r w:rsidR="00B878F5" w:rsidRPr="000972D1">
        <w:rPr>
          <w:rFonts w:asciiTheme="majorBidi" w:eastAsia="Times New Roman" w:hAnsiTheme="majorBidi" w:cstheme="majorBidi"/>
          <w:bCs/>
          <w:iCs/>
          <w:sz w:val="24"/>
          <w:szCs w:val="24"/>
        </w:rPr>
        <w:t>-</w:t>
      </w:r>
      <w:r w:rsidR="00106A7E" w:rsidRPr="000972D1">
        <w:rPr>
          <w:rFonts w:asciiTheme="majorBidi" w:eastAsia="Times New Roman" w:hAnsiTheme="majorBidi" w:cstheme="majorBidi"/>
          <w:bCs/>
          <w:iCs/>
          <w:sz w:val="24"/>
          <w:szCs w:val="24"/>
        </w:rPr>
        <w:t>appointment and terms of the auditor’s engagement. In order to ensure the independence of the external auditor, these codes recommend further that the audit engagement should not be renewed after four consecutive years. Similarly, the re-election of auditors may not take place before a minimum of two years. Further, the external auditor should not provide non-audit services that might impair their independence.</w:t>
      </w:r>
      <w:r w:rsidR="0003640A" w:rsidRPr="000972D1">
        <w:rPr>
          <w:rFonts w:asciiTheme="majorBidi" w:eastAsia="Times New Roman" w:hAnsiTheme="majorBidi" w:cstheme="majorBidi"/>
          <w:bCs/>
          <w:iCs/>
          <w:sz w:val="24"/>
          <w:szCs w:val="24"/>
        </w:rPr>
        <w:t xml:space="preserve"> </w:t>
      </w:r>
      <w:r w:rsidR="00D1747E" w:rsidRPr="000972D1">
        <w:rPr>
          <w:rFonts w:asciiTheme="majorBidi" w:eastAsia="Times New Roman" w:hAnsiTheme="majorBidi" w:cstheme="majorBidi"/>
          <w:bCs/>
          <w:iCs/>
          <w:sz w:val="24"/>
          <w:szCs w:val="24"/>
        </w:rPr>
        <w:t>Indeed, developing accounting and auditing profession helps the current fragmented regulatory context of the MENA countries</w:t>
      </w:r>
      <w:r w:rsidR="0069671A" w:rsidRPr="000972D1">
        <w:rPr>
          <w:rFonts w:asciiTheme="majorBidi" w:eastAsia="Times New Roman" w:hAnsiTheme="majorBidi" w:cstheme="majorBidi"/>
          <w:bCs/>
          <w:iCs/>
          <w:sz w:val="24"/>
          <w:szCs w:val="24"/>
        </w:rPr>
        <w:t xml:space="preserve"> (Khalifa, 2012)</w:t>
      </w:r>
      <w:r w:rsidR="005351C6" w:rsidRPr="000972D1">
        <w:rPr>
          <w:rFonts w:asciiTheme="majorBidi" w:eastAsia="Times New Roman" w:hAnsiTheme="majorBidi" w:cstheme="majorBidi"/>
          <w:bCs/>
          <w:iCs/>
          <w:sz w:val="24"/>
          <w:szCs w:val="24"/>
        </w:rPr>
        <w:t>.</w:t>
      </w:r>
      <w:r w:rsidR="002751E4">
        <w:rPr>
          <w:rFonts w:asciiTheme="majorBidi" w:eastAsia="Times New Roman" w:hAnsiTheme="majorBidi" w:cstheme="majorBidi"/>
          <w:bCs/>
          <w:iCs/>
          <w:sz w:val="24"/>
          <w:szCs w:val="24"/>
          <w:vertAlign w:val="superscript"/>
        </w:rPr>
        <w:t>2</w:t>
      </w:r>
      <w:r w:rsidR="002751E4" w:rsidRPr="000972D1">
        <w:rPr>
          <w:rFonts w:asciiTheme="majorBidi" w:eastAsia="Times New Roman" w:hAnsiTheme="majorBidi" w:cstheme="majorBidi"/>
          <w:bCs/>
          <w:iCs/>
          <w:sz w:val="24"/>
          <w:szCs w:val="24"/>
        </w:rPr>
        <w:t xml:space="preserve"> </w:t>
      </w:r>
      <w:r w:rsidR="00527A02" w:rsidRPr="000972D1">
        <w:rPr>
          <w:rFonts w:asciiTheme="majorBidi" w:eastAsia="Times New Roman" w:hAnsiTheme="majorBidi" w:cstheme="majorBidi"/>
          <w:bCs/>
          <w:iCs/>
          <w:sz w:val="24"/>
          <w:szCs w:val="24"/>
        </w:rPr>
        <w:t>This is b</w:t>
      </w:r>
      <w:r w:rsidR="005351C6" w:rsidRPr="000972D1">
        <w:rPr>
          <w:rFonts w:asciiTheme="majorBidi" w:eastAsia="Times New Roman" w:hAnsiTheme="majorBidi" w:cstheme="majorBidi"/>
          <w:bCs/>
          <w:iCs/>
          <w:sz w:val="24"/>
          <w:szCs w:val="24"/>
        </w:rPr>
        <w:t>ecause a</w:t>
      </w:r>
      <w:r w:rsidR="00D1747E" w:rsidRPr="000972D1">
        <w:rPr>
          <w:rFonts w:asciiTheme="majorBidi" w:eastAsia="Times New Roman" w:hAnsiTheme="majorBidi" w:cstheme="majorBidi"/>
          <w:bCs/>
          <w:iCs/>
          <w:sz w:val="24"/>
          <w:szCs w:val="24"/>
        </w:rPr>
        <w:t xml:space="preserve">ccountancy </w:t>
      </w:r>
      <w:r w:rsidR="005351C6" w:rsidRPr="000972D1">
        <w:rPr>
          <w:rFonts w:asciiTheme="majorBidi" w:eastAsia="Times New Roman" w:hAnsiTheme="majorBidi" w:cstheme="majorBidi"/>
          <w:bCs/>
          <w:iCs/>
          <w:sz w:val="24"/>
          <w:szCs w:val="24"/>
        </w:rPr>
        <w:t xml:space="preserve">could </w:t>
      </w:r>
      <w:r w:rsidR="00D1747E" w:rsidRPr="000972D1">
        <w:rPr>
          <w:rFonts w:asciiTheme="majorBidi" w:eastAsia="Times New Roman" w:hAnsiTheme="majorBidi" w:cstheme="majorBidi"/>
          <w:bCs/>
          <w:iCs/>
          <w:sz w:val="24"/>
          <w:szCs w:val="24"/>
        </w:rPr>
        <w:t>become a cornerstone of an improved corporate governance</w:t>
      </w:r>
      <w:r w:rsidR="005351C6" w:rsidRPr="000972D1">
        <w:rPr>
          <w:rFonts w:asciiTheme="majorBidi" w:eastAsia="Times New Roman" w:hAnsiTheme="majorBidi" w:cstheme="majorBidi"/>
          <w:bCs/>
          <w:iCs/>
          <w:sz w:val="24"/>
          <w:szCs w:val="24"/>
        </w:rPr>
        <w:t xml:space="preserve"> </w:t>
      </w:r>
      <w:r w:rsidR="00D1747E" w:rsidRPr="000972D1">
        <w:rPr>
          <w:rFonts w:asciiTheme="majorBidi" w:eastAsia="Times New Roman" w:hAnsiTheme="majorBidi" w:cstheme="majorBidi"/>
          <w:bCs/>
          <w:iCs/>
          <w:sz w:val="24"/>
          <w:szCs w:val="24"/>
        </w:rPr>
        <w:t>regime</w:t>
      </w:r>
      <w:r w:rsidR="005351C6" w:rsidRPr="000972D1">
        <w:rPr>
          <w:rFonts w:asciiTheme="majorBidi" w:eastAsia="Times New Roman" w:hAnsiTheme="majorBidi" w:cstheme="majorBidi"/>
          <w:bCs/>
          <w:iCs/>
          <w:sz w:val="24"/>
          <w:szCs w:val="24"/>
        </w:rPr>
        <w:t xml:space="preserve"> in these countries </w:t>
      </w:r>
      <w:r w:rsidR="00D1747E" w:rsidRPr="000972D1">
        <w:rPr>
          <w:rFonts w:asciiTheme="majorBidi" w:eastAsia="Times New Roman" w:hAnsiTheme="majorBidi" w:cstheme="majorBidi"/>
          <w:bCs/>
          <w:iCs/>
          <w:sz w:val="24"/>
          <w:szCs w:val="24"/>
        </w:rPr>
        <w:t>(Khalifa, 2012)</w:t>
      </w:r>
      <w:r w:rsidR="005351C6" w:rsidRPr="000972D1">
        <w:rPr>
          <w:rFonts w:asciiTheme="majorBidi" w:eastAsia="Times New Roman" w:hAnsiTheme="majorBidi" w:cstheme="majorBidi"/>
          <w:bCs/>
          <w:iCs/>
          <w:sz w:val="24"/>
          <w:szCs w:val="24"/>
        </w:rPr>
        <w:t xml:space="preserve">. </w:t>
      </w:r>
    </w:p>
    <w:p w14:paraId="07E127CB" w14:textId="39751204" w:rsidR="00F16CB2" w:rsidRPr="000972D1" w:rsidRDefault="00300C86" w:rsidP="00915FCA">
      <w:pPr>
        <w:spacing w:after="0" w:line="360" w:lineRule="auto"/>
        <w:ind w:firstLine="720"/>
        <w:jc w:val="lowKashida"/>
        <w:rPr>
          <w:rFonts w:asciiTheme="majorBidi" w:eastAsia="Times New Roman" w:hAnsiTheme="majorBidi" w:cstheme="majorBidi"/>
          <w:bCs/>
          <w:iCs/>
          <w:sz w:val="24"/>
          <w:szCs w:val="24"/>
        </w:rPr>
      </w:pPr>
      <w:r>
        <w:rPr>
          <w:rFonts w:asciiTheme="majorBidi" w:eastAsia="Times New Roman" w:hAnsiTheme="majorBidi" w:cstheme="majorBidi"/>
          <w:bCs/>
          <w:iCs/>
          <w:sz w:val="24"/>
          <w:szCs w:val="24"/>
        </w:rPr>
        <w:t xml:space="preserve">For example, </w:t>
      </w:r>
      <w:r w:rsidR="00F16CB2" w:rsidRPr="000972D1">
        <w:rPr>
          <w:rFonts w:asciiTheme="majorBidi" w:eastAsia="Times New Roman" w:hAnsiTheme="majorBidi" w:cstheme="majorBidi"/>
          <w:bCs/>
          <w:iCs/>
          <w:sz w:val="24"/>
          <w:szCs w:val="24"/>
        </w:rPr>
        <w:t xml:space="preserve">Baatwah </w:t>
      </w:r>
      <w:r w:rsidR="00F16CB2" w:rsidRPr="000972D1">
        <w:rPr>
          <w:rFonts w:asciiTheme="majorBidi" w:eastAsia="Times New Roman" w:hAnsiTheme="majorBidi" w:cstheme="majorBidi"/>
          <w:bCs/>
          <w:i/>
          <w:iCs/>
          <w:sz w:val="24"/>
          <w:szCs w:val="24"/>
        </w:rPr>
        <w:t>et al</w:t>
      </w:r>
      <w:r w:rsidR="00F16CB2" w:rsidRPr="000972D1">
        <w:rPr>
          <w:rFonts w:asciiTheme="majorBidi" w:eastAsia="Times New Roman" w:hAnsiTheme="majorBidi" w:cstheme="majorBidi"/>
          <w:bCs/>
          <w:iCs/>
          <w:sz w:val="24"/>
          <w:szCs w:val="24"/>
        </w:rPr>
        <w:t>. (2015) document that</w:t>
      </w:r>
      <w:r w:rsidR="00527A02" w:rsidRPr="000972D1">
        <w:rPr>
          <w:rFonts w:asciiTheme="majorBidi" w:eastAsia="Times New Roman" w:hAnsiTheme="majorBidi" w:cstheme="majorBidi"/>
          <w:bCs/>
          <w:iCs/>
          <w:sz w:val="24"/>
          <w:szCs w:val="24"/>
        </w:rPr>
        <w:t xml:space="preserve">, </w:t>
      </w:r>
      <w:r w:rsidR="00F16CB2" w:rsidRPr="000972D1">
        <w:rPr>
          <w:rFonts w:asciiTheme="majorBidi" w:eastAsia="Times New Roman" w:hAnsiTheme="majorBidi" w:cstheme="majorBidi"/>
          <w:bCs/>
          <w:iCs/>
          <w:sz w:val="24"/>
          <w:szCs w:val="24"/>
        </w:rPr>
        <w:t>on average</w:t>
      </w:r>
      <w:r w:rsidR="00527A02" w:rsidRPr="000972D1">
        <w:rPr>
          <w:rFonts w:asciiTheme="majorBidi" w:eastAsia="Times New Roman" w:hAnsiTheme="majorBidi" w:cstheme="majorBidi"/>
          <w:bCs/>
          <w:iCs/>
          <w:sz w:val="24"/>
          <w:szCs w:val="24"/>
        </w:rPr>
        <w:t>,</w:t>
      </w:r>
      <w:r w:rsidR="00F16CB2" w:rsidRPr="000972D1">
        <w:rPr>
          <w:rFonts w:asciiTheme="majorBidi" w:eastAsia="Times New Roman" w:hAnsiTheme="majorBidi" w:cstheme="majorBidi"/>
          <w:bCs/>
          <w:iCs/>
          <w:sz w:val="24"/>
          <w:szCs w:val="24"/>
        </w:rPr>
        <w:t xml:space="preserve"> 120 companies are listed </w:t>
      </w:r>
      <w:r w:rsidR="009E09D0">
        <w:rPr>
          <w:rFonts w:asciiTheme="majorBidi" w:eastAsia="Times New Roman" w:hAnsiTheme="majorBidi" w:cstheme="majorBidi"/>
          <w:bCs/>
          <w:iCs/>
          <w:sz w:val="24"/>
          <w:szCs w:val="24"/>
        </w:rPr>
        <w:t>o</w:t>
      </w:r>
      <w:r w:rsidR="00F16CB2" w:rsidRPr="000972D1">
        <w:rPr>
          <w:rFonts w:asciiTheme="majorBidi" w:eastAsia="Times New Roman" w:hAnsiTheme="majorBidi" w:cstheme="majorBidi"/>
          <w:bCs/>
          <w:iCs/>
          <w:sz w:val="24"/>
          <w:szCs w:val="24"/>
        </w:rPr>
        <w:t xml:space="preserve">n </w:t>
      </w:r>
      <w:r w:rsidR="009E09D0">
        <w:rPr>
          <w:rFonts w:asciiTheme="majorBidi" w:eastAsia="Times New Roman" w:hAnsiTheme="majorBidi" w:cstheme="majorBidi"/>
          <w:bCs/>
          <w:iCs/>
          <w:sz w:val="24"/>
          <w:szCs w:val="24"/>
        </w:rPr>
        <w:t xml:space="preserve">the </w:t>
      </w:r>
      <w:r w:rsidR="00F16CB2" w:rsidRPr="000972D1">
        <w:rPr>
          <w:rFonts w:asciiTheme="majorBidi" w:eastAsia="Times New Roman" w:hAnsiTheme="majorBidi" w:cstheme="majorBidi"/>
          <w:bCs/>
          <w:iCs/>
          <w:sz w:val="24"/>
          <w:szCs w:val="24"/>
        </w:rPr>
        <w:t xml:space="preserve">Muscat Securities Market in Oman </w:t>
      </w:r>
      <w:r w:rsidR="009E09D0">
        <w:rPr>
          <w:rFonts w:asciiTheme="majorBidi" w:eastAsia="Times New Roman" w:hAnsiTheme="majorBidi" w:cstheme="majorBidi"/>
          <w:bCs/>
          <w:iCs/>
          <w:sz w:val="24"/>
          <w:szCs w:val="24"/>
        </w:rPr>
        <w:t>over</w:t>
      </w:r>
      <w:r w:rsidR="00F16CB2" w:rsidRPr="000972D1">
        <w:rPr>
          <w:rFonts w:asciiTheme="majorBidi" w:eastAsia="Times New Roman" w:hAnsiTheme="majorBidi" w:cstheme="majorBidi"/>
          <w:bCs/>
          <w:iCs/>
          <w:sz w:val="24"/>
          <w:szCs w:val="24"/>
        </w:rPr>
        <w:t xml:space="preserve"> </w:t>
      </w:r>
      <w:r w:rsidR="009E09D0">
        <w:rPr>
          <w:rFonts w:asciiTheme="majorBidi" w:eastAsia="Times New Roman" w:hAnsiTheme="majorBidi" w:cstheme="majorBidi"/>
          <w:bCs/>
          <w:iCs/>
          <w:sz w:val="24"/>
          <w:szCs w:val="24"/>
        </w:rPr>
        <w:t xml:space="preserve">the </w:t>
      </w:r>
      <w:r w:rsidR="00F16CB2" w:rsidRPr="000972D1">
        <w:rPr>
          <w:rFonts w:asciiTheme="majorBidi" w:eastAsia="Times New Roman" w:hAnsiTheme="majorBidi" w:cstheme="majorBidi"/>
          <w:bCs/>
          <w:iCs/>
          <w:sz w:val="24"/>
          <w:szCs w:val="24"/>
        </w:rPr>
        <w:t>1988</w:t>
      </w:r>
      <w:r w:rsidR="009E09D0">
        <w:rPr>
          <w:rFonts w:asciiTheme="majorBidi" w:eastAsia="Times New Roman" w:hAnsiTheme="majorBidi" w:cstheme="majorBidi"/>
          <w:bCs/>
          <w:iCs/>
          <w:sz w:val="24"/>
          <w:szCs w:val="24"/>
        </w:rPr>
        <w:t>-</w:t>
      </w:r>
      <w:r w:rsidR="00F16CB2" w:rsidRPr="000972D1">
        <w:rPr>
          <w:rFonts w:asciiTheme="majorBidi" w:eastAsia="Times New Roman" w:hAnsiTheme="majorBidi" w:cstheme="majorBidi"/>
          <w:bCs/>
          <w:iCs/>
          <w:sz w:val="24"/>
          <w:szCs w:val="24"/>
        </w:rPr>
        <w:t>2013</w:t>
      </w:r>
      <w:r w:rsidR="009E09D0">
        <w:rPr>
          <w:rFonts w:asciiTheme="majorBidi" w:eastAsia="Times New Roman" w:hAnsiTheme="majorBidi" w:cstheme="majorBidi"/>
          <w:bCs/>
          <w:iCs/>
          <w:sz w:val="24"/>
          <w:szCs w:val="24"/>
        </w:rPr>
        <w:t xml:space="preserve"> period</w:t>
      </w:r>
      <w:r w:rsidR="00F16CB2" w:rsidRPr="000972D1">
        <w:rPr>
          <w:rFonts w:asciiTheme="majorBidi" w:eastAsia="Times New Roman" w:hAnsiTheme="majorBidi" w:cstheme="majorBidi"/>
          <w:bCs/>
          <w:iCs/>
          <w:sz w:val="24"/>
          <w:szCs w:val="24"/>
        </w:rPr>
        <w:t>. Additionally, on average</w:t>
      </w:r>
      <w:r w:rsidR="00AE0CFD" w:rsidRPr="000972D1">
        <w:rPr>
          <w:rFonts w:asciiTheme="majorBidi" w:eastAsia="Times New Roman" w:hAnsiTheme="majorBidi" w:cstheme="majorBidi"/>
          <w:bCs/>
          <w:iCs/>
          <w:sz w:val="24"/>
          <w:szCs w:val="24"/>
        </w:rPr>
        <w:t>,</w:t>
      </w:r>
      <w:r w:rsidR="00F16CB2" w:rsidRPr="000972D1">
        <w:rPr>
          <w:rFonts w:asciiTheme="majorBidi" w:eastAsia="Times New Roman" w:hAnsiTheme="majorBidi" w:cstheme="majorBidi"/>
          <w:bCs/>
          <w:iCs/>
          <w:sz w:val="24"/>
          <w:szCs w:val="24"/>
        </w:rPr>
        <w:t xml:space="preserve"> 17 certified auditors/audit firms are competing to provide statutory and non-statutory audit services for these companies with the dominance of Big-4 audit firms. </w:t>
      </w:r>
      <w:r w:rsidR="00987E3F" w:rsidRPr="000972D1">
        <w:rPr>
          <w:rFonts w:asciiTheme="majorBidi" w:eastAsia="Times New Roman" w:hAnsiTheme="majorBidi" w:cstheme="majorBidi"/>
          <w:bCs/>
          <w:iCs/>
          <w:sz w:val="24"/>
          <w:szCs w:val="24"/>
        </w:rPr>
        <w:t>While El-Dyasty (2017)</w:t>
      </w:r>
      <w:r w:rsidR="000A2755">
        <w:rPr>
          <w:rFonts w:asciiTheme="majorBidi" w:eastAsia="Times New Roman" w:hAnsiTheme="majorBidi" w:cstheme="majorBidi"/>
          <w:bCs/>
          <w:iCs/>
          <w:sz w:val="24"/>
          <w:szCs w:val="24"/>
        </w:rPr>
        <w:t>,</w:t>
      </w:r>
      <w:r w:rsidR="00987E3F" w:rsidRPr="000972D1">
        <w:rPr>
          <w:rFonts w:asciiTheme="majorBidi" w:eastAsia="Times New Roman" w:hAnsiTheme="majorBidi" w:cstheme="majorBidi"/>
          <w:bCs/>
          <w:iCs/>
          <w:sz w:val="24"/>
          <w:szCs w:val="24"/>
        </w:rPr>
        <w:t xml:space="preserve"> in a study that covers </w:t>
      </w:r>
      <w:r w:rsidR="00F971D9" w:rsidRPr="000972D1">
        <w:rPr>
          <w:rFonts w:asciiTheme="majorBidi" w:eastAsia="Times New Roman" w:hAnsiTheme="majorBidi" w:cstheme="majorBidi"/>
          <w:bCs/>
          <w:iCs/>
          <w:sz w:val="24"/>
          <w:szCs w:val="24"/>
        </w:rPr>
        <w:t xml:space="preserve">232 firms representing </w:t>
      </w:r>
      <w:r w:rsidR="00987E3F" w:rsidRPr="000972D1">
        <w:rPr>
          <w:rFonts w:asciiTheme="majorBidi" w:eastAsia="Times New Roman" w:hAnsiTheme="majorBidi" w:cstheme="majorBidi"/>
          <w:bCs/>
          <w:iCs/>
          <w:sz w:val="24"/>
          <w:szCs w:val="24"/>
        </w:rPr>
        <w:t>95% of companies listed in Egyptian stock of exchange in 2016, report that Big 4</w:t>
      </w:r>
      <w:r w:rsidR="00484CC8">
        <w:rPr>
          <w:rFonts w:asciiTheme="majorBidi" w:eastAsia="Times New Roman" w:hAnsiTheme="majorBidi" w:cstheme="majorBidi"/>
          <w:bCs/>
          <w:iCs/>
          <w:sz w:val="24"/>
          <w:szCs w:val="24"/>
        </w:rPr>
        <w:t xml:space="preserve"> audit firms</w:t>
      </w:r>
      <w:r w:rsidR="00987E3F" w:rsidRPr="000972D1">
        <w:rPr>
          <w:rFonts w:asciiTheme="majorBidi" w:eastAsia="Times New Roman" w:hAnsiTheme="majorBidi" w:cstheme="majorBidi"/>
          <w:bCs/>
          <w:iCs/>
          <w:sz w:val="24"/>
          <w:szCs w:val="24"/>
        </w:rPr>
        <w:t xml:space="preserve"> </w:t>
      </w:r>
      <w:r w:rsidR="00D75A58" w:rsidRPr="000972D1">
        <w:rPr>
          <w:rFonts w:asciiTheme="majorBidi" w:eastAsia="Times New Roman" w:hAnsiTheme="majorBidi" w:cstheme="majorBidi"/>
          <w:bCs/>
          <w:iCs/>
          <w:sz w:val="24"/>
          <w:szCs w:val="24"/>
        </w:rPr>
        <w:t>hold</w:t>
      </w:r>
      <w:r w:rsidR="00987E3F" w:rsidRPr="000972D1">
        <w:rPr>
          <w:rFonts w:asciiTheme="majorBidi" w:eastAsia="Times New Roman" w:hAnsiTheme="majorBidi" w:cstheme="majorBidi"/>
          <w:bCs/>
          <w:iCs/>
          <w:sz w:val="24"/>
          <w:szCs w:val="24"/>
        </w:rPr>
        <w:t xml:space="preserve"> 34.4% of</w:t>
      </w:r>
      <w:r w:rsidR="00D75A58" w:rsidRPr="000972D1">
        <w:rPr>
          <w:rFonts w:asciiTheme="majorBidi" w:eastAsia="Times New Roman" w:hAnsiTheme="majorBidi" w:cstheme="majorBidi"/>
          <w:bCs/>
          <w:iCs/>
          <w:sz w:val="24"/>
          <w:szCs w:val="24"/>
        </w:rPr>
        <w:t xml:space="preserve"> the</w:t>
      </w:r>
      <w:r w:rsidR="00987E3F" w:rsidRPr="000972D1">
        <w:rPr>
          <w:rFonts w:asciiTheme="majorBidi" w:eastAsia="Times New Roman" w:hAnsiTheme="majorBidi" w:cstheme="majorBidi"/>
          <w:bCs/>
          <w:iCs/>
          <w:sz w:val="24"/>
          <w:szCs w:val="24"/>
        </w:rPr>
        <w:t xml:space="preserve"> Egyptian market, </w:t>
      </w:r>
      <w:r w:rsidR="007469EB" w:rsidRPr="000972D1">
        <w:rPr>
          <w:rFonts w:asciiTheme="majorBidi" w:eastAsia="Times New Roman" w:hAnsiTheme="majorBidi" w:cstheme="majorBidi"/>
          <w:bCs/>
          <w:iCs/>
          <w:sz w:val="24"/>
          <w:szCs w:val="24"/>
        </w:rPr>
        <w:t>p</w:t>
      </w:r>
      <w:r w:rsidR="00987E3F" w:rsidRPr="000972D1">
        <w:rPr>
          <w:rFonts w:asciiTheme="majorBidi" w:eastAsia="Times New Roman" w:hAnsiTheme="majorBidi" w:cstheme="majorBidi"/>
          <w:bCs/>
          <w:iCs/>
          <w:sz w:val="24"/>
          <w:szCs w:val="24"/>
        </w:rPr>
        <w:t xml:space="preserve">rivate </w:t>
      </w:r>
      <w:r w:rsidR="007469EB" w:rsidRPr="000972D1">
        <w:rPr>
          <w:rFonts w:asciiTheme="majorBidi" w:eastAsia="Times New Roman" w:hAnsiTheme="majorBidi" w:cstheme="majorBidi"/>
          <w:bCs/>
          <w:iCs/>
          <w:sz w:val="24"/>
          <w:szCs w:val="24"/>
        </w:rPr>
        <w:t>l</w:t>
      </w:r>
      <w:r w:rsidR="00987E3F" w:rsidRPr="000972D1">
        <w:rPr>
          <w:rFonts w:asciiTheme="majorBidi" w:eastAsia="Times New Roman" w:hAnsiTheme="majorBidi" w:cstheme="majorBidi"/>
          <w:bCs/>
          <w:iCs/>
          <w:sz w:val="24"/>
          <w:szCs w:val="24"/>
        </w:rPr>
        <w:t xml:space="preserve">ocal audit firms control 31% of </w:t>
      </w:r>
      <w:r w:rsidR="00D75A58" w:rsidRPr="000972D1">
        <w:rPr>
          <w:rFonts w:asciiTheme="majorBidi" w:eastAsia="Times New Roman" w:hAnsiTheme="majorBidi" w:cstheme="majorBidi"/>
          <w:bCs/>
          <w:iCs/>
          <w:sz w:val="24"/>
          <w:szCs w:val="24"/>
        </w:rPr>
        <w:t xml:space="preserve">the </w:t>
      </w:r>
      <w:r w:rsidR="00987E3F" w:rsidRPr="000972D1">
        <w:rPr>
          <w:rFonts w:asciiTheme="majorBidi" w:eastAsia="Times New Roman" w:hAnsiTheme="majorBidi" w:cstheme="majorBidi"/>
          <w:bCs/>
          <w:iCs/>
          <w:sz w:val="24"/>
          <w:szCs w:val="24"/>
        </w:rPr>
        <w:t>Egyptian market</w:t>
      </w:r>
      <w:r w:rsidR="00511B2A" w:rsidRPr="000972D1">
        <w:rPr>
          <w:rFonts w:asciiTheme="majorBidi" w:eastAsia="Times New Roman" w:hAnsiTheme="majorBidi" w:cstheme="majorBidi"/>
          <w:bCs/>
          <w:iCs/>
          <w:sz w:val="24"/>
          <w:szCs w:val="24"/>
        </w:rPr>
        <w:t>, while audit firms affiliated with foreign firms (not including Big 4) constitute about 34%</w:t>
      </w:r>
      <w:r w:rsidR="004C1B29" w:rsidRPr="000972D1">
        <w:rPr>
          <w:rFonts w:asciiTheme="majorBidi" w:eastAsia="Times New Roman" w:hAnsiTheme="majorBidi" w:cstheme="majorBidi"/>
          <w:bCs/>
          <w:iCs/>
          <w:sz w:val="24"/>
          <w:szCs w:val="24"/>
        </w:rPr>
        <w:t xml:space="preserve">. </w:t>
      </w:r>
      <w:r w:rsidR="00F16CB2" w:rsidRPr="000972D1">
        <w:rPr>
          <w:rFonts w:asciiTheme="majorBidi" w:eastAsia="Times New Roman" w:hAnsiTheme="majorBidi" w:cstheme="majorBidi"/>
          <w:bCs/>
          <w:iCs/>
          <w:sz w:val="24"/>
          <w:szCs w:val="24"/>
        </w:rPr>
        <w:t>This suggests that</w:t>
      </w:r>
      <w:r w:rsidR="00D75A58" w:rsidRPr="000972D1">
        <w:rPr>
          <w:rFonts w:asciiTheme="majorBidi" w:eastAsia="Times New Roman" w:hAnsiTheme="majorBidi" w:cstheme="majorBidi"/>
          <w:bCs/>
          <w:iCs/>
          <w:sz w:val="24"/>
          <w:szCs w:val="24"/>
        </w:rPr>
        <w:t>,</w:t>
      </w:r>
      <w:r w:rsidR="00F16CB2" w:rsidRPr="000972D1">
        <w:rPr>
          <w:rFonts w:asciiTheme="majorBidi" w:eastAsia="Times New Roman" w:hAnsiTheme="majorBidi" w:cstheme="majorBidi"/>
          <w:bCs/>
          <w:iCs/>
          <w:sz w:val="24"/>
          <w:szCs w:val="24"/>
        </w:rPr>
        <w:t xml:space="preserve"> </w:t>
      </w:r>
      <w:r w:rsidR="004C1B29" w:rsidRPr="000972D1">
        <w:rPr>
          <w:rFonts w:asciiTheme="majorBidi" w:eastAsia="Times New Roman" w:hAnsiTheme="majorBidi" w:cstheme="majorBidi"/>
          <w:bCs/>
          <w:iCs/>
          <w:sz w:val="24"/>
          <w:szCs w:val="24"/>
        </w:rPr>
        <w:t>on average</w:t>
      </w:r>
      <w:r w:rsidR="00D75A58" w:rsidRPr="000972D1">
        <w:rPr>
          <w:rFonts w:asciiTheme="majorBidi" w:eastAsia="Times New Roman" w:hAnsiTheme="majorBidi" w:cstheme="majorBidi"/>
          <w:bCs/>
          <w:iCs/>
          <w:sz w:val="24"/>
          <w:szCs w:val="24"/>
        </w:rPr>
        <w:t>,</w:t>
      </w:r>
      <w:r w:rsidR="004C1B29" w:rsidRPr="000972D1">
        <w:rPr>
          <w:rFonts w:asciiTheme="majorBidi" w:eastAsia="Times New Roman" w:hAnsiTheme="majorBidi" w:cstheme="majorBidi"/>
          <w:bCs/>
          <w:iCs/>
          <w:sz w:val="24"/>
          <w:szCs w:val="24"/>
        </w:rPr>
        <w:t xml:space="preserve"> </w:t>
      </w:r>
      <w:r w:rsidR="00F16CB2" w:rsidRPr="000972D1">
        <w:rPr>
          <w:rFonts w:asciiTheme="majorBidi" w:eastAsia="Times New Roman" w:hAnsiTheme="majorBidi" w:cstheme="majorBidi"/>
          <w:bCs/>
          <w:iCs/>
          <w:sz w:val="24"/>
          <w:szCs w:val="24"/>
        </w:rPr>
        <w:t xml:space="preserve">the </w:t>
      </w:r>
      <w:r w:rsidR="004C1B29" w:rsidRPr="000972D1">
        <w:rPr>
          <w:rFonts w:asciiTheme="majorBidi" w:eastAsia="Times New Roman" w:hAnsiTheme="majorBidi" w:cstheme="majorBidi"/>
          <w:bCs/>
          <w:iCs/>
          <w:sz w:val="24"/>
          <w:szCs w:val="24"/>
        </w:rPr>
        <w:t>MENA</w:t>
      </w:r>
      <w:r w:rsidR="00F16CB2" w:rsidRPr="000972D1">
        <w:rPr>
          <w:rFonts w:asciiTheme="majorBidi" w:eastAsia="Times New Roman" w:hAnsiTheme="majorBidi" w:cstheme="majorBidi"/>
          <w:bCs/>
          <w:iCs/>
          <w:sz w:val="24"/>
          <w:szCs w:val="24"/>
        </w:rPr>
        <w:t xml:space="preserve"> audit market is very small and that the competition between auditors may be very high</w:t>
      </w:r>
      <w:r w:rsidR="001D27A7" w:rsidRPr="000972D1">
        <w:rPr>
          <w:rFonts w:asciiTheme="majorBidi" w:eastAsia="Times New Roman" w:hAnsiTheme="majorBidi" w:cstheme="majorBidi"/>
          <w:bCs/>
          <w:iCs/>
          <w:sz w:val="24"/>
          <w:szCs w:val="24"/>
        </w:rPr>
        <w:t xml:space="preserve"> (Baatwah </w:t>
      </w:r>
      <w:r w:rsidR="001D27A7" w:rsidRPr="000972D1">
        <w:rPr>
          <w:rFonts w:asciiTheme="majorBidi" w:eastAsia="Times New Roman" w:hAnsiTheme="majorBidi" w:cstheme="majorBidi"/>
          <w:bCs/>
          <w:i/>
          <w:sz w:val="24"/>
          <w:szCs w:val="24"/>
        </w:rPr>
        <w:t>et al</w:t>
      </w:r>
      <w:r w:rsidR="001D27A7" w:rsidRPr="000972D1">
        <w:rPr>
          <w:rFonts w:asciiTheme="majorBidi" w:eastAsia="Times New Roman" w:hAnsiTheme="majorBidi" w:cstheme="majorBidi"/>
          <w:bCs/>
          <w:iCs/>
          <w:sz w:val="24"/>
          <w:szCs w:val="24"/>
        </w:rPr>
        <w:t>., 2015; Naser &amp; Hassan, 2016; El-Dyasty, 2017)</w:t>
      </w:r>
      <w:r w:rsidR="00F16CB2" w:rsidRPr="000972D1">
        <w:rPr>
          <w:rFonts w:asciiTheme="majorBidi" w:eastAsia="Times New Roman" w:hAnsiTheme="majorBidi" w:cstheme="majorBidi"/>
          <w:bCs/>
          <w:iCs/>
          <w:sz w:val="24"/>
          <w:szCs w:val="24"/>
        </w:rPr>
        <w:t>.</w:t>
      </w:r>
      <w:r w:rsidR="00915FCA" w:rsidRPr="000972D1">
        <w:rPr>
          <w:rFonts w:ascii="CenturyOSMTPro" w:hAnsi="CenturyOSMTPro" w:cs="CenturyOSMTPro"/>
          <w:sz w:val="20"/>
          <w:szCs w:val="20"/>
        </w:rPr>
        <w:t xml:space="preserve"> </w:t>
      </w:r>
      <w:r w:rsidR="00915FCA" w:rsidRPr="000972D1">
        <w:rPr>
          <w:rFonts w:asciiTheme="majorBidi" w:eastAsia="Times New Roman" w:hAnsiTheme="majorBidi" w:cstheme="majorBidi"/>
          <w:bCs/>
          <w:iCs/>
          <w:sz w:val="24"/>
          <w:szCs w:val="24"/>
        </w:rPr>
        <w:t xml:space="preserve">This imbalance between the supply and demand for audit services is expected to impact </w:t>
      </w:r>
      <w:r w:rsidR="00DF45DF" w:rsidRPr="000972D1">
        <w:rPr>
          <w:rFonts w:asciiTheme="majorBidi" w:eastAsia="Times New Roman" w:hAnsiTheme="majorBidi" w:cstheme="majorBidi"/>
          <w:bCs/>
          <w:iCs/>
          <w:sz w:val="24"/>
          <w:szCs w:val="24"/>
        </w:rPr>
        <w:t>audit quality</w:t>
      </w:r>
      <w:r w:rsidR="00915FCA" w:rsidRPr="000972D1">
        <w:rPr>
          <w:rFonts w:asciiTheme="majorBidi" w:eastAsia="Times New Roman" w:hAnsiTheme="majorBidi" w:cstheme="majorBidi"/>
          <w:bCs/>
          <w:iCs/>
          <w:sz w:val="24"/>
          <w:szCs w:val="24"/>
        </w:rPr>
        <w:t xml:space="preserve"> and </w:t>
      </w:r>
      <w:r w:rsidR="00DF45DF" w:rsidRPr="000972D1">
        <w:rPr>
          <w:rFonts w:asciiTheme="majorBidi" w:eastAsia="Times New Roman" w:hAnsiTheme="majorBidi" w:cstheme="majorBidi"/>
          <w:bCs/>
          <w:iCs/>
          <w:sz w:val="24"/>
          <w:szCs w:val="24"/>
        </w:rPr>
        <w:t xml:space="preserve">its </w:t>
      </w:r>
      <w:r w:rsidR="00915FCA" w:rsidRPr="000972D1">
        <w:rPr>
          <w:rFonts w:asciiTheme="majorBidi" w:eastAsia="Times New Roman" w:hAnsiTheme="majorBidi" w:cstheme="majorBidi"/>
          <w:bCs/>
          <w:iCs/>
          <w:sz w:val="24"/>
          <w:szCs w:val="24"/>
        </w:rPr>
        <w:t>determinants.</w:t>
      </w:r>
    </w:p>
    <w:p w14:paraId="6A4CB16F" w14:textId="1F6D074D" w:rsidR="00106A7E" w:rsidRPr="002B3246" w:rsidRDefault="002E0912" w:rsidP="002E0912">
      <w:pPr>
        <w:spacing w:after="0" w:line="360" w:lineRule="auto"/>
        <w:ind w:firstLine="720"/>
        <w:jc w:val="lowKashida"/>
        <w:rPr>
          <w:rFonts w:asciiTheme="majorBidi" w:eastAsia="Times New Roman" w:hAnsiTheme="majorBidi" w:cstheme="majorBidi"/>
          <w:bCs/>
          <w:iCs/>
          <w:sz w:val="24"/>
          <w:szCs w:val="24"/>
        </w:rPr>
      </w:pPr>
      <w:r w:rsidRPr="000972D1">
        <w:rPr>
          <w:rFonts w:asciiTheme="majorBidi" w:eastAsia="Times New Roman" w:hAnsiTheme="majorBidi" w:cstheme="majorBidi"/>
          <w:bCs/>
          <w:iCs/>
          <w:sz w:val="24"/>
          <w:szCs w:val="24"/>
        </w:rPr>
        <w:t xml:space="preserve">Although the MENA countries’ governments have made great efforts to </w:t>
      </w:r>
      <w:r w:rsidR="00D75A58" w:rsidRPr="000972D1">
        <w:rPr>
          <w:rFonts w:asciiTheme="majorBidi" w:eastAsia="Times New Roman" w:hAnsiTheme="majorBidi" w:cstheme="majorBidi"/>
          <w:bCs/>
          <w:iCs/>
          <w:sz w:val="24"/>
          <w:szCs w:val="24"/>
        </w:rPr>
        <w:t>establish</w:t>
      </w:r>
      <w:r w:rsidRPr="000972D1">
        <w:rPr>
          <w:rFonts w:asciiTheme="majorBidi" w:eastAsia="Times New Roman" w:hAnsiTheme="majorBidi" w:cstheme="majorBidi"/>
          <w:bCs/>
          <w:iCs/>
          <w:sz w:val="24"/>
          <w:szCs w:val="24"/>
        </w:rPr>
        <w:t xml:space="preserve"> </w:t>
      </w:r>
      <w:r w:rsidR="00826DBB" w:rsidRPr="000972D1">
        <w:rPr>
          <w:rFonts w:asciiTheme="majorBidi" w:eastAsia="Times New Roman" w:hAnsiTheme="majorBidi" w:cstheme="majorBidi"/>
          <w:bCs/>
          <w:iCs/>
          <w:sz w:val="24"/>
          <w:szCs w:val="24"/>
        </w:rPr>
        <w:t>governance</w:t>
      </w:r>
      <w:r w:rsidRPr="000972D1">
        <w:rPr>
          <w:rFonts w:asciiTheme="majorBidi" w:eastAsia="Times New Roman" w:hAnsiTheme="majorBidi" w:cstheme="majorBidi"/>
          <w:bCs/>
          <w:iCs/>
          <w:sz w:val="24"/>
          <w:szCs w:val="24"/>
        </w:rPr>
        <w:t xml:space="preserve"> code</w:t>
      </w:r>
      <w:r w:rsidR="00826DBB" w:rsidRPr="000972D1">
        <w:rPr>
          <w:rFonts w:asciiTheme="majorBidi" w:eastAsia="Times New Roman" w:hAnsiTheme="majorBidi" w:cstheme="majorBidi"/>
          <w:bCs/>
          <w:iCs/>
          <w:sz w:val="24"/>
          <w:szCs w:val="24"/>
        </w:rPr>
        <w:t>s</w:t>
      </w:r>
      <w:r w:rsidRPr="000972D1">
        <w:rPr>
          <w:rFonts w:asciiTheme="majorBidi" w:eastAsia="Times New Roman" w:hAnsiTheme="majorBidi" w:cstheme="majorBidi"/>
          <w:bCs/>
          <w:iCs/>
          <w:sz w:val="24"/>
          <w:szCs w:val="24"/>
        </w:rPr>
        <w:t xml:space="preserve"> for listed companies in recent years </w:t>
      </w:r>
      <w:r w:rsidR="00484CC8">
        <w:rPr>
          <w:rFonts w:asciiTheme="majorBidi" w:eastAsia="Times New Roman" w:hAnsiTheme="majorBidi" w:cstheme="majorBidi"/>
          <w:bCs/>
          <w:iCs/>
          <w:sz w:val="24"/>
          <w:szCs w:val="24"/>
        </w:rPr>
        <w:t xml:space="preserve">that are largely </w:t>
      </w:r>
      <w:r w:rsidRPr="000972D1">
        <w:rPr>
          <w:rFonts w:asciiTheme="majorBidi" w:eastAsia="Times New Roman" w:hAnsiTheme="majorBidi" w:cstheme="majorBidi"/>
          <w:bCs/>
          <w:iCs/>
          <w:sz w:val="24"/>
          <w:szCs w:val="24"/>
        </w:rPr>
        <w:t xml:space="preserve">similar to those in developed countries, the effect of those rules and regulations have yet to be studied (Khlif </w:t>
      </w:r>
      <w:r w:rsidRPr="000972D1">
        <w:rPr>
          <w:rFonts w:asciiTheme="majorBidi" w:eastAsia="Times New Roman" w:hAnsiTheme="majorBidi" w:cstheme="majorBidi"/>
          <w:bCs/>
          <w:i/>
          <w:sz w:val="24"/>
          <w:szCs w:val="24"/>
        </w:rPr>
        <w:t>et al</w:t>
      </w:r>
      <w:r w:rsidRPr="000972D1">
        <w:rPr>
          <w:rFonts w:asciiTheme="majorBidi" w:eastAsia="Times New Roman" w:hAnsiTheme="majorBidi" w:cstheme="majorBidi"/>
          <w:bCs/>
          <w:iCs/>
          <w:sz w:val="24"/>
          <w:szCs w:val="24"/>
        </w:rPr>
        <w:t xml:space="preserve">., </w:t>
      </w:r>
      <w:r w:rsidR="006929A8" w:rsidRPr="000972D1">
        <w:rPr>
          <w:rFonts w:asciiTheme="majorBidi" w:eastAsia="Times New Roman" w:hAnsiTheme="majorBidi" w:cstheme="majorBidi"/>
          <w:bCs/>
          <w:iCs/>
          <w:sz w:val="24"/>
          <w:szCs w:val="24"/>
        </w:rPr>
        <w:t>201</w:t>
      </w:r>
      <w:r w:rsidR="006929A8">
        <w:rPr>
          <w:rFonts w:asciiTheme="majorBidi" w:eastAsia="Times New Roman" w:hAnsiTheme="majorBidi" w:cstheme="majorBidi"/>
          <w:bCs/>
          <w:iCs/>
          <w:sz w:val="24"/>
          <w:szCs w:val="24"/>
        </w:rPr>
        <w:t>4</w:t>
      </w:r>
      <w:r w:rsidRPr="000972D1">
        <w:rPr>
          <w:rFonts w:asciiTheme="majorBidi" w:eastAsia="Times New Roman" w:hAnsiTheme="majorBidi" w:cstheme="majorBidi"/>
          <w:bCs/>
          <w:iCs/>
          <w:sz w:val="24"/>
          <w:szCs w:val="24"/>
        </w:rPr>
        <w:t xml:space="preserve">). </w:t>
      </w:r>
      <w:r w:rsidR="00106A7E" w:rsidRPr="000972D1">
        <w:rPr>
          <w:rFonts w:asciiTheme="majorBidi" w:eastAsia="Times New Roman" w:hAnsiTheme="majorBidi" w:cstheme="majorBidi"/>
          <w:bCs/>
          <w:iCs/>
          <w:sz w:val="24"/>
          <w:szCs w:val="24"/>
        </w:rPr>
        <w:t xml:space="preserve">Consequently, the </w:t>
      </w:r>
      <w:r w:rsidR="00106A7E" w:rsidRPr="000972D1">
        <w:rPr>
          <w:rFonts w:asciiTheme="majorBidi" w:eastAsia="Times New Roman" w:hAnsiTheme="majorBidi" w:cstheme="majorBidi"/>
          <w:bCs/>
          <w:iCs/>
          <w:sz w:val="24"/>
          <w:szCs w:val="24"/>
        </w:rPr>
        <w:lastRenderedPageBreak/>
        <w:t>objective of this paper is to examine the extent to which firm- and country-level governance quality influence</w:t>
      </w:r>
      <w:r w:rsidR="001D6C8D">
        <w:rPr>
          <w:rFonts w:asciiTheme="majorBidi" w:eastAsia="Times New Roman" w:hAnsiTheme="majorBidi" w:cstheme="majorBidi"/>
          <w:bCs/>
          <w:iCs/>
          <w:sz w:val="24"/>
          <w:szCs w:val="24"/>
        </w:rPr>
        <w:t>s</w:t>
      </w:r>
      <w:r w:rsidR="00106A7E" w:rsidRPr="000972D1">
        <w:rPr>
          <w:rFonts w:asciiTheme="majorBidi" w:eastAsia="Times New Roman" w:hAnsiTheme="majorBidi" w:cstheme="majorBidi"/>
          <w:bCs/>
          <w:iCs/>
          <w:sz w:val="24"/>
          <w:szCs w:val="24"/>
        </w:rPr>
        <w:t xml:space="preserve"> audit quality in this unique MENA setting.</w:t>
      </w:r>
      <w:r w:rsidR="00B447BF" w:rsidRPr="000972D1">
        <w:rPr>
          <w:rFonts w:asciiTheme="majorBidi" w:eastAsia="Times New Roman" w:hAnsiTheme="majorBidi" w:cstheme="majorBidi"/>
          <w:bCs/>
          <w:iCs/>
          <w:sz w:val="24"/>
          <w:szCs w:val="24"/>
        </w:rPr>
        <w:t xml:space="preserve"> Therefore, this may help to advance and enhance the governance practices</w:t>
      </w:r>
      <w:r w:rsidR="00136649" w:rsidRPr="000972D1">
        <w:rPr>
          <w:rFonts w:asciiTheme="majorBidi" w:eastAsia="Times New Roman" w:hAnsiTheme="majorBidi" w:cstheme="majorBidi"/>
          <w:bCs/>
          <w:iCs/>
          <w:sz w:val="24"/>
          <w:szCs w:val="24"/>
        </w:rPr>
        <w:t xml:space="preserve"> and audit quality</w:t>
      </w:r>
      <w:r w:rsidR="00B447BF" w:rsidRPr="000972D1">
        <w:rPr>
          <w:rFonts w:asciiTheme="majorBidi" w:eastAsia="Times New Roman" w:hAnsiTheme="majorBidi" w:cstheme="majorBidi"/>
          <w:bCs/>
          <w:iCs/>
          <w:sz w:val="24"/>
          <w:szCs w:val="24"/>
        </w:rPr>
        <w:t xml:space="preserve"> in the MENA region.</w:t>
      </w:r>
      <w:r w:rsidR="00B447BF" w:rsidRPr="002B3246">
        <w:rPr>
          <w:rFonts w:asciiTheme="majorBidi" w:eastAsia="Times New Roman" w:hAnsiTheme="majorBidi" w:cstheme="majorBidi"/>
          <w:bCs/>
          <w:iCs/>
          <w:sz w:val="24"/>
          <w:szCs w:val="24"/>
        </w:rPr>
        <w:t xml:space="preserve"> </w:t>
      </w:r>
    </w:p>
    <w:p w14:paraId="66D7B225" w14:textId="64D6B7E4" w:rsidR="00926A83" w:rsidRPr="008E772B" w:rsidRDefault="00106A7E" w:rsidP="001E3C94">
      <w:pPr>
        <w:spacing w:after="0" w:line="360" w:lineRule="auto"/>
        <w:jc w:val="lowKashida"/>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ab/>
      </w:r>
    </w:p>
    <w:p w14:paraId="3E312B33" w14:textId="5D7EDC84" w:rsidR="009379E8" w:rsidRPr="00157823" w:rsidRDefault="00157823" w:rsidP="00E31979">
      <w:pPr>
        <w:spacing w:after="0" w:line="360" w:lineRule="auto"/>
        <w:jc w:val="lowKashida"/>
        <w:rPr>
          <w:rFonts w:asciiTheme="majorBidi" w:eastAsia="Times New Roman" w:hAnsiTheme="majorBidi" w:cstheme="majorBidi"/>
          <w:b/>
          <w:sz w:val="24"/>
          <w:szCs w:val="24"/>
        </w:rPr>
      </w:pPr>
      <w:r w:rsidRPr="00157823">
        <w:rPr>
          <w:rFonts w:asciiTheme="majorBidi" w:eastAsia="Times New Roman" w:hAnsiTheme="majorBidi" w:cstheme="majorBidi"/>
          <w:b/>
          <w:sz w:val="24"/>
          <w:szCs w:val="24"/>
        </w:rPr>
        <w:t>3. Literature Review: Theory, Empirical Studies and Hypotheses Development</w:t>
      </w:r>
    </w:p>
    <w:p w14:paraId="754F3FFA" w14:textId="0481730A" w:rsidR="007C4420" w:rsidRPr="008E772B" w:rsidRDefault="007C4420" w:rsidP="008F13B4">
      <w:pPr>
        <w:spacing w:after="0" w:line="360" w:lineRule="auto"/>
        <w:ind w:firstLine="720"/>
        <w:jc w:val="lowKashida"/>
        <w:rPr>
          <w:rFonts w:asciiTheme="majorBidi" w:eastAsia="Times New Roman" w:hAnsiTheme="majorBidi" w:cstheme="majorBidi"/>
          <w:bCs/>
          <w:iCs/>
          <w:sz w:val="24"/>
          <w:szCs w:val="24"/>
        </w:rPr>
      </w:pPr>
      <w:r w:rsidRPr="008E772B">
        <w:rPr>
          <w:rFonts w:asciiTheme="majorBidi" w:eastAsia="Times New Roman" w:hAnsiTheme="majorBidi" w:cstheme="majorBidi"/>
          <w:bCs/>
          <w:sz w:val="24"/>
          <w:szCs w:val="24"/>
        </w:rPr>
        <w:t xml:space="preserve">The separation of ownership and management in modern corporations </w:t>
      </w:r>
      <w:r w:rsidR="00565CE1">
        <w:rPr>
          <w:rFonts w:asciiTheme="majorBidi" w:eastAsia="Times New Roman" w:hAnsiTheme="majorBidi" w:cstheme="majorBidi"/>
          <w:bCs/>
          <w:sz w:val="24"/>
          <w:szCs w:val="24"/>
        </w:rPr>
        <w:t>can lead to</w:t>
      </w:r>
      <w:r w:rsidRPr="008E772B">
        <w:rPr>
          <w:rFonts w:asciiTheme="majorBidi" w:eastAsia="Times New Roman" w:hAnsiTheme="majorBidi" w:cstheme="majorBidi"/>
          <w:bCs/>
          <w:sz w:val="24"/>
          <w:szCs w:val="24"/>
        </w:rPr>
        <w:t xml:space="preserve"> </w:t>
      </w:r>
      <w:r w:rsidR="008C4331" w:rsidRPr="008E772B">
        <w:rPr>
          <w:rFonts w:asciiTheme="majorBidi" w:eastAsia="Times New Roman" w:hAnsiTheme="majorBidi" w:cstheme="majorBidi"/>
          <w:bCs/>
          <w:sz w:val="24"/>
          <w:szCs w:val="24"/>
        </w:rPr>
        <w:t xml:space="preserve">rational </w:t>
      </w:r>
      <w:r w:rsidRPr="008E772B">
        <w:rPr>
          <w:rFonts w:asciiTheme="majorBidi" w:eastAsia="Times New Roman" w:hAnsiTheme="majorBidi" w:cstheme="majorBidi"/>
          <w:bCs/>
          <w:sz w:val="24"/>
          <w:szCs w:val="24"/>
        </w:rPr>
        <w:t>manage</w:t>
      </w:r>
      <w:r w:rsidR="008C4331" w:rsidRPr="008E772B">
        <w:rPr>
          <w:rFonts w:asciiTheme="majorBidi" w:eastAsia="Times New Roman" w:hAnsiTheme="majorBidi" w:cstheme="majorBidi"/>
          <w:bCs/>
          <w:sz w:val="24"/>
          <w:szCs w:val="24"/>
        </w:rPr>
        <w:t>rs</w:t>
      </w:r>
      <w:r w:rsidRPr="008E772B">
        <w:rPr>
          <w:rFonts w:asciiTheme="majorBidi" w:eastAsia="Times New Roman" w:hAnsiTheme="majorBidi" w:cstheme="majorBidi"/>
          <w:bCs/>
          <w:sz w:val="24"/>
          <w:szCs w:val="24"/>
        </w:rPr>
        <w:t xml:space="preserve"> </w:t>
      </w:r>
      <w:r w:rsidR="008C4331" w:rsidRPr="008E772B">
        <w:rPr>
          <w:rFonts w:asciiTheme="majorBidi" w:eastAsia="Times New Roman" w:hAnsiTheme="majorBidi" w:cstheme="majorBidi"/>
          <w:bCs/>
          <w:sz w:val="24"/>
          <w:szCs w:val="24"/>
        </w:rPr>
        <w:t>engag</w:t>
      </w:r>
      <w:r w:rsidR="00565CE1">
        <w:rPr>
          <w:rFonts w:asciiTheme="majorBidi" w:eastAsia="Times New Roman" w:hAnsiTheme="majorBidi" w:cstheme="majorBidi"/>
          <w:bCs/>
          <w:sz w:val="24"/>
          <w:szCs w:val="24"/>
        </w:rPr>
        <w:t>ing</w:t>
      </w:r>
      <w:r w:rsidRPr="008E772B">
        <w:rPr>
          <w:rFonts w:asciiTheme="majorBidi" w:eastAsia="Times New Roman" w:hAnsiTheme="majorBidi" w:cstheme="majorBidi"/>
          <w:bCs/>
          <w:sz w:val="24"/>
          <w:szCs w:val="24"/>
        </w:rPr>
        <w:t xml:space="preserve"> </w:t>
      </w:r>
      <w:r w:rsidR="008C4331" w:rsidRPr="008E772B">
        <w:rPr>
          <w:rFonts w:asciiTheme="majorBidi" w:eastAsia="Times New Roman" w:hAnsiTheme="majorBidi" w:cstheme="majorBidi"/>
          <w:bCs/>
          <w:sz w:val="24"/>
          <w:szCs w:val="24"/>
        </w:rPr>
        <w:t xml:space="preserve">in </w:t>
      </w:r>
      <w:r w:rsidRPr="008E772B">
        <w:rPr>
          <w:rFonts w:asciiTheme="majorBidi" w:eastAsia="Times New Roman" w:hAnsiTheme="majorBidi" w:cstheme="majorBidi"/>
          <w:bCs/>
          <w:sz w:val="24"/>
          <w:szCs w:val="24"/>
        </w:rPr>
        <w:t>opportunistic behaviour</w:t>
      </w:r>
      <w:r w:rsidR="008C4331" w:rsidRPr="008E772B">
        <w:rPr>
          <w:rFonts w:asciiTheme="majorBidi" w:eastAsia="Times New Roman" w:hAnsiTheme="majorBidi" w:cstheme="majorBidi"/>
          <w:bCs/>
          <w:sz w:val="24"/>
          <w:szCs w:val="24"/>
        </w:rPr>
        <w:t xml:space="preserve"> by often expropriating owners’ wealth to their own benefit if not monitored</w:t>
      </w:r>
      <w:r w:rsidRPr="008E772B">
        <w:rPr>
          <w:rFonts w:asciiTheme="majorBidi" w:eastAsia="Times New Roman" w:hAnsiTheme="majorBidi" w:cstheme="majorBidi"/>
          <w:bCs/>
          <w:sz w:val="24"/>
          <w:szCs w:val="24"/>
        </w:rPr>
        <w:t xml:space="preserve"> (Jensen </w:t>
      </w:r>
      <w:r w:rsidR="001C5247" w:rsidRPr="008E772B">
        <w:rPr>
          <w:rFonts w:asciiTheme="majorBidi" w:eastAsia="Times New Roman" w:hAnsiTheme="majorBidi" w:cstheme="majorBidi"/>
          <w:bCs/>
          <w:sz w:val="24"/>
          <w:szCs w:val="24"/>
        </w:rPr>
        <w:t>&amp;</w:t>
      </w:r>
      <w:r w:rsidRPr="008E772B">
        <w:rPr>
          <w:rFonts w:asciiTheme="majorBidi" w:eastAsia="Times New Roman" w:hAnsiTheme="majorBidi" w:cstheme="majorBidi"/>
          <w:bCs/>
          <w:sz w:val="24"/>
          <w:szCs w:val="24"/>
        </w:rPr>
        <w:t xml:space="preserve"> Meckling, 1976). </w:t>
      </w:r>
      <w:r w:rsidR="008C4331" w:rsidRPr="008E772B">
        <w:rPr>
          <w:rFonts w:asciiTheme="majorBidi" w:eastAsia="Times New Roman" w:hAnsiTheme="majorBidi" w:cstheme="majorBidi"/>
          <w:bCs/>
          <w:sz w:val="24"/>
          <w:szCs w:val="24"/>
        </w:rPr>
        <w:t xml:space="preserve">One way of reducing self-serving behaviour among managers is to incur agency costs by instituting </w:t>
      </w:r>
      <w:r w:rsidR="00D5055D" w:rsidRPr="008E772B">
        <w:rPr>
          <w:rFonts w:asciiTheme="majorBidi" w:eastAsia="Times New Roman" w:hAnsiTheme="majorBidi" w:cstheme="majorBidi"/>
          <w:bCs/>
          <w:sz w:val="24"/>
          <w:szCs w:val="24"/>
        </w:rPr>
        <w:t xml:space="preserve">governance </w:t>
      </w:r>
      <w:r w:rsidR="008C4331" w:rsidRPr="008E772B">
        <w:rPr>
          <w:rFonts w:asciiTheme="majorBidi" w:eastAsia="Times New Roman" w:hAnsiTheme="majorBidi" w:cstheme="majorBidi"/>
          <w:bCs/>
          <w:sz w:val="24"/>
          <w:szCs w:val="24"/>
        </w:rPr>
        <w:t>and internal control mechanisms, such as appointing corporate boards, board committees and auditors (internal and external auditors) aimed at monitoring managers</w:t>
      </w:r>
      <w:r w:rsidR="003223EC" w:rsidRPr="008E772B">
        <w:rPr>
          <w:rFonts w:asciiTheme="majorBidi" w:eastAsia="Times New Roman" w:hAnsiTheme="majorBidi" w:cstheme="majorBidi"/>
          <w:bCs/>
          <w:sz w:val="24"/>
          <w:szCs w:val="24"/>
        </w:rPr>
        <w:t xml:space="preserve"> (</w:t>
      </w:r>
      <w:r w:rsidR="003763A5" w:rsidRPr="008E772B">
        <w:rPr>
          <w:rFonts w:asciiTheme="majorBidi" w:eastAsia="Times New Roman" w:hAnsiTheme="majorBidi" w:cstheme="majorBidi"/>
          <w:bCs/>
          <w:iCs/>
          <w:sz w:val="24"/>
          <w:szCs w:val="24"/>
        </w:rPr>
        <w:t xml:space="preserve">Elmagrhi </w:t>
      </w:r>
      <w:r w:rsidR="003763A5" w:rsidRPr="008E772B">
        <w:rPr>
          <w:rFonts w:asciiTheme="majorBidi" w:eastAsia="Times New Roman" w:hAnsiTheme="majorBidi" w:cstheme="majorBidi"/>
          <w:bCs/>
          <w:i/>
          <w:iCs/>
          <w:sz w:val="24"/>
          <w:szCs w:val="24"/>
        </w:rPr>
        <w:t>et al</w:t>
      </w:r>
      <w:r w:rsidR="003763A5" w:rsidRPr="008E772B">
        <w:rPr>
          <w:rFonts w:asciiTheme="majorBidi" w:eastAsia="Times New Roman" w:hAnsiTheme="majorBidi" w:cstheme="majorBidi"/>
          <w:bCs/>
          <w:iCs/>
          <w:sz w:val="24"/>
          <w:szCs w:val="24"/>
        </w:rPr>
        <w:t>.</w:t>
      </w:r>
      <w:r w:rsidR="00D9178F">
        <w:rPr>
          <w:rFonts w:asciiTheme="majorBidi" w:eastAsia="Times New Roman" w:hAnsiTheme="majorBidi" w:cstheme="majorBidi"/>
          <w:bCs/>
          <w:iCs/>
          <w:sz w:val="24"/>
          <w:szCs w:val="24"/>
        </w:rPr>
        <w:t>,</w:t>
      </w:r>
      <w:r w:rsidR="003763A5" w:rsidRPr="008E772B">
        <w:rPr>
          <w:rFonts w:asciiTheme="majorBidi" w:eastAsia="Times New Roman" w:hAnsiTheme="majorBidi" w:cstheme="majorBidi"/>
          <w:bCs/>
          <w:iCs/>
          <w:sz w:val="24"/>
          <w:szCs w:val="24"/>
        </w:rPr>
        <w:t xml:space="preserve"> 2016</w:t>
      </w:r>
      <w:r w:rsidR="0013216A" w:rsidRPr="008E772B">
        <w:rPr>
          <w:rFonts w:asciiTheme="majorBidi" w:eastAsia="Times New Roman" w:hAnsiTheme="majorBidi" w:cstheme="majorBidi"/>
          <w:bCs/>
          <w:iCs/>
          <w:sz w:val="24"/>
          <w:szCs w:val="24"/>
        </w:rPr>
        <w:t xml:space="preserve">; </w:t>
      </w:r>
      <w:r w:rsidR="003E68DE" w:rsidRPr="003E68DE">
        <w:rPr>
          <w:rFonts w:asciiTheme="majorBidi" w:eastAsia="Times New Roman" w:hAnsiTheme="majorBidi" w:cstheme="majorBidi"/>
          <w:bCs/>
          <w:iCs/>
          <w:sz w:val="24"/>
          <w:szCs w:val="24"/>
        </w:rPr>
        <w:t>Elghuweel</w:t>
      </w:r>
      <w:r w:rsidR="003E68DE" w:rsidRPr="003E68DE">
        <w:rPr>
          <w:rFonts w:asciiTheme="majorBidi" w:eastAsia="Times New Roman" w:hAnsiTheme="majorBidi" w:cstheme="majorBidi"/>
          <w:bCs/>
          <w:i/>
          <w:iCs/>
          <w:sz w:val="24"/>
          <w:szCs w:val="24"/>
        </w:rPr>
        <w:t xml:space="preserve"> et al</w:t>
      </w:r>
      <w:r w:rsidR="003E68DE" w:rsidRPr="003E68DE">
        <w:rPr>
          <w:rFonts w:asciiTheme="majorBidi" w:eastAsia="Times New Roman" w:hAnsiTheme="majorBidi" w:cstheme="majorBidi"/>
          <w:bCs/>
          <w:iCs/>
          <w:sz w:val="24"/>
          <w:szCs w:val="24"/>
        </w:rPr>
        <w:t xml:space="preserve">., 2017; </w:t>
      </w:r>
      <w:r w:rsidR="0013216A" w:rsidRPr="008E772B">
        <w:rPr>
          <w:rFonts w:asciiTheme="majorBidi" w:eastAsia="Times New Roman" w:hAnsiTheme="majorBidi" w:cstheme="majorBidi"/>
          <w:bCs/>
          <w:iCs/>
          <w:sz w:val="24"/>
          <w:szCs w:val="24"/>
        </w:rPr>
        <w:t>Habbash &amp; Alghamdi, 2017</w:t>
      </w:r>
      <w:r w:rsidR="00594CA4">
        <w:rPr>
          <w:rFonts w:asciiTheme="majorBidi" w:eastAsia="Times New Roman" w:hAnsiTheme="majorBidi" w:cstheme="majorBidi"/>
          <w:bCs/>
          <w:iCs/>
          <w:sz w:val="24"/>
          <w:szCs w:val="24"/>
        </w:rPr>
        <w:t xml:space="preserve">; </w:t>
      </w:r>
      <w:r w:rsidR="00594CA4" w:rsidRPr="008E772B">
        <w:rPr>
          <w:rFonts w:asciiTheme="majorBidi" w:eastAsia="Times New Roman" w:hAnsiTheme="majorBidi" w:cstheme="majorBidi"/>
          <w:bCs/>
          <w:iCs/>
          <w:sz w:val="24"/>
          <w:szCs w:val="24"/>
        </w:rPr>
        <w:t xml:space="preserve">Al-Bassam </w:t>
      </w:r>
      <w:r w:rsidR="00594CA4" w:rsidRPr="008E772B">
        <w:rPr>
          <w:rFonts w:asciiTheme="majorBidi" w:eastAsia="Times New Roman" w:hAnsiTheme="majorBidi" w:cstheme="majorBidi"/>
          <w:bCs/>
          <w:i/>
          <w:iCs/>
          <w:sz w:val="24"/>
          <w:szCs w:val="24"/>
        </w:rPr>
        <w:t>et al</w:t>
      </w:r>
      <w:r w:rsidR="00594CA4" w:rsidRPr="008E772B">
        <w:rPr>
          <w:rFonts w:asciiTheme="majorBidi" w:eastAsia="Times New Roman" w:hAnsiTheme="majorBidi" w:cstheme="majorBidi"/>
          <w:bCs/>
          <w:iCs/>
          <w:sz w:val="24"/>
          <w:szCs w:val="24"/>
        </w:rPr>
        <w:t>., 201</w:t>
      </w:r>
      <w:r w:rsidR="00594CA4">
        <w:rPr>
          <w:rFonts w:asciiTheme="majorBidi" w:eastAsia="Times New Roman" w:hAnsiTheme="majorBidi" w:cstheme="majorBidi"/>
          <w:bCs/>
          <w:iCs/>
          <w:sz w:val="24"/>
          <w:szCs w:val="24"/>
        </w:rPr>
        <w:t>8</w:t>
      </w:r>
      <w:r w:rsidR="003223EC" w:rsidRPr="008E772B">
        <w:rPr>
          <w:rFonts w:asciiTheme="majorBidi" w:eastAsia="Times New Roman" w:hAnsiTheme="majorBidi" w:cstheme="majorBidi"/>
          <w:bCs/>
          <w:sz w:val="24"/>
          <w:szCs w:val="24"/>
        </w:rPr>
        <w:t>)</w:t>
      </w:r>
      <w:r w:rsidR="008C4331" w:rsidRPr="008E772B">
        <w:rPr>
          <w:rFonts w:asciiTheme="majorBidi" w:eastAsia="Times New Roman" w:hAnsiTheme="majorBidi" w:cstheme="majorBidi"/>
          <w:bCs/>
          <w:sz w:val="24"/>
          <w:szCs w:val="24"/>
        </w:rPr>
        <w:t xml:space="preserve">. It should be noted, however, that </w:t>
      </w:r>
      <w:r w:rsidR="008C4331" w:rsidRPr="008E772B">
        <w:rPr>
          <w:rFonts w:asciiTheme="majorBidi" w:eastAsia="Times New Roman" w:hAnsiTheme="majorBidi" w:cstheme="majorBidi"/>
          <w:bCs/>
          <w:iCs/>
          <w:sz w:val="24"/>
          <w:szCs w:val="24"/>
        </w:rPr>
        <w:t>t</w:t>
      </w:r>
      <w:r w:rsidRPr="008E772B">
        <w:rPr>
          <w:rFonts w:asciiTheme="majorBidi" w:eastAsia="Times New Roman" w:hAnsiTheme="majorBidi" w:cstheme="majorBidi"/>
          <w:bCs/>
          <w:iCs/>
          <w:sz w:val="24"/>
          <w:szCs w:val="24"/>
        </w:rPr>
        <w:t>he separation of ownership and management is not the only source of agency conflict. Since various interested parties are associated with business organisations, there have been different types of principal-agent relationship</w:t>
      </w:r>
      <w:r w:rsidR="00926A83" w:rsidRPr="008E772B">
        <w:rPr>
          <w:rFonts w:asciiTheme="majorBidi" w:eastAsia="Times New Roman" w:hAnsiTheme="majorBidi" w:cstheme="majorBidi"/>
          <w:bCs/>
          <w:iCs/>
          <w:sz w:val="24"/>
          <w:szCs w:val="24"/>
        </w:rPr>
        <w:t>s</w:t>
      </w:r>
      <w:r w:rsidRPr="008E772B">
        <w:rPr>
          <w:rFonts w:asciiTheme="majorBidi" w:eastAsia="Times New Roman" w:hAnsiTheme="majorBidi" w:cstheme="majorBidi"/>
          <w:bCs/>
          <w:iCs/>
          <w:sz w:val="24"/>
          <w:szCs w:val="24"/>
        </w:rPr>
        <w:t xml:space="preserve"> (e.g., between controlling shareholders and minority shareholders, </w:t>
      </w:r>
      <w:r w:rsidR="008E5059">
        <w:rPr>
          <w:rFonts w:asciiTheme="majorBidi" w:eastAsia="Times New Roman" w:hAnsiTheme="majorBidi" w:cstheme="majorBidi"/>
          <w:bCs/>
          <w:iCs/>
          <w:sz w:val="24"/>
          <w:szCs w:val="24"/>
        </w:rPr>
        <w:t>bondholders</w:t>
      </w:r>
      <w:r w:rsidRPr="008E772B">
        <w:rPr>
          <w:rFonts w:asciiTheme="majorBidi" w:eastAsia="Times New Roman" w:hAnsiTheme="majorBidi" w:cstheme="majorBidi"/>
          <w:bCs/>
          <w:iCs/>
          <w:sz w:val="24"/>
          <w:szCs w:val="24"/>
        </w:rPr>
        <w:t xml:space="preserve"> and </w:t>
      </w:r>
      <w:r w:rsidR="008E5059">
        <w:rPr>
          <w:rFonts w:asciiTheme="majorBidi" w:eastAsia="Times New Roman" w:hAnsiTheme="majorBidi" w:cstheme="majorBidi"/>
          <w:bCs/>
          <w:iCs/>
          <w:sz w:val="24"/>
          <w:szCs w:val="24"/>
        </w:rPr>
        <w:t>shareholders</w:t>
      </w:r>
      <w:r w:rsidRPr="008E772B">
        <w:rPr>
          <w:rFonts w:asciiTheme="majorBidi" w:eastAsia="Times New Roman" w:hAnsiTheme="majorBidi" w:cstheme="majorBidi"/>
          <w:bCs/>
          <w:iCs/>
          <w:sz w:val="24"/>
          <w:szCs w:val="24"/>
        </w:rPr>
        <w:t>)</w:t>
      </w:r>
      <w:r w:rsidR="003223EC" w:rsidRPr="008E772B">
        <w:rPr>
          <w:rFonts w:asciiTheme="majorBidi" w:eastAsia="Times New Roman" w:hAnsiTheme="majorBidi" w:cstheme="majorBidi"/>
          <w:bCs/>
          <w:iCs/>
          <w:sz w:val="24"/>
          <w:szCs w:val="24"/>
        </w:rPr>
        <w:t xml:space="preserve"> (</w:t>
      </w:r>
      <w:r w:rsidR="007D00AC" w:rsidRPr="008E772B">
        <w:rPr>
          <w:rFonts w:asciiTheme="majorBidi" w:eastAsia="Times New Roman" w:hAnsiTheme="majorBidi" w:cstheme="majorBidi"/>
          <w:bCs/>
          <w:iCs/>
          <w:sz w:val="24"/>
          <w:szCs w:val="24"/>
        </w:rPr>
        <w:t>Lin &amp; Liu, 2009, 2010</w:t>
      </w:r>
      <w:r w:rsidR="003223EC" w:rsidRPr="008E772B">
        <w:rPr>
          <w:rFonts w:asciiTheme="majorBidi" w:eastAsia="Times New Roman" w:hAnsiTheme="majorBidi" w:cstheme="majorBidi"/>
          <w:bCs/>
          <w:iCs/>
          <w:sz w:val="24"/>
          <w:szCs w:val="24"/>
        </w:rPr>
        <w:t>)</w:t>
      </w:r>
      <w:r w:rsidRPr="008E772B">
        <w:rPr>
          <w:rFonts w:asciiTheme="majorBidi" w:eastAsia="Times New Roman" w:hAnsiTheme="majorBidi" w:cstheme="majorBidi"/>
          <w:bCs/>
          <w:iCs/>
          <w:sz w:val="24"/>
          <w:szCs w:val="24"/>
        </w:rPr>
        <w:t xml:space="preserve">. </w:t>
      </w:r>
    </w:p>
    <w:p w14:paraId="33A2CFAB" w14:textId="6A9D2A67" w:rsidR="00BC2373" w:rsidRDefault="008A2409" w:rsidP="00E05DB8">
      <w:pPr>
        <w:tabs>
          <w:tab w:val="left" w:pos="5245"/>
        </w:tabs>
        <w:spacing w:after="0" w:line="360" w:lineRule="auto"/>
        <w:ind w:firstLine="720"/>
        <w:jc w:val="lowKashida"/>
        <w:rPr>
          <w:rFonts w:asciiTheme="majorBidi" w:eastAsia="Times New Roman" w:hAnsiTheme="majorBidi" w:cstheme="majorBidi"/>
          <w:bCs/>
          <w:sz w:val="24"/>
          <w:szCs w:val="24"/>
        </w:rPr>
      </w:pPr>
      <w:r w:rsidRPr="008E772B">
        <w:rPr>
          <w:rFonts w:asciiTheme="majorBidi" w:eastAsia="Times New Roman" w:hAnsiTheme="majorBidi" w:cstheme="majorBidi"/>
          <w:bCs/>
          <w:sz w:val="24"/>
          <w:szCs w:val="24"/>
        </w:rPr>
        <w:t xml:space="preserve">In this case, a major way by </w:t>
      </w:r>
      <w:r w:rsidR="00D5055D" w:rsidRPr="008E772B">
        <w:rPr>
          <w:rFonts w:asciiTheme="majorBidi" w:eastAsia="Times New Roman" w:hAnsiTheme="majorBidi" w:cstheme="majorBidi"/>
          <w:bCs/>
          <w:sz w:val="24"/>
          <w:szCs w:val="24"/>
        </w:rPr>
        <w:t xml:space="preserve">which </w:t>
      </w:r>
      <w:r w:rsidRPr="008E772B">
        <w:rPr>
          <w:rFonts w:asciiTheme="majorBidi" w:eastAsia="Times New Roman" w:hAnsiTheme="majorBidi" w:cstheme="majorBidi"/>
          <w:bCs/>
          <w:sz w:val="24"/>
          <w:szCs w:val="24"/>
        </w:rPr>
        <w:t>a</w:t>
      </w:r>
      <w:r w:rsidR="007C4420" w:rsidRPr="008E772B">
        <w:rPr>
          <w:rFonts w:asciiTheme="majorBidi" w:eastAsia="Times New Roman" w:hAnsiTheme="majorBidi" w:cstheme="majorBidi"/>
          <w:bCs/>
          <w:sz w:val="24"/>
          <w:szCs w:val="24"/>
        </w:rPr>
        <w:t xml:space="preserve">gency conflicts </w:t>
      </w:r>
      <w:r w:rsidRPr="008E772B">
        <w:rPr>
          <w:rFonts w:asciiTheme="majorBidi" w:eastAsia="Times New Roman" w:hAnsiTheme="majorBidi" w:cstheme="majorBidi"/>
          <w:bCs/>
          <w:sz w:val="24"/>
          <w:szCs w:val="24"/>
        </w:rPr>
        <w:t>can be reduced is for shareholders to appoint independent external auditors</w:t>
      </w:r>
      <w:r w:rsidR="00827215" w:rsidRPr="00827215">
        <w:rPr>
          <w:rFonts w:asciiTheme="majorBidi" w:eastAsiaTheme="minorHAnsi" w:hAnsiTheme="majorBidi" w:cstheme="majorBidi"/>
          <w:color w:val="FF0000"/>
          <w:sz w:val="24"/>
          <w:szCs w:val="24"/>
          <w:lang w:eastAsia="en-US"/>
        </w:rPr>
        <w:t xml:space="preserve"> </w:t>
      </w:r>
      <w:r w:rsidR="00827215" w:rsidRPr="00F26196">
        <w:rPr>
          <w:rFonts w:asciiTheme="majorBidi" w:eastAsiaTheme="minorHAnsi" w:hAnsiTheme="majorBidi" w:cstheme="majorBidi"/>
          <w:sz w:val="24"/>
          <w:szCs w:val="24"/>
          <w:lang w:eastAsia="en-US"/>
        </w:rPr>
        <w:t>(</w:t>
      </w:r>
      <w:r w:rsidR="00827215" w:rsidRPr="00827215">
        <w:rPr>
          <w:rFonts w:asciiTheme="majorBidi" w:eastAsia="Times New Roman" w:hAnsiTheme="majorBidi" w:cstheme="majorBidi"/>
          <w:bCs/>
          <w:sz w:val="24"/>
          <w:szCs w:val="24"/>
        </w:rPr>
        <w:t xml:space="preserve">Barroso </w:t>
      </w:r>
      <w:r w:rsidR="00827215" w:rsidRPr="00D94C5C">
        <w:rPr>
          <w:rFonts w:asciiTheme="majorBidi" w:eastAsia="Times New Roman" w:hAnsiTheme="majorBidi" w:cstheme="majorBidi"/>
          <w:bCs/>
          <w:i/>
          <w:sz w:val="24"/>
          <w:szCs w:val="24"/>
        </w:rPr>
        <w:t>et al.,</w:t>
      </w:r>
      <w:r w:rsidR="00827215" w:rsidRPr="00827215">
        <w:rPr>
          <w:rFonts w:asciiTheme="majorBidi" w:eastAsia="Times New Roman" w:hAnsiTheme="majorBidi" w:cstheme="majorBidi"/>
          <w:bCs/>
          <w:sz w:val="24"/>
          <w:szCs w:val="24"/>
        </w:rPr>
        <w:t xml:space="preserve"> 2018</w:t>
      </w:r>
      <w:r w:rsidR="00827215">
        <w:rPr>
          <w:rFonts w:asciiTheme="majorBidi" w:eastAsia="Times New Roman" w:hAnsiTheme="majorBidi" w:cstheme="majorBidi"/>
          <w:bCs/>
          <w:sz w:val="24"/>
          <w:szCs w:val="24"/>
        </w:rPr>
        <w:t>)</w:t>
      </w:r>
      <w:r w:rsidRPr="008E772B">
        <w:rPr>
          <w:rFonts w:asciiTheme="majorBidi" w:eastAsia="Times New Roman" w:hAnsiTheme="majorBidi" w:cstheme="majorBidi"/>
          <w:bCs/>
          <w:sz w:val="24"/>
          <w:szCs w:val="24"/>
        </w:rPr>
        <w:t xml:space="preserve">. It has generally been argued that the appointment of external auditors can </w:t>
      </w:r>
      <w:r w:rsidR="007C4420" w:rsidRPr="008E772B">
        <w:rPr>
          <w:rFonts w:asciiTheme="majorBidi" w:eastAsia="Times New Roman" w:hAnsiTheme="majorBidi" w:cstheme="majorBidi"/>
          <w:bCs/>
          <w:sz w:val="24"/>
          <w:szCs w:val="24"/>
        </w:rPr>
        <w:t>en</w:t>
      </w:r>
      <w:r w:rsidR="00D23362">
        <w:rPr>
          <w:rFonts w:asciiTheme="majorBidi" w:eastAsia="Times New Roman" w:hAnsiTheme="majorBidi" w:cstheme="majorBidi"/>
          <w:bCs/>
          <w:sz w:val="24"/>
          <w:szCs w:val="24"/>
        </w:rPr>
        <w:t>hance</w:t>
      </w:r>
      <w:r w:rsidR="007C4420" w:rsidRPr="008E772B">
        <w:rPr>
          <w:rFonts w:asciiTheme="majorBidi" w:eastAsia="Times New Roman" w:hAnsiTheme="majorBidi" w:cstheme="majorBidi"/>
          <w:bCs/>
          <w:sz w:val="24"/>
          <w:szCs w:val="24"/>
        </w:rPr>
        <w:t xml:space="preserve"> </w:t>
      </w:r>
      <w:r w:rsidRPr="008E772B">
        <w:rPr>
          <w:rFonts w:asciiTheme="majorBidi" w:eastAsia="Times New Roman" w:hAnsiTheme="majorBidi" w:cstheme="majorBidi"/>
          <w:bCs/>
          <w:sz w:val="24"/>
          <w:szCs w:val="24"/>
        </w:rPr>
        <w:t>the quality and</w:t>
      </w:r>
      <w:r w:rsidR="007C4420" w:rsidRPr="008E772B">
        <w:rPr>
          <w:rFonts w:asciiTheme="majorBidi" w:eastAsia="Times New Roman" w:hAnsiTheme="majorBidi" w:cstheme="majorBidi"/>
          <w:bCs/>
          <w:sz w:val="24"/>
          <w:szCs w:val="24"/>
        </w:rPr>
        <w:t xml:space="preserve"> fairness of financial reports prepared by management for shareholders </w:t>
      </w:r>
      <w:r w:rsidRPr="008E772B">
        <w:rPr>
          <w:rFonts w:asciiTheme="majorBidi" w:eastAsia="Times New Roman" w:hAnsiTheme="majorBidi" w:cstheme="majorBidi"/>
          <w:bCs/>
          <w:sz w:val="24"/>
          <w:szCs w:val="24"/>
        </w:rPr>
        <w:t xml:space="preserve">through their ability </w:t>
      </w:r>
      <w:r w:rsidR="007C4420" w:rsidRPr="008E772B">
        <w:rPr>
          <w:rFonts w:asciiTheme="majorBidi" w:eastAsia="Times New Roman" w:hAnsiTheme="majorBidi" w:cstheme="majorBidi"/>
          <w:bCs/>
          <w:sz w:val="24"/>
          <w:szCs w:val="24"/>
        </w:rPr>
        <w:t xml:space="preserve">to detect </w:t>
      </w:r>
      <w:r w:rsidRPr="008E772B">
        <w:rPr>
          <w:rFonts w:asciiTheme="majorBidi" w:eastAsia="Times New Roman" w:hAnsiTheme="majorBidi" w:cstheme="majorBidi"/>
          <w:bCs/>
          <w:sz w:val="24"/>
          <w:szCs w:val="24"/>
        </w:rPr>
        <w:t xml:space="preserve">and report </w:t>
      </w:r>
      <w:r w:rsidR="007C4420" w:rsidRPr="008E772B">
        <w:rPr>
          <w:rFonts w:asciiTheme="majorBidi" w:eastAsia="Times New Roman" w:hAnsiTheme="majorBidi" w:cstheme="majorBidi"/>
          <w:bCs/>
          <w:sz w:val="24"/>
          <w:szCs w:val="24"/>
        </w:rPr>
        <w:t>material deviations from generally accepted accounting principles (GAAP)</w:t>
      </w:r>
      <w:r w:rsidR="009F3B5C" w:rsidRPr="008E772B">
        <w:rPr>
          <w:rFonts w:asciiTheme="majorBidi" w:eastAsia="Times New Roman" w:hAnsiTheme="majorBidi" w:cstheme="majorBidi"/>
          <w:bCs/>
          <w:sz w:val="24"/>
          <w:szCs w:val="24"/>
        </w:rPr>
        <w:t xml:space="preserve">, such as </w:t>
      </w:r>
      <w:r w:rsidR="00120E92">
        <w:rPr>
          <w:rFonts w:asciiTheme="majorBidi" w:eastAsia="Times New Roman" w:hAnsiTheme="majorBidi" w:cstheme="majorBidi"/>
          <w:bCs/>
          <w:sz w:val="24"/>
          <w:szCs w:val="24"/>
        </w:rPr>
        <w:t xml:space="preserve">the </w:t>
      </w:r>
      <w:r w:rsidR="009F3B5C" w:rsidRPr="008E772B">
        <w:rPr>
          <w:rFonts w:asciiTheme="majorBidi" w:eastAsia="Times New Roman" w:hAnsiTheme="majorBidi" w:cstheme="majorBidi"/>
          <w:bCs/>
          <w:sz w:val="24"/>
          <w:szCs w:val="24"/>
        </w:rPr>
        <w:t>IFRS</w:t>
      </w:r>
      <w:r w:rsidR="007C4420" w:rsidRPr="008E772B">
        <w:rPr>
          <w:rFonts w:asciiTheme="majorBidi" w:eastAsia="Times New Roman" w:hAnsiTheme="majorBidi" w:cstheme="majorBidi"/>
          <w:bCs/>
          <w:sz w:val="24"/>
          <w:szCs w:val="24"/>
        </w:rPr>
        <w:t xml:space="preserve"> (</w:t>
      </w:r>
      <w:r w:rsidR="00196BEE" w:rsidRPr="008E772B">
        <w:rPr>
          <w:rFonts w:asciiTheme="majorBidi" w:eastAsia="Times New Roman" w:hAnsiTheme="majorBidi" w:cstheme="majorBidi"/>
          <w:bCs/>
          <w:sz w:val="24"/>
          <w:szCs w:val="24"/>
        </w:rPr>
        <w:t xml:space="preserve">Habbash </w:t>
      </w:r>
      <w:r w:rsidR="001C5247" w:rsidRPr="008E772B">
        <w:rPr>
          <w:rFonts w:asciiTheme="majorBidi" w:eastAsia="Times New Roman" w:hAnsiTheme="majorBidi" w:cstheme="majorBidi"/>
          <w:bCs/>
          <w:sz w:val="24"/>
          <w:szCs w:val="24"/>
        </w:rPr>
        <w:t>&amp;</w:t>
      </w:r>
      <w:r w:rsidR="00196BEE" w:rsidRPr="008E772B">
        <w:rPr>
          <w:rFonts w:asciiTheme="majorBidi" w:eastAsia="Times New Roman" w:hAnsiTheme="majorBidi" w:cstheme="majorBidi"/>
          <w:bCs/>
          <w:sz w:val="24"/>
          <w:szCs w:val="24"/>
        </w:rPr>
        <w:t xml:space="preserve"> Alghamdi, </w:t>
      </w:r>
      <w:r w:rsidR="00255825" w:rsidRPr="008E772B">
        <w:rPr>
          <w:rFonts w:asciiTheme="majorBidi" w:eastAsia="Times New Roman" w:hAnsiTheme="majorBidi" w:cstheme="majorBidi"/>
          <w:bCs/>
          <w:sz w:val="24"/>
          <w:szCs w:val="24"/>
        </w:rPr>
        <w:t>2017</w:t>
      </w:r>
      <w:r w:rsidR="007C4420" w:rsidRPr="008E772B">
        <w:rPr>
          <w:rFonts w:asciiTheme="majorBidi" w:eastAsia="Times New Roman" w:hAnsiTheme="majorBidi" w:cstheme="majorBidi"/>
          <w:bCs/>
          <w:sz w:val="24"/>
          <w:szCs w:val="24"/>
        </w:rPr>
        <w:t xml:space="preserve">). </w:t>
      </w:r>
      <w:r w:rsidR="004D1E13" w:rsidRPr="008E772B">
        <w:rPr>
          <w:rFonts w:asciiTheme="majorBidi" w:eastAsia="Times New Roman" w:hAnsiTheme="majorBidi" w:cstheme="majorBidi"/>
          <w:bCs/>
          <w:sz w:val="24"/>
          <w:szCs w:val="24"/>
        </w:rPr>
        <w:t>Consequently</w:t>
      </w:r>
      <w:r w:rsidR="007C4420" w:rsidRPr="008E772B">
        <w:rPr>
          <w:rFonts w:asciiTheme="majorBidi" w:eastAsia="Times New Roman" w:hAnsiTheme="majorBidi" w:cstheme="majorBidi"/>
          <w:bCs/>
          <w:sz w:val="24"/>
          <w:szCs w:val="24"/>
        </w:rPr>
        <w:t xml:space="preserve">, firms </w:t>
      </w:r>
      <w:r w:rsidR="004D1E13" w:rsidRPr="008E772B">
        <w:rPr>
          <w:rFonts w:asciiTheme="majorBidi" w:eastAsia="Times New Roman" w:hAnsiTheme="majorBidi" w:cstheme="majorBidi"/>
          <w:bCs/>
          <w:sz w:val="24"/>
          <w:szCs w:val="24"/>
        </w:rPr>
        <w:t xml:space="preserve">need to </w:t>
      </w:r>
      <w:r w:rsidR="00D825DF">
        <w:rPr>
          <w:rFonts w:asciiTheme="majorBidi" w:eastAsia="Times New Roman" w:hAnsiTheme="majorBidi" w:cstheme="majorBidi"/>
          <w:bCs/>
          <w:sz w:val="24"/>
          <w:szCs w:val="24"/>
        </w:rPr>
        <w:t>employ</w:t>
      </w:r>
      <w:r w:rsidR="00D825DF" w:rsidRPr="008E772B">
        <w:rPr>
          <w:rFonts w:asciiTheme="majorBidi" w:eastAsia="Times New Roman" w:hAnsiTheme="majorBidi" w:cstheme="majorBidi"/>
          <w:bCs/>
          <w:sz w:val="24"/>
          <w:szCs w:val="24"/>
        </w:rPr>
        <w:t xml:space="preserve"> </w:t>
      </w:r>
      <w:r w:rsidR="004D1E13" w:rsidRPr="008E772B">
        <w:rPr>
          <w:rFonts w:asciiTheme="majorBidi" w:eastAsia="Times New Roman" w:hAnsiTheme="majorBidi" w:cstheme="majorBidi"/>
          <w:bCs/>
          <w:sz w:val="24"/>
          <w:szCs w:val="24"/>
        </w:rPr>
        <w:t>auditors to audit their books with</w:t>
      </w:r>
      <w:r w:rsidR="00D30E2A" w:rsidRPr="008E772B">
        <w:rPr>
          <w:rFonts w:asciiTheme="majorBidi" w:eastAsia="Times New Roman" w:hAnsiTheme="majorBidi" w:cstheme="majorBidi"/>
          <w:bCs/>
          <w:sz w:val="24"/>
          <w:szCs w:val="24"/>
        </w:rPr>
        <w:t xml:space="preserve"> a view</w:t>
      </w:r>
      <w:r w:rsidR="004D1E13" w:rsidRPr="008E772B">
        <w:rPr>
          <w:rFonts w:asciiTheme="majorBidi" w:eastAsia="Times New Roman" w:hAnsiTheme="majorBidi" w:cstheme="majorBidi"/>
          <w:bCs/>
          <w:sz w:val="24"/>
          <w:szCs w:val="24"/>
        </w:rPr>
        <w:t xml:space="preserve"> </w:t>
      </w:r>
      <w:r w:rsidR="00D5055D" w:rsidRPr="008E772B">
        <w:rPr>
          <w:rFonts w:asciiTheme="majorBidi" w:eastAsia="Times New Roman" w:hAnsiTheme="majorBidi" w:cstheme="majorBidi"/>
          <w:bCs/>
          <w:sz w:val="24"/>
          <w:szCs w:val="24"/>
        </w:rPr>
        <w:t xml:space="preserve">to </w:t>
      </w:r>
      <w:r w:rsidR="00DD7F31" w:rsidRPr="008E772B">
        <w:rPr>
          <w:rFonts w:asciiTheme="majorBidi" w:eastAsia="Times New Roman" w:hAnsiTheme="majorBidi" w:cstheme="majorBidi"/>
          <w:bCs/>
          <w:sz w:val="24"/>
          <w:szCs w:val="24"/>
        </w:rPr>
        <w:t>improv</w:t>
      </w:r>
      <w:r w:rsidR="001D6C8D">
        <w:rPr>
          <w:rFonts w:asciiTheme="majorBidi" w:eastAsia="Times New Roman" w:hAnsiTheme="majorBidi" w:cstheme="majorBidi"/>
          <w:bCs/>
          <w:sz w:val="24"/>
          <w:szCs w:val="24"/>
        </w:rPr>
        <w:t>ing</w:t>
      </w:r>
      <w:r w:rsidR="00DD7F31" w:rsidRPr="008E772B">
        <w:rPr>
          <w:rFonts w:asciiTheme="majorBidi" w:eastAsia="Times New Roman" w:hAnsiTheme="majorBidi" w:cstheme="majorBidi"/>
          <w:bCs/>
          <w:sz w:val="24"/>
          <w:szCs w:val="24"/>
        </w:rPr>
        <w:t xml:space="preserve"> </w:t>
      </w:r>
      <w:r w:rsidR="007C4420" w:rsidRPr="008E772B">
        <w:rPr>
          <w:rFonts w:asciiTheme="majorBidi" w:eastAsia="Times New Roman" w:hAnsiTheme="majorBidi" w:cstheme="majorBidi"/>
          <w:bCs/>
          <w:sz w:val="24"/>
          <w:szCs w:val="24"/>
        </w:rPr>
        <w:t xml:space="preserve">the credibility of their financial </w:t>
      </w:r>
      <w:r w:rsidR="00995CD1">
        <w:rPr>
          <w:rFonts w:asciiTheme="majorBidi" w:eastAsia="Times New Roman" w:hAnsiTheme="majorBidi" w:cstheme="majorBidi"/>
          <w:bCs/>
          <w:sz w:val="24"/>
          <w:szCs w:val="24"/>
        </w:rPr>
        <w:t>reporting</w:t>
      </w:r>
      <w:r w:rsidR="00147FD6" w:rsidRPr="008E772B">
        <w:rPr>
          <w:rFonts w:asciiTheme="majorBidi" w:eastAsia="Times New Roman" w:hAnsiTheme="majorBidi" w:cstheme="majorBidi"/>
          <w:bCs/>
          <w:sz w:val="24"/>
          <w:szCs w:val="24"/>
        </w:rPr>
        <w:t>,</w:t>
      </w:r>
      <w:r w:rsidR="007C4420" w:rsidRPr="008E772B">
        <w:rPr>
          <w:rFonts w:asciiTheme="majorBidi" w:eastAsia="Times New Roman" w:hAnsiTheme="majorBidi" w:cstheme="majorBidi"/>
          <w:bCs/>
          <w:sz w:val="24"/>
          <w:szCs w:val="24"/>
        </w:rPr>
        <w:t xml:space="preserve"> and thereby mitigat</w:t>
      </w:r>
      <w:r w:rsidR="00C3010F">
        <w:rPr>
          <w:rFonts w:asciiTheme="majorBidi" w:eastAsia="Times New Roman" w:hAnsiTheme="majorBidi" w:cstheme="majorBidi"/>
          <w:bCs/>
          <w:sz w:val="24"/>
          <w:szCs w:val="24"/>
        </w:rPr>
        <w:t>ing any inherent</w:t>
      </w:r>
      <w:r w:rsidR="007C4420" w:rsidRPr="008E772B">
        <w:rPr>
          <w:rFonts w:asciiTheme="majorBidi" w:eastAsia="Times New Roman" w:hAnsiTheme="majorBidi" w:cstheme="majorBidi"/>
          <w:bCs/>
          <w:sz w:val="24"/>
          <w:szCs w:val="24"/>
        </w:rPr>
        <w:t xml:space="preserve"> agency problems (</w:t>
      </w:r>
      <w:r w:rsidR="00225B47" w:rsidRPr="008E772B">
        <w:rPr>
          <w:rFonts w:asciiTheme="majorBidi" w:eastAsia="Times New Roman" w:hAnsiTheme="majorBidi" w:cstheme="majorBidi"/>
          <w:bCs/>
          <w:sz w:val="24"/>
          <w:szCs w:val="24"/>
        </w:rPr>
        <w:t>Gul</w:t>
      </w:r>
      <w:r w:rsidR="00C227E6" w:rsidRPr="008E772B">
        <w:rPr>
          <w:rFonts w:asciiTheme="majorBidi" w:eastAsia="Times New Roman" w:hAnsiTheme="majorBidi" w:cstheme="majorBidi"/>
          <w:bCs/>
          <w:sz w:val="24"/>
          <w:szCs w:val="24"/>
        </w:rPr>
        <w:t xml:space="preserve"> </w:t>
      </w:r>
      <w:r w:rsidR="00C227E6" w:rsidRPr="008E772B">
        <w:rPr>
          <w:rFonts w:asciiTheme="majorBidi" w:eastAsia="Times New Roman" w:hAnsiTheme="majorBidi" w:cstheme="majorBidi"/>
          <w:bCs/>
          <w:i/>
          <w:iCs/>
          <w:sz w:val="24"/>
          <w:szCs w:val="24"/>
        </w:rPr>
        <w:t>et al</w:t>
      </w:r>
      <w:r w:rsidR="00C227E6" w:rsidRPr="008E772B">
        <w:rPr>
          <w:rFonts w:asciiTheme="majorBidi" w:eastAsia="Times New Roman" w:hAnsiTheme="majorBidi" w:cstheme="majorBidi"/>
          <w:bCs/>
          <w:sz w:val="24"/>
          <w:szCs w:val="24"/>
        </w:rPr>
        <w:t xml:space="preserve">., 2013; </w:t>
      </w:r>
      <w:r w:rsidR="0013216A" w:rsidRPr="008E772B">
        <w:rPr>
          <w:rFonts w:asciiTheme="majorBidi" w:eastAsia="Calibri" w:hAnsiTheme="majorBidi" w:cstheme="majorBidi"/>
          <w:bCs/>
          <w:iCs/>
          <w:sz w:val="24"/>
          <w:szCs w:val="24"/>
        </w:rPr>
        <w:t>Habbash &amp; Alghamdi, 2017</w:t>
      </w:r>
      <w:r w:rsidR="007C4420" w:rsidRPr="008E772B">
        <w:rPr>
          <w:rFonts w:asciiTheme="majorBidi" w:eastAsia="Times New Roman" w:hAnsiTheme="majorBidi" w:cstheme="majorBidi"/>
          <w:bCs/>
          <w:sz w:val="24"/>
          <w:szCs w:val="24"/>
        </w:rPr>
        <w:t xml:space="preserve">). </w:t>
      </w:r>
      <w:r w:rsidR="004D1E13" w:rsidRPr="008E772B">
        <w:rPr>
          <w:rFonts w:asciiTheme="majorBidi" w:eastAsia="Times New Roman" w:hAnsiTheme="majorBidi" w:cstheme="majorBidi"/>
          <w:bCs/>
          <w:sz w:val="24"/>
          <w:szCs w:val="24"/>
        </w:rPr>
        <w:t xml:space="preserve">In this case, shareholders </w:t>
      </w:r>
      <w:r w:rsidR="00F46891">
        <w:rPr>
          <w:rFonts w:asciiTheme="majorBidi" w:eastAsia="Times New Roman" w:hAnsiTheme="majorBidi" w:cstheme="majorBidi"/>
          <w:bCs/>
          <w:sz w:val="24"/>
          <w:szCs w:val="24"/>
        </w:rPr>
        <w:t xml:space="preserve">may </w:t>
      </w:r>
      <w:r w:rsidR="004D1E13" w:rsidRPr="008E772B">
        <w:rPr>
          <w:rFonts w:asciiTheme="majorBidi" w:eastAsia="Times New Roman" w:hAnsiTheme="majorBidi" w:cstheme="majorBidi"/>
          <w:bCs/>
          <w:sz w:val="24"/>
          <w:szCs w:val="24"/>
        </w:rPr>
        <w:t>need to make two critical decisions. The first decision relates to the calibre (choice) of the auditor</w:t>
      </w:r>
      <w:r w:rsidR="00814423" w:rsidRPr="008E772B">
        <w:rPr>
          <w:rFonts w:asciiTheme="majorBidi" w:eastAsia="Times New Roman" w:hAnsiTheme="majorBidi" w:cstheme="majorBidi"/>
          <w:bCs/>
          <w:sz w:val="24"/>
          <w:szCs w:val="24"/>
        </w:rPr>
        <w:t xml:space="preserve"> (e.g., Big 4 versus non-Big 4 audit firm)</w:t>
      </w:r>
      <w:r w:rsidR="004D1E13" w:rsidRPr="008E772B">
        <w:rPr>
          <w:rFonts w:asciiTheme="majorBidi" w:eastAsia="Times New Roman" w:hAnsiTheme="majorBidi" w:cstheme="majorBidi"/>
          <w:bCs/>
          <w:sz w:val="24"/>
          <w:szCs w:val="24"/>
        </w:rPr>
        <w:t xml:space="preserve">, and the second inherent decision is the cost of the audit. </w:t>
      </w:r>
      <w:r w:rsidR="00F632B9">
        <w:rPr>
          <w:rFonts w:asciiTheme="majorBidi" w:eastAsia="Times New Roman" w:hAnsiTheme="majorBidi" w:cstheme="majorBidi"/>
          <w:bCs/>
          <w:sz w:val="24"/>
          <w:szCs w:val="24"/>
        </w:rPr>
        <w:t>Indeed</w:t>
      </w:r>
      <w:r w:rsidR="00F33C68" w:rsidRPr="008E772B">
        <w:rPr>
          <w:rFonts w:asciiTheme="majorBidi" w:eastAsia="Times New Roman" w:hAnsiTheme="majorBidi" w:cstheme="majorBidi"/>
          <w:bCs/>
          <w:sz w:val="24"/>
          <w:szCs w:val="24"/>
        </w:rPr>
        <w:t>,</w:t>
      </w:r>
      <w:r w:rsidR="004D1E13" w:rsidRPr="008E772B">
        <w:rPr>
          <w:rFonts w:asciiTheme="majorBidi" w:eastAsia="Times New Roman" w:hAnsiTheme="majorBidi" w:cstheme="majorBidi"/>
          <w:bCs/>
          <w:sz w:val="24"/>
          <w:szCs w:val="24"/>
        </w:rPr>
        <w:t xml:space="preserve"> evidence exists that</w:t>
      </w:r>
      <w:r w:rsidR="0068520E">
        <w:rPr>
          <w:rFonts w:asciiTheme="majorBidi" w:eastAsia="Times New Roman" w:hAnsiTheme="majorBidi" w:cstheme="majorBidi"/>
          <w:bCs/>
          <w:sz w:val="24"/>
          <w:szCs w:val="24"/>
        </w:rPr>
        <w:t xml:space="preserve"> suggests that</w:t>
      </w:r>
      <w:r w:rsidR="004D1E13" w:rsidRPr="008E772B">
        <w:rPr>
          <w:rFonts w:asciiTheme="majorBidi" w:eastAsia="Times New Roman" w:hAnsiTheme="majorBidi" w:cstheme="majorBidi"/>
          <w:bCs/>
          <w:sz w:val="24"/>
          <w:szCs w:val="24"/>
        </w:rPr>
        <w:t xml:space="preserve"> audit quality is positively associated with the size and reputation of the auditor (e.g.</w:t>
      </w:r>
      <w:r w:rsidR="00666AC4" w:rsidRPr="008E772B">
        <w:rPr>
          <w:rFonts w:asciiTheme="majorBidi" w:eastAsia="Times New Roman" w:hAnsiTheme="majorBidi" w:cstheme="majorBidi"/>
          <w:bCs/>
          <w:sz w:val="24"/>
          <w:szCs w:val="24"/>
        </w:rPr>
        <w:t>, DeAngelo, 1981;</w:t>
      </w:r>
      <w:r w:rsidR="00F11FB8" w:rsidRPr="008E772B">
        <w:rPr>
          <w:rFonts w:asciiTheme="majorBidi" w:eastAsia="Times New Roman" w:hAnsiTheme="majorBidi" w:cstheme="majorBidi"/>
          <w:bCs/>
          <w:sz w:val="24"/>
          <w:szCs w:val="24"/>
        </w:rPr>
        <w:t xml:space="preserve"> </w:t>
      </w:r>
      <w:r w:rsidR="00225B47" w:rsidRPr="008E772B">
        <w:rPr>
          <w:rFonts w:asciiTheme="majorBidi" w:eastAsia="Times New Roman" w:hAnsiTheme="majorBidi" w:cstheme="majorBidi"/>
          <w:bCs/>
          <w:sz w:val="24"/>
          <w:szCs w:val="24"/>
        </w:rPr>
        <w:t xml:space="preserve">Gul </w:t>
      </w:r>
      <w:r w:rsidR="00225B47" w:rsidRPr="008E772B">
        <w:rPr>
          <w:rFonts w:asciiTheme="majorBidi" w:eastAsia="Times New Roman" w:hAnsiTheme="majorBidi" w:cstheme="majorBidi"/>
          <w:bCs/>
          <w:i/>
          <w:iCs/>
          <w:sz w:val="24"/>
          <w:szCs w:val="24"/>
        </w:rPr>
        <w:t>et al</w:t>
      </w:r>
      <w:r w:rsidR="00225B47" w:rsidRPr="008E772B">
        <w:rPr>
          <w:rFonts w:asciiTheme="majorBidi" w:eastAsia="Times New Roman" w:hAnsiTheme="majorBidi" w:cstheme="majorBidi"/>
          <w:bCs/>
          <w:sz w:val="24"/>
          <w:szCs w:val="24"/>
        </w:rPr>
        <w:t>., 2013</w:t>
      </w:r>
      <w:r w:rsidR="009B6B7A" w:rsidRPr="008E772B">
        <w:rPr>
          <w:rFonts w:asciiTheme="majorBidi" w:eastAsia="Times New Roman" w:hAnsiTheme="majorBidi" w:cstheme="majorBidi"/>
          <w:bCs/>
          <w:sz w:val="24"/>
          <w:szCs w:val="24"/>
        </w:rPr>
        <w:t xml:space="preserve">; </w:t>
      </w:r>
      <w:r w:rsidR="009B6B7A" w:rsidRPr="008E772B">
        <w:rPr>
          <w:rFonts w:asciiTheme="majorBidi" w:eastAsia="Times New Roman" w:hAnsiTheme="majorBidi" w:cstheme="majorBidi"/>
          <w:bCs/>
          <w:iCs/>
          <w:sz w:val="24"/>
          <w:szCs w:val="24"/>
        </w:rPr>
        <w:t>Habbash &amp; Alghamdi, 2017</w:t>
      </w:r>
      <w:r w:rsidR="004D1E13" w:rsidRPr="008E772B">
        <w:rPr>
          <w:rFonts w:asciiTheme="majorBidi" w:eastAsia="Times New Roman" w:hAnsiTheme="majorBidi" w:cstheme="majorBidi"/>
          <w:bCs/>
          <w:sz w:val="24"/>
          <w:szCs w:val="24"/>
        </w:rPr>
        <w:t xml:space="preserve">). </w:t>
      </w:r>
      <w:r w:rsidR="007C4420" w:rsidRPr="008E772B">
        <w:rPr>
          <w:rFonts w:asciiTheme="majorBidi" w:eastAsia="Times New Roman" w:hAnsiTheme="majorBidi" w:cstheme="majorBidi"/>
          <w:bCs/>
          <w:sz w:val="24"/>
          <w:szCs w:val="24"/>
        </w:rPr>
        <w:t>This means that</w:t>
      </w:r>
      <w:r w:rsidR="004D1E13" w:rsidRPr="008E772B">
        <w:rPr>
          <w:rFonts w:asciiTheme="majorBidi" w:eastAsia="Times New Roman" w:hAnsiTheme="majorBidi" w:cstheme="majorBidi"/>
          <w:bCs/>
          <w:sz w:val="24"/>
          <w:szCs w:val="24"/>
        </w:rPr>
        <w:t xml:space="preserve"> large and</w:t>
      </w:r>
      <w:r w:rsidR="007C4420" w:rsidRPr="008E772B">
        <w:rPr>
          <w:rFonts w:asciiTheme="majorBidi" w:eastAsia="Times New Roman" w:hAnsiTheme="majorBidi" w:cstheme="majorBidi"/>
          <w:bCs/>
          <w:sz w:val="24"/>
          <w:szCs w:val="24"/>
        </w:rPr>
        <w:t xml:space="preserve"> </w:t>
      </w:r>
      <w:r w:rsidR="00516DEB" w:rsidRPr="008E772B">
        <w:rPr>
          <w:rFonts w:asciiTheme="majorBidi" w:eastAsia="Times New Roman" w:hAnsiTheme="majorBidi" w:cstheme="majorBidi"/>
          <w:bCs/>
          <w:sz w:val="24"/>
          <w:szCs w:val="24"/>
        </w:rPr>
        <w:t>reputable</w:t>
      </w:r>
      <w:r w:rsidR="007C4420" w:rsidRPr="008E772B">
        <w:rPr>
          <w:rFonts w:asciiTheme="majorBidi" w:eastAsia="Times New Roman" w:hAnsiTheme="majorBidi" w:cstheme="majorBidi"/>
          <w:bCs/>
          <w:sz w:val="24"/>
          <w:szCs w:val="24"/>
        </w:rPr>
        <w:t xml:space="preserve"> auditors</w:t>
      </w:r>
      <w:r w:rsidR="00814423" w:rsidRPr="008E772B">
        <w:rPr>
          <w:rFonts w:asciiTheme="majorBidi" w:eastAsia="Times New Roman" w:hAnsiTheme="majorBidi" w:cstheme="majorBidi"/>
          <w:bCs/>
          <w:sz w:val="24"/>
          <w:szCs w:val="24"/>
        </w:rPr>
        <w:t xml:space="preserve"> (e.g., Big 4 audit firm)</w:t>
      </w:r>
      <w:r w:rsidR="007C4420" w:rsidRPr="008E772B">
        <w:rPr>
          <w:rFonts w:asciiTheme="majorBidi" w:eastAsia="Times New Roman" w:hAnsiTheme="majorBidi" w:cstheme="majorBidi"/>
          <w:bCs/>
          <w:sz w:val="24"/>
          <w:szCs w:val="24"/>
        </w:rPr>
        <w:t xml:space="preserve"> may be considered as a</w:t>
      </w:r>
      <w:r w:rsidR="000D0FC4">
        <w:rPr>
          <w:rFonts w:asciiTheme="majorBidi" w:eastAsia="Times New Roman" w:hAnsiTheme="majorBidi" w:cstheme="majorBidi"/>
          <w:bCs/>
          <w:sz w:val="24"/>
          <w:szCs w:val="24"/>
        </w:rPr>
        <w:t>n additional layer of</w:t>
      </w:r>
      <w:r w:rsidR="007C4420" w:rsidRPr="008E772B">
        <w:rPr>
          <w:rFonts w:asciiTheme="majorBidi" w:eastAsia="Times New Roman" w:hAnsiTheme="majorBidi" w:cstheme="majorBidi"/>
          <w:bCs/>
          <w:sz w:val="24"/>
          <w:szCs w:val="24"/>
        </w:rPr>
        <w:t xml:space="preserve"> </w:t>
      </w:r>
      <w:r w:rsidR="00DB1A9D" w:rsidRPr="008E772B">
        <w:rPr>
          <w:rFonts w:asciiTheme="majorBidi" w:eastAsia="Times New Roman" w:hAnsiTheme="majorBidi" w:cstheme="majorBidi"/>
          <w:bCs/>
          <w:sz w:val="24"/>
          <w:szCs w:val="24"/>
        </w:rPr>
        <w:t xml:space="preserve">governance </w:t>
      </w:r>
      <w:r w:rsidR="000D0FC4">
        <w:rPr>
          <w:rFonts w:asciiTheme="majorBidi" w:eastAsia="Times New Roman" w:hAnsiTheme="majorBidi" w:cstheme="majorBidi"/>
          <w:bCs/>
          <w:sz w:val="24"/>
          <w:szCs w:val="24"/>
        </w:rPr>
        <w:t>mechanism aimed at</w:t>
      </w:r>
      <w:r w:rsidR="007C4420" w:rsidRPr="008E772B">
        <w:rPr>
          <w:rFonts w:asciiTheme="majorBidi" w:eastAsia="Times New Roman" w:hAnsiTheme="majorBidi" w:cstheme="majorBidi"/>
          <w:bCs/>
          <w:sz w:val="24"/>
          <w:szCs w:val="24"/>
        </w:rPr>
        <w:t xml:space="preserve"> monitor</w:t>
      </w:r>
      <w:r w:rsidR="000D0FC4">
        <w:rPr>
          <w:rFonts w:asciiTheme="majorBidi" w:eastAsia="Times New Roman" w:hAnsiTheme="majorBidi" w:cstheme="majorBidi"/>
          <w:bCs/>
          <w:sz w:val="24"/>
          <w:szCs w:val="24"/>
        </w:rPr>
        <w:t>ing</w:t>
      </w:r>
      <w:r w:rsidR="007C4420" w:rsidRPr="008E772B">
        <w:rPr>
          <w:rFonts w:asciiTheme="majorBidi" w:eastAsia="Times New Roman" w:hAnsiTheme="majorBidi" w:cstheme="majorBidi"/>
          <w:bCs/>
          <w:sz w:val="24"/>
          <w:szCs w:val="24"/>
        </w:rPr>
        <w:t xml:space="preserve"> a firm’s financial reporting process </w:t>
      </w:r>
      <w:r w:rsidR="00814423" w:rsidRPr="008E772B">
        <w:rPr>
          <w:rFonts w:asciiTheme="majorBidi" w:eastAsia="Times New Roman" w:hAnsiTheme="majorBidi" w:cstheme="majorBidi"/>
          <w:bCs/>
          <w:sz w:val="24"/>
          <w:szCs w:val="24"/>
        </w:rPr>
        <w:t xml:space="preserve">better compared with their smaller counterparts </w:t>
      </w:r>
      <w:r w:rsidR="007C4420" w:rsidRPr="008E772B">
        <w:rPr>
          <w:rFonts w:asciiTheme="majorBidi" w:eastAsia="Times New Roman" w:hAnsiTheme="majorBidi" w:cstheme="majorBidi"/>
          <w:bCs/>
          <w:sz w:val="24"/>
          <w:szCs w:val="24"/>
        </w:rPr>
        <w:t xml:space="preserve">(Fan </w:t>
      </w:r>
      <w:r w:rsidR="001C5247" w:rsidRPr="008E772B">
        <w:rPr>
          <w:rFonts w:asciiTheme="majorBidi" w:eastAsia="Times New Roman" w:hAnsiTheme="majorBidi" w:cstheme="majorBidi"/>
          <w:bCs/>
          <w:sz w:val="24"/>
          <w:szCs w:val="24"/>
        </w:rPr>
        <w:t>&amp;</w:t>
      </w:r>
      <w:r w:rsidR="007C4420" w:rsidRPr="008E772B">
        <w:rPr>
          <w:rFonts w:asciiTheme="majorBidi" w:eastAsia="Times New Roman" w:hAnsiTheme="majorBidi" w:cstheme="majorBidi"/>
          <w:bCs/>
          <w:sz w:val="24"/>
          <w:szCs w:val="24"/>
        </w:rPr>
        <w:t xml:space="preserve"> Wong, 2005; Lin </w:t>
      </w:r>
      <w:r w:rsidR="001C5247" w:rsidRPr="008E772B">
        <w:rPr>
          <w:rFonts w:asciiTheme="majorBidi" w:eastAsia="Times New Roman" w:hAnsiTheme="majorBidi" w:cstheme="majorBidi"/>
          <w:bCs/>
          <w:sz w:val="24"/>
          <w:szCs w:val="24"/>
        </w:rPr>
        <w:t>&amp;</w:t>
      </w:r>
      <w:r w:rsidR="007C4420" w:rsidRPr="008E772B">
        <w:rPr>
          <w:rFonts w:asciiTheme="majorBidi" w:eastAsia="Times New Roman" w:hAnsiTheme="majorBidi" w:cstheme="majorBidi"/>
          <w:bCs/>
          <w:sz w:val="24"/>
          <w:szCs w:val="24"/>
        </w:rPr>
        <w:t xml:space="preserve"> Liu, 2009, 2010; </w:t>
      </w:r>
      <w:r w:rsidR="003C1C72" w:rsidRPr="00F26196">
        <w:rPr>
          <w:rFonts w:asciiTheme="majorBidi" w:eastAsia="Times New Roman" w:hAnsiTheme="majorBidi" w:cstheme="majorBidi"/>
          <w:bCs/>
          <w:iCs/>
          <w:sz w:val="24"/>
          <w:szCs w:val="24"/>
        </w:rPr>
        <w:t>El-Dyasty, 2017</w:t>
      </w:r>
      <w:r w:rsidR="007C4420" w:rsidRPr="008E772B">
        <w:rPr>
          <w:rFonts w:asciiTheme="majorBidi" w:eastAsia="Times New Roman" w:hAnsiTheme="majorBidi" w:cstheme="majorBidi"/>
          <w:bCs/>
          <w:sz w:val="24"/>
          <w:szCs w:val="24"/>
        </w:rPr>
        <w:t>).</w:t>
      </w:r>
      <w:r w:rsidR="003453E3" w:rsidRPr="003453E3">
        <w:rPr>
          <w:rFonts w:asciiTheme="majorBidi" w:eastAsia="Times New Roman" w:hAnsiTheme="majorBidi" w:cstheme="majorBidi"/>
          <w:bCs/>
          <w:sz w:val="24"/>
          <w:szCs w:val="24"/>
        </w:rPr>
        <w:t xml:space="preserve"> </w:t>
      </w:r>
      <w:r w:rsidR="003453E3">
        <w:rPr>
          <w:rFonts w:asciiTheme="majorBidi" w:eastAsia="Times New Roman" w:hAnsiTheme="majorBidi" w:cstheme="majorBidi"/>
          <w:bCs/>
          <w:sz w:val="24"/>
          <w:szCs w:val="24"/>
        </w:rPr>
        <w:t xml:space="preserve">Similarly, </w:t>
      </w:r>
      <w:r w:rsidR="003453E3" w:rsidRPr="003453E3">
        <w:rPr>
          <w:rFonts w:asciiTheme="majorBidi" w:eastAsia="Times New Roman" w:hAnsiTheme="majorBidi" w:cstheme="majorBidi"/>
          <w:bCs/>
          <w:sz w:val="24"/>
          <w:szCs w:val="24"/>
        </w:rPr>
        <w:t>large investment in audit quality</w:t>
      </w:r>
      <w:r w:rsidR="003453E3">
        <w:rPr>
          <w:rFonts w:asciiTheme="majorBidi" w:eastAsia="Times New Roman" w:hAnsiTheme="majorBidi" w:cstheme="majorBidi"/>
          <w:bCs/>
          <w:sz w:val="24"/>
          <w:szCs w:val="24"/>
        </w:rPr>
        <w:t xml:space="preserve"> is reflected in high audit fees </w:t>
      </w:r>
      <w:r w:rsidR="003453E3" w:rsidRPr="003453E3">
        <w:rPr>
          <w:rFonts w:asciiTheme="majorBidi" w:eastAsia="Times New Roman" w:hAnsiTheme="majorBidi" w:cstheme="majorBidi"/>
          <w:bCs/>
          <w:sz w:val="24"/>
          <w:szCs w:val="24"/>
        </w:rPr>
        <w:t>(Francis</w:t>
      </w:r>
      <w:r w:rsidR="003453E3">
        <w:rPr>
          <w:rFonts w:asciiTheme="majorBidi" w:eastAsia="Times New Roman" w:hAnsiTheme="majorBidi" w:cstheme="majorBidi"/>
          <w:bCs/>
          <w:sz w:val="24"/>
          <w:szCs w:val="24"/>
        </w:rPr>
        <w:t>,</w:t>
      </w:r>
      <w:r w:rsidR="003453E3" w:rsidRPr="003453E3">
        <w:rPr>
          <w:rFonts w:asciiTheme="majorBidi" w:eastAsia="Times New Roman" w:hAnsiTheme="majorBidi" w:cstheme="majorBidi"/>
          <w:bCs/>
          <w:sz w:val="24"/>
          <w:szCs w:val="24"/>
        </w:rPr>
        <w:t xml:space="preserve"> 2004</w:t>
      </w:r>
      <w:r w:rsidR="003453E3">
        <w:rPr>
          <w:rFonts w:asciiTheme="majorBidi" w:eastAsia="Times New Roman" w:hAnsiTheme="majorBidi" w:cstheme="majorBidi"/>
          <w:bCs/>
          <w:sz w:val="24"/>
          <w:szCs w:val="24"/>
        </w:rPr>
        <w:t>;</w:t>
      </w:r>
      <w:r w:rsidR="003453E3" w:rsidRPr="003453E3">
        <w:rPr>
          <w:rFonts w:asciiTheme="majorBidi" w:eastAsia="Times New Roman" w:hAnsiTheme="majorBidi" w:cstheme="majorBidi"/>
          <w:bCs/>
          <w:sz w:val="24"/>
          <w:szCs w:val="24"/>
        </w:rPr>
        <w:t xml:space="preserve"> Choi </w:t>
      </w:r>
      <w:r w:rsidR="003453E3" w:rsidRPr="00D94C5C">
        <w:rPr>
          <w:rFonts w:asciiTheme="majorBidi" w:eastAsia="Times New Roman" w:hAnsiTheme="majorBidi" w:cstheme="majorBidi"/>
          <w:bCs/>
          <w:i/>
          <w:sz w:val="24"/>
          <w:szCs w:val="24"/>
        </w:rPr>
        <w:t>et al</w:t>
      </w:r>
      <w:r w:rsidR="003453E3" w:rsidRPr="003453E3">
        <w:rPr>
          <w:rFonts w:asciiTheme="majorBidi" w:eastAsia="Times New Roman" w:hAnsiTheme="majorBidi" w:cstheme="majorBidi"/>
          <w:bCs/>
          <w:sz w:val="24"/>
          <w:szCs w:val="24"/>
        </w:rPr>
        <w:t>. 2008</w:t>
      </w:r>
      <w:r w:rsidR="007B61F1">
        <w:rPr>
          <w:rFonts w:asciiTheme="majorBidi" w:eastAsia="Times New Roman" w:hAnsiTheme="majorBidi" w:cstheme="majorBidi"/>
          <w:bCs/>
          <w:sz w:val="24"/>
          <w:szCs w:val="24"/>
        </w:rPr>
        <w:t>,</w:t>
      </w:r>
      <w:r w:rsidR="003453E3" w:rsidRPr="003453E3">
        <w:rPr>
          <w:rFonts w:asciiTheme="majorBidi" w:eastAsia="Times New Roman" w:hAnsiTheme="majorBidi" w:cstheme="majorBidi"/>
          <w:bCs/>
          <w:sz w:val="24"/>
          <w:szCs w:val="24"/>
        </w:rPr>
        <w:t xml:space="preserve"> 2010).</w:t>
      </w:r>
    </w:p>
    <w:p w14:paraId="7C5644BD" w14:textId="363C9B41" w:rsidR="007C4420" w:rsidRDefault="001634D1" w:rsidP="00E05DB8">
      <w:pPr>
        <w:tabs>
          <w:tab w:val="left" w:pos="5245"/>
        </w:tabs>
        <w:spacing w:after="0" w:line="360" w:lineRule="auto"/>
        <w:ind w:firstLine="720"/>
        <w:jc w:val="lowKashida"/>
        <w:rPr>
          <w:rFonts w:asciiTheme="majorBidi" w:eastAsia="Times New Roman" w:hAnsiTheme="majorBidi" w:cstheme="majorBidi"/>
          <w:bCs/>
          <w:sz w:val="24"/>
          <w:szCs w:val="24"/>
        </w:rPr>
      </w:pPr>
      <w:r w:rsidRPr="008E772B">
        <w:rPr>
          <w:rFonts w:asciiTheme="majorBidi" w:eastAsia="Times New Roman" w:hAnsiTheme="majorBidi" w:cstheme="majorBidi"/>
          <w:bCs/>
          <w:sz w:val="24"/>
          <w:szCs w:val="24"/>
        </w:rPr>
        <w:lastRenderedPageBreak/>
        <w:t>On the other hand</w:t>
      </w:r>
      <w:r w:rsidR="00666AC4" w:rsidRPr="008E772B">
        <w:rPr>
          <w:rFonts w:asciiTheme="majorBidi" w:eastAsia="Times New Roman" w:hAnsiTheme="majorBidi" w:cstheme="majorBidi"/>
          <w:bCs/>
          <w:sz w:val="24"/>
          <w:szCs w:val="24"/>
        </w:rPr>
        <w:t xml:space="preserve"> and from agency theoretical perspective,</w:t>
      </w:r>
      <w:r w:rsidRPr="008E772B">
        <w:rPr>
          <w:rFonts w:asciiTheme="majorBidi" w:eastAsia="Times New Roman" w:hAnsiTheme="majorBidi" w:cstheme="majorBidi"/>
          <w:bCs/>
          <w:sz w:val="24"/>
          <w:szCs w:val="24"/>
        </w:rPr>
        <w:t xml:space="preserve"> it can be argued that f</w:t>
      </w:r>
      <w:r w:rsidR="007C4420" w:rsidRPr="008E772B">
        <w:rPr>
          <w:rFonts w:asciiTheme="majorBidi" w:eastAsia="Times New Roman" w:hAnsiTheme="majorBidi" w:cstheme="majorBidi"/>
          <w:bCs/>
          <w:sz w:val="24"/>
          <w:szCs w:val="24"/>
        </w:rPr>
        <w:t>irm-</w:t>
      </w:r>
      <w:r w:rsidR="00E05DB8">
        <w:rPr>
          <w:rFonts w:asciiTheme="majorBidi" w:eastAsia="Times New Roman" w:hAnsiTheme="majorBidi" w:cstheme="majorBidi"/>
          <w:bCs/>
          <w:sz w:val="24"/>
          <w:szCs w:val="24"/>
        </w:rPr>
        <w:t>level</w:t>
      </w:r>
      <w:r w:rsidR="007C4420" w:rsidRPr="008E772B">
        <w:rPr>
          <w:rFonts w:asciiTheme="majorBidi" w:eastAsia="Times New Roman" w:hAnsiTheme="majorBidi" w:cstheme="majorBidi"/>
          <w:bCs/>
          <w:sz w:val="24"/>
          <w:szCs w:val="24"/>
        </w:rPr>
        <w:t xml:space="preserve"> </w:t>
      </w:r>
      <w:r w:rsidR="00D04677" w:rsidRPr="008E772B">
        <w:rPr>
          <w:rFonts w:asciiTheme="majorBidi" w:eastAsia="Times New Roman" w:hAnsiTheme="majorBidi" w:cstheme="majorBidi"/>
          <w:bCs/>
          <w:sz w:val="24"/>
          <w:szCs w:val="24"/>
        </w:rPr>
        <w:t>governance</w:t>
      </w:r>
      <w:r w:rsidR="007C4420" w:rsidRPr="008E772B">
        <w:rPr>
          <w:rFonts w:asciiTheme="majorBidi" w:eastAsia="Times New Roman" w:hAnsiTheme="majorBidi" w:cstheme="majorBidi"/>
          <w:bCs/>
          <w:sz w:val="24"/>
          <w:szCs w:val="24"/>
        </w:rPr>
        <w:t xml:space="preserve"> may also affect a firm’s choice of audit/auditor quality</w:t>
      </w:r>
      <w:r w:rsidR="00C91070" w:rsidRPr="008E772B">
        <w:rPr>
          <w:rFonts w:asciiTheme="majorBidi" w:eastAsia="Times New Roman" w:hAnsiTheme="majorBidi" w:cstheme="majorBidi"/>
          <w:bCs/>
          <w:sz w:val="24"/>
          <w:szCs w:val="24"/>
        </w:rPr>
        <w:t xml:space="preserve"> (</w:t>
      </w:r>
      <w:r w:rsidR="00C91070" w:rsidRPr="008E772B">
        <w:rPr>
          <w:rFonts w:asciiTheme="majorBidi" w:eastAsia="Times New Roman" w:hAnsiTheme="majorBidi" w:cstheme="majorBidi"/>
          <w:bCs/>
          <w:iCs/>
          <w:sz w:val="24"/>
          <w:szCs w:val="24"/>
        </w:rPr>
        <w:t xml:space="preserve">O’Sullivan, 2000; Carcello </w:t>
      </w:r>
      <w:r w:rsidR="00C91070" w:rsidRPr="008E772B">
        <w:rPr>
          <w:rFonts w:asciiTheme="majorBidi" w:eastAsia="Times New Roman" w:hAnsiTheme="majorBidi" w:cstheme="majorBidi"/>
          <w:bCs/>
          <w:i/>
          <w:iCs/>
          <w:sz w:val="24"/>
          <w:szCs w:val="24"/>
        </w:rPr>
        <w:t>et al</w:t>
      </w:r>
      <w:r w:rsidR="00C91070" w:rsidRPr="008E772B">
        <w:rPr>
          <w:rFonts w:asciiTheme="majorBidi" w:eastAsia="Times New Roman" w:hAnsiTheme="majorBidi" w:cstheme="majorBidi"/>
          <w:bCs/>
          <w:iCs/>
          <w:sz w:val="24"/>
          <w:szCs w:val="24"/>
        </w:rPr>
        <w:t xml:space="preserve">., 2002; Hay </w:t>
      </w:r>
      <w:r w:rsidR="00C91070" w:rsidRPr="008E772B">
        <w:rPr>
          <w:rFonts w:asciiTheme="majorBidi" w:eastAsia="Times New Roman" w:hAnsiTheme="majorBidi" w:cstheme="majorBidi"/>
          <w:bCs/>
          <w:i/>
          <w:iCs/>
          <w:sz w:val="24"/>
          <w:szCs w:val="24"/>
        </w:rPr>
        <w:t>et al</w:t>
      </w:r>
      <w:r w:rsidR="00C91070" w:rsidRPr="008E772B">
        <w:rPr>
          <w:rFonts w:asciiTheme="majorBidi" w:eastAsia="Times New Roman" w:hAnsiTheme="majorBidi" w:cstheme="majorBidi"/>
          <w:bCs/>
          <w:iCs/>
          <w:sz w:val="24"/>
          <w:szCs w:val="24"/>
        </w:rPr>
        <w:t xml:space="preserve">., 2008; </w:t>
      </w:r>
      <w:r w:rsidR="00C91070" w:rsidRPr="008E772B">
        <w:rPr>
          <w:rFonts w:asciiTheme="majorBidi" w:eastAsia="Times New Roman" w:hAnsiTheme="majorBidi" w:cstheme="majorBidi"/>
          <w:bCs/>
          <w:sz w:val="24"/>
          <w:szCs w:val="24"/>
        </w:rPr>
        <w:t xml:space="preserve">Lin &amp; Liu, 2009; </w:t>
      </w:r>
      <w:r w:rsidR="00C91070" w:rsidRPr="008E772B">
        <w:rPr>
          <w:rFonts w:asciiTheme="majorBidi" w:eastAsia="Times New Roman" w:hAnsiTheme="majorBidi" w:cstheme="majorBidi"/>
          <w:bCs/>
          <w:iCs/>
          <w:sz w:val="24"/>
          <w:szCs w:val="24"/>
        </w:rPr>
        <w:t xml:space="preserve">Asthana </w:t>
      </w:r>
      <w:r w:rsidR="00C91070" w:rsidRPr="008E772B">
        <w:rPr>
          <w:rFonts w:asciiTheme="majorBidi" w:eastAsia="Times New Roman" w:hAnsiTheme="majorBidi" w:cstheme="majorBidi"/>
          <w:bCs/>
          <w:i/>
          <w:iCs/>
          <w:sz w:val="24"/>
          <w:szCs w:val="24"/>
        </w:rPr>
        <w:t>et al</w:t>
      </w:r>
      <w:r w:rsidR="00C91070" w:rsidRPr="008E772B">
        <w:rPr>
          <w:rFonts w:asciiTheme="majorBidi" w:eastAsia="Times New Roman" w:hAnsiTheme="majorBidi" w:cstheme="majorBidi"/>
          <w:bCs/>
          <w:iCs/>
          <w:sz w:val="24"/>
          <w:szCs w:val="24"/>
        </w:rPr>
        <w:t>. 2010; Johansen &amp; Pettersson, 2013</w:t>
      </w:r>
      <w:r w:rsidR="00D94C5C">
        <w:rPr>
          <w:rFonts w:asciiTheme="majorBidi" w:eastAsia="Times New Roman" w:hAnsiTheme="majorBidi" w:cstheme="majorBidi"/>
          <w:bCs/>
          <w:iCs/>
          <w:sz w:val="24"/>
          <w:szCs w:val="24"/>
        </w:rPr>
        <w:t xml:space="preserve">; </w:t>
      </w:r>
      <w:r w:rsidR="00D94C5C" w:rsidRPr="00D94C5C">
        <w:rPr>
          <w:rFonts w:asciiTheme="majorBidi" w:eastAsia="Times New Roman" w:hAnsiTheme="majorBidi" w:cstheme="majorBidi"/>
          <w:bCs/>
          <w:iCs/>
          <w:sz w:val="24"/>
          <w:szCs w:val="24"/>
        </w:rPr>
        <w:t xml:space="preserve">Ben-Hassoun </w:t>
      </w:r>
      <w:r w:rsidR="00D94C5C" w:rsidRPr="00D94C5C">
        <w:rPr>
          <w:rFonts w:asciiTheme="majorBidi" w:eastAsia="Times New Roman" w:hAnsiTheme="majorBidi" w:cstheme="majorBidi"/>
          <w:bCs/>
          <w:i/>
          <w:iCs/>
          <w:sz w:val="24"/>
          <w:szCs w:val="24"/>
        </w:rPr>
        <w:t>et al</w:t>
      </w:r>
      <w:r w:rsidR="00D94C5C" w:rsidRPr="00D94C5C">
        <w:rPr>
          <w:rFonts w:asciiTheme="majorBidi" w:eastAsia="Times New Roman" w:hAnsiTheme="majorBidi" w:cstheme="majorBidi"/>
          <w:bCs/>
          <w:iCs/>
          <w:sz w:val="24"/>
          <w:szCs w:val="24"/>
        </w:rPr>
        <w:t>.</w:t>
      </w:r>
      <w:r w:rsidR="00D94C5C">
        <w:rPr>
          <w:rFonts w:asciiTheme="majorBidi" w:eastAsia="Times New Roman" w:hAnsiTheme="majorBidi" w:cstheme="majorBidi"/>
          <w:bCs/>
          <w:iCs/>
          <w:sz w:val="24"/>
          <w:szCs w:val="24"/>
        </w:rPr>
        <w:t>,</w:t>
      </w:r>
      <w:r w:rsidR="00D94C5C" w:rsidRPr="00D94C5C">
        <w:rPr>
          <w:rFonts w:asciiTheme="majorBidi" w:eastAsia="Times New Roman" w:hAnsiTheme="majorBidi" w:cstheme="majorBidi"/>
          <w:bCs/>
          <w:iCs/>
          <w:sz w:val="24"/>
          <w:szCs w:val="24"/>
        </w:rPr>
        <w:t xml:space="preserve"> 2018</w:t>
      </w:r>
      <w:r w:rsidR="00C91070" w:rsidRPr="008E772B">
        <w:rPr>
          <w:rFonts w:asciiTheme="majorBidi" w:eastAsia="Times New Roman" w:hAnsiTheme="majorBidi" w:cstheme="majorBidi"/>
          <w:bCs/>
          <w:sz w:val="24"/>
          <w:szCs w:val="24"/>
        </w:rPr>
        <w:t>)</w:t>
      </w:r>
      <w:r w:rsidR="007C4420" w:rsidRPr="008E772B">
        <w:rPr>
          <w:rFonts w:asciiTheme="majorBidi" w:eastAsia="Times New Roman" w:hAnsiTheme="majorBidi" w:cstheme="majorBidi"/>
          <w:bCs/>
          <w:sz w:val="24"/>
          <w:szCs w:val="24"/>
        </w:rPr>
        <w:t xml:space="preserve">. In general, </w:t>
      </w:r>
      <w:r w:rsidRPr="008E772B">
        <w:rPr>
          <w:rFonts w:asciiTheme="majorBidi" w:eastAsia="Times New Roman" w:hAnsiTheme="majorBidi" w:cstheme="majorBidi"/>
          <w:bCs/>
          <w:sz w:val="24"/>
          <w:szCs w:val="24"/>
        </w:rPr>
        <w:t xml:space="preserve">it can be expected that </w:t>
      </w:r>
      <w:r w:rsidR="007C4420" w:rsidRPr="008E772B">
        <w:rPr>
          <w:rFonts w:asciiTheme="majorBidi" w:eastAsia="Times New Roman" w:hAnsiTheme="majorBidi" w:cstheme="majorBidi"/>
          <w:bCs/>
          <w:sz w:val="24"/>
          <w:szCs w:val="24"/>
        </w:rPr>
        <w:t xml:space="preserve">firms adopting sound </w:t>
      </w:r>
      <w:r w:rsidR="00D04677" w:rsidRPr="008E772B">
        <w:rPr>
          <w:rFonts w:asciiTheme="majorBidi" w:eastAsia="Times New Roman" w:hAnsiTheme="majorBidi" w:cstheme="majorBidi"/>
          <w:bCs/>
          <w:sz w:val="24"/>
          <w:szCs w:val="24"/>
        </w:rPr>
        <w:t>governance</w:t>
      </w:r>
      <w:r w:rsidR="007C4420" w:rsidRPr="008E772B">
        <w:rPr>
          <w:rFonts w:asciiTheme="majorBidi" w:eastAsia="Times New Roman" w:hAnsiTheme="majorBidi" w:cstheme="majorBidi"/>
          <w:bCs/>
          <w:sz w:val="24"/>
          <w:szCs w:val="24"/>
        </w:rPr>
        <w:t xml:space="preserve"> mechanisms have a better control over operating activities and management performance</w:t>
      </w:r>
      <w:r w:rsidR="003A353D" w:rsidRPr="008E772B">
        <w:rPr>
          <w:rFonts w:asciiTheme="majorBidi" w:eastAsia="Times New Roman" w:hAnsiTheme="majorBidi" w:cstheme="majorBidi"/>
          <w:bCs/>
          <w:sz w:val="24"/>
          <w:szCs w:val="24"/>
        </w:rPr>
        <w:t xml:space="preserve"> (</w:t>
      </w:r>
      <w:r w:rsidR="003A353D" w:rsidRPr="008E772B">
        <w:rPr>
          <w:rFonts w:asciiTheme="majorBidi" w:hAnsiTheme="majorBidi" w:cstheme="majorBidi"/>
          <w:bCs/>
          <w:sz w:val="24"/>
          <w:szCs w:val="24"/>
        </w:rPr>
        <w:t>Al-Ajmi, 2009</w:t>
      </w:r>
      <w:r w:rsidR="00791EC6" w:rsidRPr="008E772B">
        <w:rPr>
          <w:rFonts w:asciiTheme="majorBidi" w:hAnsiTheme="majorBidi" w:cstheme="majorBidi"/>
          <w:bCs/>
          <w:sz w:val="24"/>
          <w:szCs w:val="24"/>
        </w:rPr>
        <w:t>, Zahra, 2014</w:t>
      </w:r>
      <w:r w:rsidR="003A353D" w:rsidRPr="008E772B">
        <w:rPr>
          <w:rFonts w:asciiTheme="majorBidi" w:eastAsia="Times New Roman" w:hAnsiTheme="majorBidi" w:cstheme="majorBidi"/>
          <w:bCs/>
          <w:sz w:val="24"/>
          <w:szCs w:val="24"/>
        </w:rPr>
        <w:t>)</w:t>
      </w:r>
      <w:r w:rsidR="007C4420" w:rsidRPr="008E772B">
        <w:rPr>
          <w:rFonts w:asciiTheme="majorBidi" w:eastAsia="Times New Roman" w:hAnsiTheme="majorBidi" w:cstheme="majorBidi"/>
          <w:bCs/>
          <w:sz w:val="24"/>
          <w:szCs w:val="24"/>
        </w:rPr>
        <w:t>. Thus</w:t>
      </w:r>
      <w:r w:rsidRPr="008E772B">
        <w:rPr>
          <w:rFonts w:asciiTheme="majorBidi" w:eastAsia="Times New Roman" w:hAnsiTheme="majorBidi" w:cstheme="majorBidi"/>
          <w:bCs/>
          <w:sz w:val="24"/>
          <w:szCs w:val="24"/>
        </w:rPr>
        <w:t>,</w:t>
      </w:r>
      <w:r w:rsidR="007C4420" w:rsidRPr="008E772B">
        <w:rPr>
          <w:rFonts w:asciiTheme="majorBidi" w:eastAsia="Times New Roman" w:hAnsiTheme="majorBidi" w:cstheme="majorBidi"/>
          <w:bCs/>
          <w:sz w:val="24"/>
          <w:szCs w:val="24"/>
        </w:rPr>
        <w:t xml:space="preserve"> the firm’s management or its controlling shareholders are not totally free in the choice of auditor. </w:t>
      </w:r>
      <w:r w:rsidR="008773BD" w:rsidRPr="008E772B">
        <w:rPr>
          <w:rFonts w:asciiTheme="majorBidi" w:eastAsia="Times New Roman" w:hAnsiTheme="majorBidi" w:cstheme="majorBidi"/>
          <w:bCs/>
          <w:sz w:val="24"/>
          <w:szCs w:val="24"/>
        </w:rPr>
        <w:t>In contrast</w:t>
      </w:r>
      <w:r w:rsidR="007C4420" w:rsidRPr="008E772B">
        <w:rPr>
          <w:rFonts w:asciiTheme="majorBidi" w:eastAsia="Times New Roman" w:hAnsiTheme="majorBidi" w:cstheme="majorBidi"/>
          <w:bCs/>
          <w:sz w:val="24"/>
          <w:szCs w:val="24"/>
        </w:rPr>
        <w:t xml:space="preserve">, in </w:t>
      </w:r>
      <w:r w:rsidR="005C16EA">
        <w:rPr>
          <w:rFonts w:asciiTheme="majorBidi" w:eastAsia="Times New Roman" w:hAnsiTheme="majorBidi" w:cstheme="majorBidi"/>
          <w:bCs/>
          <w:sz w:val="24"/>
          <w:szCs w:val="24"/>
        </w:rPr>
        <w:t>poorly-</w:t>
      </w:r>
      <w:r w:rsidR="007C4420" w:rsidRPr="008E772B">
        <w:rPr>
          <w:rFonts w:asciiTheme="majorBidi" w:eastAsia="Times New Roman" w:hAnsiTheme="majorBidi" w:cstheme="majorBidi"/>
          <w:bCs/>
          <w:sz w:val="24"/>
          <w:szCs w:val="24"/>
        </w:rPr>
        <w:t xml:space="preserve">governed firms, management or controlling shareholders have a better opportunity to </w:t>
      </w:r>
      <w:r w:rsidR="003D45E5">
        <w:rPr>
          <w:rFonts w:asciiTheme="majorBidi" w:eastAsia="Times New Roman" w:hAnsiTheme="majorBidi" w:cstheme="majorBidi"/>
          <w:bCs/>
          <w:sz w:val="24"/>
          <w:szCs w:val="24"/>
        </w:rPr>
        <w:t>influence</w:t>
      </w:r>
      <w:r w:rsidR="007C4420" w:rsidRPr="008E772B">
        <w:rPr>
          <w:rFonts w:asciiTheme="majorBidi" w:eastAsia="Times New Roman" w:hAnsiTheme="majorBidi" w:cstheme="majorBidi"/>
          <w:bCs/>
          <w:sz w:val="24"/>
          <w:szCs w:val="24"/>
        </w:rPr>
        <w:t xml:space="preserve"> the auditor-hiring decision towards their own interests (Lin </w:t>
      </w:r>
      <w:r w:rsidR="001C5247" w:rsidRPr="008E772B">
        <w:rPr>
          <w:rFonts w:asciiTheme="majorBidi" w:eastAsia="Times New Roman" w:hAnsiTheme="majorBidi" w:cstheme="majorBidi"/>
          <w:bCs/>
          <w:sz w:val="24"/>
          <w:szCs w:val="24"/>
        </w:rPr>
        <w:t>&amp;</w:t>
      </w:r>
      <w:r w:rsidR="007C4420" w:rsidRPr="008E772B">
        <w:rPr>
          <w:rFonts w:asciiTheme="majorBidi" w:eastAsia="Times New Roman" w:hAnsiTheme="majorBidi" w:cstheme="majorBidi"/>
          <w:bCs/>
          <w:sz w:val="24"/>
          <w:szCs w:val="24"/>
        </w:rPr>
        <w:t xml:space="preserve"> Liu, 2009, 2010). </w:t>
      </w:r>
    </w:p>
    <w:p w14:paraId="1BA7DA3E" w14:textId="2A70B3F2" w:rsidR="000770C9" w:rsidRPr="008E772B" w:rsidRDefault="000770C9" w:rsidP="00A40D48">
      <w:pPr>
        <w:tabs>
          <w:tab w:val="left" w:pos="5245"/>
        </w:tabs>
        <w:spacing w:after="0" w:line="360" w:lineRule="auto"/>
        <w:ind w:firstLine="720"/>
        <w:jc w:val="lowKashida"/>
        <w:rPr>
          <w:rFonts w:asciiTheme="majorBidi" w:eastAsia="Times New Roman" w:hAnsiTheme="majorBidi" w:cstheme="majorBidi"/>
          <w:bCs/>
          <w:sz w:val="24"/>
          <w:szCs w:val="24"/>
        </w:rPr>
      </w:pPr>
      <w:r w:rsidRPr="000770C9">
        <w:rPr>
          <w:rFonts w:asciiTheme="majorBidi" w:eastAsia="Times New Roman" w:hAnsiTheme="majorBidi" w:cstheme="majorBidi"/>
          <w:bCs/>
          <w:sz w:val="24"/>
          <w:szCs w:val="24"/>
        </w:rPr>
        <w:t>From the country-level perspective, country-level governance systems represent the legal system and legislative processes that shape public-private collaboration and participation</w:t>
      </w:r>
      <w:r w:rsidRPr="000770C9">
        <w:rPr>
          <w:rFonts w:asciiTheme="majorBidi" w:eastAsia="Times New Roman" w:hAnsiTheme="majorBidi" w:cstheme="majorBidi"/>
          <w:bCs/>
          <w:iCs/>
          <w:sz w:val="24"/>
          <w:szCs w:val="24"/>
        </w:rPr>
        <w:t xml:space="preserve"> (Judge </w:t>
      </w:r>
      <w:r w:rsidRPr="000770C9">
        <w:rPr>
          <w:rFonts w:asciiTheme="majorBidi" w:eastAsia="Times New Roman" w:hAnsiTheme="majorBidi" w:cstheme="majorBidi"/>
          <w:bCs/>
          <w:i/>
          <w:sz w:val="24"/>
          <w:szCs w:val="24"/>
        </w:rPr>
        <w:t>et al</w:t>
      </w:r>
      <w:r w:rsidRPr="000770C9">
        <w:rPr>
          <w:rFonts w:asciiTheme="majorBidi" w:eastAsia="Times New Roman" w:hAnsiTheme="majorBidi" w:cstheme="majorBidi"/>
          <w:bCs/>
          <w:iCs/>
          <w:sz w:val="24"/>
          <w:szCs w:val="24"/>
        </w:rPr>
        <w:t>., 2008)</w:t>
      </w:r>
      <w:r w:rsidRPr="000770C9">
        <w:rPr>
          <w:rFonts w:asciiTheme="majorBidi" w:eastAsia="Times New Roman" w:hAnsiTheme="majorBidi" w:cstheme="majorBidi"/>
          <w:bCs/>
          <w:sz w:val="24"/>
          <w:szCs w:val="24"/>
        </w:rPr>
        <w:t>. Through regulations, country-level governance also determine and shape corporate governance (</w:t>
      </w:r>
      <w:r w:rsidRPr="000770C9">
        <w:rPr>
          <w:rFonts w:asciiTheme="majorBidi" w:eastAsia="Times New Roman" w:hAnsiTheme="majorBidi" w:cstheme="majorBidi"/>
          <w:bCs/>
          <w:iCs/>
          <w:sz w:val="24"/>
          <w:szCs w:val="24"/>
        </w:rPr>
        <w:t xml:space="preserve">Judge </w:t>
      </w:r>
      <w:r w:rsidRPr="000770C9">
        <w:rPr>
          <w:rFonts w:asciiTheme="majorBidi" w:eastAsia="Times New Roman" w:hAnsiTheme="majorBidi" w:cstheme="majorBidi"/>
          <w:bCs/>
          <w:i/>
          <w:sz w:val="24"/>
          <w:szCs w:val="24"/>
        </w:rPr>
        <w:t>et al</w:t>
      </w:r>
      <w:r w:rsidRPr="000770C9">
        <w:rPr>
          <w:rFonts w:asciiTheme="majorBidi" w:eastAsia="Times New Roman" w:hAnsiTheme="majorBidi" w:cstheme="majorBidi"/>
          <w:bCs/>
          <w:iCs/>
          <w:sz w:val="24"/>
          <w:szCs w:val="24"/>
        </w:rPr>
        <w:t xml:space="preserve">., 2008; </w:t>
      </w:r>
      <w:r w:rsidRPr="000770C9">
        <w:rPr>
          <w:rFonts w:asciiTheme="majorBidi" w:eastAsia="Times New Roman" w:hAnsiTheme="majorBidi" w:cstheme="majorBidi"/>
          <w:bCs/>
          <w:sz w:val="24"/>
          <w:szCs w:val="24"/>
        </w:rPr>
        <w:t>Zahra, 2014), including audit quality.</w:t>
      </w:r>
      <w:r w:rsidRPr="000770C9">
        <w:rPr>
          <w:rFonts w:asciiTheme="majorBidi" w:eastAsia="Times New Roman" w:hAnsiTheme="majorBidi" w:cstheme="majorBidi"/>
          <w:bCs/>
          <w:iCs/>
          <w:sz w:val="24"/>
          <w:szCs w:val="24"/>
        </w:rPr>
        <w:t xml:space="preserve"> Judge </w:t>
      </w:r>
      <w:r w:rsidRPr="000770C9">
        <w:rPr>
          <w:rFonts w:asciiTheme="majorBidi" w:eastAsia="Times New Roman" w:hAnsiTheme="majorBidi" w:cstheme="majorBidi"/>
          <w:bCs/>
          <w:i/>
          <w:sz w:val="24"/>
          <w:szCs w:val="24"/>
        </w:rPr>
        <w:t>et al</w:t>
      </w:r>
      <w:r w:rsidRPr="000770C9">
        <w:rPr>
          <w:rFonts w:asciiTheme="majorBidi" w:eastAsia="Times New Roman" w:hAnsiTheme="majorBidi" w:cstheme="majorBidi"/>
          <w:bCs/>
          <w:iCs/>
          <w:sz w:val="24"/>
          <w:szCs w:val="24"/>
        </w:rPr>
        <w:t>. (2008)</w:t>
      </w:r>
      <w:r w:rsidRPr="000770C9">
        <w:rPr>
          <w:rFonts w:asciiTheme="majorBidi" w:eastAsia="Times New Roman" w:hAnsiTheme="majorBidi" w:cstheme="majorBidi"/>
          <w:bCs/>
          <w:sz w:val="24"/>
          <w:szCs w:val="24"/>
        </w:rPr>
        <w:t xml:space="preserve"> argued that variations in law and order may affect the extent to which governance practices are legitimate because corporations are created by laws, and governance is a mechanism by which laws are enacted and enforced. </w:t>
      </w:r>
      <w:r w:rsidR="00D55612">
        <w:rPr>
          <w:rFonts w:asciiTheme="majorBidi" w:eastAsia="Times New Roman" w:hAnsiTheme="majorBidi" w:cstheme="majorBidi"/>
          <w:bCs/>
          <w:sz w:val="24"/>
          <w:szCs w:val="24"/>
        </w:rPr>
        <w:t xml:space="preserve">Additionally, </w:t>
      </w:r>
      <w:r w:rsidR="00D55612" w:rsidRPr="000770C9">
        <w:rPr>
          <w:rFonts w:asciiTheme="majorBidi" w:eastAsia="Times New Roman" w:hAnsiTheme="majorBidi" w:cstheme="majorBidi"/>
          <w:bCs/>
          <w:sz w:val="24"/>
          <w:szCs w:val="24"/>
        </w:rPr>
        <w:t xml:space="preserve">firms </w:t>
      </w:r>
      <w:r w:rsidRPr="000770C9">
        <w:rPr>
          <w:rFonts w:asciiTheme="majorBidi" w:eastAsia="Times New Roman" w:hAnsiTheme="majorBidi" w:cstheme="majorBidi"/>
          <w:bCs/>
          <w:sz w:val="24"/>
          <w:szCs w:val="24"/>
        </w:rPr>
        <w:t xml:space="preserve">operating in countries with effective </w:t>
      </w:r>
      <w:r w:rsidR="00590ADE">
        <w:rPr>
          <w:rFonts w:asciiTheme="majorBidi" w:eastAsia="Times New Roman" w:hAnsiTheme="majorBidi" w:cstheme="majorBidi"/>
          <w:bCs/>
          <w:sz w:val="24"/>
          <w:szCs w:val="24"/>
        </w:rPr>
        <w:t>country-level</w:t>
      </w:r>
      <w:r w:rsidR="00590ADE" w:rsidRPr="000770C9">
        <w:rPr>
          <w:rFonts w:asciiTheme="majorBidi" w:eastAsia="Times New Roman" w:hAnsiTheme="majorBidi" w:cstheme="majorBidi"/>
          <w:bCs/>
          <w:sz w:val="24"/>
          <w:szCs w:val="24"/>
        </w:rPr>
        <w:t xml:space="preserve"> </w:t>
      </w:r>
      <w:r w:rsidRPr="000770C9">
        <w:rPr>
          <w:rFonts w:asciiTheme="majorBidi" w:eastAsia="Times New Roman" w:hAnsiTheme="majorBidi" w:cstheme="majorBidi"/>
          <w:bCs/>
          <w:sz w:val="24"/>
          <w:szCs w:val="24"/>
        </w:rPr>
        <w:t xml:space="preserve">governance that strongly protect investor rights, are more likely experience more widespread </w:t>
      </w:r>
      <w:r w:rsidRPr="000770C9">
        <w:rPr>
          <w:rFonts w:asciiTheme="majorBidi" w:eastAsia="Times New Roman" w:hAnsiTheme="majorBidi" w:cstheme="majorBidi"/>
          <w:bCs/>
          <w:iCs/>
          <w:sz w:val="24"/>
          <w:szCs w:val="24"/>
        </w:rPr>
        <w:t>shareholdings</w:t>
      </w:r>
      <w:r w:rsidRPr="000770C9">
        <w:rPr>
          <w:rFonts w:asciiTheme="majorBidi" w:eastAsia="Times New Roman" w:hAnsiTheme="majorBidi" w:cstheme="majorBidi"/>
          <w:bCs/>
          <w:sz w:val="24"/>
          <w:szCs w:val="24"/>
        </w:rPr>
        <w:t xml:space="preserve">, greater separation of </w:t>
      </w:r>
      <w:r w:rsidRPr="000770C9">
        <w:rPr>
          <w:rFonts w:asciiTheme="majorBidi" w:eastAsia="Times New Roman" w:hAnsiTheme="majorBidi" w:cstheme="majorBidi"/>
          <w:bCs/>
          <w:iCs/>
          <w:sz w:val="24"/>
          <w:szCs w:val="24"/>
        </w:rPr>
        <w:t>shareholding</w:t>
      </w:r>
      <w:r w:rsidRPr="000770C9">
        <w:rPr>
          <w:rFonts w:asciiTheme="majorBidi" w:eastAsia="Times New Roman" w:hAnsiTheme="majorBidi" w:cstheme="majorBidi"/>
          <w:bCs/>
          <w:sz w:val="24"/>
          <w:szCs w:val="24"/>
        </w:rPr>
        <w:t xml:space="preserve"> and control, and higher levels of outside (minority) </w:t>
      </w:r>
      <w:r w:rsidRPr="000770C9">
        <w:rPr>
          <w:rFonts w:asciiTheme="majorBidi" w:eastAsia="Times New Roman" w:hAnsiTheme="majorBidi" w:cstheme="majorBidi"/>
          <w:bCs/>
          <w:iCs/>
          <w:sz w:val="24"/>
          <w:szCs w:val="24"/>
        </w:rPr>
        <w:t>shareholdings</w:t>
      </w:r>
      <w:r w:rsidRPr="000770C9">
        <w:rPr>
          <w:rFonts w:asciiTheme="majorBidi" w:eastAsia="Times New Roman" w:hAnsiTheme="majorBidi" w:cstheme="majorBidi"/>
          <w:bCs/>
          <w:sz w:val="24"/>
          <w:szCs w:val="24"/>
        </w:rPr>
        <w:t xml:space="preserve"> (La Porta </w:t>
      </w:r>
      <w:r w:rsidRPr="000770C9">
        <w:rPr>
          <w:rFonts w:asciiTheme="majorBidi" w:eastAsia="Times New Roman" w:hAnsiTheme="majorBidi" w:cstheme="majorBidi"/>
          <w:bCs/>
          <w:i/>
          <w:iCs/>
          <w:sz w:val="24"/>
          <w:szCs w:val="24"/>
        </w:rPr>
        <w:t>et al</w:t>
      </w:r>
      <w:r w:rsidRPr="000770C9">
        <w:rPr>
          <w:rFonts w:asciiTheme="majorBidi" w:eastAsia="Times New Roman" w:hAnsiTheme="majorBidi" w:cstheme="majorBidi"/>
          <w:bCs/>
          <w:sz w:val="24"/>
          <w:szCs w:val="24"/>
        </w:rPr>
        <w:t>., 2000; Jaggi &amp; Low, 2000). Therefore, these firms may experience high</w:t>
      </w:r>
      <w:r w:rsidR="00677BC1">
        <w:rPr>
          <w:rFonts w:asciiTheme="majorBidi" w:eastAsia="Times New Roman" w:hAnsiTheme="majorBidi" w:cstheme="majorBidi"/>
          <w:bCs/>
          <w:sz w:val="24"/>
          <w:szCs w:val="24"/>
        </w:rPr>
        <w:t>er</w:t>
      </w:r>
      <w:r w:rsidRPr="000770C9">
        <w:rPr>
          <w:rFonts w:asciiTheme="majorBidi" w:eastAsia="Times New Roman" w:hAnsiTheme="majorBidi" w:cstheme="majorBidi"/>
          <w:bCs/>
          <w:sz w:val="24"/>
          <w:szCs w:val="24"/>
        </w:rPr>
        <w:t xml:space="preserve"> levels of agency problems, and thereby demand </w:t>
      </w:r>
      <w:r w:rsidR="00A40D48" w:rsidRPr="00A40D48">
        <w:rPr>
          <w:rFonts w:asciiTheme="majorBidi" w:eastAsia="Times New Roman" w:hAnsiTheme="majorBidi" w:cstheme="majorBidi"/>
          <w:bCs/>
          <w:sz w:val="24"/>
          <w:szCs w:val="24"/>
        </w:rPr>
        <w:t xml:space="preserve">higher </w:t>
      </w:r>
      <w:r w:rsidRPr="000770C9">
        <w:rPr>
          <w:rFonts w:asciiTheme="majorBidi" w:eastAsia="Times New Roman" w:hAnsiTheme="majorBidi" w:cstheme="majorBidi"/>
          <w:bCs/>
          <w:sz w:val="24"/>
          <w:szCs w:val="24"/>
        </w:rPr>
        <w:t xml:space="preserve">quality audit (employ </w:t>
      </w:r>
      <w:r w:rsidR="006F1B3B">
        <w:rPr>
          <w:rFonts w:asciiTheme="majorBidi" w:eastAsia="Times New Roman" w:hAnsiTheme="majorBidi" w:cstheme="majorBidi"/>
          <w:bCs/>
          <w:sz w:val="24"/>
          <w:szCs w:val="24"/>
        </w:rPr>
        <w:t>a Big 4</w:t>
      </w:r>
      <w:r w:rsidRPr="000770C9">
        <w:rPr>
          <w:rFonts w:asciiTheme="majorBidi" w:eastAsia="Times New Roman" w:hAnsiTheme="majorBidi" w:cstheme="majorBidi"/>
          <w:bCs/>
          <w:sz w:val="24"/>
          <w:szCs w:val="24"/>
        </w:rPr>
        <w:t xml:space="preserve"> auditor and pay higher audit fees) in order to produce credible financial reports (Francis </w:t>
      </w:r>
      <w:r w:rsidRPr="000770C9">
        <w:rPr>
          <w:rFonts w:asciiTheme="majorBidi" w:eastAsia="Times New Roman" w:hAnsiTheme="majorBidi" w:cstheme="majorBidi"/>
          <w:bCs/>
          <w:i/>
          <w:iCs/>
          <w:sz w:val="24"/>
          <w:szCs w:val="24"/>
        </w:rPr>
        <w:t>et al</w:t>
      </w:r>
      <w:r w:rsidRPr="000770C9">
        <w:rPr>
          <w:rFonts w:asciiTheme="majorBidi" w:eastAsia="Times New Roman" w:hAnsiTheme="majorBidi" w:cstheme="majorBidi"/>
          <w:bCs/>
          <w:sz w:val="24"/>
          <w:szCs w:val="24"/>
        </w:rPr>
        <w:t xml:space="preserve">., 2003; Francis &amp; Wang 2008; Gul </w:t>
      </w:r>
      <w:r w:rsidRPr="000770C9">
        <w:rPr>
          <w:rFonts w:asciiTheme="majorBidi" w:eastAsia="Times New Roman" w:hAnsiTheme="majorBidi" w:cstheme="majorBidi"/>
          <w:bCs/>
          <w:i/>
          <w:iCs/>
          <w:sz w:val="24"/>
          <w:szCs w:val="24"/>
        </w:rPr>
        <w:t>et al</w:t>
      </w:r>
      <w:r w:rsidRPr="000770C9">
        <w:rPr>
          <w:rFonts w:asciiTheme="majorBidi" w:eastAsia="Times New Roman" w:hAnsiTheme="majorBidi" w:cstheme="majorBidi"/>
          <w:bCs/>
          <w:sz w:val="24"/>
          <w:szCs w:val="24"/>
        </w:rPr>
        <w:t>, 2013).</w:t>
      </w:r>
    </w:p>
    <w:p w14:paraId="28771095" w14:textId="2CE25F0E" w:rsidR="007C4420" w:rsidRPr="008E772B" w:rsidRDefault="007C4420" w:rsidP="0049352A">
      <w:pPr>
        <w:spacing w:after="0" w:line="360" w:lineRule="auto"/>
        <w:ind w:firstLine="720"/>
        <w:jc w:val="lowKashida"/>
        <w:rPr>
          <w:rFonts w:asciiTheme="majorBidi" w:eastAsia="Times New Roman" w:hAnsiTheme="majorBidi" w:cstheme="majorBidi"/>
          <w:bCs/>
          <w:sz w:val="24"/>
          <w:szCs w:val="24"/>
        </w:rPr>
      </w:pPr>
      <w:r w:rsidRPr="000972D1">
        <w:rPr>
          <w:rFonts w:asciiTheme="majorBidi" w:eastAsia="Times New Roman" w:hAnsiTheme="majorBidi" w:cstheme="majorBidi"/>
          <w:bCs/>
          <w:sz w:val="24"/>
          <w:szCs w:val="24"/>
        </w:rPr>
        <w:t>Audit quality refers to the ability</w:t>
      </w:r>
      <w:r w:rsidR="00666AC4" w:rsidRPr="000972D1">
        <w:rPr>
          <w:rFonts w:asciiTheme="majorBidi" w:eastAsia="Times New Roman" w:hAnsiTheme="majorBidi" w:cstheme="majorBidi"/>
          <w:bCs/>
          <w:sz w:val="24"/>
          <w:szCs w:val="24"/>
        </w:rPr>
        <w:t xml:space="preserve"> of an auditor</w:t>
      </w:r>
      <w:r w:rsidRPr="000972D1">
        <w:rPr>
          <w:rFonts w:asciiTheme="majorBidi" w:eastAsia="Times New Roman" w:hAnsiTheme="majorBidi" w:cstheme="majorBidi"/>
          <w:bCs/>
          <w:sz w:val="24"/>
          <w:szCs w:val="24"/>
        </w:rPr>
        <w:t xml:space="preserve"> to detect misstatements, and the willingness to report misstatements uncovered in an audit process </w:t>
      </w:r>
      <w:r w:rsidR="00666AC4" w:rsidRPr="000972D1">
        <w:rPr>
          <w:rFonts w:asciiTheme="majorBidi" w:eastAsia="Times New Roman" w:hAnsiTheme="majorBidi" w:cstheme="majorBidi"/>
          <w:bCs/>
          <w:sz w:val="24"/>
          <w:szCs w:val="24"/>
        </w:rPr>
        <w:t xml:space="preserve">without fear or favour </w:t>
      </w:r>
      <w:r w:rsidRPr="000972D1">
        <w:rPr>
          <w:rFonts w:asciiTheme="majorBidi" w:eastAsia="Times New Roman" w:hAnsiTheme="majorBidi" w:cstheme="majorBidi"/>
          <w:bCs/>
          <w:sz w:val="24"/>
          <w:szCs w:val="24"/>
        </w:rPr>
        <w:t xml:space="preserve">(DeAngelo, 1981; Mohamed </w:t>
      </w:r>
      <w:r w:rsidR="00FD151D" w:rsidRPr="000972D1">
        <w:rPr>
          <w:rFonts w:asciiTheme="majorBidi" w:eastAsia="Times New Roman" w:hAnsiTheme="majorBidi" w:cstheme="majorBidi"/>
          <w:bCs/>
          <w:sz w:val="24"/>
          <w:szCs w:val="24"/>
        </w:rPr>
        <w:t>&amp;</w:t>
      </w:r>
      <w:r w:rsidRPr="000972D1">
        <w:rPr>
          <w:rFonts w:asciiTheme="majorBidi" w:eastAsia="Times New Roman" w:hAnsiTheme="majorBidi" w:cstheme="majorBidi"/>
          <w:bCs/>
          <w:sz w:val="24"/>
          <w:szCs w:val="24"/>
        </w:rPr>
        <w:t xml:space="preserve"> Habib, 2013</w:t>
      </w:r>
      <w:r w:rsidR="000F4060" w:rsidRPr="000972D1">
        <w:rPr>
          <w:rFonts w:asciiTheme="majorBidi" w:eastAsia="Times New Roman" w:hAnsiTheme="majorBidi" w:cstheme="majorBidi"/>
          <w:bCs/>
          <w:sz w:val="24"/>
          <w:szCs w:val="24"/>
        </w:rPr>
        <w:t xml:space="preserve">; </w:t>
      </w:r>
      <w:r w:rsidR="000F4060" w:rsidRPr="000972D1">
        <w:rPr>
          <w:rFonts w:asciiTheme="majorBidi" w:eastAsia="Calibri" w:hAnsiTheme="majorBidi" w:cstheme="majorBidi"/>
          <w:sz w:val="24"/>
          <w:szCs w:val="24"/>
          <w:lang w:eastAsia="en-US"/>
        </w:rPr>
        <w:t>Knechel, 2016</w:t>
      </w:r>
      <w:r w:rsidRPr="000972D1">
        <w:rPr>
          <w:rFonts w:asciiTheme="majorBidi" w:eastAsia="Times New Roman" w:hAnsiTheme="majorBidi" w:cstheme="majorBidi"/>
          <w:bCs/>
          <w:sz w:val="24"/>
          <w:szCs w:val="24"/>
        </w:rPr>
        <w:t>). The auditor’s technical capabilities and competence determine his/her ability to discover a breach in the client’s accounting system. However, the probability of reporting the misstatements is a function of the auditor’s independence</w:t>
      </w:r>
      <w:r w:rsidR="00666AC4" w:rsidRPr="000972D1">
        <w:rPr>
          <w:rFonts w:asciiTheme="majorBidi" w:eastAsia="Times New Roman" w:hAnsiTheme="majorBidi" w:cstheme="majorBidi"/>
          <w:bCs/>
          <w:sz w:val="24"/>
          <w:szCs w:val="24"/>
        </w:rPr>
        <w:t>, size, financial clout and reputation</w:t>
      </w:r>
      <w:r w:rsidRPr="000972D1">
        <w:rPr>
          <w:rFonts w:asciiTheme="majorBidi" w:eastAsia="Times New Roman" w:hAnsiTheme="majorBidi" w:cstheme="majorBidi"/>
          <w:bCs/>
          <w:sz w:val="24"/>
          <w:szCs w:val="24"/>
        </w:rPr>
        <w:t xml:space="preserve"> (DeAngelo, 1981; </w:t>
      </w:r>
      <w:r w:rsidR="000F4060" w:rsidRPr="000972D1">
        <w:rPr>
          <w:rFonts w:asciiTheme="majorBidi" w:eastAsia="Calibri" w:hAnsiTheme="majorBidi" w:cstheme="majorBidi"/>
          <w:sz w:val="24"/>
          <w:szCs w:val="24"/>
          <w:lang w:eastAsia="en-US"/>
        </w:rPr>
        <w:t>Knechel, 2016</w:t>
      </w:r>
      <w:r w:rsidR="00B50204" w:rsidRPr="000972D1">
        <w:rPr>
          <w:rFonts w:asciiTheme="majorBidi" w:eastAsia="Calibri" w:hAnsiTheme="majorBidi" w:cstheme="majorBidi"/>
          <w:sz w:val="24"/>
          <w:szCs w:val="24"/>
          <w:lang w:eastAsia="en-US"/>
        </w:rPr>
        <w:t>;</w:t>
      </w:r>
      <w:r w:rsidR="00B50204" w:rsidRPr="000972D1">
        <w:rPr>
          <w:rFonts w:asciiTheme="majorBidi" w:eastAsia="Times New Roman" w:hAnsiTheme="majorBidi" w:cstheme="majorBidi"/>
          <w:bCs/>
          <w:iCs/>
          <w:sz w:val="24"/>
          <w:szCs w:val="24"/>
        </w:rPr>
        <w:t xml:space="preserve"> </w:t>
      </w:r>
      <w:r w:rsidR="00B50204" w:rsidRPr="000972D1">
        <w:rPr>
          <w:rFonts w:asciiTheme="majorBidi" w:eastAsia="Calibri" w:hAnsiTheme="majorBidi" w:cstheme="majorBidi"/>
          <w:bCs/>
          <w:iCs/>
          <w:sz w:val="24"/>
          <w:szCs w:val="24"/>
          <w:lang w:eastAsia="en-US"/>
        </w:rPr>
        <w:t>Habbash &amp; Alghamdi, 2017</w:t>
      </w:r>
      <w:r w:rsidRPr="000972D1">
        <w:rPr>
          <w:rFonts w:asciiTheme="majorBidi" w:eastAsia="Times New Roman" w:hAnsiTheme="majorBidi" w:cstheme="majorBidi"/>
          <w:bCs/>
          <w:sz w:val="24"/>
          <w:szCs w:val="24"/>
        </w:rPr>
        <w:t>).</w:t>
      </w:r>
      <w:r w:rsidR="00270D4A" w:rsidRPr="000972D1">
        <w:rPr>
          <w:rFonts w:asciiTheme="majorBidi" w:eastAsia="Times New Roman" w:hAnsiTheme="majorBidi" w:cstheme="majorBidi"/>
          <w:bCs/>
          <w:sz w:val="24"/>
          <w:szCs w:val="24"/>
        </w:rPr>
        <w:t xml:space="preserve"> </w:t>
      </w:r>
      <w:r w:rsidR="00AC2C22" w:rsidRPr="000972D1">
        <w:rPr>
          <w:rFonts w:asciiTheme="majorBidi" w:eastAsia="Times New Roman" w:hAnsiTheme="majorBidi" w:cstheme="majorBidi"/>
          <w:bCs/>
          <w:sz w:val="24"/>
          <w:szCs w:val="24"/>
        </w:rPr>
        <w:t xml:space="preserve">Specifically, </w:t>
      </w:r>
      <w:r w:rsidRPr="000972D1">
        <w:rPr>
          <w:rFonts w:asciiTheme="majorBidi" w:eastAsia="Times New Roman" w:hAnsiTheme="majorBidi" w:cstheme="majorBidi"/>
          <w:bCs/>
          <w:sz w:val="24"/>
          <w:szCs w:val="24"/>
        </w:rPr>
        <w:t xml:space="preserve">DeAngelo (1981) argues that the quality of an audit process is a function of the size of the audit firm, or its market share. Large audit firms are more likely to provide </w:t>
      </w:r>
      <w:r w:rsidR="0049352A" w:rsidRPr="000972D1">
        <w:rPr>
          <w:rFonts w:asciiTheme="majorBidi" w:eastAsia="Times New Roman" w:hAnsiTheme="majorBidi" w:cstheme="majorBidi"/>
          <w:bCs/>
          <w:sz w:val="24"/>
          <w:szCs w:val="24"/>
        </w:rPr>
        <w:t>higher-</w:t>
      </w:r>
      <w:r w:rsidRPr="000972D1">
        <w:rPr>
          <w:rFonts w:asciiTheme="majorBidi" w:eastAsia="Times New Roman" w:hAnsiTheme="majorBidi" w:cstheme="majorBidi"/>
          <w:bCs/>
          <w:sz w:val="24"/>
          <w:szCs w:val="24"/>
        </w:rPr>
        <w:t xml:space="preserve">quality audit </w:t>
      </w:r>
      <w:r w:rsidR="001E40DE" w:rsidRPr="000972D1">
        <w:rPr>
          <w:rFonts w:asciiTheme="majorBidi" w:eastAsia="Times New Roman" w:hAnsiTheme="majorBidi" w:cstheme="majorBidi"/>
          <w:bCs/>
          <w:sz w:val="24"/>
          <w:szCs w:val="24"/>
        </w:rPr>
        <w:t xml:space="preserve">in order </w:t>
      </w:r>
      <w:r w:rsidRPr="000972D1">
        <w:rPr>
          <w:rFonts w:asciiTheme="majorBidi" w:eastAsia="Times New Roman" w:hAnsiTheme="majorBidi" w:cstheme="majorBidi"/>
          <w:bCs/>
          <w:sz w:val="24"/>
          <w:szCs w:val="24"/>
        </w:rPr>
        <w:t xml:space="preserve">to sustain their reputation and </w:t>
      </w:r>
      <w:r w:rsidR="00097B68" w:rsidRPr="000972D1">
        <w:rPr>
          <w:rFonts w:asciiTheme="majorBidi" w:eastAsia="Times New Roman" w:hAnsiTheme="majorBidi" w:cstheme="majorBidi"/>
          <w:bCs/>
          <w:sz w:val="24"/>
          <w:szCs w:val="24"/>
        </w:rPr>
        <w:t>minimi</w:t>
      </w:r>
      <w:r w:rsidR="00097B68">
        <w:rPr>
          <w:rFonts w:asciiTheme="majorBidi" w:eastAsia="Times New Roman" w:hAnsiTheme="majorBidi" w:cstheme="majorBidi"/>
          <w:bCs/>
          <w:sz w:val="24"/>
          <w:szCs w:val="24"/>
        </w:rPr>
        <w:t>z</w:t>
      </w:r>
      <w:r w:rsidR="00097B68" w:rsidRPr="000972D1">
        <w:rPr>
          <w:rFonts w:asciiTheme="majorBidi" w:eastAsia="Times New Roman" w:hAnsiTheme="majorBidi" w:cstheme="majorBidi"/>
          <w:bCs/>
          <w:sz w:val="24"/>
          <w:szCs w:val="24"/>
        </w:rPr>
        <w:t xml:space="preserve">e </w:t>
      </w:r>
      <w:r w:rsidRPr="000972D1">
        <w:rPr>
          <w:rFonts w:asciiTheme="majorBidi" w:eastAsia="Times New Roman" w:hAnsiTheme="majorBidi" w:cstheme="majorBidi"/>
          <w:bCs/>
          <w:sz w:val="24"/>
          <w:szCs w:val="24"/>
        </w:rPr>
        <w:t>litigation costs (</w:t>
      </w:r>
      <w:r w:rsidR="00C32CFB" w:rsidRPr="000972D1">
        <w:rPr>
          <w:rFonts w:asciiTheme="majorBidi" w:eastAsia="Times New Roman" w:hAnsiTheme="majorBidi" w:cstheme="majorBidi"/>
          <w:bCs/>
          <w:iCs/>
          <w:sz w:val="24"/>
          <w:szCs w:val="24"/>
        </w:rPr>
        <w:t xml:space="preserve">Gul </w:t>
      </w:r>
      <w:r w:rsidR="00C32CFB" w:rsidRPr="000972D1">
        <w:rPr>
          <w:rFonts w:asciiTheme="majorBidi" w:eastAsia="Times New Roman" w:hAnsiTheme="majorBidi" w:cstheme="majorBidi"/>
          <w:bCs/>
          <w:i/>
          <w:iCs/>
          <w:sz w:val="24"/>
          <w:szCs w:val="24"/>
        </w:rPr>
        <w:t>et al</w:t>
      </w:r>
      <w:r w:rsidR="00C32CFB" w:rsidRPr="000972D1">
        <w:rPr>
          <w:rFonts w:asciiTheme="majorBidi" w:eastAsia="Times New Roman" w:hAnsiTheme="majorBidi" w:cstheme="majorBidi"/>
          <w:bCs/>
          <w:iCs/>
          <w:sz w:val="24"/>
          <w:szCs w:val="24"/>
        </w:rPr>
        <w:t>, 2013;</w:t>
      </w:r>
      <w:r w:rsidRPr="000972D1">
        <w:rPr>
          <w:rFonts w:asciiTheme="majorBidi" w:eastAsia="Times New Roman" w:hAnsiTheme="majorBidi" w:cstheme="majorBidi"/>
          <w:bCs/>
          <w:sz w:val="24"/>
          <w:szCs w:val="24"/>
        </w:rPr>
        <w:t xml:space="preserve"> Eshleman </w:t>
      </w:r>
      <w:r w:rsidR="001C5247" w:rsidRPr="000972D1">
        <w:rPr>
          <w:rFonts w:asciiTheme="majorBidi" w:eastAsia="Times New Roman" w:hAnsiTheme="majorBidi" w:cstheme="majorBidi"/>
          <w:bCs/>
          <w:sz w:val="24"/>
          <w:szCs w:val="24"/>
        </w:rPr>
        <w:t>&amp;</w:t>
      </w:r>
      <w:r w:rsidRPr="000972D1">
        <w:rPr>
          <w:rFonts w:asciiTheme="majorBidi" w:eastAsia="Times New Roman" w:hAnsiTheme="majorBidi" w:cstheme="majorBidi"/>
          <w:bCs/>
          <w:sz w:val="24"/>
          <w:szCs w:val="24"/>
        </w:rPr>
        <w:t xml:space="preserve"> Guo, 2014</w:t>
      </w:r>
      <w:r w:rsidR="00855667" w:rsidRPr="000972D1">
        <w:rPr>
          <w:rFonts w:asciiTheme="majorBidi" w:eastAsia="Times New Roman" w:hAnsiTheme="majorBidi" w:cstheme="majorBidi"/>
          <w:bCs/>
          <w:sz w:val="24"/>
          <w:szCs w:val="24"/>
        </w:rPr>
        <w:t xml:space="preserve">; </w:t>
      </w:r>
      <w:r w:rsidR="00855667" w:rsidRPr="000972D1">
        <w:rPr>
          <w:rFonts w:asciiTheme="majorBidi" w:eastAsia="Times New Roman" w:hAnsiTheme="majorBidi" w:cstheme="majorBidi"/>
          <w:bCs/>
          <w:iCs/>
          <w:sz w:val="24"/>
          <w:szCs w:val="24"/>
        </w:rPr>
        <w:t>Habbash &amp; Alghamdi, 2017</w:t>
      </w:r>
      <w:r w:rsidRPr="000972D1">
        <w:rPr>
          <w:rFonts w:asciiTheme="majorBidi" w:eastAsia="Times New Roman" w:hAnsiTheme="majorBidi" w:cstheme="majorBidi"/>
          <w:bCs/>
          <w:sz w:val="24"/>
          <w:szCs w:val="24"/>
        </w:rPr>
        <w:t xml:space="preserve">). </w:t>
      </w:r>
      <w:r w:rsidR="006E3FD8" w:rsidRPr="000972D1">
        <w:rPr>
          <w:rFonts w:asciiTheme="majorBidi" w:eastAsia="Times New Roman" w:hAnsiTheme="majorBidi" w:cstheme="majorBidi"/>
          <w:bCs/>
          <w:sz w:val="24"/>
          <w:szCs w:val="24"/>
        </w:rPr>
        <w:t xml:space="preserve">Large audit firms </w:t>
      </w:r>
      <w:r w:rsidRPr="000972D1">
        <w:rPr>
          <w:rFonts w:asciiTheme="majorBidi" w:eastAsia="Times New Roman" w:hAnsiTheme="majorBidi" w:cstheme="majorBidi"/>
          <w:bCs/>
          <w:sz w:val="24"/>
          <w:szCs w:val="24"/>
        </w:rPr>
        <w:t xml:space="preserve">usually have better training programmes, and a higher degree of independence and industrial expertise, which </w:t>
      </w:r>
      <w:r w:rsidR="009B17CA" w:rsidRPr="000972D1">
        <w:rPr>
          <w:rFonts w:asciiTheme="majorBidi" w:eastAsia="Times New Roman" w:hAnsiTheme="majorBidi" w:cstheme="majorBidi"/>
          <w:bCs/>
          <w:sz w:val="24"/>
          <w:szCs w:val="24"/>
        </w:rPr>
        <w:t>equip</w:t>
      </w:r>
      <w:r w:rsidR="00F27B56" w:rsidRPr="000972D1">
        <w:rPr>
          <w:rFonts w:asciiTheme="majorBidi" w:eastAsia="Times New Roman" w:hAnsiTheme="majorBidi" w:cstheme="majorBidi"/>
          <w:bCs/>
          <w:sz w:val="24"/>
          <w:szCs w:val="24"/>
        </w:rPr>
        <w:t xml:space="preserve"> their staff</w:t>
      </w:r>
      <w:r w:rsidR="009B17CA" w:rsidRPr="000972D1">
        <w:rPr>
          <w:rFonts w:asciiTheme="majorBidi" w:eastAsia="Times New Roman" w:hAnsiTheme="majorBidi" w:cstheme="majorBidi"/>
          <w:bCs/>
          <w:sz w:val="24"/>
          <w:szCs w:val="24"/>
        </w:rPr>
        <w:t xml:space="preserve"> with the </w:t>
      </w:r>
      <w:r w:rsidR="008C6B05" w:rsidRPr="000972D1">
        <w:rPr>
          <w:rFonts w:asciiTheme="majorBidi" w:eastAsia="Times New Roman" w:hAnsiTheme="majorBidi" w:cstheme="majorBidi"/>
          <w:bCs/>
          <w:sz w:val="24"/>
          <w:szCs w:val="24"/>
        </w:rPr>
        <w:t>skills to</w:t>
      </w:r>
      <w:r w:rsidRPr="000972D1">
        <w:rPr>
          <w:rFonts w:asciiTheme="majorBidi" w:eastAsia="Times New Roman" w:hAnsiTheme="majorBidi" w:cstheme="majorBidi"/>
          <w:bCs/>
          <w:sz w:val="24"/>
          <w:szCs w:val="24"/>
        </w:rPr>
        <w:t xml:space="preserve"> detect and report </w:t>
      </w:r>
      <w:r w:rsidRPr="000972D1">
        <w:rPr>
          <w:rFonts w:asciiTheme="majorBidi" w:eastAsia="Times New Roman" w:hAnsiTheme="majorBidi" w:cstheme="majorBidi"/>
          <w:bCs/>
          <w:sz w:val="24"/>
          <w:szCs w:val="24"/>
        </w:rPr>
        <w:lastRenderedPageBreak/>
        <w:t>irregularities in the financial statements provided by management (</w:t>
      </w:r>
      <w:r w:rsidR="00521F04" w:rsidRPr="000972D1">
        <w:rPr>
          <w:rFonts w:asciiTheme="majorBidi" w:eastAsia="Times New Roman" w:hAnsiTheme="majorBidi" w:cstheme="majorBidi"/>
          <w:bCs/>
          <w:sz w:val="24"/>
          <w:szCs w:val="24"/>
        </w:rPr>
        <w:t>Francis &amp; Wang, 2008;</w:t>
      </w:r>
      <w:r w:rsidRPr="000972D1">
        <w:rPr>
          <w:rFonts w:asciiTheme="majorBidi" w:eastAsia="Times New Roman" w:hAnsiTheme="majorBidi" w:cstheme="majorBidi"/>
          <w:bCs/>
          <w:sz w:val="24"/>
          <w:szCs w:val="24"/>
        </w:rPr>
        <w:t xml:space="preserve"> Eshleman </w:t>
      </w:r>
      <w:r w:rsidR="001C5247" w:rsidRPr="000972D1">
        <w:rPr>
          <w:rFonts w:asciiTheme="majorBidi" w:eastAsia="Times New Roman" w:hAnsiTheme="majorBidi" w:cstheme="majorBidi"/>
          <w:bCs/>
          <w:sz w:val="24"/>
          <w:szCs w:val="24"/>
        </w:rPr>
        <w:t>&amp;</w:t>
      </w:r>
      <w:r w:rsidRPr="000972D1">
        <w:rPr>
          <w:rFonts w:asciiTheme="majorBidi" w:eastAsia="Times New Roman" w:hAnsiTheme="majorBidi" w:cstheme="majorBidi"/>
          <w:bCs/>
          <w:sz w:val="24"/>
          <w:szCs w:val="24"/>
        </w:rPr>
        <w:t xml:space="preserve"> Guo, 2014). On the other hand, because of the relatively limited industrial knowledge and resources available to small audit firms, the</w:t>
      </w:r>
      <w:r w:rsidR="004A49EC" w:rsidRPr="000972D1">
        <w:rPr>
          <w:rFonts w:asciiTheme="majorBidi" w:eastAsia="Times New Roman" w:hAnsiTheme="majorBidi" w:cstheme="majorBidi"/>
          <w:bCs/>
          <w:sz w:val="24"/>
          <w:szCs w:val="24"/>
        </w:rPr>
        <w:t>y</w:t>
      </w:r>
      <w:r w:rsidRPr="000972D1">
        <w:rPr>
          <w:rFonts w:asciiTheme="majorBidi" w:eastAsia="Times New Roman" w:hAnsiTheme="majorBidi" w:cstheme="majorBidi"/>
          <w:bCs/>
          <w:sz w:val="24"/>
          <w:szCs w:val="24"/>
        </w:rPr>
        <w:t xml:space="preserve"> are more likely to provide low</w:t>
      </w:r>
      <w:r w:rsidR="00184C7B" w:rsidRPr="000972D1">
        <w:rPr>
          <w:rFonts w:asciiTheme="majorBidi" w:eastAsia="Times New Roman" w:hAnsiTheme="majorBidi" w:cstheme="majorBidi"/>
          <w:bCs/>
          <w:sz w:val="24"/>
          <w:szCs w:val="24"/>
        </w:rPr>
        <w:t>er</w:t>
      </w:r>
      <w:r w:rsidRPr="000972D1">
        <w:rPr>
          <w:rFonts w:asciiTheme="majorBidi" w:eastAsia="Times New Roman" w:hAnsiTheme="majorBidi" w:cstheme="majorBidi"/>
          <w:bCs/>
          <w:sz w:val="24"/>
          <w:szCs w:val="24"/>
        </w:rPr>
        <w:t xml:space="preserve">-quality audit services (Krishnan, 2003). Similarly, higher audit fees may reflect audit quality and auditor effort (Chen </w:t>
      </w:r>
      <w:r w:rsidRPr="000972D1">
        <w:rPr>
          <w:rFonts w:asciiTheme="majorBidi" w:eastAsia="Times New Roman" w:hAnsiTheme="majorBidi" w:cstheme="majorBidi"/>
          <w:bCs/>
          <w:i/>
          <w:sz w:val="24"/>
          <w:szCs w:val="24"/>
        </w:rPr>
        <w:t>et al</w:t>
      </w:r>
      <w:r w:rsidRPr="000972D1">
        <w:rPr>
          <w:rFonts w:asciiTheme="majorBidi" w:eastAsia="Times New Roman" w:hAnsiTheme="majorBidi" w:cstheme="majorBidi"/>
          <w:bCs/>
          <w:sz w:val="24"/>
          <w:szCs w:val="24"/>
        </w:rPr>
        <w:t>., 2016).</w:t>
      </w:r>
      <w:r w:rsidR="004A49EC" w:rsidRPr="000972D1">
        <w:rPr>
          <w:rFonts w:asciiTheme="majorBidi" w:eastAsia="Times New Roman" w:hAnsiTheme="majorBidi" w:cstheme="majorBidi"/>
          <w:bCs/>
          <w:sz w:val="24"/>
          <w:szCs w:val="24"/>
        </w:rPr>
        <w:t xml:space="preserve"> Consequently, we conjecture that auditor choice </w:t>
      </w:r>
      <w:r w:rsidR="00FD151D" w:rsidRPr="000972D1">
        <w:rPr>
          <w:rFonts w:asciiTheme="majorBidi" w:eastAsia="Times New Roman" w:hAnsiTheme="majorBidi" w:cstheme="majorBidi"/>
          <w:bCs/>
          <w:sz w:val="24"/>
          <w:szCs w:val="24"/>
        </w:rPr>
        <w:t xml:space="preserve">and audit fees </w:t>
      </w:r>
      <w:r w:rsidR="004A49EC" w:rsidRPr="000972D1">
        <w:rPr>
          <w:rFonts w:asciiTheme="majorBidi" w:eastAsia="Times New Roman" w:hAnsiTheme="majorBidi" w:cstheme="majorBidi"/>
          <w:bCs/>
          <w:sz w:val="24"/>
          <w:szCs w:val="24"/>
        </w:rPr>
        <w:t>may be influenced by the quality of firm- and country-level governance</w:t>
      </w:r>
      <w:r w:rsidR="00F7466B">
        <w:rPr>
          <w:rFonts w:asciiTheme="majorBidi" w:eastAsia="Times New Roman" w:hAnsiTheme="majorBidi" w:cstheme="majorBidi"/>
          <w:bCs/>
          <w:sz w:val="24"/>
          <w:szCs w:val="24"/>
        </w:rPr>
        <w:t xml:space="preserve"> structures</w:t>
      </w:r>
      <w:r w:rsidR="004A49EC" w:rsidRPr="000972D1">
        <w:rPr>
          <w:rFonts w:asciiTheme="majorBidi" w:eastAsia="Times New Roman" w:hAnsiTheme="majorBidi" w:cstheme="majorBidi"/>
          <w:bCs/>
          <w:sz w:val="24"/>
          <w:szCs w:val="24"/>
        </w:rPr>
        <w:t>, which is the central rationale underlying the current study.</w:t>
      </w:r>
    </w:p>
    <w:p w14:paraId="32B43A0E" w14:textId="665E5749" w:rsidR="004A49EC" w:rsidRPr="008E772B" w:rsidRDefault="001002DA" w:rsidP="005604FF">
      <w:pPr>
        <w:spacing w:after="0" w:line="360" w:lineRule="auto"/>
        <w:ind w:firstLine="720"/>
        <w:jc w:val="lowKashida"/>
        <w:rPr>
          <w:rFonts w:asciiTheme="majorBidi" w:eastAsia="Times New Roman" w:hAnsiTheme="majorBidi" w:cstheme="majorBidi"/>
          <w:sz w:val="24"/>
          <w:szCs w:val="24"/>
        </w:rPr>
      </w:pPr>
      <w:r w:rsidRPr="008E772B">
        <w:rPr>
          <w:rFonts w:asciiTheme="majorBidi" w:eastAsia="Times New Roman" w:hAnsiTheme="majorBidi" w:cstheme="majorBidi"/>
          <w:sz w:val="24"/>
          <w:szCs w:val="24"/>
        </w:rPr>
        <w:t xml:space="preserve">Although prior studies examining the effect of governance quality on audit </w:t>
      </w:r>
      <w:r w:rsidR="001C2386">
        <w:rPr>
          <w:rFonts w:asciiTheme="majorBidi" w:eastAsia="Times New Roman" w:hAnsiTheme="majorBidi" w:cstheme="majorBidi"/>
          <w:sz w:val="24"/>
          <w:szCs w:val="24"/>
        </w:rPr>
        <w:t xml:space="preserve">quality </w:t>
      </w:r>
      <w:r w:rsidR="00A422AE">
        <w:rPr>
          <w:rFonts w:asciiTheme="majorBidi" w:eastAsia="Times New Roman" w:hAnsiTheme="majorBidi" w:cstheme="majorBidi"/>
          <w:sz w:val="24"/>
          <w:szCs w:val="24"/>
        </w:rPr>
        <w:t>are rare, a few exist</w:t>
      </w:r>
      <w:r w:rsidRPr="008E772B">
        <w:rPr>
          <w:rFonts w:asciiTheme="majorBidi" w:eastAsia="Times New Roman" w:hAnsiTheme="majorBidi" w:cstheme="majorBidi"/>
          <w:sz w:val="24"/>
          <w:szCs w:val="24"/>
        </w:rPr>
        <w:t xml:space="preserve">. Therefore and in this section, we draw on the prior theoretical and empirical literature to develop </w:t>
      </w:r>
      <w:r w:rsidR="00A422AE">
        <w:rPr>
          <w:rFonts w:asciiTheme="majorBidi" w:eastAsia="Times New Roman" w:hAnsiTheme="majorBidi" w:cstheme="majorBidi"/>
          <w:sz w:val="24"/>
          <w:szCs w:val="24"/>
        </w:rPr>
        <w:t>specific hypotheses of interest</w:t>
      </w:r>
      <w:r w:rsidRPr="008E772B">
        <w:rPr>
          <w:rFonts w:asciiTheme="majorBidi" w:eastAsia="Times New Roman" w:hAnsiTheme="majorBidi" w:cstheme="majorBidi"/>
          <w:sz w:val="24"/>
          <w:szCs w:val="24"/>
        </w:rPr>
        <w:t xml:space="preserve">. Specifically, </w:t>
      </w:r>
      <w:r w:rsidR="00361BA9" w:rsidRPr="008E772B">
        <w:rPr>
          <w:rFonts w:asciiTheme="majorBidi" w:eastAsia="Times New Roman" w:hAnsiTheme="majorBidi" w:cstheme="majorBidi"/>
          <w:sz w:val="24"/>
          <w:szCs w:val="24"/>
        </w:rPr>
        <w:t xml:space="preserve">we </w:t>
      </w:r>
      <w:r w:rsidRPr="008E772B">
        <w:rPr>
          <w:rFonts w:asciiTheme="majorBidi" w:eastAsia="Times New Roman" w:hAnsiTheme="majorBidi" w:cstheme="majorBidi"/>
          <w:sz w:val="24"/>
          <w:szCs w:val="24"/>
        </w:rPr>
        <w:t xml:space="preserve">examine </w:t>
      </w:r>
      <w:r w:rsidR="0068413C" w:rsidRPr="008E772B">
        <w:rPr>
          <w:rFonts w:asciiTheme="majorBidi" w:eastAsia="Times New Roman" w:hAnsiTheme="majorBidi" w:cstheme="majorBidi"/>
          <w:sz w:val="24"/>
          <w:szCs w:val="24"/>
        </w:rPr>
        <w:t>three</w:t>
      </w:r>
      <w:r w:rsidRPr="008E772B">
        <w:rPr>
          <w:rFonts w:asciiTheme="majorBidi" w:eastAsia="Times New Roman" w:hAnsiTheme="majorBidi" w:cstheme="majorBidi"/>
          <w:sz w:val="24"/>
          <w:szCs w:val="24"/>
        </w:rPr>
        <w:t xml:space="preserve"> set</w:t>
      </w:r>
      <w:r w:rsidR="00F835BA" w:rsidRPr="008E772B">
        <w:rPr>
          <w:rFonts w:asciiTheme="majorBidi" w:eastAsia="Times New Roman" w:hAnsiTheme="majorBidi" w:cstheme="majorBidi"/>
          <w:sz w:val="24"/>
          <w:szCs w:val="24"/>
        </w:rPr>
        <w:t>s</w:t>
      </w:r>
      <w:r w:rsidRPr="008E772B">
        <w:rPr>
          <w:rFonts w:asciiTheme="majorBidi" w:eastAsia="Times New Roman" w:hAnsiTheme="majorBidi" w:cstheme="majorBidi"/>
          <w:sz w:val="24"/>
          <w:szCs w:val="24"/>
        </w:rPr>
        <w:t xml:space="preserve"> of </w:t>
      </w:r>
      <w:r w:rsidR="003D792C" w:rsidRPr="008E772B">
        <w:rPr>
          <w:rFonts w:asciiTheme="majorBidi" w:eastAsia="Times New Roman" w:hAnsiTheme="majorBidi" w:cstheme="majorBidi"/>
          <w:sz w:val="24"/>
          <w:szCs w:val="24"/>
        </w:rPr>
        <w:t>firm-</w:t>
      </w:r>
      <w:r w:rsidR="0068413C" w:rsidRPr="008E772B">
        <w:rPr>
          <w:rFonts w:asciiTheme="majorBidi" w:eastAsia="Times New Roman" w:hAnsiTheme="majorBidi" w:cstheme="majorBidi"/>
          <w:sz w:val="24"/>
          <w:szCs w:val="24"/>
        </w:rPr>
        <w:t xml:space="preserve"> and country-level</w:t>
      </w:r>
      <w:r w:rsidR="003D792C" w:rsidRPr="008E772B">
        <w:rPr>
          <w:rFonts w:asciiTheme="majorBidi" w:eastAsia="Times New Roman" w:hAnsiTheme="majorBidi" w:cstheme="majorBidi"/>
          <w:sz w:val="24"/>
          <w:szCs w:val="24"/>
        </w:rPr>
        <w:t xml:space="preserve"> </w:t>
      </w:r>
      <w:r w:rsidRPr="008E772B">
        <w:rPr>
          <w:rFonts w:asciiTheme="majorBidi" w:eastAsia="Times New Roman" w:hAnsiTheme="majorBidi" w:cstheme="majorBidi"/>
          <w:sz w:val="24"/>
          <w:szCs w:val="24"/>
        </w:rPr>
        <w:t xml:space="preserve">governance mechanisms, namely: (i) board characteristics, including board size, board independence and </w:t>
      </w:r>
      <w:r w:rsidR="005604FF" w:rsidRPr="005604FF">
        <w:rPr>
          <w:rFonts w:asciiTheme="majorBidi" w:eastAsia="Times New Roman" w:hAnsiTheme="majorBidi" w:cstheme="majorBidi"/>
          <w:bCs/>
          <w:sz w:val="24"/>
          <w:szCs w:val="24"/>
        </w:rPr>
        <w:t xml:space="preserve">board </w:t>
      </w:r>
      <w:r w:rsidR="00791DF2" w:rsidRPr="008E772B">
        <w:rPr>
          <w:rFonts w:asciiTheme="majorBidi" w:eastAsia="Times New Roman" w:hAnsiTheme="majorBidi" w:cstheme="majorBidi"/>
          <w:bCs/>
          <w:sz w:val="24"/>
          <w:szCs w:val="24"/>
        </w:rPr>
        <w:t>leadership structure</w:t>
      </w:r>
      <w:r w:rsidRPr="008E772B">
        <w:rPr>
          <w:rFonts w:asciiTheme="majorBidi" w:eastAsia="Times New Roman" w:hAnsiTheme="majorBidi" w:cstheme="majorBidi"/>
          <w:sz w:val="24"/>
          <w:szCs w:val="24"/>
        </w:rPr>
        <w:t xml:space="preserve">; (ii) </w:t>
      </w:r>
      <w:r w:rsidR="00C81356" w:rsidRPr="008E772B">
        <w:rPr>
          <w:rFonts w:asciiTheme="majorBidi" w:eastAsia="Times New Roman" w:hAnsiTheme="majorBidi" w:cstheme="majorBidi"/>
          <w:bCs/>
          <w:sz w:val="24"/>
          <w:szCs w:val="24"/>
        </w:rPr>
        <w:t>shareholding</w:t>
      </w:r>
      <w:r w:rsidRPr="008E772B">
        <w:rPr>
          <w:rFonts w:asciiTheme="majorBidi" w:eastAsia="Times New Roman" w:hAnsiTheme="majorBidi" w:cstheme="majorBidi"/>
          <w:sz w:val="24"/>
          <w:szCs w:val="24"/>
        </w:rPr>
        <w:t xml:space="preserve"> structure, including </w:t>
      </w:r>
      <w:r w:rsidR="00744B85" w:rsidRPr="008E772B">
        <w:rPr>
          <w:rFonts w:asciiTheme="majorBidi" w:eastAsia="Times New Roman" w:hAnsiTheme="majorBidi" w:cstheme="majorBidi"/>
          <w:sz w:val="24"/>
          <w:szCs w:val="24"/>
        </w:rPr>
        <w:t xml:space="preserve">government </w:t>
      </w:r>
      <w:r w:rsidR="00744B85" w:rsidRPr="008E772B">
        <w:rPr>
          <w:rFonts w:asciiTheme="majorBidi" w:eastAsia="Times New Roman" w:hAnsiTheme="majorBidi" w:cstheme="majorBidi"/>
          <w:bCs/>
          <w:sz w:val="24"/>
          <w:szCs w:val="24"/>
        </w:rPr>
        <w:t>shareholding</w:t>
      </w:r>
      <w:r w:rsidRPr="008E772B">
        <w:rPr>
          <w:rFonts w:asciiTheme="majorBidi" w:eastAsia="Times New Roman" w:hAnsiTheme="majorBidi" w:cstheme="majorBidi"/>
          <w:sz w:val="24"/>
          <w:szCs w:val="24"/>
        </w:rPr>
        <w:t xml:space="preserve">, director </w:t>
      </w:r>
      <w:r w:rsidR="00C81356" w:rsidRPr="008E772B">
        <w:rPr>
          <w:rFonts w:asciiTheme="majorBidi" w:eastAsia="Times New Roman" w:hAnsiTheme="majorBidi" w:cstheme="majorBidi"/>
          <w:bCs/>
          <w:sz w:val="24"/>
          <w:szCs w:val="24"/>
        </w:rPr>
        <w:t>shareholding</w:t>
      </w:r>
      <w:r w:rsidRPr="008E772B">
        <w:rPr>
          <w:rFonts w:asciiTheme="majorBidi" w:eastAsia="Times New Roman" w:hAnsiTheme="majorBidi" w:cstheme="majorBidi"/>
          <w:sz w:val="24"/>
          <w:szCs w:val="24"/>
        </w:rPr>
        <w:t xml:space="preserve"> and</w:t>
      </w:r>
      <w:r w:rsidR="00744B85" w:rsidRPr="008E772B">
        <w:rPr>
          <w:rFonts w:asciiTheme="majorBidi" w:eastAsia="Times New Roman" w:hAnsiTheme="majorBidi" w:cstheme="majorBidi"/>
          <w:sz w:val="24"/>
          <w:szCs w:val="24"/>
        </w:rPr>
        <w:t xml:space="preserve"> </w:t>
      </w:r>
      <w:r w:rsidR="005E335A">
        <w:rPr>
          <w:rFonts w:asciiTheme="majorBidi" w:eastAsia="Times New Roman" w:hAnsiTheme="majorBidi" w:cstheme="majorBidi"/>
          <w:sz w:val="24"/>
          <w:szCs w:val="24"/>
        </w:rPr>
        <w:t>family</w:t>
      </w:r>
      <w:r w:rsidR="005E335A" w:rsidRPr="008E772B">
        <w:rPr>
          <w:rFonts w:asciiTheme="majorBidi" w:eastAsia="Times New Roman" w:hAnsiTheme="majorBidi" w:cstheme="majorBidi"/>
          <w:sz w:val="24"/>
          <w:szCs w:val="24"/>
        </w:rPr>
        <w:t xml:space="preserve"> </w:t>
      </w:r>
      <w:r w:rsidR="00744B85" w:rsidRPr="008E772B">
        <w:rPr>
          <w:rFonts w:asciiTheme="majorBidi" w:eastAsia="Times New Roman" w:hAnsiTheme="majorBidi" w:cstheme="majorBidi"/>
          <w:bCs/>
          <w:sz w:val="24"/>
          <w:szCs w:val="24"/>
        </w:rPr>
        <w:t>shareholding</w:t>
      </w:r>
      <w:r w:rsidRPr="008E772B">
        <w:rPr>
          <w:rFonts w:asciiTheme="majorBidi" w:eastAsia="Times New Roman" w:hAnsiTheme="majorBidi" w:cstheme="majorBidi"/>
          <w:sz w:val="24"/>
          <w:szCs w:val="24"/>
        </w:rPr>
        <w:t>; and (</w:t>
      </w:r>
      <w:r w:rsidR="0068413C" w:rsidRPr="008E772B">
        <w:rPr>
          <w:rFonts w:asciiTheme="majorBidi" w:eastAsia="Times New Roman" w:hAnsiTheme="majorBidi" w:cstheme="majorBidi"/>
          <w:sz w:val="24"/>
          <w:szCs w:val="24"/>
        </w:rPr>
        <w:t>iii</w:t>
      </w:r>
      <w:r w:rsidRPr="008E772B">
        <w:rPr>
          <w:rFonts w:asciiTheme="majorBidi" w:eastAsia="Times New Roman" w:hAnsiTheme="majorBidi" w:cstheme="majorBidi"/>
          <w:sz w:val="24"/>
          <w:szCs w:val="24"/>
        </w:rPr>
        <w:t>) country-level governance quality</w:t>
      </w:r>
      <w:r w:rsidR="0068413C" w:rsidRPr="008E772B">
        <w:rPr>
          <w:rFonts w:asciiTheme="majorBidi" w:eastAsia="Times New Roman" w:hAnsiTheme="majorBidi" w:cstheme="majorBidi"/>
          <w:sz w:val="24"/>
          <w:szCs w:val="24"/>
        </w:rPr>
        <w:t xml:space="preserve"> </w:t>
      </w:r>
      <w:r w:rsidRPr="008E772B">
        <w:rPr>
          <w:rFonts w:asciiTheme="majorBidi" w:eastAsia="Times New Roman" w:hAnsiTheme="majorBidi" w:cstheme="majorBidi"/>
          <w:sz w:val="24"/>
          <w:szCs w:val="24"/>
        </w:rPr>
        <w:t xml:space="preserve">on </w:t>
      </w:r>
      <w:r w:rsidR="00FD727F" w:rsidRPr="00FD727F">
        <w:rPr>
          <w:rFonts w:asciiTheme="majorBidi" w:eastAsia="Times New Roman" w:hAnsiTheme="majorBidi" w:cstheme="majorBidi"/>
          <w:sz w:val="24"/>
          <w:szCs w:val="24"/>
        </w:rPr>
        <w:t>audit quality</w:t>
      </w:r>
      <w:r w:rsidR="00F04482" w:rsidRPr="008E772B">
        <w:rPr>
          <w:rFonts w:asciiTheme="majorBidi" w:eastAsia="Times New Roman" w:hAnsiTheme="majorBidi" w:cstheme="majorBidi"/>
          <w:sz w:val="24"/>
          <w:szCs w:val="24"/>
        </w:rPr>
        <w:t>.</w:t>
      </w:r>
    </w:p>
    <w:p w14:paraId="55ED1283" w14:textId="77777777" w:rsidR="001002DA" w:rsidRPr="008E772B" w:rsidRDefault="001002DA" w:rsidP="001E3C94">
      <w:pPr>
        <w:spacing w:after="0" w:line="360" w:lineRule="auto"/>
        <w:jc w:val="lowKashida"/>
        <w:rPr>
          <w:rFonts w:asciiTheme="majorBidi" w:eastAsia="Times New Roman" w:hAnsiTheme="majorBidi" w:cstheme="majorBidi"/>
          <w:sz w:val="24"/>
          <w:szCs w:val="24"/>
        </w:rPr>
      </w:pPr>
    </w:p>
    <w:p w14:paraId="2307C5E3" w14:textId="6399C54A" w:rsidR="00E77BE7" w:rsidRPr="00C257D6" w:rsidRDefault="00157823" w:rsidP="001E3C94">
      <w:pPr>
        <w:spacing w:after="0" w:line="360" w:lineRule="auto"/>
        <w:jc w:val="lowKashida"/>
        <w:rPr>
          <w:rFonts w:asciiTheme="majorBidi" w:eastAsia="Times New Roman" w:hAnsiTheme="majorBidi" w:cstheme="majorBidi"/>
          <w:b/>
          <w:bCs/>
          <w:i/>
          <w:iCs/>
          <w:sz w:val="24"/>
          <w:szCs w:val="24"/>
        </w:rPr>
      </w:pPr>
      <w:r>
        <w:rPr>
          <w:rFonts w:asciiTheme="majorBidi" w:eastAsia="Times New Roman" w:hAnsiTheme="majorBidi" w:cstheme="majorBidi"/>
          <w:b/>
          <w:bCs/>
          <w:i/>
          <w:iCs/>
          <w:sz w:val="24"/>
          <w:szCs w:val="24"/>
        </w:rPr>
        <w:t xml:space="preserve">3.1. </w:t>
      </w:r>
      <w:r w:rsidR="00E77BE7" w:rsidRPr="00C257D6">
        <w:rPr>
          <w:rFonts w:asciiTheme="majorBidi" w:eastAsia="Times New Roman" w:hAnsiTheme="majorBidi" w:cstheme="majorBidi"/>
          <w:b/>
          <w:bCs/>
          <w:i/>
          <w:iCs/>
          <w:sz w:val="24"/>
          <w:szCs w:val="24"/>
        </w:rPr>
        <w:t xml:space="preserve">Corporate </w:t>
      </w:r>
      <w:r w:rsidR="00486E5B" w:rsidRPr="00C257D6">
        <w:rPr>
          <w:rFonts w:asciiTheme="majorBidi" w:eastAsia="Times New Roman" w:hAnsiTheme="majorBidi" w:cstheme="majorBidi"/>
          <w:b/>
          <w:bCs/>
          <w:i/>
          <w:iCs/>
          <w:sz w:val="24"/>
          <w:szCs w:val="24"/>
        </w:rPr>
        <w:t>board</w:t>
      </w:r>
      <w:r w:rsidR="00A05566">
        <w:rPr>
          <w:rFonts w:asciiTheme="majorBidi" w:eastAsia="Times New Roman" w:hAnsiTheme="majorBidi" w:cstheme="majorBidi"/>
          <w:b/>
          <w:bCs/>
          <w:i/>
          <w:iCs/>
          <w:sz w:val="24"/>
          <w:szCs w:val="24"/>
        </w:rPr>
        <w:t>s</w:t>
      </w:r>
      <w:r w:rsidR="00486E5B" w:rsidRPr="00C257D6">
        <w:rPr>
          <w:rFonts w:asciiTheme="majorBidi" w:eastAsia="Times New Roman" w:hAnsiTheme="majorBidi" w:cstheme="majorBidi"/>
          <w:b/>
          <w:bCs/>
          <w:i/>
          <w:iCs/>
          <w:sz w:val="24"/>
          <w:szCs w:val="24"/>
        </w:rPr>
        <w:t xml:space="preserve"> </w:t>
      </w:r>
      <w:r w:rsidR="00BA03EF" w:rsidRPr="00BA03EF">
        <w:rPr>
          <w:rFonts w:asciiTheme="majorBidi" w:eastAsia="Times New Roman" w:hAnsiTheme="majorBidi" w:cstheme="majorBidi"/>
          <w:b/>
          <w:bCs/>
          <w:i/>
          <w:iCs/>
          <w:sz w:val="24"/>
          <w:szCs w:val="24"/>
        </w:rPr>
        <w:t xml:space="preserve">and audit quality </w:t>
      </w:r>
    </w:p>
    <w:p w14:paraId="3C117F53" w14:textId="511F6E8E" w:rsidR="007C4420" w:rsidRPr="008E772B" w:rsidRDefault="00157823" w:rsidP="00F83A9E">
      <w:pPr>
        <w:spacing w:after="0" w:line="360" w:lineRule="auto"/>
        <w:jc w:val="lowKashida"/>
        <w:rPr>
          <w:rFonts w:asciiTheme="majorBidi" w:eastAsia="Times New Roman" w:hAnsiTheme="majorBidi" w:cstheme="majorBidi"/>
          <w:i/>
          <w:sz w:val="24"/>
          <w:szCs w:val="24"/>
        </w:rPr>
      </w:pPr>
      <w:r>
        <w:rPr>
          <w:rFonts w:asciiTheme="majorBidi" w:eastAsia="Times New Roman" w:hAnsiTheme="majorBidi" w:cstheme="majorBidi"/>
          <w:i/>
          <w:sz w:val="24"/>
          <w:szCs w:val="24"/>
        </w:rPr>
        <w:t xml:space="preserve">3.1.1. </w:t>
      </w:r>
      <w:r w:rsidR="007C4420" w:rsidRPr="008E772B">
        <w:rPr>
          <w:rFonts w:asciiTheme="majorBidi" w:eastAsia="Times New Roman" w:hAnsiTheme="majorBidi" w:cstheme="majorBidi"/>
          <w:i/>
          <w:sz w:val="24"/>
          <w:szCs w:val="24"/>
        </w:rPr>
        <w:t xml:space="preserve">Board </w:t>
      </w:r>
      <w:r w:rsidR="00486E5B" w:rsidRPr="008E772B">
        <w:rPr>
          <w:rFonts w:asciiTheme="majorBidi" w:eastAsia="Times New Roman" w:hAnsiTheme="majorBidi" w:cstheme="majorBidi"/>
          <w:i/>
          <w:sz w:val="24"/>
          <w:szCs w:val="24"/>
        </w:rPr>
        <w:t>size</w:t>
      </w:r>
      <w:r w:rsidR="0037423D" w:rsidRPr="008E772B">
        <w:rPr>
          <w:rFonts w:asciiTheme="majorBidi" w:eastAsia="Times New Roman" w:hAnsiTheme="majorBidi" w:cstheme="majorBidi"/>
          <w:i/>
          <w:sz w:val="24"/>
          <w:szCs w:val="24"/>
        </w:rPr>
        <w:t xml:space="preserve"> and </w:t>
      </w:r>
      <w:r w:rsidR="00DC4292">
        <w:rPr>
          <w:rFonts w:asciiTheme="majorBidi" w:eastAsia="Times New Roman" w:hAnsiTheme="majorBidi" w:cstheme="majorBidi"/>
          <w:i/>
          <w:sz w:val="24"/>
          <w:szCs w:val="24"/>
        </w:rPr>
        <w:t xml:space="preserve">audit quality </w:t>
      </w:r>
    </w:p>
    <w:p w14:paraId="7C2254AB" w14:textId="0A3892B7" w:rsidR="007C4420" w:rsidRPr="008E772B" w:rsidRDefault="007C4420" w:rsidP="00B85D5D">
      <w:pPr>
        <w:spacing w:after="0" w:line="360" w:lineRule="auto"/>
        <w:ind w:firstLine="720"/>
        <w:jc w:val="lowKashida"/>
        <w:rPr>
          <w:rFonts w:asciiTheme="majorBidi" w:eastAsia="Times New Roman" w:hAnsiTheme="majorBidi" w:cstheme="majorBidi"/>
          <w:bCs/>
          <w:iCs/>
          <w:sz w:val="24"/>
          <w:szCs w:val="24"/>
        </w:rPr>
      </w:pPr>
      <w:r w:rsidRPr="008E772B">
        <w:rPr>
          <w:rFonts w:asciiTheme="majorBidi" w:eastAsia="Times New Roman" w:hAnsiTheme="majorBidi" w:cstheme="majorBidi"/>
          <w:bCs/>
          <w:iCs/>
          <w:sz w:val="24"/>
          <w:szCs w:val="24"/>
        </w:rPr>
        <w:t>Agency theory suggests that large</w:t>
      </w:r>
      <w:r w:rsidR="00CC3660">
        <w:rPr>
          <w:rFonts w:asciiTheme="majorBidi" w:eastAsia="Times New Roman" w:hAnsiTheme="majorBidi" w:cstheme="majorBidi"/>
          <w:bCs/>
          <w:iCs/>
          <w:sz w:val="24"/>
          <w:szCs w:val="24"/>
        </w:rPr>
        <w:t>r</w:t>
      </w:r>
      <w:r w:rsidRPr="008E772B">
        <w:rPr>
          <w:rFonts w:asciiTheme="majorBidi" w:eastAsia="Times New Roman" w:hAnsiTheme="majorBidi" w:cstheme="majorBidi"/>
          <w:bCs/>
          <w:iCs/>
          <w:sz w:val="24"/>
          <w:szCs w:val="24"/>
        </w:rPr>
        <w:t xml:space="preserve"> boards are more efficient in monitoring and evaluating manager</w:t>
      </w:r>
      <w:r w:rsidR="00C257D6">
        <w:rPr>
          <w:rFonts w:asciiTheme="majorBidi" w:eastAsia="Times New Roman" w:hAnsiTheme="majorBidi" w:cstheme="majorBidi"/>
          <w:bCs/>
          <w:iCs/>
          <w:sz w:val="24"/>
          <w:szCs w:val="24"/>
        </w:rPr>
        <w:t>ial</w:t>
      </w:r>
      <w:r w:rsidRPr="008E772B">
        <w:rPr>
          <w:rFonts w:asciiTheme="majorBidi" w:eastAsia="Times New Roman" w:hAnsiTheme="majorBidi" w:cstheme="majorBidi"/>
          <w:bCs/>
          <w:iCs/>
          <w:sz w:val="24"/>
          <w:szCs w:val="24"/>
        </w:rPr>
        <w:t xml:space="preserve"> behaviour</w:t>
      </w:r>
      <w:r w:rsidR="00CC3660">
        <w:rPr>
          <w:rFonts w:asciiTheme="majorBidi" w:eastAsia="Times New Roman" w:hAnsiTheme="majorBidi" w:cstheme="majorBidi"/>
          <w:bCs/>
          <w:iCs/>
          <w:sz w:val="24"/>
          <w:szCs w:val="24"/>
        </w:rPr>
        <w:t xml:space="preserve"> than smaller boards</w:t>
      </w:r>
      <w:r w:rsidR="00C257D6">
        <w:rPr>
          <w:rFonts w:asciiTheme="majorBidi" w:eastAsia="Times New Roman" w:hAnsiTheme="majorBidi" w:cstheme="majorBidi"/>
          <w:bCs/>
          <w:iCs/>
          <w:sz w:val="24"/>
          <w:szCs w:val="24"/>
        </w:rPr>
        <w:t xml:space="preserve">, which can ensure that </w:t>
      </w:r>
      <w:r w:rsidRPr="008E772B">
        <w:rPr>
          <w:rFonts w:asciiTheme="majorBidi" w:eastAsia="Times New Roman" w:hAnsiTheme="majorBidi" w:cstheme="majorBidi"/>
          <w:bCs/>
          <w:iCs/>
          <w:sz w:val="24"/>
          <w:szCs w:val="24"/>
        </w:rPr>
        <w:t xml:space="preserve">they </w:t>
      </w:r>
      <w:r w:rsidR="00887E08" w:rsidRPr="008E772B">
        <w:rPr>
          <w:rFonts w:asciiTheme="majorBidi" w:eastAsia="Times New Roman" w:hAnsiTheme="majorBidi" w:cstheme="majorBidi"/>
          <w:bCs/>
          <w:iCs/>
          <w:sz w:val="24"/>
          <w:szCs w:val="24"/>
        </w:rPr>
        <w:t xml:space="preserve">operate in the best interest </w:t>
      </w:r>
      <w:r w:rsidR="002F0AB9" w:rsidRPr="008E772B">
        <w:rPr>
          <w:rFonts w:asciiTheme="majorBidi" w:eastAsia="Times New Roman" w:hAnsiTheme="majorBidi" w:cstheme="majorBidi"/>
          <w:bCs/>
          <w:iCs/>
          <w:sz w:val="24"/>
          <w:szCs w:val="24"/>
        </w:rPr>
        <w:t xml:space="preserve">of </w:t>
      </w:r>
      <w:r w:rsidRPr="008E772B">
        <w:rPr>
          <w:rFonts w:asciiTheme="majorBidi" w:eastAsia="Times New Roman" w:hAnsiTheme="majorBidi" w:cstheme="majorBidi"/>
          <w:bCs/>
          <w:iCs/>
          <w:sz w:val="24"/>
          <w:szCs w:val="24"/>
        </w:rPr>
        <w:t xml:space="preserve">shareholders (Jensen </w:t>
      </w:r>
      <w:r w:rsidR="001C5247" w:rsidRPr="008E772B">
        <w:rPr>
          <w:rFonts w:asciiTheme="majorBidi" w:eastAsia="Times New Roman" w:hAnsiTheme="majorBidi" w:cstheme="majorBidi"/>
          <w:bCs/>
          <w:sz w:val="24"/>
          <w:szCs w:val="24"/>
        </w:rPr>
        <w:t>&amp;</w:t>
      </w:r>
      <w:r w:rsidRPr="008E772B">
        <w:rPr>
          <w:rFonts w:asciiTheme="majorBidi" w:eastAsia="Times New Roman" w:hAnsiTheme="majorBidi" w:cstheme="majorBidi"/>
          <w:bCs/>
          <w:iCs/>
          <w:sz w:val="24"/>
          <w:szCs w:val="24"/>
        </w:rPr>
        <w:t xml:space="preserve"> Meckling, 1976; Fama </w:t>
      </w:r>
      <w:r w:rsidR="001C5247" w:rsidRPr="008E772B">
        <w:rPr>
          <w:rFonts w:asciiTheme="majorBidi" w:eastAsia="Times New Roman" w:hAnsiTheme="majorBidi" w:cstheme="majorBidi"/>
          <w:bCs/>
          <w:sz w:val="24"/>
          <w:szCs w:val="24"/>
        </w:rPr>
        <w:t>&amp;</w:t>
      </w:r>
      <w:r w:rsidRPr="008E772B">
        <w:rPr>
          <w:rFonts w:asciiTheme="majorBidi" w:eastAsia="Times New Roman" w:hAnsiTheme="majorBidi" w:cstheme="majorBidi"/>
          <w:bCs/>
          <w:iCs/>
          <w:sz w:val="24"/>
          <w:szCs w:val="24"/>
        </w:rPr>
        <w:t xml:space="preserve"> Jensen, 1983; Lin </w:t>
      </w:r>
      <w:r w:rsidR="001C5247" w:rsidRPr="008E772B">
        <w:rPr>
          <w:rFonts w:asciiTheme="majorBidi" w:eastAsia="Times New Roman" w:hAnsiTheme="majorBidi" w:cstheme="majorBidi"/>
          <w:bCs/>
          <w:sz w:val="24"/>
          <w:szCs w:val="24"/>
        </w:rPr>
        <w:t>&amp;</w:t>
      </w:r>
      <w:r w:rsidRPr="008E772B">
        <w:rPr>
          <w:rFonts w:asciiTheme="majorBidi" w:eastAsia="Times New Roman" w:hAnsiTheme="majorBidi" w:cstheme="majorBidi"/>
          <w:bCs/>
          <w:iCs/>
          <w:sz w:val="24"/>
          <w:szCs w:val="24"/>
        </w:rPr>
        <w:t xml:space="preserve"> Hw</w:t>
      </w:r>
      <w:r w:rsidR="00BF0753" w:rsidRPr="008E772B">
        <w:rPr>
          <w:rFonts w:asciiTheme="majorBidi" w:eastAsia="Times New Roman" w:hAnsiTheme="majorBidi" w:cstheme="majorBidi"/>
          <w:bCs/>
          <w:iCs/>
          <w:sz w:val="24"/>
          <w:szCs w:val="24"/>
        </w:rPr>
        <w:t>a</w:t>
      </w:r>
      <w:r w:rsidRPr="008E772B">
        <w:rPr>
          <w:rFonts w:asciiTheme="majorBidi" w:eastAsia="Times New Roman" w:hAnsiTheme="majorBidi" w:cstheme="majorBidi"/>
          <w:bCs/>
          <w:iCs/>
          <w:sz w:val="24"/>
          <w:szCs w:val="24"/>
        </w:rPr>
        <w:t xml:space="preserve">ng, 2010). This is because </w:t>
      </w:r>
      <w:r w:rsidR="00B85D5D" w:rsidRPr="00B85D5D">
        <w:rPr>
          <w:rFonts w:asciiTheme="majorBidi" w:eastAsia="Times New Roman" w:hAnsiTheme="majorBidi" w:cstheme="majorBidi"/>
          <w:bCs/>
          <w:iCs/>
          <w:sz w:val="24"/>
          <w:szCs w:val="24"/>
        </w:rPr>
        <w:t>a large number of members on the board</w:t>
      </w:r>
      <w:r w:rsidRPr="008E772B">
        <w:rPr>
          <w:rFonts w:asciiTheme="majorBidi" w:eastAsia="Times New Roman" w:hAnsiTheme="majorBidi" w:cstheme="majorBidi"/>
          <w:bCs/>
          <w:iCs/>
          <w:sz w:val="24"/>
          <w:szCs w:val="24"/>
        </w:rPr>
        <w:t xml:space="preserve"> </w:t>
      </w:r>
      <w:r w:rsidR="00B85D5D">
        <w:rPr>
          <w:rFonts w:asciiTheme="majorBidi" w:eastAsia="Times New Roman" w:hAnsiTheme="majorBidi" w:cstheme="majorBidi"/>
          <w:bCs/>
          <w:iCs/>
          <w:sz w:val="24"/>
          <w:szCs w:val="24"/>
        </w:rPr>
        <w:t>is</w:t>
      </w:r>
      <w:r w:rsidR="00B85D5D" w:rsidRPr="008E772B">
        <w:rPr>
          <w:rFonts w:asciiTheme="majorBidi" w:eastAsia="Times New Roman" w:hAnsiTheme="majorBidi" w:cstheme="majorBidi"/>
          <w:bCs/>
          <w:iCs/>
          <w:sz w:val="24"/>
          <w:szCs w:val="24"/>
        </w:rPr>
        <w:t xml:space="preserve"> </w:t>
      </w:r>
      <w:r w:rsidRPr="008E772B">
        <w:rPr>
          <w:rFonts w:asciiTheme="majorBidi" w:eastAsia="Times New Roman" w:hAnsiTheme="majorBidi" w:cstheme="majorBidi"/>
          <w:bCs/>
          <w:iCs/>
          <w:sz w:val="24"/>
          <w:szCs w:val="24"/>
        </w:rPr>
        <w:t>less likely to be affected by a dominant CEO than are small</w:t>
      </w:r>
      <w:r w:rsidR="009145D1">
        <w:rPr>
          <w:rFonts w:asciiTheme="majorBidi" w:eastAsia="Times New Roman" w:hAnsiTheme="majorBidi" w:cstheme="majorBidi"/>
          <w:bCs/>
          <w:iCs/>
          <w:sz w:val="24"/>
          <w:szCs w:val="24"/>
        </w:rPr>
        <w:t>er</w:t>
      </w:r>
      <w:r w:rsidRPr="008E772B">
        <w:rPr>
          <w:rFonts w:asciiTheme="majorBidi" w:eastAsia="Times New Roman" w:hAnsiTheme="majorBidi" w:cstheme="majorBidi"/>
          <w:bCs/>
          <w:iCs/>
          <w:sz w:val="24"/>
          <w:szCs w:val="24"/>
        </w:rPr>
        <w:t xml:space="preserve"> boards (Ntim </w:t>
      </w:r>
      <w:r w:rsidR="00EE791F" w:rsidRPr="008E772B">
        <w:rPr>
          <w:rFonts w:asciiTheme="majorBidi" w:eastAsia="Times New Roman" w:hAnsiTheme="majorBidi" w:cstheme="majorBidi"/>
          <w:bCs/>
          <w:sz w:val="24"/>
          <w:szCs w:val="24"/>
        </w:rPr>
        <w:t>&amp;</w:t>
      </w:r>
      <w:r w:rsidR="00D1388B" w:rsidRPr="008E772B">
        <w:rPr>
          <w:rFonts w:asciiTheme="majorBidi" w:eastAsia="Times New Roman" w:hAnsiTheme="majorBidi" w:cstheme="majorBidi"/>
          <w:bCs/>
          <w:iCs/>
          <w:sz w:val="24"/>
          <w:szCs w:val="24"/>
        </w:rPr>
        <w:t xml:space="preserve"> Soobaroyen, 2013</w:t>
      </w:r>
      <w:r w:rsidRPr="008E772B">
        <w:rPr>
          <w:rFonts w:asciiTheme="majorBidi" w:eastAsia="Times New Roman" w:hAnsiTheme="majorBidi" w:cstheme="majorBidi"/>
          <w:bCs/>
          <w:iCs/>
          <w:sz w:val="24"/>
          <w:szCs w:val="24"/>
        </w:rPr>
        <w:t>).</w:t>
      </w:r>
      <w:r w:rsidR="00591400">
        <w:rPr>
          <w:rFonts w:asciiTheme="majorBidi" w:eastAsia="Times New Roman" w:hAnsiTheme="majorBidi" w:cstheme="majorBidi"/>
          <w:bCs/>
          <w:iCs/>
          <w:sz w:val="24"/>
          <w:szCs w:val="24"/>
        </w:rPr>
        <w:t xml:space="preserve"> Furthermore</w:t>
      </w:r>
      <w:r w:rsidR="00B85D5D">
        <w:rPr>
          <w:rFonts w:asciiTheme="majorBidi" w:eastAsia="Times New Roman" w:hAnsiTheme="majorBidi" w:cstheme="majorBidi"/>
          <w:bCs/>
          <w:iCs/>
          <w:sz w:val="24"/>
          <w:szCs w:val="24"/>
        </w:rPr>
        <w:t>, large boards</w:t>
      </w:r>
      <w:r w:rsidR="00B85D5D" w:rsidRPr="00B85D5D">
        <w:rPr>
          <w:rFonts w:ascii="AdvOT596495f2" w:hAnsi="AdvOT596495f2" w:cs="AdvOT596495f2"/>
          <w:sz w:val="16"/>
          <w:szCs w:val="16"/>
        </w:rPr>
        <w:t xml:space="preserve"> </w:t>
      </w:r>
      <w:r w:rsidR="00B85D5D">
        <w:rPr>
          <w:rFonts w:asciiTheme="majorBidi" w:eastAsia="Times New Roman" w:hAnsiTheme="majorBidi" w:cstheme="majorBidi"/>
          <w:bCs/>
          <w:iCs/>
          <w:sz w:val="24"/>
          <w:szCs w:val="24"/>
        </w:rPr>
        <w:t>may</w:t>
      </w:r>
      <w:r w:rsidR="00B85D5D" w:rsidRPr="00B85D5D">
        <w:rPr>
          <w:rFonts w:asciiTheme="majorBidi" w:eastAsia="Times New Roman" w:hAnsiTheme="majorBidi" w:cstheme="majorBidi"/>
          <w:bCs/>
          <w:iCs/>
          <w:sz w:val="24"/>
          <w:szCs w:val="24"/>
        </w:rPr>
        <w:t xml:space="preserve"> </w:t>
      </w:r>
      <w:r w:rsidR="00B85D5D">
        <w:rPr>
          <w:rFonts w:asciiTheme="majorBidi" w:eastAsia="Times New Roman" w:hAnsiTheme="majorBidi" w:cstheme="majorBidi"/>
          <w:bCs/>
          <w:iCs/>
          <w:sz w:val="24"/>
          <w:szCs w:val="24"/>
        </w:rPr>
        <w:t xml:space="preserve">include </w:t>
      </w:r>
      <w:r w:rsidR="00B85D5D" w:rsidRPr="00B85D5D">
        <w:rPr>
          <w:rFonts w:asciiTheme="majorBidi" w:eastAsia="Times New Roman" w:hAnsiTheme="majorBidi" w:cstheme="majorBidi"/>
          <w:bCs/>
          <w:iCs/>
          <w:sz w:val="24"/>
          <w:szCs w:val="24"/>
        </w:rPr>
        <w:t xml:space="preserve">directors </w:t>
      </w:r>
      <w:r w:rsidR="00B85D5D">
        <w:rPr>
          <w:rFonts w:asciiTheme="majorBidi" w:eastAsia="Times New Roman" w:hAnsiTheme="majorBidi" w:cstheme="majorBidi"/>
          <w:bCs/>
          <w:iCs/>
          <w:sz w:val="24"/>
          <w:szCs w:val="24"/>
        </w:rPr>
        <w:t xml:space="preserve">with </w:t>
      </w:r>
      <w:r w:rsidR="00B85D5D" w:rsidRPr="00B85D5D">
        <w:rPr>
          <w:rFonts w:asciiTheme="majorBidi" w:eastAsia="Times New Roman" w:hAnsiTheme="majorBidi" w:cstheme="majorBidi"/>
          <w:bCs/>
          <w:iCs/>
          <w:sz w:val="24"/>
          <w:szCs w:val="24"/>
        </w:rPr>
        <w:t xml:space="preserve">variety of knowledge and corporate and financial expertise </w:t>
      </w:r>
      <w:r w:rsidR="00B85D5D">
        <w:rPr>
          <w:rFonts w:asciiTheme="majorBidi" w:eastAsia="Times New Roman" w:hAnsiTheme="majorBidi" w:cstheme="majorBidi"/>
          <w:bCs/>
          <w:iCs/>
          <w:sz w:val="24"/>
          <w:szCs w:val="24"/>
        </w:rPr>
        <w:t>that</w:t>
      </w:r>
      <w:r w:rsidR="00CC3660">
        <w:rPr>
          <w:rFonts w:asciiTheme="majorBidi" w:eastAsia="Times New Roman" w:hAnsiTheme="majorBidi" w:cstheme="majorBidi"/>
          <w:bCs/>
          <w:iCs/>
          <w:sz w:val="24"/>
          <w:szCs w:val="24"/>
        </w:rPr>
        <w:t xml:space="preserve"> can</w:t>
      </w:r>
      <w:r w:rsidR="00B85D5D">
        <w:rPr>
          <w:rFonts w:asciiTheme="majorBidi" w:eastAsia="Times New Roman" w:hAnsiTheme="majorBidi" w:cstheme="majorBidi"/>
          <w:bCs/>
          <w:iCs/>
          <w:sz w:val="24"/>
          <w:szCs w:val="24"/>
        </w:rPr>
        <w:t xml:space="preserve"> effectively</w:t>
      </w:r>
      <w:r w:rsidR="00B85D5D" w:rsidRPr="00B85D5D">
        <w:rPr>
          <w:rFonts w:asciiTheme="majorBidi" w:eastAsia="Times New Roman" w:hAnsiTheme="majorBidi" w:cstheme="majorBidi"/>
          <w:bCs/>
          <w:iCs/>
          <w:sz w:val="24"/>
          <w:szCs w:val="24"/>
        </w:rPr>
        <w:t xml:space="preserve"> manage the</w:t>
      </w:r>
      <w:r w:rsidR="00B85D5D">
        <w:rPr>
          <w:rFonts w:asciiTheme="majorBidi" w:eastAsia="Times New Roman" w:hAnsiTheme="majorBidi" w:cstheme="majorBidi"/>
          <w:bCs/>
          <w:iCs/>
          <w:sz w:val="24"/>
          <w:szCs w:val="24"/>
        </w:rPr>
        <w:t xml:space="preserve"> </w:t>
      </w:r>
      <w:r w:rsidR="00B85D5D" w:rsidRPr="00B85D5D">
        <w:rPr>
          <w:rFonts w:asciiTheme="majorBidi" w:eastAsia="Times New Roman" w:hAnsiTheme="majorBidi" w:cstheme="majorBidi"/>
          <w:bCs/>
          <w:iCs/>
          <w:sz w:val="24"/>
          <w:szCs w:val="24"/>
        </w:rPr>
        <w:t>resource</w:t>
      </w:r>
      <w:r w:rsidR="00CC3660">
        <w:rPr>
          <w:rFonts w:asciiTheme="majorBidi" w:eastAsia="Times New Roman" w:hAnsiTheme="majorBidi" w:cstheme="majorBidi"/>
          <w:bCs/>
          <w:iCs/>
          <w:sz w:val="24"/>
          <w:szCs w:val="24"/>
        </w:rPr>
        <w:t>s, such as capital</w:t>
      </w:r>
      <w:r w:rsidR="00B85D5D" w:rsidRPr="00B85D5D">
        <w:rPr>
          <w:rFonts w:asciiTheme="majorBidi" w:eastAsia="Times New Roman" w:hAnsiTheme="majorBidi" w:cstheme="majorBidi"/>
          <w:bCs/>
          <w:iCs/>
          <w:sz w:val="24"/>
          <w:szCs w:val="24"/>
        </w:rPr>
        <w:t xml:space="preserve"> of the firms (Pfeffer, 1973).</w:t>
      </w:r>
      <w:r w:rsidR="002372EA" w:rsidRPr="008E772B">
        <w:rPr>
          <w:rFonts w:asciiTheme="majorBidi" w:eastAsia="Times New Roman" w:hAnsiTheme="majorBidi" w:cstheme="majorBidi"/>
          <w:bCs/>
          <w:iCs/>
          <w:sz w:val="24"/>
          <w:szCs w:val="24"/>
        </w:rPr>
        <w:t xml:space="preserve"> </w:t>
      </w:r>
      <w:r w:rsidR="003979B3">
        <w:rPr>
          <w:rFonts w:asciiTheme="majorBidi" w:eastAsia="Times New Roman" w:hAnsiTheme="majorBidi" w:cstheme="majorBidi"/>
          <w:bCs/>
          <w:iCs/>
          <w:sz w:val="24"/>
          <w:szCs w:val="24"/>
        </w:rPr>
        <w:t xml:space="preserve">On the other hand, other scholars </w:t>
      </w:r>
      <w:r w:rsidR="00CC3660">
        <w:rPr>
          <w:rFonts w:asciiTheme="majorBidi" w:eastAsia="Times New Roman" w:hAnsiTheme="majorBidi" w:cstheme="majorBidi"/>
          <w:bCs/>
          <w:iCs/>
          <w:sz w:val="24"/>
          <w:szCs w:val="24"/>
        </w:rPr>
        <w:t xml:space="preserve">have </w:t>
      </w:r>
      <w:r w:rsidR="003979B3" w:rsidRPr="003979B3">
        <w:rPr>
          <w:rFonts w:asciiTheme="majorBidi" w:eastAsia="Times New Roman" w:hAnsiTheme="majorBidi" w:cstheme="majorBidi"/>
          <w:bCs/>
          <w:iCs/>
          <w:sz w:val="24"/>
          <w:szCs w:val="24"/>
        </w:rPr>
        <w:t>argue</w:t>
      </w:r>
      <w:r w:rsidR="00CC3660">
        <w:rPr>
          <w:rFonts w:asciiTheme="majorBidi" w:eastAsia="Times New Roman" w:hAnsiTheme="majorBidi" w:cstheme="majorBidi"/>
          <w:bCs/>
          <w:iCs/>
          <w:sz w:val="24"/>
          <w:szCs w:val="24"/>
        </w:rPr>
        <w:t>d</w:t>
      </w:r>
      <w:r w:rsidR="003979B3" w:rsidRPr="003979B3">
        <w:rPr>
          <w:rFonts w:asciiTheme="majorBidi" w:eastAsia="Times New Roman" w:hAnsiTheme="majorBidi" w:cstheme="majorBidi"/>
          <w:bCs/>
          <w:iCs/>
          <w:sz w:val="24"/>
          <w:szCs w:val="24"/>
        </w:rPr>
        <w:t xml:space="preserve"> that </w:t>
      </w:r>
      <w:r w:rsidR="00804C64">
        <w:rPr>
          <w:rFonts w:asciiTheme="majorBidi" w:eastAsia="Times New Roman" w:hAnsiTheme="majorBidi" w:cstheme="majorBidi"/>
          <w:bCs/>
          <w:iCs/>
          <w:sz w:val="24"/>
          <w:szCs w:val="24"/>
        </w:rPr>
        <w:t xml:space="preserve">smaller </w:t>
      </w:r>
      <w:r w:rsidR="003979B3" w:rsidRPr="003979B3">
        <w:rPr>
          <w:rFonts w:asciiTheme="majorBidi" w:eastAsia="Times New Roman" w:hAnsiTheme="majorBidi" w:cstheme="majorBidi"/>
          <w:bCs/>
          <w:iCs/>
          <w:sz w:val="24"/>
          <w:szCs w:val="24"/>
        </w:rPr>
        <w:t xml:space="preserve">boards provide a better controlling </w:t>
      </w:r>
      <w:r w:rsidR="00804C64">
        <w:rPr>
          <w:rFonts w:asciiTheme="majorBidi" w:eastAsia="Times New Roman" w:hAnsiTheme="majorBidi" w:cstheme="majorBidi"/>
          <w:bCs/>
          <w:iCs/>
          <w:sz w:val="24"/>
          <w:szCs w:val="24"/>
        </w:rPr>
        <w:t xml:space="preserve">and monitoring </w:t>
      </w:r>
      <w:r w:rsidR="003979B3" w:rsidRPr="003979B3">
        <w:rPr>
          <w:rFonts w:asciiTheme="majorBidi" w:eastAsia="Times New Roman" w:hAnsiTheme="majorBidi" w:cstheme="majorBidi"/>
          <w:bCs/>
          <w:iCs/>
          <w:sz w:val="24"/>
          <w:szCs w:val="24"/>
        </w:rPr>
        <w:t>function than</w:t>
      </w:r>
      <w:r w:rsidR="00804C64">
        <w:rPr>
          <w:rFonts w:asciiTheme="majorBidi" w:eastAsia="Times New Roman" w:hAnsiTheme="majorBidi" w:cstheme="majorBidi"/>
          <w:bCs/>
          <w:iCs/>
          <w:sz w:val="24"/>
          <w:szCs w:val="24"/>
        </w:rPr>
        <w:t xml:space="preserve"> </w:t>
      </w:r>
      <w:r w:rsidR="003979B3" w:rsidRPr="003979B3">
        <w:rPr>
          <w:rFonts w:asciiTheme="majorBidi" w:eastAsia="Times New Roman" w:hAnsiTheme="majorBidi" w:cstheme="majorBidi"/>
          <w:bCs/>
          <w:iCs/>
          <w:sz w:val="24"/>
          <w:szCs w:val="24"/>
        </w:rPr>
        <w:t>larger boards</w:t>
      </w:r>
      <w:r w:rsidR="00804C64">
        <w:rPr>
          <w:rFonts w:asciiTheme="majorBidi" w:eastAsia="Times New Roman" w:hAnsiTheme="majorBidi" w:cstheme="majorBidi"/>
          <w:bCs/>
          <w:iCs/>
          <w:sz w:val="24"/>
          <w:szCs w:val="24"/>
        </w:rPr>
        <w:t>, because large boards face</w:t>
      </w:r>
      <w:r w:rsidR="00804C64" w:rsidRPr="00804C64">
        <w:rPr>
          <w:rFonts w:asciiTheme="majorBidi" w:eastAsia="Times New Roman" w:hAnsiTheme="majorBidi" w:cstheme="majorBidi"/>
          <w:bCs/>
          <w:iCs/>
          <w:sz w:val="24"/>
          <w:szCs w:val="24"/>
        </w:rPr>
        <w:t xml:space="preserve"> coordination and communication problems </w:t>
      </w:r>
      <w:r w:rsidR="00CC3660">
        <w:rPr>
          <w:rFonts w:asciiTheme="majorBidi" w:eastAsia="Times New Roman" w:hAnsiTheme="majorBidi" w:cstheme="majorBidi"/>
          <w:bCs/>
          <w:iCs/>
          <w:sz w:val="24"/>
          <w:szCs w:val="24"/>
        </w:rPr>
        <w:t xml:space="preserve">that can </w:t>
      </w:r>
      <w:r w:rsidR="00804C64" w:rsidRPr="00804C64">
        <w:rPr>
          <w:rFonts w:asciiTheme="majorBidi" w:eastAsia="Times New Roman" w:hAnsiTheme="majorBidi" w:cstheme="majorBidi"/>
          <w:bCs/>
          <w:iCs/>
          <w:sz w:val="24"/>
          <w:szCs w:val="24"/>
        </w:rPr>
        <w:t>outweigh the advantages of having more</w:t>
      </w:r>
      <w:r w:rsidR="00804C64">
        <w:rPr>
          <w:rFonts w:asciiTheme="majorBidi" w:eastAsia="Times New Roman" w:hAnsiTheme="majorBidi" w:cstheme="majorBidi"/>
          <w:bCs/>
          <w:iCs/>
          <w:sz w:val="24"/>
          <w:szCs w:val="24"/>
        </w:rPr>
        <w:t xml:space="preserve"> </w:t>
      </w:r>
      <w:r w:rsidR="00804C64" w:rsidRPr="00804C64">
        <w:rPr>
          <w:rFonts w:asciiTheme="majorBidi" w:eastAsia="Times New Roman" w:hAnsiTheme="majorBidi" w:cstheme="majorBidi"/>
          <w:bCs/>
          <w:iCs/>
          <w:sz w:val="24"/>
          <w:szCs w:val="24"/>
        </w:rPr>
        <w:t>members</w:t>
      </w:r>
      <w:r w:rsidR="00804C64">
        <w:rPr>
          <w:rFonts w:asciiTheme="majorBidi" w:eastAsia="Times New Roman" w:hAnsiTheme="majorBidi" w:cstheme="majorBidi"/>
          <w:bCs/>
          <w:iCs/>
          <w:sz w:val="24"/>
          <w:szCs w:val="24"/>
        </w:rPr>
        <w:t xml:space="preserve"> (</w:t>
      </w:r>
      <w:r w:rsidR="003979B3" w:rsidRPr="003979B3">
        <w:rPr>
          <w:rFonts w:asciiTheme="majorBidi" w:eastAsia="Times New Roman" w:hAnsiTheme="majorBidi" w:cstheme="majorBidi"/>
          <w:bCs/>
          <w:iCs/>
          <w:sz w:val="24"/>
          <w:szCs w:val="24"/>
        </w:rPr>
        <w:t>Jensen</w:t>
      </w:r>
      <w:r w:rsidR="00804C64">
        <w:rPr>
          <w:rFonts w:asciiTheme="majorBidi" w:eastAsia="Times New Roman" w:hAnsiTheme="majorBidi" w:cstheme="majorBidi"/>
          <w:bCs/>
          <w:iCs/>
          <w:sz w:val="24"/>
          <w:szCs w:val="24"/>
        </w:rPr>
        <w:t>,</w:t>
      </w:r>
      <w:r w:rsidR="003979B3" w:rsidRPr="003979B3">
        <w:rPr>
          <w:rFonts w:asciiTheme="majorBidi" w:eastAsia="Times New Roman" w:hAnsiTheme="majorBidi" w:cstheme="majorBidi"/>
          <w:bCs/>
          <w:iCs/>
          <w:sz w:val="24"/>
          <w:szCs w:val="24"/>
        </w:rPr>
        <w:t xml:space="preserve"> 1993</w:t>
      </w:r>
      <w:r w:rsidR="00804C64">
        <w:rPr>
          <w:rFonts w:asciiTheme="majorBidi" w:eastAsia="Times New Roman" w:hAnsiTheme="majorBidi" w:cstheme="majorBidi"/>
          <w:bCs/>
          <w:iCs/>
          <w:sz w:val="24"/>
          <w:szCs w:val="24"/>
        </w:rPr>
        <w:t>;</w:t>
      </w:r>
      <w:r w:rsidR="00804C64" w:rsidRPr="00804C64">
        <w:rPr>
          <w:rFonts w:asciiTheme="majorBidi" w:eastAsia="Times New Roman" w:hAnsiTheme="majorBidi" w:cstheme="majorBidi"/>
          <w:bCs/>
          <w:iCs/>
          <w:sz w:val="24"/>
          <w:szCs w:val="24"/>
        </w:rPr>
        <w:t xml:space="preserve"> Ben-Hassoun </w:t>
      </w:r>
      <w:r w:rsidR="00804C64" w:rsidRPr="00804C64">
        <w:rPr>
          <w:rFonts w:asciiTheme="majorBidi" w:eastAsia="Times New Roman" w:hAnsiTheme="majorBidi" w:cstheme="majorBidi"/>
          <w:bCs/>
          <w:i/>
          <w:iCs/>
          <w:sz w:val="24"/>
          <w:szCs w:val="24"/>
        </w:rPr>
        <w:t>et al</w:t>
      </w:r>
      <w:r w:rsidR="00804C64" w:rsidRPr="00804C64">
        <w:rPr>
          <w:rFonts w:asciiTheme="majorBidi" w:eastAsia="Times New Roman" w:hAnsiTheme="majorBidi" w:cstheme="majorBidi"/>
          <w:bCs/>
          <w:iCs/>
          <w:sz w:val="24"/>
          <w:szCs w:val="24"/>
        </w:rPr>
        <w:t>.</w:t>
      </w:r>
      <w:r w:rsidR="00804C64">
        <w:rPr>
          <w:rFonts w:asciiTheme="majorBidi" w:eastAsia="Times New Roman" w:hAnsiTheme="majorBidi" w:cstheme="majorBidi"/>
          <w:bCs/>
          <w:iCs/>
          <w:sz w:val="24"/>
          <w:szCs w:val="24"/>
        </w:rPr>
        <w:t>,</w:t>
      </w:r>
      <w:r w:rsidR="00804C64" w:rsidRPr="00804C64">
        <w:rPr>
          <w:rFonts w:asciiTheme="majorBidi" w:eastAsia="Times New Roman" w:hAnsiTheme="majorBidi" w:cstheme="majorBidi"/>
          <w:bCs/>
          <w:iCs/>
          <w:sz w:val="24"/>
          <w:szCs w:val="24"/>
        </w:rPr>
        <w:t xml:space="preserve"> 2018</w:t>
      </w:r>
      <w:r w:rsidR="003979B3" w:rsidRPr="003979B3">
        <w:rPr>
          <w:rFonts w:asciiTheme="majorBidi" w:eastAsia="Times New Roman" w:hAnsiTheme="majorBidi" w:cstheme="majorBidi"/>
          <w:bCs/>
          <w:iCs/>
          <w:sz w:val="24"/>
          <w:szCs w:val="24"/>
        </w:rPr>
        <w:t>).</w:t>
      </w:r>
      <w:r w:rsidR="00804C64">
        <w:rPr>
          <w:rFonts w:asciiTheme="majorBidi" w:eastAsia="Times New Roman" w:hAnsiTheme="majorBidi" w:cstheme="majorBidi"/>
          <w:bCs/>
          <w:iCs/>
          <w:sz w:val="24"/>
          <w:szCs w:val="24"/>
        </w:rPr>
        <w:t xml:space="preserve"> </w:t>
      </w:r>
      <w:r w:rsidRPr="008E772B">
        <w:rPr>
          <w:rFonts w:asciiTheme="majorBidi" w:eastAsia="Times New Roman" w:hAnsiTheme="majorBidi" w:cstheme="majorBidi"/>
          <w:bCs/>
          <w:iCs/>
          <w:sz w:val="24"/>
          <w:szCs w:val="24"/>
        </w:rPr>
        <w:t xml:space="preserve">Carcello </w:t>
      </w:r>
      <w:r w:rsidRPr="008E772B">
        <w:rPr>
          <w:rFonts w:asciiTheme="majorBidi" w:eastAsia="Times New Roman" w:hAnsiTheme="majorBidi" w:cstheme="majorBidi"/>
          <w:bCs/>
          <w:i/>
          <w:iCs/>
          <w:sz w:val="24"/>
          <w:szCs w:val="24"/>
        </w:rPr>
        <w:t>et al</w:t>
      </w:r>
      <w:r w:rsidRPr="008E772B">
        <w:rPr>
          <w:rFonts w:asciiTheme="majorBidi" w:eastAsia="Times New Roman" w:hAnsiTheme="majorBidi" w:cstheme="majorBidi"/>
          <w:bCs/>
          <w:iCs/>
          <w:sz w:val="24"/>
          <w:szCs w:val="24"/>
        </w:rPr>
        <w:t xml:space="preserve">. (2002) argue that the </w:t>
      </w:r>
      <w:r w:rsidRPr="008E772B">
        <w:rPr>
          <w:rFonts w:asciiTheme="majorBidi" w:eastAsia="Calibri" w:hAnsiTheme="majorBidi" w:cstheme="majorBidi"/>
          <w:sz w:val="24"/>
          <w:szCs w:val="24"/>
        </w:rPr>
        <w:t>board of directors</w:t>
      </w:r>
      <w:r w:rsidRPr="008E772B">
        <w:rPr>
          <w:rFonts w:asciiTheme="majorBidi" w:eastAsia="Times New Roman" w:hAnsiTheme="majorBidi" w:cstheme="majorBidi"/>
          <w:bCs/>
          <w:iCs/>
          <w:sz w:val="24"/>
          <w:szCs w:val="24"/>
        </w:rPr>
        <w:t xml:space="preserve"> affect the quality of the audit services performed, either </w:t>
      </w:r>
      <w:r w:rsidR="00887E08" w:rsidRPr="008E772B">
        <w:rPr>
          <w:rFonts w:asciiTheme="majorBidi" w:eastAsia="Times New Roman" w:hAnsiTheme="majorBidi" w:cstheme="majorBidi"/>
          <w:bCs/>
          <w:iCs/>
          <w:sz w:val="24"/>
          <w:szCs w:val="24"/>
        </w:rPr>
        <w:t xml:space="preserve">directly </w:t>
      </w:r>
      <w:r w:rsidRPr="008E772B">
        <w:rPr>
          <w:rFonts w:asciiTheme="majorBidi" w:eastAsia="Times New Roman" w:hAnsiTheme="majorBidi" w:cstheme="majorBidi"/>
          <w:bCs/>
          <w:iCs/>
          <w:sz w:val="24"/>
          <w:szCs w:val="24"/>
        </w:rPr>
        <w:t xml:space="preserve">or </w:t>
      </w:r>
      <w:r w:rsidR="00887E08" w:rsidRPr="008E772B">
        <w:rPr>
          <w:rFonts w:asciiTheme="majorBidi" w:eastAsia="Times New Roman" w:hAnsiTheme="majorBidi" w:cstheme="majorBidi"/>
          <w:bCs/>
          <w:iCs/>
          <w:sz w:val="24"/>
          <w:szCs w:val="24"/>
        </w:rPr>
        <w:t>indirectly</w:t>
      </w:r>
      <w:r w:rsidRPr="008E772B">
        <w:rPr>
          <w:rFonts w:asciiTheme="majorBidi" w:eastAsia="Times New Roman" w:hAnsiTheme="majorBidi" w:cstheme="majorBidi"/>
          <w:bCs/>
          <w:iCs/>
          <w:sz w:val="24"/>
          <w:szCs w:val="24"/>
        </w:rPr>
        <w:t xml:space="preserve">. First, with regard to </w:t>
      </w:r>
      <w:r w:rsidR="00887E08" w:rsidRPr="008E772B">
        <w:rPr>
          <w:rFonts w:asciiTheme="majorBidi" w:eastAsia="Times New Roman" w:hAnsiTheme="majorBidi" w:cstheme="majorBidi"/>
          <w:bCs/>
          <w:iCs/>
          <w:sz w:val="24"/>
          <w:szCs w:val="24"/>
        </w:rPr>
        <w:t>direct control</w:t>
      </w:r>
      <w:r w:rsidRPr="008E772B">
        <w:rPr>
          <w:rFonts w:asciiTheme="majorBidi" w:eastAsia="Times New Roman" w:hAnsiTheme="majorBidi" w:cstheme="majorBidi"/>
          <w:bCs/>
          <w:iCs/>
          <w:sz w:val="24"/>
          <w:szCs w:val="24"/>
        </w:rPr>
        <w:t xml:space="preserve">, the </w:t>
      </w:r>
      <w:r w:rsidRPr="008E772B">
        <w:rPr>
          <w:rFonts w:asciiTheme="majorBidi" w:eastAsia="Calibri" w:hAnsiTheme="majorBidi" w:cstheme="majorBidi"/>
          <w:sz w:val="24"/>
          <w:szCs w:val="24"/>
        </w:rPr>
        <w:t>board of directors</w:t>
      </w:r>
      <w:r w:rsidRPr="008E772B">
        <w:rPr>
          <w:rFonts w:asciiTheme="majorBidi" w:eastAsia="Times New Roman" w:hAnsiTheme="majorBidi" w:cstheme="majorBidi"/>
          <w:bCs/>
          <w:iCs/>
          <w:sz w:val="24"/>
          <w:szCs w:val="24"/>
        </w:rPr>
        <w:t xml:space="preserve"> generally </w:t>
      </w:r>
      <w:r w:rsidR="00887E08" w:rsidRPr="008E772B">
        <w:rPr>
          <w:rFonts w:asciiTheme="majorBidi" w:eastAsia="Times New Roman" w:hAnsiTheme="majorBidi" w:cstheme="majorBidi"/>
          <w:bCs/>
          <w:iCs/>
          <w:sz w:val="24"/>
          <w:szCs w:val="24"/>
        </w:rPr>
        <w:t>consult</w:t>
      </w:r>
      <w:r w:rsidRPr="008E772B">
        <w:rPr>
          <w:rFonts w:asciiTheme="majorBidi" w:eastAsia="Times New Roman" w:hAnsiTheme="majorBidi" w:cstheme="majorBidi"/>
          <w:bCs/>
          <w:iCs/>
          <w:sz w:val="24"/>
          <w:szCs w:val="24"/>
        </w:rPr>
        <w:t xml:space="preserve"> with management </w:t>
      </w:r>
      <w:r w:rsidR="00887E08" w:rsidRPr="008E772B">
        <w:rPr>
          <w:rFonts w:asciiTheme="majorBidi" w:eastAsia="Times New Roman" w:hAnsiTheme="majorBidi" w:cstheme="majorBidi"/>
          <w:bCs/>
          <w:iCs/>
          <w:sz w:val="24"/>
          <w:szCs w:val="24"/>
        </w:rPr>
        <w:t>when appointing</w:t>
      </w:r>
      <w:r w:rsidRPr="008E772B">
        <w:rPr>
          <w:rFonts w:asciiTheme="majorBidi" w:eastAsia="Times New Roman" w:hAnsiTheme="majorBidi" w:cstheme="majorBidi"/>
          <w:bCs/>
          <w:iCs/>
          <w:sz w:val="24"/>
          <w:szCs w:val="24"/>
        </w:rPr>
        <w:t xml:space="preserve"> the external auditor, subject to shareholder ratification</w:t>
      </w:r>
      <w:r w:rsidR="00887E08" w:rsidRPr="008E772B">
        <w:rPr>
          <w:rFonts w:asciiTheme="majorBidi" w:eastAsia="Times New Roman" w:hAnsiTheme="majorBidi" w:cstheme="majorBidi"/>
          <w:bCs/>
          <w:iCs/>
          <w:sz w:val="24"/>
          <w:szCs w:val="24"/>
        </w:rPr>
        <w:t xml:space="preserve"> at the annual general meeting</w:t>
      </w:r>
      <w:r w:rsidRPr="008E772B">
        <w:rPr>
          <w:rFonts w:asciiTheme="majorBidi" w:eastAsia="Times New Roman" w:hAnsiTheme="majorBidi" w:cstheme="majorBidi"/>
          <w:bCs/>
          <w:iCs/>
          <w:sz w:val="24"/>
          <w:szCs w:val="24"/>
        </w:rPr>
        <w:t>. Consequently, the board is more likely to be involved in reviewing the overall planned audit scope and proposed audit fees (Public Oversight Board, 1994</w:t>
      </w:r>
      <w:r w:rsidR="00486DCF" w:rsidRPr="008E772B">
        <w:rPr>
          <w:rFonts w:asciiTheme="majorBidi" w:eastAsia="Times New Roman" w:hAnsiTheme="majorBidi" w:cstheme="majorBidi"/>
          <w:bCs/>
          <w:iCs/>
          <w:sz w:val="24"/>
          <w:szCs w:val="24"/>
        </w:rPr>
        <w:t>; Blue Ribbon Committee, 1999</w:t>
      </w:r>
      <w:r w:rsidRPr="008E772B">
        <w:rPr>
          <w:rFonts w:asciiTheme="majorBidi" w:eastAsia="Times New Roman" w:hAnsiTheme="majorBidi" w:cstheme="majorBidi"/>
          <w:bCs/>
          <w:iCs/>
          <w:sz w:val="24"/>
          <w:szCs w:val="24"/>
        </w:rPr>
        <w:t xml:space="preserve">). Second, </w:t>
      </w:r>
      <w:r w:rsidR="00887E08" w:rsidRPr="008E772B">
        <w:rPr>
          <w:rFonts w:asciiTheme="majorBidi" w:eastAsia="Times New Roman" w:hAnsiTheme="majorBidi" w:cstheme="majorBidi"/>
          <w:bCs/>
          <w:iCs/>
          <w:sz w:val="24"/>
          <w:szCs w:val="24"/>
        </w:rPr>
        <w:t xml:space="preserve">and </w:t>
      </w:r>
      <w:r w:rsidRPr="008E772B">
        <w:rPr>
          <w:rFonts w:asciiTheme="majorBidi" w:eastAsia="Times New Roman" w:hAnsiTheme="majorBidi" w:cstheme="majorBidi"/>
          <w:bCs/>
          <w:iCs/>
          <w:sz w:val="24"/>
          <w:szCs w:val="24"/>
        </w:rPr>
        <w:t>with re</w:t>
      </w:r>
      <w:r w:rsidR="00887E08" w:rsidRPr="008E772B">
        <w:rPr>
          <w:rFonts w:asciiTheme="majorBidi" w:eastAsia="Times New Roman" w:hAnsiTheme="majorBidi" w:cstheme="majorBidi"/>
          <w:bCs/>
          <w:iCs/>
          <w:sz w:val="24"/>
          <w:szCs w:val="24"/>
        </w:rPr>
        <w:t>spect</w:t>
      </w:r>
      <w:r w:rsidRPr="008E772B">
        <w:rPr>
          <w:rFonts w:asciiTheme="majorBidi" w:eastAsia="Times New Roman" w:hAnsiTheme="majorBidi" w:cstheme="majorBidi"/>
          <w:bCs/>
          <w:iCs/>
          <w:sz w:val="24"/>
          <w:szCs w:val="24"/>
        </w:rPr>
        <w:t xml:space="preserve"> to </w:t>
      </w:r>
      <w:r w:rsidR="00887E08" w:rsidRPr="008E772B">
        <w:rPr>
          <w:rFonts w:asciiTheme="majorBidi" w:eastAsia="Times New Roman" w:hAnsiTheme="majorBidi" w:cstheme="majorBidi"/>
          <w:bCs/>
          <w:iCs/>
          <w:sz w:val="24"/>
          <w:szCs w:val="24"/>
        </w:rPr>
        <w:t>indirect control</w:t>
      </w:r>
      <w:r w:rsidRPr="008E772B">
        <w:rPr>
          <w:rFonts w:asciiTheme="majorBidi" w:eastAsia="Times New Roman" w:hAnsiTheme="majorBidi" w:cstheme="majorBidi"/>
          <w:bCs/>
          <w:iCs/>
          <w:sz w:val="24"/>
          <w:szCs w:val="24"/>
        </w:rPr>
        <w:t xml:space="preserve">, external auditors may perform a higher-quality audit </w:t>
      </w:r>
      <w:r w:rsidR="00A46CAD" w:rsidRPr="008E772B">
        <w:rPr>
          <w:rFonts w:asciiTheme="majorBidi" w:eastAsia="Times New Roman" w:hAnsiTheme="majorBidi" w:cstheme="majorBidi"/>
          <w:bCs/>
          <w:iCs/>
          <w:sz w:val="24"/>
          <w:szCs w:val="24"/>
        </w:rPr>
        <w:t xml:space="preserve">in order </w:t>
      </w:r>
      <w:r w:rsidRPr="008E772B">
        <w:rPr>
          <w:rFonts w:asciiTheme="majorBidi" w:eastAsia="Times New Roman" w:hAnsiTheme="majorBidi" w:cstheme="majorBidi"/>
          <w:bCs/>
          <w:iCs/>
          <w:sz w:val="24"/>
          <w:szCs w:val="24"/>
        </w:rPr>
        <w:t xml:space="preserve">to meet the </w:t>
      </w:r>
      <w:r w:rsidRPr="008E772B">
        <w:rPr>
          <w:rFonts w:asciiTheme="majorBidi" w:eastAsia="Times New Roman" w:hAnsiTheme="majorBidi" w:cstheme="majorBidi"/>
          <w:bCs/>
          <w:iCs/>
          <w:sz w:val="24"/>
          <w:szCs w:val="24"/>
        </w:rPr>
        <w:lastRenderedPageBreak/>
        <w:t xml:space="preserve">expectations of </w:t>
      </w:r>
      <w:r w:rsidR="00A46CAD" w:rsidRPr="008E772B">
        <w:rPr>
          <w:rFonts w:asciiTheme="majorBidi" w:eastAsia="Times New Roman" w:hAnsiTheme="majorBidi" w:cstheme="majorBidi"/>
          <w:bCs/>
          <w:iCs/>
          <w:sz w:val="24"/>
          <w:szCs w:val="24"/>
        </w:rPr>
        <w:t xml:space="preserve">corporate boards that demand </w:t>
      </w:r>
      <w:r w:rsidRPr="008E772B">
        <w:rPr>
          <w:rFonts w:asciiTheme="majorBidi" w:eastAsia="Times New Roman" w:hAnsiTheme="majorBidi" w:cstheme="majorBidi"/>
          <w:bCs/>
          <w:iCs/>
          <w:sz w:val="24"/>
          <w:szCs w:val="24"/>
        </w:rPr>
        <w:t>high</w:t>
      </w:r>
      <w:r w:rsidR="00184C7B">
        <w:rPr>
          <w:rFonts w:asciiTheme="majorBidi" w:eastAsia="Times New Roman" w:hAnsiTheme="majorBidi" w:cstheme="majorBidi"/>
          <w:bCs/>
          <w:iCs/>
          <w:sz w:val="24"/>
          <w:szCs w:val="24"/>
        </w:rPr>
        <w:t>er</w:t>
      </w:r>
      <w:r w:rsidRPr="008E772B">
        <w:rPr>
          <w:rFonts w:asciiTheme="majorBidi" w:eastAsia="Times New Roman" w:hAnsiTheme="majorBidi" w:cstheme="majorBidi"/>
          <w:bCs/>
          <w:iCs/>
          <w:sz w:val="24"/>
          <w:szCs w:val="24"/>
        </w:rPr>
        <w:t xml:space="preserve">-quality </w:t>
      </w:r>
      <w:r w:rsidR="00A46CAD" w:rsidRPr="008E772B">
        <w:rPr>
          <w:rFonts w:asciiTheme="majorBidi" w:eastAsia="Times New Roman" w:hAnsiTheme="majorBidi" w:cstheme="majorBidi"/>
          <w:bCs/>
          <w:iCs/>
          <w:sz w:val="24"/>
          <w:szCs w:val="24"/>
        </w:rPr>
        <w:t>audit</w:t>
      </w:r>
      <w:r w:rsidRPr="008E772B">
        <w:rPr>
          <w:rFonts w:asciiTheme="majorBidi" w:eastAsia="Times New Roman" w:hAnsiTheme="majorBidi" w:cstheme="majorBidi"/>
          <w:bCs/>
          <w:iCs/>
          <w:sz w:val="24"/>
          <w:szCs w:val="24"/>
        </w:rPr>
        <w:t xml:space="preserve"> (e.g., independent, diligent</w:t>
      </w:r>
      <w:r w:rsidR="00F24E79">
        <w:rPr>
          <w:rFonts w:asciiTheme="majorBidi" w:eastAsia="Times New Roman" w:hAnsiTheme="majorBidi" w:cstheme="majorBidi"/>
          <w:bCs/>
          <w:iCs/>
          <w:sz w:val="24"/>
          <w:szCs w:val="24"/>
        </w:rPr>
        <w:t>,</w:t>
      </w:r>
      <w:r w:rsidRPr="008E772B">
        <w:rPr>
          <w:rFonts w:asciiTheme="majorBidi" w:eastAsia="Times New Roman" w:hAnsiTheme="majorBidi" w:cstheme="majorBidi"/>
          <w:bCs/>
          <w:iCs/>
          <w:sz w:val="24"/>
          <w:szCs w:val="24"/>
        </w:rPr>
        <w:t xml:space="preserve"> and expert). </w:t>
      </w:r>
      <w:r w:rsidR="00CC3660">
        <w:rPr>
          <w:rFonts w:asciiTheme="majorBidi" w:eastAsia="Times New Roman" w:hAnsiTheme="majorBidi" w:cstheme="majorBidi"/>
          <w:bCs/>
          <w:iCs/>
          <w:sz w:val="24"/>
          <w:szCs w:val="24"/>
        </w:rPr>
        <w:t xml:space="preserve">By contrast, </w:t>
      </w:r>
      <w:r w:rsidRPr="008E772B">
        <w:rPr>
          <w:rFonts w:asciiTheme="majorBidi" w:eastAsia="Times New Roman" w:hAnsiTheme="majorBidi" w:cstheme="majorBidi"/>
          <w:bCs/>
          <w:iCs/>
          <w:sz w:val="24"/>
          <w:szCs w:val="24"/>
        </w:rPr>
        <w:t xml:space="preserve">Carcello </w:t>
      </w:r>
      <w:r w:rsidRPr="008E772B">
        <w:rPr>
          <w:rFonts w:asciiTheme="majorBidi" w:eastAsia="Times New Roman" w:hAnsiTheme="majorBidi" w:cstheme="majorBidi"/>
          <w:bCs/>
          <w:i/>
          <w:iCs/>
          <w:sz w:val="24"/>
          <w:szCs w:val="24"/>
        </w:rPr>
        <w:t>et al</w:t>
      </w:r>
      <w:r w:rsidRPr="008E772B">
        <w:rPr>
          <w:rFonts w:asciiTheme="majorBidi" w:eastAsia="Times New Roman" w:hAnsiTheme="majorBidi" w:cstheme="majorBidi"/>
          <w:bCs/>
          <w:iCs/>
          <w:sz w:val="24"/>
          <w:szCs w:val="24"/>
        </w:rPr>
        <w:t>.</w:t>
      </w:r>
      <w:r w:rsidR="00361BA9" w:rsidRPr="008E772B">
        <w:rPr>
          <w:rFonts w:asciiTheme="majorBidi" w:eastAsia="Times New Roman" w:hAnsiTheme="majorBidi" w:cstheme="majorBidi"/>
          <w:bCs/>
          <w:iCs/>
          <w:sz w:val="24"/>
          <w:szCs w:val="24"/>
        </w:rPr>
        <w:t xml:space="preserve"> (2002)</w:t>
      </w:r>
      <w:r w:rsidRPr="008E772B">
        <w:rPr>
          <w:rFonts w:asciiTheme="majorBidi" w:eastAsia="Times New Roman" w:hAnsiTheme="majorBidi" w:cstheme="majorBidi"/>
          <w:bCs/>
          <w:iCs/>
          <w:sz w:val="24"/>
          <w:szCs w:val="24"/>
        </w:rPr>
        <w:t xml:space="preserve"> suggest that </w:t>
      </w:r>
      <w:r w:rsidR="0098030F" w:rsidRPr="0098030F">
        <w:rPr>
          <w:rFonts w:asciiTheme="majorBidi" w:eastAsia="Times New Roman" w:hAnsiTheme="majorBidi" w:cstheme="majorBidi"/>
          <w:bCs/>
          <w:iCs/>
          <w:sz w:val="24"/>
          <w:szCs w:val="24"/>
        </w:rPr>
        <w:t xml:space="preserve">larger and qualified boards substitute the demand </w:t>
      </w:r>
      <w:r w:rsidR="00E90DD9">
        <w:rPr>
          <w:rFonts w:asciiTheme="majorBidi" w:eastAsia="Times New Roman" w:hAnsiTheme="majorBidi" w:cstheme="majorBidi"/>
          <w:bCs/>
          <w:iCs/>
          <w:sz w:val="24"/>
          <w:szCs w:val="24"/>
        </w:rPr>
        <w:t>for</w:t>
      </w:r>
      <w:r w:rsidR="0098030F" w:rsidRPr="0098030F">
        <w:rPr>
          <w:rFonts w:asciiTheme="majorBidi" w:eastAsia="Times New Roman" w:hAnsiTheme="majorBidi" w:cstheme="majorBidi"/>
          <w:bCs/>
          <w:iCs/>
          <w:sz w:val="24"/>
          <w:szCs w:val="24"/>
        </w:rPr>
        <w:t xml:space="preserve"> high audit quality </w:t>
      </w:r>
      <w:r w:rsidR="00CC3660">
        <w:rPr>
          <w:rFonts w:asciiTheme="majorBidi" w:eastAsia="Times New Roman" w:hAnsiTheme="majorBidi" w:cstheme="majorBidi"/>
          <w:bCs/>
          <w:iCs/>
          <w:sz w:val="24"/>
          <w:szCs w:val="24"/>
        </w:rPr>
        <w:t xml:space="preserve">in order </w:t>
      </w:r>
      <w:r w:rsidR="0098030F" w:rsidRPr="0098030F">
        <w:rPr>
          <w:rFonts w:asciiTheme="majorBidi" w:eastAsia="Times New Roman" w:hAnsiTheme="majorBidi" w:cstheme="majorBidi"/>
          <w:bCs/>
          <w:iCs/>
          <w:sz w:val="24"/>
          <w:szCs w:val="24"/>
        </w:rPr>
        <w:t>to improve financial reporting quality</w:t>
      </w:r>
      <w:r w:rsidR="009967D6">
        <w:rPr>
          <w:rFonts w:asciiTheme="majorBidi" w:eastAsia="Times New Roman" w:hAnsiTheme="majorBidi" w:cstheme="majorBidi"/>
          <w:bCs/>
          <w:iCs/>
          <w:sz w:val="24"/>
          <w:szCs w:val="24"/>
        </w:rPr>
        <w:t>, resulting in</w:t>
      </w:r>
      <w:r w:rsidR="009967D6" w:rsidRPr="009967D6">
        <w:rPr>
          <w:rFonts w:asciiTheme="majorBidi" w:eastAsia="Times New Roman" w:hAnsiTheme="majorBidi" w:cstheme="majorBidi"/>
          <w:bCs/>
          <w:iCs/>
          <w:sz w:val="24"/>
          <w:szCs w:val="24"/>
        </w:rPr>
        <w:t xml:space="preserve"> </w:t>
      </w:r>
      <w:r w:rsidR="009967D6">
        <w:rPr>
          <w:rFonts w:asciiTheme="majorBidi" w:eastAsia="Times New Roman" w:hAnsiTheme="majorBidi" w:cstheme="majorBidi"/>
          <w:bCs/>
          <w:iCs/>
          <w:sz w:val="24"/>
          <w:szCs w:val="24"/>
        </w:rPr>
        <w:t xml:space="preserve">payment of low </w:t>
      </w:r>
      <w:r w:rsidR="009967D6" w:rsidRPr="009967D6">
        <w:rPr>
          <w:rFonts w:asciiTheme="majorBidi" w:eastAsia="Times New Roman" w:hAnsiTheme="majorBidi" w:cstheme="majorBidi"/>
          <w:bCs/>
          <w:iCs/>
          <w:sz w:val="24"/>
          <w:szCs w:val="24"/>
        </w:rPr>
        <w:t>audit fees</w:t>
      </w:r>
      <w:r w:rsidR="0098030F" w:rsidRPr="0098030F">
        <w:rPr>
          <w:rFonts w:asciiTheme="majorBidi" w:eastAsia="Times New Roman" w:hAnsiTheme="majorBidi" w:cstheme="majorBidi"/>
          <w:bCs/>
          <w:iCs/>
          <w:sz w:val="24"/>
          <w:szCs w:val="24"/>
        </w:rPr>
        <w:t>.</w:t>
      </w:r>
      <w:r w:rsidR="0098030F">
        <w:rPr>
          <w:rFonts w:asciiTheme="majorBidi" w:eastAsia="Times New Roman" w:hAnsiTheme="majorBidi" w:cstheme="majorBidi"/>
          <w:bCs/>
          <w:iCs/>
          <w:sz w:val="24"/>
          <w:szCs w:val="24"/>
        </w:rPr>
        <w:t xml:space="preserve"> </w:t>
      </w:r>
      <w:r w:rsidRPr="008E772B">
        <w:rPr>
          <w:rFonts w:asciiTheme="majorBidi" w:eastAsia="Times New Roman" w:hAnsiTheme="majorBidi" w:cstheme="majorBidi"/>
          <w:bCs/>
          <w:iCs/>
          <w:sz w:val="24"/>
          <w:szCs w:val="24"/>
        </w:rPr>
        <w:t xml:space="preserve">Therefore, it is expected that there </w:t>
      </w:r>
      <w:r w:rsidR="002C2DAF" w:rsidRPr="008E772B">
        <w:rPr>
          <w:rFonts w:asciiTheme="majorBidi" w:eastAsia="Times New Roman" w:hAnsiTheme="majorBidi" w:cstheme="majorBidi"/>
          <w:bCs/>
          <w:iCs/>
          <w:sz w:val="24"/>
          <w:szCs w:val="24"/>
        </w:rPr>
        <w:t xml:space="preserve">will </w:t>
      </w:r>
      <w:r w:rsidR="007223E2" w:rsidRPr="008E772B">
        <w:rPr>
          <w:rFonts w:asciiTheme="majorBidi" w:eastAsia="Times New Roman" w:hAnsiTheme="majorBidi" w:cstheme="majorBidi"/>
          <w:bCs/>
          <w:iCs/>
          <w:sz w:val="24"/>
          <w:szCs w:val="24"/>
        </w:rPr>
        <w:t>be a</w:t>
      </w:r>
      <w:r w:rsidRPr="008E772B">
        <w:rPr>
          <w:rFonts w:asciiTheme="majorBidi" w:eastAsia="Times New Roman" w:hAnsiTheme="majorBidi" w:cstheme="majorBidi"/>
          <w:bCs/>
          <w:iCs/>
          <w:sz w:val="24"/>
          <w:szCs w:val="24"/>
        </w:rPr>
        <w:t xml:space="preserve"> </w:t>
      </w:r>
      <w:r w:rsidR="003C756A">
        <w:rPr>
          <w:rFonts w:asciiTheme="majorBidi" w:eastAsia="Times New Roman" w:hAnsiTheme="majorBidi" w:cstheme="majorBidi"/>
          <w:bCs/>
          <w:iCs/>
          <w:sz w:val="24"/>
          <w:szCs w:val="24"/>
        </w:rPr>
        <w:t>significant</w:t>
      </w:r>
      <w:r w:rsidR="008E2F89" w:rsidRPr="008E772B">
        <w:rPr>
          <w:rFonts w:asciiTheme="majorBidi" w:eastAsia="Times New Roman" w:hAnsiTheme="majorBidi" w:cstheme="majorBidi"/>
          <w:bCs/>
          <w:iCs/>
          <w:sz w:val="24"/>
          <w:szCs w:val="24"/>
        </w:rPr>
        <w:t xml:space="preserve"> </w:t>
      </w:r>
      <w:r w:rsidRPr="008E772B">
        <w:rPr>
          <w:rFonts w:asciiTheme="majorBidi" w:eastAsia="Times New Roman" w:hAnsiTheme="majorBidi" w:cstheme="majorBidi"/>
          <w:bCs/>
          <w:iCs/>
          <w:sz w:val="24"/>
          <w:szCs w:val="24"/>
        </w:rPr>
        <w:t>relationship between board size and</w:t>
      </w:r>
      <w:r w:rsidR="008E2F89">
        <w:rPr>
          <w:rFonts w:asciiTheme="majorBidi" w:eastAsia="Times New Roman" w:hAnsiTheme="majorBidi" w:cstheme="majorBidi"/>
          <w:bCs/>
          <w:iCs/>
          <w:sz w:val="24"/>
          <w:szCs w:val="24"/>
        </w:rPr>
        <w:t xml:space="preserve"> </w:t>
      </w:r>
      <w:r w:rsidRPr="008E772B">
        <w:rPr>
          <w:rFonts w:asciiTheme="majorBidi" w:eastAsia="Times New Roman" w:hAnsiTheme="majorBidi" w:cstheme="majorBidi"/>
          <w:bCs/>
          <w:iCs/>
          <w:sz w:val="24"/>
          <w:szCs w:val="24"/>
        </w:rPr>
        <w:t xml:space="preserve">audit </w:t>
      </w:r>
      <w:r w:rsidR="002119D8">
        <w:rPr>
          <w:rFonts w:asciiTheme="majorBidi" w:eastAsia="Times New Roman" w:hAnsiTheme="majorBidi" w:cstheme="majorBidi"/>
          <w:bCs/>
          <w:iCs/>
          <w:sz w:val="24"/>
          <w:szCs w:val="24"/>
        </w:rPr>
        <w:t>quality</w:t>
      </w:r>
      <w:r w:rsidRPr="008E772B">
        <w:rPr>
          <w:rFonts w:asciiTheme="majorBidi" w:eastAsia="Times New Roman" w:hAnsiTheme="majorBidi" w:cstheme="majorBidi"/>
          <w:bCs/>
          <w:iCs/>
          <w:sz w:val="24"/>
          <w:szCs w:val="24"/>
        </w:rPr>
        <w:t>.</w:t>
      </w:r>
    </w:p>
    <w:p w14:paraId="2DA0231C" w14:textId="46FE2160" w:rsidR="00D535DF" w:rsidRPr="000972D1" w:rsidRDefault="002C2DAF" w:rsidP="0057181E">
      <w:pPr>
        <w:spacing w:after="0" w:line="360" w:lineRule="auto"/>
        <w:ind w:firstLine="720"/>
        <w:jc w:val="lowKashida"/>
        <w:rPr>
          <w:rFonts w:asciiTheme="majorBidi" w:eastAsia="Times New Roman" w:hAnsiTheme="majorBidi" w:cstheme="majorBidi"/>
          <w:bCs/>
          <w:iCs/>
          <w:sz w:val="24"/>
          <w:szCs w:val="24"/>
        </w:rPr>
      </w:pPr>
      <w:r w:rsidRPr="008E772B">
        <w:rPr>
          <w:rFonts w:asciiTheme="majorBidi" w:eastAsia="Times New Roman" w:hAnsiTheme="majorBidi" w:cstheme="majorBidi"/>
          <w:bCs/>
          <w:iCs/>
          <w:sz w:val="24"/>
          <w:szCs w:val="24"/>
        </w:rPr>
        <w:t xml:space="preserve">Empirically, </w:t>
      </w:r>
      <w:r w:rsidR="007C4420" w:rsidRPr="008E772B">
        <w:rPr>
          <w:rFonts w:asciiTheme="majorBidi" w:eastAsia="Times New Roman" w:hAnsiTheme="majorBidi" w:cstheme="majorBidi"/>
          <w:bCs/>
          <w:iCs/>
          <w:sz w:val="24"/>
          <w:szCs w:val="24"/>
        </w:rPr>
        <w:t xml:space="preserve">Asthana </w:t>
      </w:r>
      <w:r w:rsidR="007C4420" w:rsidRPr="008E772B">
        <w:rPr>
          <w:rFonts w:asciiTheme="majorBidi" w:eastAsia="Times New Roman" w:hAnsiTheme="majorBidi" w:cstheme="majorBidi"/>
          <w:bCs/>
          <w:i/>
          <w:iCs/>
          <w:sz w:val="24"/>
          <w:szCs w:val="24"/>
        </w:rPr>
        <w:t>et al</w:t>
      </w:r>
      <w:r w:rsidR="007C4420" w:rsidRPr="008E772B">
        <w:rPr>
          <w:rFonts w:asciiTheme="majorBidi" w:eastAsia="Times New Roman" w:hAnsiTheme="majorBidi" w:cstheme="majorBidi"/>
          <w:bCs/>
          <w:iCs/>
          <w:sz w:val="24"/>
          <w:szCs w:val="24"/>
        </w:rPr>
        <w:t xml:space="preserve">. (2010) </w:t>
      </w:r>
      <w:r w:rsidRPr="008E772B">
        <w:rPr>
          <w:rFonts w:asciiTheme="majorBidi" w:eastAsia="Times New Roman" w:hAnsiTheme="majorBidi" w:cstheme="majorBidi"/>
          <w:bCs/>
          <w:iCs/>
          <w:sz w:val="24"/>
          <w:szCs w:val="24"/>
        </w:rPr>
        <w:t>offer</w:t>
      </w:r>
      <w:r w:rsidR="007C4420" w:rsidRPr="008E772B">
        <w:rPr>
          <w:rFonts w:asciiTheme="majorBidi" w:eastAsia="Times New Roman" w:hAnsiTheme="majorBidi" w:cstheme="majorBidi"/>
          <w:bCs/>
          <w:iCs/>
          <w:sz w:val="24"/>
          <w:szCs w:val="24"/>
        </w:rPr>
        <w:t xml:space="preserve"> evidence</w:t>
      </w:r>
      <w:r w:rsidR="0057181E">
        <w:rPr>
          <w:rFonts w:asciiTheme="majorBidi" w:eastAsia="Times New Roman" w:hAnsiTheme="majorBidi" w:cstheme="majorBidi"/>
          <w:bCs/>
          <w:iCs/>
          <w:sz w:val="24"/>
          <w:szCs w:val="24"/>
        </w:rPr>
        <w:t>,</w:t>
      </w:r>
      <w:r w:rsidR="007C4420" w:rsidRPr="008E772B">
        <w:rPr>
          <w:rFonts w:asciiTheme="majorBidi" w:eastAsia="Times New Roman" w:hAnsiTheme="majorBidi" w:cstheme="majorBidi"/>
          <w:bCs/>
          <w:iCs/>
          <w:sz w:val="24"/>
          <w:szCs w:val="24"/>
        </w:rPr>
        <w:t xml:space="preserve"> </w:t>
      </w:r>
      <w:r w:rsidR="0057181E">
        <w:rPr>
          <w:rFonts w:asciiTheme="majorBidi" w:eastAsia="Times New Roman" w:hAnsiTheme="majorBidi" w:cstheme="majorBidi"/>
          <w:bCs/>
          <w:iCs/>
          <w:sz w:val="24"/>
          <w:szCs w:val="24"/>
        </w:rPr>
        <w:t xml:space="preserve">which </w:t>
      </w:r>
      <w:r w:rsidR="007C4420" w:rsidRPr="008E772B">
        <w:rPr>
          <w:rFonts w:asciiTheme="majorBidi" w:eastAsia="Times New Roman" w:hAnsiTheme="majorBidi" w:cstheme="majorBidi"/>
          <w:bCs/>
          <w:iCs/>
          <w:sz w:val="24"/>
          <w:szCs w:val="24"/>
        </w:rPr>
        <w:t>suggest</w:t>
      </w:r>
      <w:r w:rsidR="00B7594B">
        <w:rPr>
          <w:rFonts w:asciiTheme="majorBidi" w:eastAsia="Times New Roman" w:hAnsiTheme="majorBidi" w:cstheme="majorBidi"/>
          <w:bCs/>
          <w:iCs/>
          <w:sz w:val="24"/>
          <w:szCs w:val="24"/>
        </w:rPr>
        <w:t>s</w:t>
      </w:r>
      <w:r w:rsidR="007C4420" w:rsidRPr="008E772B">
        <w:rPr>
          <w:rFonts w:asciiTheme="majorBidi" w:eastAsia="Times New Roman" w:hAnsiTheme="majorBidi" w:cstheme="majorBidi"/>
          <w:bCs/>
          <w:iCs/>
          <w:sz w:val="24"/>
          <w:szCs w:val="24"/>
        </w:rPr>
        <w:t xml:space="preserve"> that board size is positively associated with quick disassociation from auditors with a bad reputation. </w:t>
      </w:r>
      <w:r w:rsidR="00F32F6F" w:rsidRPr="008E772B">
        <w:rPr>
          <w:rFonts w:asciiTheme="majorBidi" w:eastAsia="Times New Roman" w:hAnsiTheme="majorBidi" w:cstheme="majorBidi"/>
          <w:bCs/>
          <w:iCs/>
          <w:sz w:val="24"/>
          <w:szCs w:val="24"/>
        </w:rPr>
        <w:t xml:space="preserve">Similarly, </w:t>
      </w:r>
      <w:r w:rsidR="007C4420" w:rsidRPr="008E772B">
        <w:rPr>
          <w:rFonts w:asciiTheme="majorBidi" w:eastAsia="Times New Roman" w:hAnsiTheme="majorBidi" w:cstheme="majorBidi"/>
          <w:bCs/>
          <w:iCs/>
          <w:sz w:val="24"/>
          <w:szCs w:val="24"/>
        </w:rPr>
        <w:t xml:space="preserve">Lin </w:t>
      </w:r>
      <w:r w:rsidR="007C4420" w:rsidRPr="008E772B">
        <w:rPr>
          <w:rFonts w:asciiTheme="majorBidi" w:eastAsia="Times New Roman" w:hAnsiTheme="majorBidi" w:cstheme="majorBidi"/>
          <w:bCs/>
          <w:sz w:val="24"/>
          <w:szCs w:val="24"/>
        </w:rPr>
        <w:t>and</w:t>
      </w:r>
      <w:r w:rsidR="007C4420" w:rsidRPr="008E772B">
        <w:rPr>
          <w:rFonts w:asciiTheme="majorBidi" w:eastAsia="Times New Roman" w:hAnsiTheme="majorBidi" w:cstheme="majorBidi"/>
          <w:bCs/>
          <w:iCs/>
          <w:sz w:val="24"/>
          <w:szCs w:val="24"/>
        </w:rPr>
        <w:t xml:space="preserve"> Liu (2009) report empirical evidence</w:t>
      </w:r>
      <w:r w:rsidR="00F32F6F" w:rsidRPr="008E772B">
        <w:rPr>
          <w:rFonts w:asciiTheme="majorBidi" w:eastAsia="Times New Roman" w:hAnsiTheme="majorBidi" w:cstheme="majorBidi"/>
          <w:bCs/>
          <w:iCs/>
          <w:sz w:val="24"/>
          <w:szCs w:val="24"/>
        </w:rPr>
        <w:t xml:space="preserve"> based on</w:t>
      </w:r>
      <w:r w:rsidR="007C4420" w:rsidRPr="008E772B">
        <w:rPr>
          <w:rFonts w:asciiTheme="majorBidi" w:eastAsia="Times New Roman" w:hAnsiTheme="majorBidi" w:cstheme="majorBidi"/>
          <w:bCs/>
          <w:iCs/>
          <w:sz w:val="24"/>
          <w:szCs w:val="24"/>
        </w:rPr>
        <w:t xml:space="preserve"> a sample of Chinese firms</w:t>
      </w:r>
      <w:r w:rsidR="00736042">
        <w:rPr>
          <w:rFonts w:asciiTheme="majorBidi" w:eastAsia="Times New Roman" w:hAnsiTheme="majorBidi" w:cstheme="majorBidi"/>
          <w:bCs/>
          <w:iCs/>
          <w:sz w:val="24"/>
          <w:szCs w:val="24"/>
        </w:rPr>
        <w:t>,</w:t>
      </w:r>
      <w:r w:rsidR="00F32F6F" w:rsidRPr="008E772B">
        <w:rPr>
          <w:rFonts w:asciiTheme="majorBidi" w:eastAsia="Times New Roman" w:hAnsiTheme="majorBidi" w:cstheme="majorBidi"/>
          <w:bCs/>
          <w:iCs/>
          <w:sz w:val="24"/>
          <w:szCs w:val="24"/>
        </w:rPr>
        <w:t xml:space="preserve"> </w:t>
      </w:r>
      <w:r w:rsidR="00736042">
        <w:rPr>
          <w:rFonts w:asciiTheme="majorBidi" w:eastAsia="Times New Roman" w:hAnsiTheme="majorBidi" w:cstheme="majorBidi"/>
          <w:bCs/>
          <w:iCs/>
          <w:sz w:val="24"/>
          <w:szCs w:val="24"/>
        </w:rPr>
        <w:t>which</w:t>
      </w:r>
      <w:r w:rsidR="00736042" w:rsidRPr="008E772B">
        <w:rPr>
          <w:rFonts w:asciiTheme="majorBidi" w:eastAsia="Times New Roman" w:hAnsiTheme="majorBidi" w:cstheme="majorBidi"/>
          <w:bCs/>
          <w:iCs/>
          <w:sz w:val="24"/>
          <w:szCs w:val="24"/>
        </w:rPr>
        <w:t xml:space="preserve"> </w:t>
      </w:r>
      <w:r w:rsidR="007223E2" w:rsidRPr="008E772B">
        <w:rPr>
          <w:rFonts w:asciiTheme="majorBidi" w:eastAsia="Times New Roman" w:hAnsiTheme="majorBidi" w:cstheme="majorBidi"/>
          <w:bCs/>
          <w:iCs/>
          <w:sz w:val="24"/>
          <w:szCs w:val="24"/>
        </w:rPr>
        <w:t>indicate</w:t>
      </w:r>
      <w:r w:rsidR="00736042">
        <w:rPr>
          <w:rFonts w:asciiTheme="majorBidi" w:eastAsia="Times New Roman" w:hAnsiTheme="majorBidi" w:cstheme="majorBidi"/>
          <w:bCs/>
          <w:iCs/>
          <w:sz w:val="24"/>
          <w:szCs w:val="24"/>
        </w:rPr>
        <w:t>s</w:t>
      </w:r>
      <w:r w:rsidR="007C4420" w:rsidRPr="008E772B">
        <w:rPr>
          <w:rFonts w:asciiTheme="majorBidi" w:eastAsia="Times New Roman" w:hAnsiTheme="majorBidi" w:cstheme="majorBidi"/>
          <w:bCs/>
          <w:iCs/>
          <w:sz w:val="24"/>
          <w:szCs w:val="24"/>
        </w:rPr>
        <w:t xml:space="preserve"> that firms with stronger internal </w:t>
      </w:r>
      <w:r w:rsidR="00F32F6F" w:rsidRPr="008E772B">
        <w:rPr>
          <w:rFonts w:asciiTheme="majorBidi" w:eastAsia="Times New Roman" w:hAnsiTheme="majorBidi" w:cstheme="majorBidi"/>
          <w:bCs/>
          <w:iCs/>
          <w:sz w:val="24"/>
          <w:szCs w:val="24"/>
        </w:rPr>
        <w:t>governance mechanisms, as measured</w:t>
      </w:r>
      <w:r w:rsidR="007C4420" w:rsidRPr="008E772B">
        <w:rPr>
          <w:rFonts w:asciiTheme="majorBidi" w:eastAsia="Times New Roman" w:hAnsiTheme="majorBidi" w:cstheme="majorBidi"/>
          <w:bCs/>
          <w:iCs/>
          <w:sz w:val="24"/>
          <w:szCs w:val="24"/>
        </w:rPr>
        <w:t xml:space="preserve"> by a large number of supervisory board (SB) members</w:t>
      </w:r>
      <w:r w:rsidR="00F32F6F" w:rsidRPr="008E772B">
        <w:rPr>
          <w:rFonts w:asciiTheme="majorBidi" w:eastAsia="Times New Roman" w:hAnsiTheme="majorBidi" w:cstheme="majorBidi"/>
          <w:bCs/>
          <w:iCs/>
          <w:sz w:val="24"/>
          <w:szCs w:val="24"/>
        </w:rPr>
        <w:t>,</w:t>
      </w:r>
      <w:r w:rsidR="007C4420" w:rsidRPr="008E772B">
        <w:rPr>
          <w:rFonts w:asciiTheme="majorBidi" w:eastAsia="Times New Roman" w:hAnsiTheme="majorBidi" w:cstheme="majorBidi"/>
          <w:bCs/>
          <w:iCs/>
          <w:sz w:val="24"/>
          <w:szCs w:val="24"/>
        </w:rPr>
        <w:t xml:space="preserve"> are more likely to hire high</w:t>
      </w:r>
      <w:r w:rsidR="00184C7B">
        <w:rPr>
          <w:rFonts w:asciiTheme="majorBidi" w:eastAsia="Times New Roman" w:hAnsiTheme="majorBidi" w:cstheme="majorBidi"/>
          <w:bCs/>
          <w:iCs/>
          <w:sz w:val="24"/>
          <w:szCs w:val="24"/>
        </w:rPr>
        <w:t>er</w:t>
      </w:r>
      <w:r w:rsidR="007C4420" w:rsidRPr="008E772B">
        <w:rPr>
          <w:rFonts w:asciiTheme="majorBidi" w:eastAsia="Times New Roman" w:hAnsiTheme="majorBidi" w:cstheme="majorBidi"/>
          <w:bCs/>
          <w:iCs/>
          <w:sz w:val="24"/>
          <w:szCs w:val="24"/>
        </w:rPr>
        <w:t xml:space="preserve">-quality auditor </w:t>
      </w:r>
      <w:r w:rsidR="00071BD8" w:rsidRPr="008E772B">
        <w:rPr>
          <w:rFonts w:asciiTheme="majorBidi" w:eastAsia="Times New Roman" w:hAnsiTheme="majorBidi" w:cstheme="majorBidi"/>
          <w:bCs/>
          <w:iCs/>
          <w:sz w:val="24"/>
          <w:szCs w:val="24"/>
        </w:rPr>
        <w:t xml:space="preserve">in order </w:t>
      </w:r>
      <w:r w:rsidR="007C4420" w:rsidRPr="008E772B">
        <w:rPr>
          <w:rFonts w:asciiTheme="majorBidi" w:eastAsia="Times New Roman" w:hAnsiTheme="majorBidi" w:cstheme="majorBidi"/>
          <w:bCs/>
          <w:iCs/>
          <w:sz w:val="24"/>
          <w:szCs w:val="24"/>
        </w:rPr>
        <w:t>to enhance the monitoring role of the board.</w:t>
      </w:r>
      <w:r w:rsidR="00CC3C03" w:rsidRPr="00882A73">
        <w:rPr>
          <w:rFonts w:asciiTheme="majorBidi" w:eastAsia="Times New Roman" w:hAnsiTheme="majorBidi" w:cstheme="majorBidi"/>
          <w:bCs/>
          <w:iCs/>
          <w:sz w:val="24"/>
          <w:szCs w:val="24"/>
        </w:rPr>
        <w:t xml:space="preserve"> </w:t>
      </w:r>
      <w:r w:rsidR="0057181E" w:rsidRPr="000972D1">
        <w:rPr>
          <w:rFonts w:asciiTheme="majorBidi" w:eastAsia="Times New Roman" w:hAnsiTheme="majorBidi" w:cstheme="majorBidi"/>
          <w:bCs/>
          <w:iCs/>
          <w:sz w:val="24"/>
          <w:szCs w:val="24"/>
        </w:rPr>
        <w:t xml:space="preserve">Further, the findings of </w:t>
      </w:r>
      <w:r w:rsidR="0057181E" w:rsidRPr="000972D1">
        <w:rPr>
          <w:rFonts w:asciiTheme="majorBidi" w:hAnsiTheme="majorBidi" w:cstheme="majorBidi"/>
          <w:color w:val="000000"/>
          <w:sz w:val="24"/>
          <w:szCs w:val="24"/>
        </w:rPr>
        <w:t xml:space="preserve">Abdul Hamid and Abdullah (2012) indicate a positive link between board size and audit fees for Malaysian government-linked companies. </w:t>
      </w:r>
      <w:r w:rsidR="00882A73" w:rsidRPr="000972D1">
        <w:rPr>
          <w:rFonts w:asciiTheme="majorBidi" w:eastAsia="Times New Roman" w:hAnsiTheme="majorBidi" w:cstheme="majorBidi"/>
          <w:bCs/>
          <w:iCs/>
          <w:sz w:val="24"/>
          <w:szCs w:val="24"/>
        </w:rPr>
        <w:t xml:space="preserve">Recently, using a sample of newly privatized firms in MENA region, Ben-Hassoun </w:t>
      </w:r>
      <w:r w:rsidR="00882A73" w:rsidRPr="000972D1">
        <w:rPr>
          <w:rFonts w:asciiTheme="majorBidi" w:eastAsia="Times New Roman" w:hAnsiTheme="majorBidi" w:cstheme="majorBidi"/>
          <w:bCs/>
          <w:i/>
          <w:iCs/>
          <w:sz w:val="24"/>
          <w:szCs w:val="24"/>
        </w:rPr>
        <w:t>et al</w:t>
      </w:r>
      <w:r w:rsidR="00882A73" w:rsidRPr="000972D1">
        <w:rPr>
          <w:rFonts w:asciiTheme="majorBidi" w:eastAsia="Times New Roman" w:hAnsiTheme="majorBidi" w:cstheme="majorBidi"/>
          <w:bCs/>
          <w:iCs/>
          <w:sz w:val="24"/>
          <w:szCs w:val="24"/>
        </w:rPr>
        <w:t xml:space="preserve">. (2018) find that board size </w:t>
      </w:r>
      <w:r w:rsidR="0057181E" w:rsidRPr="000972D1">
        <w:rPr>
          <w:rFonts w:asciiTheme="majorBidi" w:eastAsia="Times New Roman" w:hAnsiTheme="majorBidi" w:cstheme="majorBidi"/>
          <w:bCs/>
          <w:iCs/>
          <w:sz w:val="24"/>
          <w:szCs w:val="24"/>
        </w:rPr>
        <w:t xml:space="preserve">is </w:t>
      </w:r>
      <w:r w:rsidR="00882A73" w:rsidRPr="000972D1">
        <w:rPr>
          <w:rFonts w:asciiTheme="majorBidi" w:eastAsia="Times New Roman" w:hAnsiTheme="majorBidi" w:cstheme="majorBidi"/>
          <w:bCs/>
          <w:iCs/>
          <w:sz w:val="24"/>
          <w:szCs w:val="24"/>
        </w:rPr>
        <w:t xml:space="preserve">positively related to appointing </w:t>
      </w:r>
      <w:r w:rsidR="00C55F13" w:rsidRPr="000972D1">
        <w:rPr>
          <w:rFonts w:asciiTheme="majorBidi" w:eastAsia="Times New Roman" w:hAnsiTheme="majorBidi" w:cstheme="majorBidi"/>
          <w:bCs/>
          <w:iCs/>
          <w:sz w:val="24"/>
          <w:szCs w:val="24"/>
        </w:rPr>
        <w:t>Big</w:t>
      </w:r>
      <w:r w:rsidR="00DB682D" w:rsidRPr="000972D1">
        <w:rPr>
          <w:rFonts w:asciiTheme="majorBidi" w:eastAsia="Times New Roman" w:hAnsiTheme="majorBidi" w:cstheme="majorBidi"/>
          <w:bCs/>
          <w:iCs/>
          <w:sz w:val="24"/>
          <w:szCs w:val="24"/>
        </w:rPr>
        <w:t xml:space="preserve"> </w:t>
      </w:r>
      <w:r w:rsidR="00C55F13" w:rsidRPr="000972D1">
        <w:rPr>
          <w:rFonts w:asciiTheme="majorBidi" w:eastAsia="Times New Roman" w:hAnsiTheme="majorBidi" w:cstheme="majorBidi"/>
          <w:bCs/>
          <w:iCs/>
          <w:sz w:val="24"/>
          <w:szCs w:val="24"/>
        </w:rPr>
        <w:t xml:space="preserve">4 </w:t>
      </w:r>
      <w:r w:rsidR="00882A73" w:rsidRPr="000972D1">
        <w:rPr>
          <w:rFonts w:asciiTheme="majorBidi" w:eastAsia="Times New Roman" w:hAnsiTheme="majorBidi" w:cstheme="majorBidi"/>
          <w:bCs/>
          <w:iCs/>
          <w:sz w:val="24"/>
          <w:szCs w:val="24"/>
        </w:rPr>
        <w:t>auditor.</w:t>
      </w:r>
      <w:r w:rsidR="003F4270" w:rsidRPr="000972D1">
        <w:rPr>
          <w:rFonts w:asciiTheme="majorBidi" w:hAnsiTheme="majorBidi" w:cstheme="majorBidi"/>
          <w:color w:val="000000"/>
          <w:sz w:val="24"/>
          <w:szCs w:val="24"/>
        </w:rPr>
        <w:t xml:space="preserve"> </w:t>
      </w:r>
      <w:r w:rsidR="0057181E" w:rsidRPr="000972D1">
        <w:rPr>
          <w:rFonts w:asciiTheme="majorBidi" w:eastAsia="Times New Roman" w:hAnsiTheme="majorBidi" w:cstheme="majorBidi"/>
          <w:bCs/>
          <w:iCs/>
          <w:sz w:val="24"/>
          <w:szCs w:val="24"/>
        </w:rPr>
        <w:t xml:space="preserve"> However, there are differences among MENA governance codes about the appropriate size of a board. </w:t>
      </w:r>
      <w:r w:rsidR="003F4270" w:rsidRPr="000972D1">
        <w:rPr>
          <w:rFonts w:asciiTheme="majorBidi" w:eastAsia="Times New Roman" w:hAnsiTheme="majorBidi" w:cstheme="majorBidi"/>
          <w:bCs/>
          <w:iCs/>
          <w:sz w:val="24"/>
          <w:szCs w:val="24"/>
        </w:rPr>
        <w:t>The Egyptian governance code, for example, suggests that it should not be less than five members if they are to be effective. The Saudi governance code recommends a board size between 3 and 11 members, whilst the Jordanian governance code recommends it to be between 3 and 13.</w:t>
      </w:r>
      <w:r w:rsidR="00567AD1" w:rsidRPr="00567AD1">
        <w:rPr>
          <w:rFonts w:asciiTheme="majorBidi" w:eastAsia="Times New Roman" w:hAnsiTheme="majorBidi" w:cstheme="majorBidi"/>
          <w:bCs/>
          <w:iCs/>
          <w:sz w:val="24"/>
          <w:szCs w:val="24"/>
          <w:vertAlign w:val="superscript"/>
        </w:rPr>
        <w:t>3</w:t>
      </w:r>
      <w:r w:rsidR="00F25C46">
        <w:rPr>
          <w:rFonts w:asciiTheme="majorBidi" w:eastAsia="Times New Roman" w:hAnsiTheme="majorBidi" w:cstheme="majorBidi"/>
          <w:bCs/>
          <w:iCs/>
          <w:sz w:val="24"/>
          <w:szCs w:val="24"/>
        </w:rPr>
        <w:t xml:space="preserve"> </w:t>
      </w:r>
      <w:r w:rsidR="00F32F6F" w:rsidRPr="000972D1">
        <w:rPr>
          <w:rFonts w:asciiTheme="majorBidi" w:eastAsia="Times New Roman" w:hAnsiTheme="majorBidi" w:cstheme="majorBidi"/>
          <w:bCs/>
          <w:iCs/>
          <w:sz w:val="24"/>
          <w:szCs w:val="24"/>
        </w:rPr>
        <w:t>Consequently, our</w:t>
      </w:r>
      <w:r w:rsidR="007C4420" w:rsidRPr="000972D1">
        <w:rPr>
          <w:rFonts w:asciiTheme="majorBidi" w:eastAsia="Times New Roman" w:hAnsiTheme="majorBidi" w:cstheme="majorBidi"/>
          <w:bCs/>
          <w:iCs/>
          <w:sz w:val="24"/>
          <w:szCs w:val="24"/>
        </w:rPr>
        <w:t xml:space="preserve"> </w:t>
      </w:r>
      <w:r w:rsidR="003939A0" w:rsidRPr="000972D1">
        <w:rPr>
          <w:rFonts w:asciiTheme="majorBidi" w:eastAsia="Times New Roman" w:hAnsiTheme="majorBidi" w:cstheme="majorBidi"/>
          <w:bCs/>
          <w:iCs/>
          <w:sz w:val="24"/>
          <w:szCs w:val="24"/>
        </w:rPr>
        <w:t>first</w:t>
      </w:r>
      <w:r w:rsidR="007447EE" w:rsidRPr="000972D1">
        <w:rPr>
          <w:rFonts w:asciiTheme="majorBidi" w:eastAsia="Times New Roman" w:hAnsiTheme="majorBidi" w:cstheme="majorBidi"/>
          <w:bCs/>
          <w:iCs/>
          <w:sz w:val="24"/>
          <w:szCs w:val="24"/>
        </w:rPr>
        <w:t xml:space="preserve"> </w:t>
      </w:r>
      <w:r w:rsidR="007C4420" w:rsidRPr="000972D1">
        <w:rPr>
          <w:rFonts w:asciiTheme="majorBidi" w:eastAsia="Times New Roman" w:hAnsiTheme="majorBidi" w:cstheme="majorBidi"/>
          <w:bCs/>
          <w:iCs/>
          <w:sz w:val="24"/>
          <w:szCs w:val="24"/>
        </w:rPr>
        <w:t>hypothes</w:t>
      </w:r>
      <w:r w:rsidR="0057181E" w:rsidRPr="000972D1">
        <w:rPr>
          <w:rFonts w:asciiTheme="majorBidi" w:eastAsia="Times New Roman" w:hAnsiTheme="majorBidi" w:cstheme="majorBidi"/>
          <w:bCs/>
          <w:iCs/>
          <w:sz w:val="24"/>
          <w:szCs w:val="24"/>
        </w:rPr>
        <w:t>i</w:t>
      </w:r>
      <w:r w:rsidR="00D66C52" w:rsidRPr="000972D1">
        <w:rPr>
          <w:rFonts w:asciiTheme="majorBidi" w:eastAsia="Times New Roman" w:hAnsiTheme="majorBidi" w:cstheme="majorBidi"/>
          <w:bCs/>
          <w:iCs/>
          <w:sz w:val="24"/>
          <w:szCs w:val="24"/>
        </w:rPr>
        <w:t>s</w:t>
      </w:r>
      <w:r w:rsidR="007C4420" w:rsidRPr="000972D1">
        <w:rPr>
          <w:rFonts w:asciiTheme="majorBidi" w:eastAsia="Times New Roman" w:hAnsiTheme="majorBidi" w:cstheme="majorBidi"/>
          <w:bCs/>
          <w:iCs/>
          <w:sz w:val="24"/>
          <w:szCs w:val="24"/>
        </w:rPr>
        <w:t xml:space="preserve"> </w:t>
      </w:r>
      <w:r w:rsidR="00F32F6F" w:rsidRPr="000972D1">
        <w:rPr>
          <w:rFonts w:asciiTheme="majorBidi" w:eastAsia="Times New Roman" w:hAnsiTheme="majorBidi" w:cstheme="majorBidi"/>
          <w:bCs/>
          <w:iCs/>
          <w:sz w:val="24"/>
          <w:szCs w:val="24"/>
        </w:rPr>
        <w:t xml:space="preserve">to be tested </w:t>
      </w:r>
      <w:r w:rsidR="0057181E" w:rsidRPr="000972D1">
        <w:rPr>
          <w:rFonts w:asciiTheme="majorBidi" w:eastAsia="Times New Roman" w:hAnsiTheme="majorBidi" w:cstheme="majorBidi"/>
          <w:bCs/>
          <w:iCs/>
          <w:sz w:val="24"/>
          <w:szCs w:val="24"/>
        </w:rPr>
        <w:t>is</w:t>
      </w:r>
      <w:r w:rsidR="007C4420" w:rsidRPr="000972D1">
        <w:rPr>
          <w:rFonts w:asciiTheme="majorBidi" w:eastAsia="Times New Roman" w:hAnsiTheme="majorBidi" w:cstheme="majorBidi"/>
          <w:bCs/>
          <w:iCs/>
          <w:sz w:val="24"/>
          <w:szCs w:val="24"/>
        </w:rPr>
        <w:t>:</w:t>
      </w:r>
    </w:p>
    <w:p w14:paraId="0971D849" w14:textId="376121DD" w:rsidR="007C4420" w:rsidRPr="00BB540C" w:rsidRDefault="00AF0B4C" w:rsidP="00683124">
      <w:pPr>
        <w:spacing w:after="0" w:line="360" w:lineRule="auto"/>
        <w:ind w:left="709" w:firstLine="11"/>
        <w:jc w:val="lowKashida"/>
        <w:rPr>
          <w:rFonts w:asciiTheme="majorBidi" w:eastAsia="Times New Roman" w:hAnsiTheme="majorBidi" w:cstheme="majorBidi"/>
          <w:bCs/>
          <w:i/>
          <w:iCs/>
          <w:sz w:val="24"/>
          <w:szCs w:val="24"/>
        </w:rPr>
      </w:pPr>
      <w:r w:rsidRPr="000972D1">
        <w:rPr>
          <w:rFonts w:asciiTheme="majorBidi" w:eastAsia="Times New Roman" w:hAnsiTheme="majorBidi" w:cstheme="majorBidi"/>
          <w:b/>
          <w:bCs/>
          <w:i/>
          <w:iCs/>
          <w:sz w:val="24"/>
          <w:szCs w:val="24"/>
        </w:rPr>
        <w:t>H1</w:t>
      </w:r>
      <w:r w:rsidR="007C4420" w:rsidRPr="000972D1">
        <w:rPr>
          <w:rFonts w:asciiTheme="majorBidi" w:eastAsia="Times New Roman" w:hAnsiTheme="majorBidi" w:cstheme="majorBidi"/>
          <w:bCs/>
          <w:i/>
          <w:iCs/>
          <w:sz w:val="24"/>
          <w:szCs w:val="24"/>
        </w:rPr>
        <w:t xml:space="preserve">: </w:t>
      </w:r>
      <w:r w:rsidR="00402795">
        <w:rPr>
          <w:rFonts w:asciiTheme="majorBidi" w:eastAsia="Times New Roman" w:hAnsiTheme="majorBidi" w:cstheme="majorBidi"/>
          <w:bCs/>
          <w:i/>
          <w:iCs/>
          <w:sz w:val="24"/>
          <w:szCs w:val="24"/>
        </w:rPr>
        <w:t>A</w:t>
      </w:r>
      <w:r w:rsidR="00C10CDB" w:rsidRPr="000972D1">
        <w:rPr>
          <w:rFonts w:asciiTheme="majorBidi" w:eastAsia="Times New Roman" w:hAnsiTheme="majorBidi" w:cstheme="majorBidi"/>
          <w:bCs/>
          <w:i/>
          <w:iCs/>
          <w:sz w:val="24"/>
          <w:szCs w:val="24"/>
        </w:rPr>
        <w:t xml:space="preserve">udit quality is </w:t>
      </w:r>
      <w:r w:rsidR="00357407" w:rsidRPr="000972D1">
        <w:rPr>
          <w:rFonts w:asciiTheme="majorBidi" w:eastAsia="Times New Roman" w:hAnsiTheme="majorBidi" w:cstheme="majorBidi"/>
          <w:bCs/>
          <w:i/>
          <w:iCs/>
          <w:sz w:val="24"/>
          <w:szCs w:val="24"/>
        </w:rPr>
        <w:t xml:space="preserve">significantly </w:t>
      </w:r>
      <w:r w:rsidR="00C10CDB" w:rsidRPr="000972D1">
        <w:rPr>
          <w:rFonts w:asciiTheme="majorBidi" w:eastAsia="Times New Roman" w:hAnsiTheme="majorBidi" w:cstheme="majorBidi"/>
          <w:bCs/>
          <w:i/>
          <w:iCs/>
          <w:sz w:val="24"/>
          <w:szCs w:val="24"/>
        </w:rPr>
        <w:t xml:space="preserve">associated </w:t>
      </w:r>
      <w:r w:rsidR="00B13073" w:rsidRPr="000972D1">
        <w:rPr>
          <w:rFonts w:asciiTheme="majorBidi" w:eastAsia="Times New Roman" w:hAnsiTheme="majorBidi" w:cstheme="majorBidi"/>
          <w:bCs/>
          <w:i/>
          <w:iCs/>
          <w:sz w:val="24"/>
          <w:szCs w:val="24"/>
        </w:rPr>
        <w:t>with board</w:t>
      </w:r>
      <w:r w:rsidR="007C4420" w:rsidRPr="000972D1">
        <w:rPr>
          <w:rFonts w:asciiTheme="majorBidi" w:eastAsia="Times New Roman" w:hAnsiTheme="majorBidi" w:cstheme="majorBidi"/>
          <w:bCs/>
          <w:i/>
          <w:iCs/>
          <w:sz w:val="24"/>
          <w:szCs w:val="24"/>
        </w:rPr>
        <w:t xml:space="preserve"> size</w:t>
      </w:r>
      <w:r w:rsidR="0057181E" w:rsidRPr="000972D1">
        <w:rPr>
          <w:rFonts w:asciiTheme="majorBidi" w:eastAsia="Times New Roman" w:hAnsiTheme="majorBidi" w:cstheme="majorBidi"/>
          <w:bCs/>
          <w:i/>
          <w:iCs/>
          <w:sz w:val="24"/>
          <w:szCs w:val="24"/>
        </w:rPr>
        <w:t>.</w:t>
      </w:r>
    </w:p>
    <w:p w14:paraId="157F442C" w14:textId="77777777" w:rsidR="007C4420" w:rsidRPr="008E772B" w:rsidRDefault="007C4420" w:rsidP="001E3C94">
      <w:pPr>
        <w:spacing w:after="0" w:line="360" w:lineRule="auto"/>
        <w:ind w:firstLine="720"/>
        <w:jc w:val="lowKashida"/>
        <w:rPr>
          <w:rFonts w:asciiTheme="majorBidi" w:eastAsia="Times New Roman" w:hAnsiTheme="majorBidi" w:cstheme="majorBidi"/>
          <w:bCs/>
          <w:iCs/>
          <w:sz w:val="24"/>
          <w:szCs w:val="24"/>
        </w:rPr>
      </w:pPr>
    </w:p>
    <w:p w14:paraId="3FBBCDE3" w14:textId="6AB196D7" w:rsidR="00D535DF" w:rsidRPr="008E772B" w:rsidRDefault="00157823" w:rsidP="00F83A9E">
      <w:pPr>
        <w:spacing w:after="0" w:line="360" w:lineRule="auto"/>
        <w:jc w:val="lowKashida"/>
        <w:rPr>
          <w:rFonts w:asciiTheme="majorBidi" w:eastAsia="Times New Roman" w:hAnsiTheme="majorBidi" w:cstheme="majorBidi"/>
          <w:i/>
          <w:sz w:val="24"/>
          <w:szCs w:val="24"/>
        </w:rPr>
      </w:pPr>
      <w:r w:rsidRPr="00157823">
        <w:rPr>
          <w:rFonts w:asciiTheme="majorBidi" w:eastAsia="Times New Roman" w:hAnsiTheme="majorBidi" w:cstheme="majorBidi"/>
          <w:i/>
          <w:sz w:val="24"/>
          <w:szCs w:val="24"/>
        </w:rPr>
        <w:t>3.1.</w:t>
      </w:r>
      <w:r>
        <w:rPr>
          <w:rFonts w:asciiTheme="majorBidi" w:eastAsia="Times New Roman" w:hAnsiTheme="majorBidi" w:cstheme="majorBidi"/>
          <w:i/>
          <w:sz w:val="24"/>
          <w:szCs w:val="24"/>
        </w:rPr>
        <w:t>2</w:t>
      </w:r>
      <w:r w:rsidRPr="00157823">
        <w:rPr>
          <w:rFonts w:asciiTheme="majorBidi" w:eastAsia="Times New Roman" w:hAnsiTheme="majorBidi" w:cstheme="majorBidi"/>
          <w:i/>
          <w:sz w:val="24"/>
          <w:szCs w:val="24"/>
        </w:rPr>
        <w:t xml:space="preserve">. </w:t>
      </w:r>
      <w:r w:rsidR="007C4420" w:rsidRPr="008E772B">
        <w:rPr>
          <w:rFonts w:asciiTheme="majorBidi" w:eastAsia="Times New Roman" w:hAnsiTheme="majorBidi" w:cstheme="majorBidi"/>
          <w:i/>
          <w:sz w:val="24"/>
          <w:szCs w:val="24"/>
        </w:rPr>
        <w:t xml:space="preserve">Board </w:t>
      </w:r>
      <w:r w:rsidR="00703306" w:rsidRPr="008E772B">
        <w:rPr>
          <w:rFonts w:asciiTheme="majorBidi" w:eastAsia="Times New Roman" w:hAnsiTheme="majorBidi" w:cstheme="majorBidi"/>
          <w:i/>
          <w:sz w:val="24"/>
          <w:szCs w:val="24"/>
        </w:rPr>
        <w:t>independence</w:t>
      </w:r>
      <w:r w:rsidR="0037423D" w:rsidRPr="008E772B">
        <w:rPr>
          <w:rFonts w:asciiTheme="majorBidi" w:eastAsia="Times New Roman" w:hAnsiTheme="majorBidi" w:cstheme="majorBidi"/>
          <w:i/>
          <w:sz w:val="24"/>
          <w:szCs w:val="24"/>
        </w:rPr>
        <w:t xml:space="preserve"> and </w:t>
      </w:r>
      <w:r w:rsidR="00DC4292">
        <w:rPr>
          <w:rFonts w:asciiTheme="majorBidi" w:eastAsia="Times New Roman" w:hAnsiTheme="majorBidi" w:cstheme="majorBidi"/>
          <w:i/>
          <w:sz w:val="24"/>
          <w:szCs w:val="24"/>
        </w:rPr>
        <w:t xml:space="preserve">audit quality </w:t>
      </w:r>
      <w:r w:rsidR="0037423D" w:rsidRPr="008E772B">
        <w:rPr>
          <w:rFonts w:asciiTheme="majorBidi" w:eastAsia="Times New Roman" w:hAnsiTheme="majorBidi" w:cstheme="majorBidi"/>
          <w:i/>
          <w:sz w:val="24"/>
          <w:szCs w:val="24"/>
        </w:rPr>
        <w:t xml:space="preserve"> </w:t>
      </w:r>
    </w:p>
    <w:p w14:paraId="72E8B747" w14:textId="53CE46DD" w:rsidR="007C4420" w:rsidRPr="008E772B" w:rsidRDefault="007C4420" w:rsidP="005438F0">
      <w:pPr>
        <w:spacing w:after="0" w:line="360" w:lineRule="auto"/>
        <w:jc w:val="lowKashida"/>
        <w:rPr>
          <w:rFonts w:asciiTheme="majorBidi" w:eastAsia="Times New Roman" w:hAnsiTheme="majorBidi" w:cstheme="majorBidi"/>
          <w:bCs/>
          <w:iCs/>
          <w:sz w:val="24"/>
          <w:szCs w:val="24"/>
        </w:rPr>
      </w:pPr>
      <w:r w:rsidRPr="008E772B">
        <w:rPr>
          <w:rFonts w:asciiTheme="majorBidi" w:eastAsia="Times New Roman" w:hAnsiTheme="majorBidi" w:cstheme="majorBidi"/>
          <w:b/>
          <w:bCs/>
          <w:sz w:val="24"/>
          <w:szCs w:val="24"/>
        </w:rPr>
        <w:t xml:space="preserve"> </w:t>
      </w:r>
      <w:r w:rsidR="003335EB" w:rsidRPr="008E772B">
        <w:rPr>
          <w:rFonts w:asciiTheme="majorBidi" w:eastAsia="Times New Roman" w:hAnsiTheme="majorBidi" w:cstheme="majorBidi"/>
          <w:b/>
          <w:bCs/>
          <w:sz w:val="24"/>
          <w:szCs w:val="24"/>
        </w:rPr>
        <w:tab/>
      </w:r>
      <w:r w:rsidRPr="008E772B">
        <w:rPr>
          <w:rFonts w:asciiTheme="majorBidi" w:eastAsia="Times New Roman" w:hAnsiTheme="majorBidi" w:cstheme="majorBidi"/>
          <w:bCs/>
          <w:iCs/>
          <w:sz w:val="24"/>
          <w:szCs w:val="24"/>
        </w:rPr>
        <w:t>Independent directors tend to</w:t>
      </w:r>
      <w:r w:rsidR="004C1482" w:rsidRPr="008E772B">
        <w:rPr>
          <w:rFonts w:asciiTheme="majorBidi" w:eastAsia="Times New Roman" w:hAnsiTheme="majorBidi" w:cstheme="majorBidi"/>
          <w:bCs/>
          <w:iCs/>
          <w:sz w:val="24"/>
          <w:szCs w:val="24"/>
        </w:rPr>
        <w:t xml:space="preserve"> or are perceived to be more likely to</w:t>
      </w:r>
      <w:r w:rsidRPr="008E772B">
        <w:rPr>
          <w:rFonts w:asciiTheme="majorBidi" w:eastAsia="Times New Roman" w:hAnsiTheme="majorBidi" w:cstheme="majorBidi"/>
          <w:bCs/>
          <w:iCs/>
          <w:sz w:val="24"/>
          <w:szCs w:val="24"/>
        </w:rPr>
        <w:t xml:space="preserve"> act in the best interests of shareholders</w:t>
      </w:r>
      <w:r w:rsidR="004C1482" w:rsidRPr="008E772B">
        <w:rPr>
          <w:rFonts w:asciiTheme="majorBidi" w:eastAsia="Times New Roman" w:hAnsiTheme="majorBidi" w:cstheme="majorBidi"/>
          <w:bCs/>
          <w:iCs/>
          <w:sz w:val="24"/>
          <w:szCs w:val="24"/>
        </w:rPr>
        <w:t xml:space="preserve"> than traditional full-time utility maximising mangers</w:t>
      </w:r>
      <w:r w:rsidRPr="008E772B">
        <w:rPr>
          <w:rFonts w:asciiTheme="majorBidi" w:eastAsia="Times New Roman" w:hAnsiTheme="majorBidi" w:cstheme="majorBidi"/>
          <w:bCs/>
          <w:iCs/>
          <w:sz w:val="24"/>
          <w:szCs w:val="24"/>
        </w:rPr>
        <w:t xml:space="preserve"> (Carcello </w:t>
      </w:r>
      <w:r w:rsidRPr="008E772B">
        <w:rPr>
          <w:rFonts w:asciiTheme="majorBidi" w:eastAsia="Times New Roman" w:hAnsiTheme="majorBidi" w:cstheme="majorBidi"/>
          <w:bCs/>
          <w:i/>
          <w:iCs/>
          <w:sz w:val="24"/>
          <w:szCs w:val="24"/>
        </w:rPr>
        <w:t>et al</w:t>
      </w:r>
      <w:r w:rsidRPr="008E772B">
        <w:rPr>
          <w:rFonts w:asciiTheme="majorBidi" w:eastAsia="Times New Roman" w:hAnsiTheme="majorBidi" w:cstheme="majorBidi"/>
          <w:bCs/>
          <w:iCs/>
          <w:sz w:val="24"/>
          <w:szCs w:val="24"/>
        </w:rPr>
        <w:t>., 2002</w:t>
      </w:r>
      <w:r w:rsidR="000B38D3" w:rsidRPr="008E772B">
        <w:rPr>
          <w:rFonts w:asciiTheme="majorBidi" w:eastAsia="Times New Roman" w:hAnsiTheme="majorBidi" w:cstheme="majorBidi"/>
          <w:bCs/>
          <w:iCs/>
          <w:sz w:val="24"/>
          <w:szCs w:val="24"/>
        </w:rPr>
        <w:t xml:space="preserve">; </w:t>
      </w:r>
      <w:r w:rsidR="00216AAE" w:rsidRPr="00216AAE">
        <w:rPr>
          <w:rFonts w:asciiTheme="majorBidi" w:eastAsia="Times New Roman" w:hAnsiTheme="majorBidi" w:cstheme="majorBidi"/>
          <w:bCs/>
          <w:iCs/>
          <w:sz w:val="24"/>
          <w:szCs w:val="24"/>
        </w:rPr>
        <w:t xml:space="preserve">Abdul Hamid </w:t>
      </w:r>
      <w:r w:rsidR="00216AAE">
        <w:rPr>
          <w:rFonts w:asciiTheme="majorBidi" w:eastAsia="Times New Roman" w:hAnsiTheme="majorBidi" w:cstheme="majorBidi"/>
          <w:bCs/>
          <w:iCs/>
          <w:sz w:val="24"/>
          <w:szCs w:val="24"/>
        </w:rPr>
        <w:t>&amp;</w:t>
      </w:r>
      <w:r w:rsidR="00216AAE" w:rsidRPr="00216AAE">
        <w:rPr>
          <w:rFonts w:asciiTheme="majorBidi" w:eastAsia="Times New Roman" w:hAnsiTheme="majorBidi" w:cstheme="majorBidi"/>
          <w:bCs/>
          <w:iCs/>
          <w:sz w:val="24"/>
          <w:szCs w:val="24"/>
        </w:rPr>
        <w:t xml:space="preserve"> Abdullah 2012</w:t>
      </w:r>
      <w:r w:rsidR="00216AAE">
        <w:rPr>
          <w:rFonts w:asciiTheme="majorBidi" w:eastAsia="Times New Roman" w:hAnsiTheme="majorBidi" w:cstheme="majorBidi"/>
          <w:bCs/>
          <w:iCs/>
          <w:sz w:val="24"/>
          <w:szCs w:val="24"/>
        </w:rPr>
        <w:t xml:space="preserve">; </w:t>
      </w:r>
      <w:r w:rsidR="000B38D3" w:rsidRPr="008E772B">
        <w:rPr>
          <w:rFonts w:asciiTheme="majorBidi" w:eastAsia="Times New Roman" w:hAnsiTheme="majorBidi" w:cstheme="majorBidi"/>
          <w:bCs/>
          <w:iCs/>
          <w:sz w:val="24"/>
          <w:szCs w:val="24"/>
        </w:rPr>
        <w:t>Khalil &amp; Ozkan, 2016</w:t>
      </w:r>
      <w:r w:rsidRPr="008E772B">
        <w:rPr>
          <w:rFonts w:asciiTheme="majorBidi" w:eastAsia="Times New Roman" w:hAnsiTheme="majorBidi" w:cstheme="majorBidi"/>
          <w:bCs/>
          <w:iCs/>
          <w:sz w:val="24"/>
          <w:szCs w:val="24"/>
        </w:rPr>
        <w:t xml:space="preserve">). Since </w:t>
      </w:r>
      <w:r w:rsidR="00C81356" w:rsidRPr="008E772B">
        <w:rPr>
          <w:rFonts w:asciiTheme="majorBidi" w:eastAsia="Times New Roman" w:hAnsiTheme="majorBidi" w:cstheme="majorBidi"/>
          <w:bCs/>
          <w:iCs/>
          <w:sz w:val="24"/>
          <w:szCs w:val="24"/>
        </w:rPr>
        <w:t>shareholding</w:t>
      </w:r>
      <w:r w:rsidRPr="008E772B">
        <w:rPr>
          <w:rFonts w:asciiTheme="majorBidi" w:eastAsia="Times New Roman" w:hAnsiTheme="majorBidi" w:cstheme="majorBidi"/>
          <w:bCs/>
          <w:iCs/>
          <w:sz w:val="24"/>
          <w:szCs w:val="24"/>
        </w:rPr>
        <w:t xml:space="preserve"> and management are separated in most modern corporations, managers have an opportunity to manipulate reported financial results for opportunistic purposes</w:t>
      </w:r>
      <w:r w:rsidR="00985E7B" w:rsidRPr="008E772B">
        <w:rPr>
          <w:rFonts w:asciiTheme="majorBidi" w:eastAsia="Times New Roman" w:hAnsiTheme="majorBidi" w:cstheme="majorBidi"/>
          <w:bCs/>
          <w:iCs/>
          <w:sz w:val="24"/>
          <w:szCs w:val="24"/>
        </w:rPr>
        <w:t xml:space="preserve"> (e.g., boost their pay motives or future employment prospects)</w:t>
      </w:r>
      <w:r w:rsidRPr="008E772B">
        <w:rPr>
          <w:rFonts w:asciiTheme="majorBidi" w:eastAsia="Times New Roman" w:hAnsiTheme="majorBidi" w:cstheme="majorBidi"/>
          <w:bCs/>
          <w:iCs/>
          <w:sz w:val="24"/>
          <w:szCs w:val="24"/>
        </w:rPr>
        <w:t xml:space="preserve"> (Jensen </w:t>
      </w:r>
      <w:r w:rsidR="001C5247" w:rsidRPr="008E772B">
        <w:rPr>
          <w:rFonts w:asciiTheme="majorBidi" w:eastAsia="Times New Roman" w:hAnsiTheme="majorBidi" w:cstheme="majorBidi"/>
          <w:bCs/>
          <w:iCs/>
          <w:sz w:val="24"/>
          <w:szCs w:val="24"/>
        </w:rPr>
        <w:t>&amp;</w:t>
      </w:r>
      <w:r w:rsidRPr="008E772B">
        <w:rPr>
          <w:rFonts w:asciiTheme="majorBidi" w:eastAsia="Times New Roman" w:hAnsiTheme="majorBidi" w:cstheme="majorBidi"/>
          <w:bCs/>
          <w:iCs/>
          <w:sz w:val="24"/>
          <w:szCs w:val="24"/>
        </w:rPr>
        <w:t xml:space="preserve"> Meckling, 1976; Watts </w:t>
      </w:r>
      <w:r w:rsidR="001C5247" w:rsidRPr="008E772B">
        <w:rPr>
          <w:rFonts w:asciiTheme="majorBidi" w:eastAsia="Times New Roman" w:hAnsiTheme="majorBidi" w:cstheme="majorBidi"/>
          <w:bCs/>
          <w:iCs/>
          <w:sz w:val="24"/>
          <w:szCs w:val="24"/>
        </w:rPr>
        <w:t>&amp;</w:t>
      </w:r>
      <w:r w:rsidRPr="008E772B">
        <w:rPr>
          <w:rFonts w:asciiTheme="majorBidi" w:eastAsia="Times New Roman" w:hAnsiTheme="majorBidi" w:cstheme="majorBidi"/>
          <w:bCs/>
          <w:iCs/>
          <w:sz w:val="24"/>
          <w:szCs w:val="24"/>
        </w:rPr>
        <w:t xml:space="preserve"> Zimmerman, 1983). On the other hand, outside directors are motivated to work as representatives of shareholders to prevent and detect such opportunistic reporting by management (Fama </w:t>
      </w:r>
      <w:r w:rsidR="001C5247" w:rsidRPr="008E772B">
        <w:rPr>
          <w:rFonts w:asciiTheme="majorBidi" w:eastAsia="Times New Roman" w:hAnsiTheme="majorBidi" w:cstheme="majorBidi"/>
          <w:bCs/>
          <w:iCs/>
          <w:sz w:val="24"/>
          <w:szCs w:val="24"/>
        </w:rPr>
        <w:t>&amp;</w:t>
      </w:r>
      <w:r w:rsidRPr="008E772B">
        <w:rPr>
          <w:rFonts w:asciiTheme="majorBidi" w:eastAsia="Times New Roman" w:hAnsiTheme="majorBidi" w:cstheme="majorBidi"/>
          <w:bCs/>
          <w:iCs/>
          <w:sz w:val="24"/>
          <w:szCs w:val="24"/>
        </w:rPr>
        <w:t xml:space="preserve"> Jensen, 1983;</w:t>
      </w:r>
      <w:r w:rsidRPr="008E772B">
        <w:rPr>
          <w:rFonts w:asciiTheme="majorBidi" w:hAnsiTheme="majorBidi" w:cstheme="majorBidi"/>
          <w:sz w:val="24"/>
          <w:szCs w:val="24"/>
        </w:rPr>
        <w:t xml:space="preserve"> Hay </w:t>
      </w:r>
      <w:r w:rsidRPr="008E772B">
        <w:rPr>
          <w:rFonts w:asciiTheme="majorBidi" w:hAnsiTheme="majorBidi" w:cstheme="majorBidi"/>
          <w:i/>
          <w:sz w:val="24"/>
          <w:szCs w:val="24"/>
        </w:rPr>
        <w:t>et al</w:t>
      </w:r>
      <w:r w:rsidRPr="008E772B">
        <w:rPr>
          <w:rFonts w:asciiTheme="majorBidi" w:hAnsiTheme="majorBidi" w:cstheme="majorBidi"/>
          <w:sz w:val="24"/>
          <w:szCs w:val="24"/>
        </w:rPr>
        <w:t>., 2008</w:t>
      </w:r>
      <w:r w:rsidRPr="008E772B">
        <w:rPr>
          <w:rFonts w:asciiTheme="majorBidi" w:eastAsia="Times New Roman" w:hAnsiTheme="majorBidi" w:cstheme="majorBidi"/>
          <w:bCs/>
          <w:iCs/>
          <w:sz w:val="24"/>
          <w:szCs w:val="24"/>
        </w:rPr>
        <w:t>), and this can be achieved by pursuing higher-quality audit services</w:t>
      </w:r>
      <w:r w:rsidR="008A537F">
        <w:rPr>
          <w:rFonts w:asciiTheme="majorBidi" w:eastAsia="Times New Roman" w:hAnsiTheme="majorBidi" w:cstheme="majorBidi"/>
          <w:bCs/>
          <w:iCs/>
          <w:sz w:val="24"/>
          <w:szCs w:val="24"/>
        </w:rPr>
        <w:t xml:space="preserve"> (</w:t>
      </w:r>
      <w:r w:rsidR="008A537F" w:rsidRPr="00F808B6">
        <w:rPr>
          <w:rFonts w:asciiTheme="majorBidi" w:eastAsia="Times New Roman" w:hAnsiTheme="majorBidi" w:cstheme="majorBidi"/>
          <w:bCs/>
          <w:iCs/>
          <w:sz w:val="24"/>
          <w:szCs w:val="24"/>
        </w:rPr>
        <w:t xml:space="preserve">Ben-Hassoun </w:t>
      </w:r>
      <w:r w:rsidR="008A537F" w:rsidRPr="002513C0">
        <w:rPr>
          <w:rFonts w:asciiTheme="majorBidi" w:eastAsia="Times New Roman" w:hAnsiTheme="majorBidi" w:cstheme="majorBidi"/>
          <w:bCs/>
          <w:i/>
          <w:iCs/>
          <w:sz w:val="24"/>
          <w:szCs w:val="24"/>
        </w:rPr>
        <w:t>et al</w:t>
      </w:r>
      <w:r w:rsidR="008A537F" w:rsidRPr="00F808B6">
        <w:rPr>
          <w:rFonts w:asciiTheme="majorBidi" w:eastAsia="Times New Roman" w:hAnsiTheme="majorBidi" w:cstheme="majorBidi"/>
          <w:bCs/>
          <w:iCs/>
          <w:sz w:val="24"/>
          <w:szCs w:val="24"/>
        </w:rPr>
        <w:t>.</w:t>
      </w:r>
      <w:r w:rsidR="008A537F">
        <w:rPr>
          <w:rFonts w:asciiTheme="majorBidi" w:eastAsia="Times New Roman" w:hAnsiTheme="majorBidi" w:cstheme="majorBidi"/>
          <w:bCs/>
          <w:iCs/>
          <w:sz w:val="24"/>
          <w:szCs w:val="24"/>
        </w:rPr>
        <w:t>,</w:t>
      </w:r>
      <w:r w:rsidR="008A537F" w:rsidRPr="00F808B6">
        <w:rPr>
          <w:rFonts w:asciiTheme="majorBidi" w:eastAsia="Times New Roman" w:hAnsiTheme="majorBidi" w:cstheme="majorBidi"/>
          <w:bCs/>
          <w:iCs/>
          <w:sz w:val="24"/>
          <w:szCs w:val="24"/>
        </w:rPr>
        <w:t xml:space="preserve"> 2018</w:t>
      </w:r>
      <w:r w:rsidR="008A537F">
        <w:rPr>
          <w:rFonts w:asciiTheme="majorBidi" w:eastAsia="Times New Roman" w:hAnsiTheme="majorBidi" w:cstheme="majorBidi"/>
          <w:bCs/>
          <w:iCs/>
          <w:sz w:val="24"/>
          <w:szCs w:val="24"/>
        </w:rPr>
        <w:t>)</w:t>
      </w:r>
      <w:r w:rsidRPr="008E772B">
        <w:rPr>
          <w:rFonts w:asciiTheme="majorBidi" w:eastAsia="Times New Roman" w:hAnsiTheme="majorBidi" w:cstheme="majorBidi"/>
          <w:bCs/>
          <w:iCs/>
          <w:sz w:val="24"/>
          <w:szCs w:val="24"/>
        </w:rPr>
        <w:t>. Th</w:t>
      </w:r>
      <w:r w:rsidR="00B31D51">
        <w:rPr>
          <w:rFonts w:asciiTheme="majorBidi" w:eastAsia="Times New Roman" w:hAnsiTheme="majorBidi" w:cstheme="majorBidi"/>
          <w:bCs/>
          <w:iCs/>
          <w:sz w:val="24"/>
          <w:szCs w:val="24"/>
        </w:rPr>
        <w:t>e willingness of independent directors to protect shareholder interests is often</w:t>
      </w:r>
      <w:r w:rsidRPr="008E772B">
        <w:rPr>
          <w:rFonts w:asciiTheme="majorBidi" w:eastAsia="Times New Roman" w:hAnsiTheme="majorBidi" w:cstheme="majorBidi"/>
          <w:bCs/>
          <w:iCs/>
          <w:sz w:val="24"/>
          <w:szCs w:val="24"/>
        </w:rPr>
        <w:t xml:space="preserve"> driven by the</w:t>
      </w:r>
      <w:r w:rsidR="00B31D51">
        <w:rPr>
          <w:rFonts w:asciiTheme="majorBidi" w:eastAsia="Times New Roman" w:hAnsiTheme="majorBidi" w:cstheme="majorBidi"/>
          <w:bCs/>
          <w:iCs/>
          <w:sz w:val="24"/>
          <w:szCs w:val="24"/>
        </w:rPr>
        <w:t>ir motivation to</w:t>
      </w:r>
      <w:r w:rsidRPr="008E772B">
        <w:rPr>
          <w:rFonts w:asciiTheme="majorBidi" w:eastAsia="Times New Roman" w:hAnsiTheme="majorBidi" w:cstheme="majorBidi"/>
          <w:bCs/>
          <w:iCs/>
          <w:sz w:val="24"/>
          <w:szCs w:val="24"/>
        </w:rPr>
        <w:t xml:space="preserve"> enhance their </w:t>
      </w:r>
      <w:r w:rsidR="00985E7B" w:rsidRPr="008E772B">
        <w:rPr>
          <w:rFonts w:asciiTheme="majorBidi" w:eastAsia="Times New Roman" w:hAnsiTheme="majorBidi" w:cstheme="majorBidi"/>
          <w:bCs/>
          <w:iCs/>
          <w:sz w:val="24"/>
          <w:szCs w:val="24"/>
        </w:rPr>
        <w:t xml:space="preserve">future </w:t>
      </w:r>
      <w:r w:rsidRPr="008E772B">
        <w:rPr>
          <w:rFonts w:asciiTheme="majorBidi" w:eastAsia="Times New Roman" w:hAnsiTheme="majorBidi" w:cstheme="majorBidi"/>
          <w:bCs/>
          <w:iCs/>
          <w:sz w:val="24"/>
          <w:szCs w:val="24"/>
        </w:rPr>
        <w:t xml:space="preserve">reputational capital in the </w:t>
      </w:r>
      <w:r w:rsidR="00985E7B" w:rsidRPr="008E772B">
        <w:rPr>
          <w:rFonts w:asciiTheme="majorBidi" w:eastAsia="Times New Roman" w:hAnsiTheme="majorBidi" w:cstheme="majorBidi"/>
          <w:bCs/>
          <w:iCs/>
          <w:sz w:val="24"/>
          <w:szCs w:val="24"/>
        </w:rPr>
        <w:t xml:space="preserve">labor </w:t>
      </w:r>
      <w:r w:rsidRPr="008E772B">
        <w:rPr>
          <w:rFonts w:asciiTheme="majorBidi" w:eastAsia="Times New Roman" w:hAnsiTheme="majorBidi" w:cstheme="majorBidi"/>
          <w:bCs/>
          <w:iCs/>
          <w:sz w:val="24"/>
          <w:szCs w:val="24"/>
        </w:rPr>
        <w:t xml:space="preserve">market as expert monitors by not associating themselves with poor corporate performance (Fama </w:t>
      </w:r>
      <w:r w:rsidR="001C5247" w:rsidRPr="008E772B">
        <w:rPr>
          <w:rFonts w:asciiTheme="majorBidi" w:eastAsia="Times New Roman" w:hAnsiTheme="majorBidi" w:cstheme="majorBidi"/>
          <w:bCs/>
          <w:iCs/>
          <w:sz w:val="24"/>
          <w:szCs w:val="24"/>
        </w:rPr>
        <w:t>&amp;</w:t>
      </w:r>
      <w:r w:rsidRPr="008E772B">
        <w:rPr>
          <w:rFonts w:asciiTheme="majorBidi" w:eastAsia="Times New Roman" w:hAnsiTheme="majorBidi" w:cstheme="majorBidi"/>
          <w:bCs/>
          <w:iCs/>
          <w:sz w:val="24"/>
          <w:szCs w:val="24"/>
        </w:rPr>
        <w:t xml:space="preserve"> Jensen</w:t>
      </w:r>
      <w:r w:rsidR="0092709D">
        <w:rPr>
          <w:rFonts w:asciiTheme="majorBidi" w:eastAsia="Times New Roman" w:hAnsiTheme="majorBidi" w:cstheme="majorBidi"/>
          <w:bCs/>
          <w:iCs/>
          <w:sz w:val="24"/>
          <w:szCs w:val="24"/>
        </w:rPr>
        <w:t>,</w:t>
      </w:r>
      <w:r w:rsidRPr="008E772B">
        <w:rPr>
          <w:rFonts w:asciiTheme="majorBidi" w:eastAsia="Times New Roman" w:hAnsiTheme="majorBidi" w:cstheme="majorBidi"/>
          <w:bCs/>
          <w:iCs/>
          <w:sz w:val="24"/>
          <w:szCs w:val="24"/>
        </w:rPr>
        <w:t xml:space="preserve"> 1983; Gilson</w:t>
      </w:r>
      <w:r w:rsidR="0092709D">
        <w:rPr>
          <w:rFonts w:asciiTheme="majorBidi" w:eastAsia="Times New Roman" w:hAnsiTheme="majorBidi" w:cstheme="majorBidi"/>
          <w:bCs/>
          <w:iCs/>
          <w:sz w:val="24"/>
          <w:szCs w:val="24"/>
        </w:rPr>
        <w:t>,</w:t>
      </w:r>
      <w:r w:rsidRPr="008E772B">
        <w:rPr>
          <w:rFonts w:asciiTheme="majorBidi" w:eastAsia="Times New Roman" w:hAnsiTheme="majorBidi" w:cstheme="majorBidi"/>
          <w:bCs/>
          <w:iCs/>
          <w:sz w:val="24"/>
          <w:szCs w:val="24"/>
        </w:rPr>
        <w:t xml:space="preserve"> 1990)</w:t>
      </w:r>
      <w:r w:rsidR="00B31D51">
        <w:rPr>
          <w:rFonts w:asciiTheme="majorBidi" w:eastAsia="Times New Roman" w:hAnsiTheme="majorBidi" w:cstheme="majorBidi"/>
          <w:bCs/>
          <w:iCs/>
          <w:sz w:val="24"/>
          <w:szCs w:val="24"/>
        </w:rPr>
        <w:t>.</w:t>
      </w:r>
      <w:r w:rsidR="00DC1F43" w:rsidRPr="008E772B">
        <w:rPr>
          <w:rFonts w:asciiTheme="majorBidi" w:eastAsia="Times New Roman" w:hAnsiTheme="majorBidi" w:cstheme="majorBidi"/>
          <w:bCs/>
          <w:iCs/>
          <w:sz w:val="24"/>
          <w:szCs w:val="24"/>
        </w:rPr>
        <w:t xml:space="preserve"> </w:t>
      </w:r>
      <w:r w:rsidR="00B31D51">
        <w:rPr>
          <w:rFonts w:asciiTheme="majorBidi" w:eastAsia="Times New Roman" w:hAnsiTheme="majorBidi" w:cstheme="majorBidi"/>
          <w:bCs/>
          <w:iCs/>
          <w:sz w:val="24"/>
          <w:szCs w:val="24"/>
        </w:rPr>
        <w:t xml:space="preserve">In this case, outside directors may be more inclined to support </w:t>
      </w:r>
      <w:r w:rsidR="00B31D51">
        <w:rPr>
          <w:rFonts w:asciiTheme="majorBidi" w:eastAsia="Times New Roman" w:hAnsiTheme="majorBidi" w:cstheme="majorBidi"/>
          <w:bCs/>
          <w:iCs/>
          <w:sz w:val="24"/>
          <w:szCs w:val="24"/>
        </w:rPr>
        <w:lastRenderedPageBreak/>
        <w:t xml:space="preserve">the appointment of a Big 4 auditor </w:t>
      </w:r>
      <w:r w:rsidR="00BE39AD" w:rsidRPr="00BE39AD">
        <w:rPr>
          <w:rFonts w:asciiTheme="majorBidi" w:eastAsia="Times New Roman" w:hAnsiTheme="majorBidi" w:cstheme="majorBidi"/>
          <w:bCs/>
          <w:iCs/>
          <w:sz w:val="24"/>
          <w:szCs w:val="24"/>
        </w:rPr>
        <w:t xml:space="preserve">and </w:t>
      </w:r>
      <w:r w:rsidR="00BE39AD">
        <w:rPr>
          <w:rFonts w:asciiTheme="majorBidi" w:eastAsia="Times New Roman" w:hAnsiTheme="majorBidi" w:cstheme="majorBidi"/>
          <w:bCs/>
          <w:iCs/>
          <w:sz w:val="24"/>
          <w:szCs w:val="24"/>
        </w:rPr>
        <w:t xml:space="preserve">to </w:t>
      </w:r>
      <w:r w:rsidR="00BE39AD" w:rsidRPr="00BE39AD">
        <w:rPr>
          <w:rFonts w:asciiTheme="majorBidi" w:eastAsia="Times New Roman" w:hAnsiTheme="majorBidi" w:cstheme="majorBidi"/>
          <w:bCs/>
          <w:iCs/>
          <w:sz w:val="24"/>
          <w:szCs w:val="24"/>
        </w:rPr>
        <w:t>pay high</w:t>
      </w:r>
      <w:r w:rsidR="00BE39AD">
        <w:rPr>
          <w:rFonts w:asciiTheme="majorBidi" w:eastAsia="Times New Roman" w:hAnsiTheme="majorBidi" w:cstheme="majorBidi"/>
          <w:bCs/>
          <w:iCs/>
          <w:sz w:val="24"/>
          <w:szCs w:val="24"/>
        </w:rPr>
        <w:t>er</w:t>
      </w:r>
      <w:r w:rsidR="00BE39AD" w:rsidRPr="00BE39AD">
        <w:rPr>
          <w:rFonts w:asciiTheme="majorBidi" w:eastAsia="Times New Roman" w:hAnsiTheme="majorBidi" w:cstheme="majorBidi"/>
          <w:bCs/>
          <w:iCs/>
          <w:sz w:val="24"/>
          <w:szCs w:val="24"/>
        </w:rPr>
        <w:t xml:space="preserve"> audit fees </w:t>
      </w:r>
      <w:r w:rsidR="00B31D51">
        <w:rPr>
          <w:rFonts w:asciiTheme="majorBidi" w:eastAsia="Times New Roman" w:hAnsiTheme="majorBidi" w:cstheme="majorBidi"/>
          <w:bCs/>
          <w:iCs/>
          <w:sz w:val="24"/>
          <w:szCs w:val="24"/>
        </w:rPr>
        <w:t>compared with executive directors</w:t>
      </w:r>
      <w:r w:rsidRPr="008E772B">
        <w:rPr>
          <w:rFonts w:asciiTheme="majorBidi" w:eastAsia="Times New Roman" w:hAnsiTheme="majorBidi" w:cstheme="majorBidi"/>
          <w:bCs/>
          <w:iCs/>
          <w:sz w:val="24"/>
          <w:szCs w:val="24"/>
        </w:rPr>
        <w:t xml:space="preserve"> (Carcello </w:t>
      </w:r>
      <w:r w:rsidRPr="008E772B">
        <w:rPr>
          <w:rFonts w:asciiTheme="majorBidi" w:eastAsia="Times New Roman" w:hAnsiTheme="majorBidi" w:cstheme="majorBidi"/>
          <w:bCs/>
          <w:i/>
          <w:iCs/>
          <w:sz w:val="24"/>
          <w:szCs w:val="24"/>
        </w:rPr>
        <w:t>et al</w:t>
      </w:r>
      <w:r w:rsidRPr="008E772B">
        <w:rPr>
          <w:rFonts w:asciiTheme="majorBidi" w:eastAsia="Times New Roman" w:hAnsiTheme="majorBidi" w:cstheme="majorBidi"/>
          <w:bCs/>
          <w:iCs/>
          <w:sz w:val="24"/>
          <w:szCs w:val="24"/>
        </w:rPr>
        <w:t>., 2002</w:t>
      </w:r>
      <w:r w:rsidR="008A537F">
        <w:rPr>
          <w:rFonts w:asciiTheme="majorBidi" w:eastAsia="Times New Roman" w:hAnsiTheme="majorBidi" w:cstheme="majorBidi"/>
          <w:bCs/>
          <w:iCs/>
          <w:sz w:val="24"/>
          <w:szCs w:val="24"/>
        </w:rPr>
        <w:t xml:space="preserve">; </w:t>
      </w:r>
      <w:r w:rsidR="0096741E">
        <w:rPr>
          <w:rFonts w:asciiTheme="majorBidi" w:eastAsia="Times New Roman" w:hAnsiTheme="majorBidi" w:cstheme="majorBidi"/>
          <w:bCs/>
          <w:iCs/>
          <w:sz w:val="24"/>
          <w:szCs w:val="24"/>
        </w:rPr>
        <w:t xml:space="preserve">Ben-Hassoun </w:t>
      </w:r>
      <w:r w:rsidR="0096741E" w:rsidRPr="002513C0">
        <w:rPr>
          <w:rFonts w:asciiTheme="majorBidi" w:eastAsia="Times New Roman" w:hAnsiTheme="majorBidi" w:cstheme="majorBidi"/>
          <w:bCs/>
          <w:i/>
          <w:iCs/>
          <w:sz w:val="24"/>
          <w:szCs w:val="24"/>
        </w:rPr>
        <w:t>et al</w:t>
      </w:r>
      <w:r w:rsidR="0096741E">
        <w:rPr>
          <w:rFonts w:asciiTheme="majorBidi" w:eastAsia="Times New Roman" w:hAnsiTheme="majorBidi" w:cstheme="majorBidi"/>
          <w:bCs/>
          <w:iCs/>
          <w:sz w:val="24"/>
          <w:szCs w:val="24"/>
        </w:rPr>
        <w:t xml:space="preserve">. </w:t>
      </w:r>
      <w:r w:rsidR="008A537F" w:rsidRPr="00F808B6">
        <w:rPr>
          <w:rFonts w:asciiTheme="majorBidi" w:eastAsia="Times New Roman" w:hAnsiTheme="majorBidi" w:cstheme="majorBidi"/>
          <w:bCs/>
          <w:iCs/>
          <w:sz w:val="24"/>
          <w:szCs w:val="24"/>
        </w:rPr>
        <w:t>2018</w:t>
      </w:r>
      <w:r w:rsidRPr="008E772B">
        <w:rPr>
          <w:rFonts w:asciiTheme="majorBidi" w:eastAsia="Times New Roman" w:hAnsiTheme="majorBidi" w:cstheme="majorBidi"/>
          <w:bCs/>
          <w:iCs/>
          <w:sz w:val="24"/>
          <w:szCs w:val="24"/>
        </w:rPr>
        <w:t xml:space="preserve">). </w:t>
      </w:r>
      <w:r w:rsidR="00CD70E4" w:rsidRPr="00CD70E4">
        <w:rPr>
          <w:rFonts w:asciiTheme="majorBidi" w:eastAsia="Times New Roman" w:hAnsiTheme="majorBidi" w:cstheme="majorBidi"/>
          <w:bCs/>
          <w:iCs/>
          <w:sz w:val="24"/>
          <w:szCs w:val="24"/>
        </w:rPr>
        <w:t xml:space="preserve">Chau </w:t>
      </w:r>
      <w:r w:rsidR="00951880">
        <w:rPr>
          <w:rFonts w:asciiTheme="majorBidi" w:eastAsia="Times New Roman" w:hAnsiTheme="majorBidi" w:cstheme="majorBidi"/>
          <w:bCs/>
          <w:iCs/>
          <w:sz w:val="24"/>
          <w:szCs w:val="24"/>
        </w:rPr>
        <w:t>and</w:t>
      </w:r>
      <w:r w:rsidR="00CD70E4" w:rsidRPr="00CD70E4">
        <w:rPr>
          <w:rFonts w:asciiTheme="majorBidi" w:eastAsia="Times New Roman" w:hAnsiTheme="majorBidi" w:cstheme="majorBidi"/>
          <w:bCs/>
          <w:iCs/>
          <w:sz w:val="24"/>
          <w:szCs w:val="24"/>
        </w:rPr>
        <w:t xml:space="preserve"> Leung (2006)</w:t>
      </w:r>
      <w:r w:rsidR="00CD70E4" w:rsidRPr="00CD70E4">
        <w:rPr>
          <w:rFonts w:asciiTheme="majorBidi" w:eastAsia="Times New Roman" w:hAnsiTheme="majorBidi" w:cstheme="majorBidi"/>
          <w:b/>
          <w:bCs/>
          <w:i/>
          <w:iCs/>
          <w:sz w:val="24"/>
          <w:szCs w:val="24"/>
        </w:rPr>
        <w:t xml:space="preserve"> </w:t>
      </w:r>
      <w:r w:rsidR="00CD70E4" w:rsidRPr="00CD70E4">
        <w:rPr>
          <w:rFonts w:asciiTheme="majorBidi" w:eastAsia="Times New Roman" w:hAnsiTheme="majorBidi" w:cstheme="majorBidi"/>
          <w:bCs/>
          <w:iCs/>
          <w:sz w:val="24"/>
          <w:szCs w:val="24"/>
        </w:rPr>
        <w:t xml:space="preserve">find a positive association between the percentage of independent non-executive directors on the corporate board and audit committee </w:t>
      </w:r>
      <w:r w:rsidR="00E010F2" w:rsidRPr="00E010F2">
        <w:rPr>
          <w:rFonts w:asciiTheme="majorBidi" w:eastAsia="Times New Roman" w:hAnsiTheme="majorBidi" w:cstheme="majorBidi"/>
          <w:bCs/>
          <w:iCs/>
          <w:sz w:val="24"/>
          <w:szCs w:val="24"/>
        </w:rPr>
        <w:t>formation</w:t>
      </w:r>
      <w:r w:rsidR="00CD70E4" w:rsidRPr="00CD70E4">
        <w:rPr>
          <w:rFonts w:asciiTheme="majorBidi" w:eastAsia="Times New Roman" w:hAnsiTheme="majorBidi" w:cstheme="majorBidi"/>
          <w:bCs/>
          <w:iCs/>
          <w:sz w:val="24"/>
          <w:szCs w:val="24"/>
        </w:rPr>
        <w:t>.</w:t>
      </w:r>
    </w:p>
    <w:p w14:paraId="01A65660" w14:textId="6F761205" w:rsidR="007C4420" w:rsidRPr="000972D1" w:rsidRDefault="00DC1F43" w:rsidP="003A2CC0">
      <w:pPr>
        <w:spacing w:after="0" w:line="360" w:lineRule="auto"/>
        <w:ind w:firstLine="720"/>
        <w:jc w:val="lowKashida"/>
        <w:rPr>
          <w:rFonts w:asciiTheme="majorBidi" w:eastAsia="Times New Roman" w:hAnsiTheme="majorBidi" w:cstheme="majorBidi"/>
          <w:bCs/>
          <w:iCs/>
          <w:sz w:val="24"/>
          <w:szCs w:val="24"/>
        </w:rPr>
      </w:pPr>
      <w:r w:rsidRPr="008E772B">
        <w:rPr>
          <w:rFonts w:asciiTheme="majorBidi" w:eastAsia="Times New Roman" w:hAnsiTheme="majorBidi" w:cstheme="majorBidi"/>
          <w:bCs/>
          <w:iCs/>
          <w:sz w:val="24"/>
          <w:szCs w:val="24"/>
        </w:rPr>
        <w:t xml:space="preserve">The </w:t>
      </w:r>
      <w:r w:rsidR="007C4420" w:rsidRPr="008E772B">
        <w:rPr>
          <w:rFonts w:asciiTheme="majorBidi" w:eastAsia="Times New Roman" w:hAnsiTheme="majorBidi" w:cstheme="majorBidi"/>
          <w:bCs/>
          <w:iCs/>
          <w:sz w:val="24"/>
          <w:szCs w:val="24"/>
        </w:rPr>
        <w:t>empirica</w:t>
      </w:r>
      <w:r w:rsidR="00921E7C" w:rsidRPr="008E772B">
        <w:rPr>
          <w:rFonts w:asciiTheme="majorBidi" w:eastAsia="Times New Roman" w:hAnsiTheme="majorBidi" w:cstheme="majorBidi"/>
          <w:bCs/>
          <w:iCs/>
          <w:sz w:val="24"/>
          <w:szCs w:val="24"/>
        </w:rPr>
        <w:t xml:space="preserve">l results of O’Sullivan (2000), </w:t>
      </w:r>
      <w:r w:rsidRPr="008E772B">
        <w:rPr>
          <w:rFonts w:asciiTheme="majorBidi" w:eastAsia="Times New Roman" w:hAnsiTheme="majorBidi" w:cstheme="majorBidi"/>
          <w:bCs/>
          <w:iCs/>
          <w:sz w:val="24"/>
          <w:szCs w:val="24"/>
        </w:rPr>
        <w:t xml:space="preserve">Carcello </w:t>
      </w:r>
      <w:r w:rsidRPr="008E772B">
        <w:rPr>
          <w:rFonts w:asciiTheme="majorBidi" w:eastAsia="Times New Roman" w:hAnsiTheme="majorBidi" w:cstheme="majorBidi"/>
          <w:bCs/>
          <w:i/>
          <w:iCs/>
          <w:sz w:val="24"/>
          <w:szCs w:val="24"/>
        </w:rPr>
        <w:t>et al</w:t>
      </w:r>
      <w:r w:rsidRPr="008E772B">
        <w:rPr>
          <w:rFonts w:asciiTheme="majorBidi" w:eastAsia="Times New Roman" w:hAnsiTheme="majorBidi" w:cstheme="majorBidi"/>
          <w:bCs/>
          <w:iCs/>
          <w:sz w:val="24"/>
          <w:szCs w:val="24"/>
        </w:rPr>
        <w:t xml:space="preserve">. (2002), </w:t>
      </w:r>
      <w:r w:rsidR="00921E7C" w:rsidRPr="008E772B">
        <w:rPr>
          <w:rFonts w:asciiTheme="majorBidi" w:eastAsia="Times New Roman" w:hAnsiTheme="majorBidi" w:cstheme="majorBidi"/>
          <w:bCs/>
          <w:iCs/>
          <w:sz w:val="24"/>
          <w:szCs w:val="24"/>
        </w:rPr>
        <w:t xml:space="preserve">Hay </w:t>
      </w:r>
      <w:r w:rsidR="00921E7C" w:rsidRPr="008E772B">
        <w:rPr>
          <w:rFonts w:asciiTheme="majorBidi" w:eastAsia="Times New Roman" w:hAnsiTheme="majorBidi" w:cstheme="majorBidi"/>
          <w:bCs/>
          <w:i/>
          <w:iCs/>
          <w:sz w:val="24"/>
          <w:szCs w:val="24"/>
        </w:rPr>
        <w:t>et al</w:t>
      </w:r>
      <w:r w:rsidR="00921E7C" w:rsidRPr="008E772B">
        <w:rPr>
          <w:rFonts w:asciiTheme="majorBidi" w:eastAsia="Times New Roman" w:hAnsiTheme="majorBidi" w:cstheme="majorBidi"/>
          <w:bCs/>
          <w:iCs/>
          <w:sz w:val="24"/>
          <w:szCs w:val="24"/>
        </w:rPr>
        <w:t xml:space="preserve">. (2008), </w:t>
      </w:r>
      <w:r w:rsidR="000F4171" w:rsidRPr="000F4171">
        <w:rPr>
          <w:rFonts w:asciiTheme="majorBidi" w:eastAsia="Times New Roman" w:hAnsiTheme="majorBidi" w:cstheme="majorBidi"/>
          <w:bCs/>
          <w:iCs/>
          <w:sz w:val="24"/>
          <w:szCs w:val="24"/>
        </w:rPr>
        <w:t>Abdul Hamid and Abdullah (2012)</w:t>
      </w:r>
      <w:r w:rsidR="000F4171">
        <w:rPr>
          <w:rFonts w:asciiTheme="majorBidi" w:eastAsia="Times New Roman" w:hAnsiTheme="majorBidi" w:cstheme="majorBidi"/>
          <w:bCs/>
          <w:iCs/>
          <w:sz w:val="24"/>
          <w:szCs w:val="24"/>
        </w:rPr>
        <w:t xml:space="preserve">, </w:t>
      </w:r>
      <w:r w:rsidR="00921E7C" w:rsidRPr="008E772B">
        <w:rPr>
          <w:rFonts w:asciiTheme="majorBidi" w:eastAsia="Times New Roman" w:hAnsiTheme="majorBidi" w:cstheme="majorBidi"/>
          <w:bCs/>
          <w:iCs/>
          <w:sz w:val="24"/>
          <w:szCs w:val="24"/>
        </w:rPr>
        <w:t xml:space="preserve">and Johansen and Pettersson (2013) </w:t>
      </w:r>
      <w:r w:rsidR="007C4420" w:rsidRPr="008E772B">
        <w:rPr>
          <w:rFonts w:asciiTheme="majorBidi" w:eastAsia="Times New Roman" w:hAnsiTheme="majorBidi" w:cstheme="majorBidi"/>
          <w:bCs/>
          <w:iCs/>
          <w:sz w:val="24"/>
          <w:szCs w:val="24"/>
        </w:rPr>
        <w:t>support the positive and significant relationship between the percentage of non-executives on the board and audit fees</w:t>
      </w:r>
      <w:r w:rsidR="007C4420" w:rsidRPr="000972D1">
        <w:rPr>
          <w:rFonts w:asciiTheme="majorBidi" w:eastAsia="Times New Roman" w:hAnsiTheme="majorBidi" w:cstheme="majorBidi"/>
          <w:bCs/>
          <w:iCs/>
          <w:sz w:val="24"/>
          <w:szCs w:val="24"/>
        </w:rPr>
        <w:t xml:space="preserve">. </w:t>
      </w:r>
      <w:r w:rsidR="00DC2D23" w:rsidRPr="000972D1">
        <w:rPr>
          <w:rFonts w:asciiTheme="majorBidi" w:eastAsia="Times New Roman" w:hAnsiTheme="majorBidi" w:cstheme="majorBidi"/>
          <w:bCs/>
          <w:iCs/>
          <w:sz w:val="24"/>
          <w:szCs w:val="24"/>
        </w:rPr>
        <w:t xml:space="preserve">Also, Afify </w:t>
      </w:r>
      <w:r w:rsidR="00951880" w:rsidRPr="000972D1">
        <w:rPr>
          <w:rFonts w:asciiTheme="majorBidi" w:eastAsia="Times New Roman" w:hAnsiTheme="majorBidi" w:cstheme="majorBidi"/>
          <w:bCs/>
          <w:iCs/>
          <w:sz w:val="24"/>
          <w:szCs w:val="24"/>
        </w:rPr>
        <w:t>(</w:t>
      </w:r>
      <w:r w:rsidR="00DC2D23" w:rsidRPr="000972D1">
        <w:rPr>
          <w:rFonts w:asciiTheme="majorBidi" w:eastAsia="Times New Roman" w:hAnsiTheme="majorBidi" w:cstheme="majorBidi"/>
          <w:bCs/>
          <w:iCs/>
          <w:sz w:val="24"/>
          <w:szCs w:val="24"/>
        </w:rPr>
        <w:t>2009</w:t>
      </w:r>
      <w:r w:rsidR="00951880" w:rsidRPr="000972D1">
        <w:rPr>
          <w:rFonts w:asciiTheme="majorBidi" w:eastAsia="Times New Roman" w:hAnsiTheme="majorBidi" w:cstheme="majorBidi"/>
          <w:bCs/>
          <w:iCs/>
          <w:sz w:val="24"/>
          <w:szCs w:val="24"/>
        </w:rPr>
        <w:t>)</w:t>
      </w:r>
      <w:r w:rsidR="00DC2D23" w:rsidRPr="000972D1">
        <w:rPr>
          <w:rFonts w:asciiTheme="majorBidi" w:eastAsia="Times New Roman" w:hAnsiTheme="majorBidi" w:cstheme="majorBidi"/>
          <w:bCs/>
          <w:iCs/>
          <w:sz w:val="24"/>
          <w:szCs w:val="24"/>
        </w:rPr>
        <w:t xml:space="preserve"> found evidence from Egypt supports that independent board</w:t>
      </w:r>
      <w:r w:rsidR="00B13073" w:rsidRPr="000972D1">
        <w:rPr>
          <w:rFonts w:asciiTheme="majorBidi" w:eastAsia="Times New Roman" w:hAnsiTheme="majorBidi" w:cstheme="majorBidi"/>
          <w:bCs/>
          <w:iCs/>
          <w:sz w:val="24"/>
          <w:szCs w:val="24"/>
        </w:rPr>
        <w:t>s</w:t>
      </w:r>
      <w:r w:rsidR="00DC2D23" w:rsidRPr="000972D1">
        <w:rPr>
          <w:rFonts w:asciiTheme="majorBidi" w:eastAsia="Times New Roman" w:hAnsiTheme="majorBidi" w:cstheme="majorBidi"/>
          <w:bCs/>
          <w:iCs/>
          <w:sz w:val="24"/>
          <w:szCs w:val="24"/>
        </w:rPr>
        <w:t xml:space="preserve"> have a positive impact on financial disclosure quality and more efficient and effective audit, and hence reduce the audit report lag. </w:t>
      </w:r>
      <w:r w:rsidR="007C4420" w:rsidRPr="000972D1">
        <w:rPr>
          <w:rFonts w:asciiTheme="majorBidi" w:eastAsia="Times New Roman" w:hAnsiTheme="majorBidi" w:cstheme="majorBidi"/>
          <w:bCs/>
          <w:iCs/>
          <w:sz w:val="24"/>
          <w:szCs w:val="24"/>
        </w:rPr>
        <w:t xml:space="preserve">However, </w:t>
      </w:r>
      <w:r w:rsidR="002D17A2" w:rsidRPr="000972D1">
        <w:rPr>
          <w:rFonts w:asciiTheme="majorBidi" w:eastAsia="Times New Roman" w:hAnsiTheme="majorBidi" w:cstheme="majorBidi"/>
          <w:bCs/>
          <w:iCs/>
          <w:sz w:val="24"/>
          <w:szCs w:val="24"/>
        </w:rPr>
        <w:t xml:space="preserve">using evidence from MENA countries, </w:t>
      </w:r>
      <w:r w:rsidR="0082083B" w:rsidRPr="000972D1">
        <w:rPr>
          <w:rFonts w:asciiTheme="majorBidi" w:eastAsia="Times New Roman" w:hAnsiTheme="majorBidi" w:cstheme="majorBidi"/>
          <w:bCs/>
          <w:iCs/>
          <w:sz w:val="24"/>
          <w:szCs w:val="24"/>
        </w:rPr>
        <w:t xml:space="preserve">Ben-Hassoun </w:t>
      </w:r>
      <w:r w:rsidR="0082083B" w:rsidRPr="000972D1">
        <w:rPr>
          <w:rFonts w:asciiTheme="majorBidi" w:eastAsia="Times New Roman" w:hAnsiTheme="majorBidi" w:cstheme="majorBidi"/>
          <w:bCs/>
          <w:i/>
          <w:iCs/>
          <w:sz w:val="24"/>
          <w:szCs w:val="24"/>
        </w:rPr>
        <w:t>et al.</w:t>
      </w:r>
      <w:r w:rsidR="0082083B" w:rsidRPr="000972D1">
        <w:rPr>
          <w:rFonts w:asciiTheme="majorBidi" w:eastAsia="Times New Roman" w:hAnsiTheme="majorBidi" w:cstheme="majorBidi"/>
          <w:bCs/>
          <w:iCs/>
          <w:sz w:val="24"/>
          <w:szCs w:val="24"/>
        </w:rPr>
        <w:t xml:space="preserve"> (2018) find that board independence show</w:t>
      </w:r>
      <w:r w:rsidR="00DC2D23" w:rsidRPr="000972D1">
        <w:rPr>
          <w:rFonts w:asciiTheme="majorBidi" w:eastAsia="Times New Roman" w:hAnsiTheme="majorBidi" w:cstheme="majorBidi"/>
          <w:bCs/>
          <w:iCs/>
          <w:sz w:val="24"/>
          <w:szCs w:val="24"/>
        </w:rPr>
        <w:t>s</w:t>
      </w:r>
      <w:r w:rsidR="0082083B" w:rsidRPr="000972D1">
        <w:rPr>
          <w:rFonts w:asciiTheme="majorBidi" w:eastAsia="Times New Roman" w:hAnsiTheme="majorBidi" w:cstheme="majorBidi"/>
          <w:bCs/>
          <w:iCs/>
          <w:sz w:val="24"/>
          <w:szCs w:val="24"/>
        </w:rPr>
        <w:t xml:space="preserve"> a negative relation</w:t>
      </w:r>
      <w:r w:rsidR="008F55FB">
        <w:rPr>
          <w:rFonts w:asciiTheme="majorBidi" w:eastAsia="Times New Roman" w:hAnsiTheme="majorBidi" w:cstheme="majorBidi"/>
          <w:bCs/>
          <w:iCs/>
          <w:sz w:val="24"/>
          <w:szCs w:val="24"/>
        </w:rPr>
        <w:t>ship</w:t>
      </w:r>
      <w:r w:rsidR="0082083B" w:rsidRPr="000972D1">
        <w:rPr>
          <w:rFonts w:asciiTheme="majorBidi" w:eastAsia="Times New Roman" w:hAnsiTheme="majorBidi" w:cstheme="majorBidi"/>
          <w:bCs/>
          <w:iCs/>
          <w:sz w:val="24"/>
          <w:szCs w:val="24"/>
        </w:rPr>
        <w:t xml:space="preserve"> </w:t>
      </w:r>
      <w:r w:rsidR="008F55FB">
        <w:rPr>
          <w:rFonts w:asciiTheme="majorBidi" w:eastAsia="Times New Roman" w:hAnsiTheme="majorBidi" w:cstheme="majorBidi"/>
          <w:bCs/>
          <w:iCs/>
          <w:sz w:val="24"/>
          <w:szCs w:val="24"/>
        </w:rPr>
        <w:t>with the likelihood of</w:t>
      </w:r>
      <w:r w:rsidR="00F169FE" w:rsidRPr="000972D1">
        <w:rPr>
          <w:rFonts w:asciiTheme="majorBidi" w:eastAsia="Times New Roman" w:hAnsiTheme="majorBidi" w:cstheme="majorBidi"/>
          <w:bCs/>
          <w:iCs/>
          <w:sz w:val="24"/>
          <w:szCs w:val="24"/>
        </w:rPr>
        <w:t xml:space="preserve"> </w:t>
      </w:r>
      <w:r w:rsidR="0082083B" w:rsidRPr="000972D1">
        <w:rPr>
          <w:rFonts w:asciiTheme="majorBidi" w:eastAsia="Times New Roman" w:hAnsiTheme="majorBidi" w:cstheme="majorBidi"/>
          <w:bCs/>
          <w:iCs/>
          <w:sz w:val="24"/>
          <w:szCs w:val="24"/>
        </w:rPr>
        <w:t>appointing a Big</w:t>
      </w:r>
      <w:r w:rsidR="00C55F13" w:rsidRPr="000972D1">
        <w:rPr>
          <w:rFonts w:asciiTheme="majorBidi" w:eastAsia="Times New Roman" w:hAnsiTheme="majorBidi" w:cstheme="majorBidi"/>
          <w:bCs/>
          <w:iCs/>
          <w:sz w:val="24"/>
          <w:szCs w:val="24"/>
        </w:rPr>
        <w:t>4</w:t>
      </w:r>
      <w:r w:rsidR="0082083B" w:rsidRPr="000972D1">
        <w:rPr>
          <w:rFonts w:asciiTheme="majorBidi" w:eastAsia="Times New Roman" w:hAnsiTheme="majorBidi" w:cstheme="majorBidi"/>
          <w:bCs/>
          <w:iCs/>
          <w:sz w:val="24"/>
          <w:szCs w:val="24"/>
        </w:rPr>
        <w:t xml:space="preserve"> auditor</w:t>
      </w:r>
      <w:r w:rsidR="00951880" w:rsidRPr="000972D1">
        <w:rPr>
          <w:rFonts w:asciiTheme="majorBidi" w:eastAsia="Times New Roman" w:hAnsiTheme="majorBidi" w:cstheme="majorBidi"/>
          <w:bCs/>
          <w:iCs/>
          <w:sz w:val="24"/>
          <w:szCs w:val="24"/>
        </w:rPr>
        <w:t>.</w:t>
      </w:r>
      <w:r w:rsidR="0082083B" w:rsidRPr="000972D1">
        <w:rPr>
          <w:rFonts w:asciiTheme="majorBidi" w:eastAsia="Times New Roman" w:hAnsiTheme="majorBidi" w:cstheme="majorBidi"/>
          <w:bCs/>
          <w:iCs/>
          <w:sz w:val="24"/>
          <w:szCs w:val="24"/>
        </w:rPr>
        <w:t xml:space="preserve"> </w:t>
      </w:r>
      <w:r w:rsidR="00951880" w:rsidRPr="000972D1">
        <w:rPr>
          <w:rFonts w:asciiTheme="majorBidi" w:eastAsia="Times New Roman" w:hAnsiTheme="majorBidi" w:cstheme="majorBidi"/>
          <w:bCs/>
          <w:iCs/>
          <w:sz w:val="24"/>
          <w:szCs w:val="24"/>
        </w:rPr>
        <w:t>By contrast</w:t>
      </w:r>
      <w:r w:rsidR="0082083B" w:rsidRPr="000972D1">
        <w:rPr>
          <w:rFonts w:asciiTheme="majorBidi" w:eastAsia="Times New Roman" w:hAnsiTheme="majorBidi" w:cstheme="majorBidi"/>
          <w:bCs/>
          <w:iCs/>
          <w:sz w:val="24"/>
          <w:szCs w:val="24"/>
        </w:rPr>
        <w:t xml:space="preserve">, </w:t>
      </w:r>
      <w:r w:rsidR="007C4420" w:rsidRPr="000972D1">
        <w:rPr>
          <w:rFonts w:asciiTheme="majorBidi" w:eastAsia="Times New Roman" w:hAnsiTheme="majorBidi" w:cstheme="majorBidi"/>
          <w:bCs/>
          <w:iCs/>
          <w:sz w:val="24"/>
          <w:szCs w:val="24"/>
        </w:rPr>
        <w:t xml:space="preserve">O’Sullivan and Diacon (2002) find no empirical evidence to support </w:t>
      </w:r>
      <w:r w:rsidR="00921E7C" w:rsidRPr="000972D1">
        <w:rPr>
          <w:rFonts w:asciiTheme="majorBidi" w:eastAsia="Times New Roman" w:hAnsiTheme="majorBidi" w:cstheme="majorBidi"/>
          <w:bCs/>
          <w:iCs/>
          <w:sz w:val="24"/>
          <w:szCs w:val="24"/>
        </w:rPr>
        <w:t xml:space="preserve">this </w:t>
      </w:r>
      <w:r w:rsidR="007C4420" w:rsidRPr="000972D1">
        <w:rPr>
          <w:rFonts w:asciiTheme="majorBidi" w:eastAsia="Times New Roman" w:hAnsiTheme="majorBidi" w:cstheme="majorBidi"/>
          <w:bCs/>
          <w:iCs/>
          <w:sz w:val="24"/>
          <w:szCs w:val="24"/>
        </w:rPr>
        <w:t xml:space="preserve">relationship. </w:t>
      </w:r>
      <w:r w:rsidR="00B448D4" w:rsidRPr="000972D1">
        <w:rPr>
          <w:rFonts w:asciiTheme="majorBidi" w:eastAsia="Times New Roman" w:hAnsiTheme="majorBidi" w:cstheme="majorBidi"/>
          <w:bCs/>
          <w:iCs/>
          <w:sz w:val="24"/>
          <w:szCs w:val="24"/>
        </w:rPr>
        <w:t xml:space="preserve">Regarding MENA </w:t>
      </w:r>
      <w:r w:rsidR="00B94810">
        <w:rPr>
          <w:rFonts w:asciiTheme="majorBidi" w:eastAsia="Times New Roman" w:hAnsiTheme="majorBidi" w:cstheme="majorBidi"/>
          <w:bCs/>
          <w:iCs/>
          <w:sz w:val="24"/>
          <w:szCs w:val="24"/>
        </w:rPr>
        <w:t>governance</w:t>
      </w:r>
      <w:r w:rsidR="00B94810" w:rsidRPr="000972D1">
        <w:rPr>
          <w:rFonts w:asciiTheme="majorBidi" w:eastAsia="Times New Roman" w:hAnsiTheme="majorBidi" w:cstheme="majorBidi"/>
          <w:bCs/>
          <w:iCs/>
          <w:sz w:val="24"/>
          <w:szCs w:val="24"/>
        </w:rPr>
        <w:t xml:space="preserve"> </w:t>
      </w:r>
      <w:r w:rsidR="00B448D4" w:rsidRPr="000972D1">
        <w:rPr>
          <w:rFonts w:asciiTheme="majorBidi" w:eastAsia="Times New Roman" w:hAnsiTheme="majorBidi" w:cstheme="majorBidi"/>
          <w:bCs/>
          <w:iCs/>
          <w:sz w:val="24"/>
          <w:szCs w:val="24"/>
        </w:rPr>
        <w:t xml:space="preserve">codes, the Egyptian, UAE, </w:t>
      </w:r>
      <w:r w:rsidR="00C43E60" w:rsidRPr="000972D1">
        <w:rPr>
          <w:rFonts w:asciiTheme="majorBidi" w:eastAsia="Times New Roman" w:hAnsiTheme="majorBidi" w:cstheme="majorBidi"/>
          <w:bCs/>
          <w:iCs/>
          <w:sz w:val="24"/>
          <w:szCs w:val="24"/>
        </w:rPr>
        <w:t>Jordan</w:t>
      </w:r>
      <w:r w:rsidR="00B84C4A" w:rsidRPr="000972D1">
        <w:rPr>
          <w:rFonts w:asciiTheme="majorBidi" w:eastAsia="Times New Roman" w:hAnsiTheme="majorBidi" w:cstheme="majorBidi"/>
          <w:bCs/>
          <w:iCs/>
          <w:sz w:val="24"/>
          <w:szCs w:val="24"/>
        </w:rPr>
        <w:t>ian</w:t>
      </w:r>
      <w:r w:rsidR="00B448D4" w:rsidRPr="000972D1">
        <w:rPr>
          <w:rFonts w:asciiTheme="majorBidi" w:eastAsia="Times New Roman" w:hAnsiTheme="majorBidi" w:cstheme="majorBidi"/>
          <w:bCs/>
          <w:iCs/>
          <w:sz w:val="24"/>
          <w:szCs w:val="24"/>
        </w:rPr>
        <w:t xml:space="preserve">, and Omani </w:t>
      </w:r>
      <w:r w:rsidR="00B94810">
        <w:rPr>
          <w:rFonts w:asciiTheme="majorBidi" w:eastAsia="Times New Roman" w:hAnsiTheme="majorBidi" w:cstheme="majorBidi"/>
          <w:bCs/>
          <w:iCs/>
          <w:sz w:val="24"/>
          <w:szCs w:val="24"/>
        </w:rPr>
        <w:t>governance</w:t>
      </w:r>
      <w:r w:rsidR="00B94810" w:rsidRPr="000972D1">
        <w:rPr>
          <w:rFonts w:asciiTheme="majorBidi" w:eastAsia="Times New Roman" w:hAnsiTheme="majorBidi" w:cstheme="majorBidi"/>
          <w:bCs/>
          <w:iCs/>
          <w:sz w:val="24"/>
          <w:szCs w:val="24"/>
        </w:rPr>
        <w:t xml:space="preserve"> </w:t>
      </w:r>
      <w:r w:rsidR="00B448D4" w:rsidRPr="000972D1">
        <w:rPr>
          <w:rFonts w:asciiTheme="majorBidi" w:eastAsia="Times New Roman" w:hAnsiTheme="majorBidi" w:cstheme="majorBidi"/>
          <w:bCs/>
          <w:iCs/>
          <w:sz w:val="24"/>
          <w:szCs w:val="24"/>
        </w:rPr>
        <w:t>code</w:t>
      </w:r>
      <w:r w:rsidR="00B84C4A" w:rsidRPr="000972D1">
        <w:rPr>
          <w:rFonts w:asciiTheme="majorBidi" w:eastAsia="Times New Roman" w:hAnsiTheme="majorBidi" w:cstheme="majorBidi"/>
          <w:bCs/>
          <w:iCs/>
          <w:sz w:val="24"/>
          <w:szCs w:val="24"/>
        </w:rPr>
        <w:t>s</w:t>
      </w:r>
      <w:r w:rsidR="00B448D4" w:rsidRPr="000972D1">
        <w:rPr>
          <w:rFonts w:asciiTheme="majorBidi" w:eastAsia="Times New Roman" w:hAnsiTheme="majorBidi" w:cstheme="majorBidi"/>
          <w:bCs/>
          <w:iCs/>
          <w:sz w:val="24"/>
          <w:szCs w:val="24"/>
        </w:rPr>
        <w:t xml:space="preserve"> recommend that </w:t>
      </w:r>
      <w:r w:rsidR="003A2CC0" w:rsidRPr="000972D1">
        <w:rPr>
          <w:rFonts w:asciiTheme="majorBidi" w:eastAsia="Times New Roman" w:hAnsiTheme="majorBidi" w:cstheme="majorBidi"/>
          <w:bCs/>
          <w:iCs/>
          <w:sz w:val="24"/>
          <w:szCs w:val="24"/>
        </w:rPr>
        <w:t xml:space="preserve">corporate </w:t>
      </w:r>
      <w:r w:rsidR="00B448D4" w:rsidRPr="000972D1">
        <w:rPr>
          <w:rFonts w:asciiTheme="majorBidi" w:eastAsia="Times New Roman" w:hAnsiTheme="majorBidi" w:cstheme="majorBidi"/>
          <w:bCs/>
          <w:iCs/>
          <w:sz w:val="24"/>
          <w:szCs w:val="24"/>
        </w:rPr>
        <w:t xml:space="preserve">boards </w:t>
      </w:r>
      <w:r w:rsidR="003A2CC0" w:rsidRPr="000972D1">
        <w:rPr>
          <w:rFonts w:asciiTheme="majorBidi" w:eastAsia="Times New Roman" w:hAnsiTheme="majorBidi" w:cstheme="majorBidi"/>
          <w:bCs/>
          <w:iCs/>
          <w:sz w:val="24"/>
          <w:szCs w:val="24"/>
        </w:rPr>
        <w:t>should be formed by a majority of</w:t>
      </w:r>
      <w:r w:rsidR="00B448D4" w:rsidRPr="000972D1">
        <w:rPr>
          <w:rFonts w:asciiTheme="majorBidi" w:eastAsia="Times New Roman" w:hAnsiTheme="majorBidi" w:cstheme="majorBidi"/>
          <w:bCs/>
          <w:iCs/>
          <w:sz w:val="24"/>
          <w:szCs w:val="24"/>
        </w:rPr>
        <w:t xml:space="preserve"> non-executive directors </w:t>
      </w:r>
      <w:r w:rsidR="003A2CC0" w:rsidRPr="000972D1">
        <w:rPr>
          <w:rFonts w:asciiTheme="majorBidi" w:eastAsia="Times New Roman" w:hAnsiTheme="majorBidi" w:cstheme="majorBidi"/>
          <w:bCs/>
          <w:iCs/>
          <w:sz w:val="24"/>
          <w:szCs w:val="24"/>
        </w:rPr>
        <w:t xml:space="preserve">in order </w:t>
      </w:r>
      <w:r w:rsidR="00B448D4" w:rsidRPr="000972D1">
        <w:rPr>
          <w:rFonts w:asciiTheme="majorBidi" w:eastAsia="Times New Roman" w:hAnsiTheme="majorBidi" w:cstheme="majorBidi"/>
          <w:bCs/>
          <w:iCs/>
          <w:sz w:val="24"/>
          <w:szCs w:val="24"/>
        </w:rPr>
        <w:t>to en</w:t>
      </w:r>
      <w:r w:rsidR="003A2CC0" w:rsidRPr="000972D1">
        <w:rPr>
          <w:rFonts w:asciiTheme="majorBidi" w:eastAsia="Times New Roman" w:hAnsiTheme="majorBidi" w:cstheme="majorBidi"/>
          <w:bCs/>
          <w:iCs/>
          <w:sz w:val="24"/>
          <w:szCs w:val="24"/>
        </w:rPr>
        <w:t>hance</w:t>
      </w:r>
      <w:r w:rsidR="00B448D4" w:rsidRPr="000972D1">
        <w:rPr>
          <w:rFonts w:asciiTheme="majorBidi" w:eastAsia="Times New Roman" w:hAnsiTheme="majorBidi" w:cstheme="majorBidi"/>
          <w:bCs/>
          <w:iCs/>
          <w:sz w:val="24"/>
          <w:szCs w:val="24"/>
        </w:rPr>
        <w:t xml:space="preserve"> board independence and </w:t>
      </w:r>
      <w:r w:rsidR="003A2CC0" w:rsidRPr="000972D1">
        <w:rPr>
          <w:rFonts w:asciiTheme="majorBidi" w:eastAsia="Times New Roman" w:hAnsiTheme="majorBidi" w:cstheme="majorBidi"/>
          <w:bCs/>
          <w:iCs/>
          <w:sz w:val="24"/>
          <w:szCs w:val="24"/>
        </w:rPr>
        <w:t>effective monitoring of executives</w:t>
      </w:r>
      <w:r w:rsidR="00B448D4" w:rsidRPr="000972D1">
        <w:rPr>
          <w:rFonts w:asciiTheme="majorBidi" w:eastAsia="Times New Roman" w:hAnsiTheme="majorBidi" w:cstheme="majorBidi"/>
          <w:bCs/>
          <w:iCs/>
          <w:sz w:val="24"/>
          <w:szCs w:val="24"/>
        </w:rPr>
        <w:t xml:space="preserve">. </w:t>
      </w:r>
      <w:r w:rsidR="007C4420" w:rsidRPr="000972D1">
        <w:rPr>
          <w:rFonts w:asciiTheme="majorBidi" w:eastAsia="Times New Roman" w:hAnsiTheme="majorBidi" w:cstheme="majorBidi"/>
          <w:bCs/>
          <w:iCs/>
          <w:sz w:val="24"/>
          <w:szCs w:val="24"/>
        </w:rPr>
        <w:t xml:space="preserve">Given the </w:t>
      </w:r>
      <w:r w:rsidR="009F6558" w:rsidRPr="000972D1">
        <w:rPr>
          <w:rFonts w:asciiTheme="majorBidi" w:eastAsia="Times New Roman" w:hAnsiTheme="majorBidi" w:cstheme="majorBidi"/>
          <w:bCs/>
          <w:iCs/>
          <w:sz w:val="24"/>
          <w:szCs w:val="24"/>
        </w:rPr>
        <w:t xml:space="preserve">above </w:t>
      </w:r>
      <w:r w:rsidR="007C4420" w:rsidRPr="000972D1">
        <w:rPr>
          <w:rFonts w:asciiTheme="majorBidi" w:eastAsia="Times New Roman" w:hAnsiTheme="majorBidi" w:cstheme="majorBidi"/>
          <w:bCs/>
          <w:iCs/>
          <w:sz w:val="24"/>
          <w:szCs w:val="24"/>
        </w:rPr>
        <w:t xml:space="preserve">theoretical and empirical literature, the </w:t>
      </w:r>
      <w:r w:rsidR="00D66C52" w:rsidRPr="000972D1">
        <w:rPr>
          <w:rFonts w:asciiTheme="majorBidi" w:eastAsia="Times New Roman" w:hAnsiTheme="majorBidi" w:cstheme="majorBidi"/>
          <w:bCs/>
          <w:iCs/>
          <w:sz w:val="24"/>
          <w:szCs w:val="24"/>
        </w:rPr>
        <w:t>second</w:t>
      </w:r>
      <w:r w:rsidR="007C4420" w:rsidRPr="000972D1">
        <w:rPr>
          <w:rFonts w:asciiTheme="majorBidi" w:eastAsia="Times New Roman" w:hAnsiTheme="majorBidi" w:cstheme="majorBidi"/>
          <w:bCs/>
          <w:iCs/>
          <w:sz w:val="24"/>
          <w:szCs w:val="24"/>
        </w:rPr>
        <w:t xml:space="preserve"> hypothes</w:t>
      </w:r>
      <w:r w:rsidR="003A2CC0" w:rsidRPr="000972D1">
        <w:rPr>
          <w:rFonts w:asciiTheme="majorBidi" w:eastAsia="Times New Roman" w:hAnsiTheme="majorBidi" w:cstheme="majorBidi"/>
          <w:bCs/>
          <w:iCs/>
          <w:sz w:val="24"/>
          <w:szCs w:val="24"/>
        </w:rPr>
        <w:t>i</w:t>
      </w:r>
      <w:r w:rsidR="007C4420" w:rsidRPr="000972D1">
        <w:rPr>
          <w:rFonts w:asciiTheme="majorBidi" w:eastAsia="Times New Roman" w:hAnsiTheme="majorBidi" w:cstheme="majorBidi"/>
          <w:bCs/>
          <w:iCs/>
          <w:sz w:val="24"/>
          <w:szCs w:val="24"/>
        </w:rPr>
        <w:t xml:space="preserve">s </w:t>
      </w:r>
      <w:r w:rsidR="003A2CC0" w:rsidRPr="000972D1">
        <w:rPr>
          <w:rFonts w:asciiTheme="majorBidi" w:eastAsia="Times New Roman" w:hAnsiTheme="majorBidi" w:cstheme="majorBidi"/>
          <w:bCs/>
          <w:iCs/>
          <w:sz w:val="24"/>
          <w:szCs w:val="24"/>
        </w:rPr>
        <w:t>is</w:t>
      </w:r>
      <w:r w:rsidR="007C4420" w:rsidRPr="000972D1">
        <w:rPr>
          <w:rFonts w:asciiTheme="majorBidi" w:eastAsia="Times New Roman" w:hAnsiTheme="majorBidi" w:cstheme="majorBidi"/>
          <w:bCs/>
          <w:iCs/>
          <w:sz w:val="24"/>
          <w:szCs w:val="24"/>
        </w:rPr>
        <w:t xml:space="preserve"> as follows: </w:t>
      </w:r>
    </w:p>
    <w:p w14:paraId="654C5ACB" w14:textId="0602712F" w:rsidR="007C4420" w:rsidRPr="00BB540C" w:rsidRDefault="000E1546" w:rsidP="000E1546">
      <w:pPr>
        <w:spacing w:after="0" w:line="360" w:lineRule="auto"/>
        <w:ind w:left="709" w:firstLine="11"/>
        <w:jc w:val="lowKashida"/>
        <w:rPr>
          <w:rFonts w:asciiTheme="majorBidi" w:eastAsia="Times New Roman" w:hAnsiTheme="majorBidi" w:cstheme="majorBidi"/>
          <w:bCs/>
          <w:i/>
          <w:iCs/>
          <w:sz w:val="24"/>
          <w:szCs w:val="24"/>
        </w:rPr>
      </w:pPr>
      <w:r w:rsidRPr="000972D1">
        <w:rPr>
          <w:rFonts w:asciiTheme="majorBidi" w:eastAsia="Times New Roman" w:hAnsiTheme="majorBidi" w:cstheme="majorBidi"/>
          <w:b/>
          <w:bCs/>
          <w:i/>
          <w:iCs/>
          <w:sz w:val="24"/>
          <w:szCs w:val="24"/>
        </w:rPr>
        <w:t>H2</w:t>
      </w:r>
      <w:r w:rsidR="007C4420" w:rsidRPr="000972D1">
        <w:rPr>
          <w:rFonts w:asciiTheme="majorBidi" w:eastAsia="Times New Roman" w:hAnsiTheme="majorBidi" w:cstheme="majorBidi"/>
          <w:bCs/>
          <w:i/>
          <w:iCs/>
          <w:sz w:val="24"/>
          <w:szCs w:val="24"/>
        </w:rPr>
        <w:t xml:space="preserve">: </w:t>
      </w:r>
      <w:r w:rsidR="00F7466B">
        <w:rPr>
          <w:rFonts w:asciiTheme="majorBidi" w:eastAsia="Times New Roman" w:hAnsiTheme="majorBidi" w:cstheme="majorBidi"/>
          <w:bCs/>
          <w:i/>
          <w:iCs/>
          <w:sz w:val="24"/>
          <w:szCs w:val="24"/>
        </w:rPr>
        <w:t>A</w:t>
      </w:r>
      <w:r w:rsidR="00C10CDB" w:rsidRPr="000972D1">
        <w:rPr>
          <w:rFonts w:asciiTheme="majorBidi" w:eastAsia="Times New Roman" w:hAnsiTheme="majorBidi" w:cstheme="majorBidi"/>
          <w:bCs/>
          <w:i/>
          <w:iCs/>
          <w:sz w:val="24"/>
          <w:szCs w:val="24"/>
        </w:rPr>
        <w:t xml:space="preserve">udit quality is </w:t>
      </w:r>
      <w:r w:rsidR="00CC5A86" w:rsidRPr="00CC5A86">
        <w:rPr>
          <w:rFonts w:asciiTheme="majorBidi" w:eastAsia="Times New Roman" w:hAnsiTheme="majorBidi" w:cstheme="majorBidi"/>
          <w:bCs/>
          <w:i/>
          <w:iCs/>
          <w:sz w:val="24"/>
          <w:szCs w:val="24"/>
        </w:rPr>
        <w:t xml:space="preserve">significantly </w:t>
      </w:r>
      <w:r w:rsidR="00BD05E7" w:rsidRPr="000972D1">
        <w:rPr>
          <w:rFonts w:asciiTheme="majorBidi" w:eastAsia="Times New Roman" w:hAnsiTheme="majorBidi" w:cstheme="majorBidi"/>
          <w:bCs/>
          <w:i/>
          <w:iCs/>
          <w:sz w:val="24"/>
          <w:szCs w:val="24"/>
        </w:rPr>
        <w:t>associated with</w:t>
      </w:r>
      <w:r w:rsidR="00BD05E7" w:rsidRPr="000972D1" w:rsidDel="00BD05E7">
        <w:rPr>
          <w:rFonts w:asciiTheme="majorBidi" w:eastAsia="Times New Roman" w:hAnsiTheme="majorBidi" w:cstheme="majorBidi"/>
          <w:bCs/>
          <w:i/>
          <w:iCs/>
          <w:sz w:val="24"/>
          <w:szCs w:val="24"/>
        </w:rPr>
        <w:t xml:space="preserve"> </w:t>
      </w:r>
      <w:r w:rsidR="00DD4C05" w:rsidRPr="00DD4C05">
        <w:rPr>
          <w:rFonts w:asciiTheme="majorBidi" w:eastAsia="Times New Roman" w:hAnsiTheme="majorBidi" w:cstheme="majorBidi"/>
          <w:bCs/>
          <w:i/>
          <w:iCs/>
          <w:sz w:val="24"/>
          <w:szCs w:val="24"/>
        </w:rPr>
        <w:t>board independence</w:t>
      </w:r>
      <w:r w:rsidR="003A2CC0" w:rsidRPr="000972D1">
        <w:rPr>
          <w:rFonts w:asciiTheme="majorBidi" w:eastAsia="Times New Roman" w:hAnsiTheme="majorBidi" w:cstheme="majorBidi"/>
          <w:bCs/>
          <w:i/>
          <w:iCs/>
          <w:sz w:val="24"/>
          <w:szCs w:val="24"/>
        </w:rPr>
        <w:t>.</w:t>
      </w:r>
    </w:p>
    <w:p w14:paraId="132F710F" w14:textId="77777777" w:rsidR="00B13073" w:rsidRDefault="00B13073" w:rsidP="00F83A9E">
      <w:pPr>
        <w:spacing w:after="0" w:line="360" w:lineRule="auto"/>
        <w:jc w:val="lowKashida"/>
        <w:rPr>
          <w:rFonts w:asciiTheme="majorBidi" w:eastAsia="Times New Roman" w:hAnsiTheme="majorBidi" w:cstheme="majorBidi"/>
          <w:i/>
          <w:sz w:val="24"/>
          <w:szCs w:val="24"/>
        </w:rPr>
      </w:pPr>
    </w:p>
    <w:p w14:paraId="4E19EF02" w14:textId="26BCDB36" w:rsidR="007C4420" w:rsidRPr="008E772B" w:rsidRDefault="00157823" w:rsidP="00F83A9E">
      <w:pPr>
        <w:spacing w:after="0" w:line="360" w:lineRule="auto"/>
        <w:jc w:val="lowKashida"/>
        <w:rPr>
          <w:rFonts w:asciiTheme="majorBidi" w:eastAsia="Times New Roman" w:hAnsiTheme="majorBidi" w:cstheme="majorBidi"/>
          <w:i/>
          <w:sz w:val="24"/>
          <w:szCs w:val="24"/>
        </w:rPr>
      </w:pPr>
      <w:r w:rsidRPr="00157823">
        <w:rPr>
          <w:rFonts w:asciiTheme="majorBidi" w:eastAsia="Times New Roman" w:hAnsiTheme="majorBidi" w:cstheme="majorBidi"/>
          <w:i/>
          <w:sz w:val="24"/>
          <w:szCs w:val="24"/>
        </w:rPr>
        <w:t>3.1.</w:t>
      </w:r>
      <w:r>
        <w:rPr>
          <w:rFonts w:asciiTheme="majorBidi" w:eastAsia="Times New Roman" w:hAnsiTheme="majorBidi" w:cstheme="majorBidi"/>
          <w:i/>
          <w:sz w:val="24"/>
          <w:szCs w:val="24"/>
        </w:rPr>
        <w:t>3</w:t>
      </w:r>
      <w:r w:rsidRPr="00157823">
        <w:rPr>
          <w:rFonts w:asciiTheme="majorBidi" w:eastAsia="Times New Roman" w:hAnsiTheme="majorBidi" w:cstheme="majorBidi"/>
          <w:i/>
          <w:sz w:val="24"/>
          <w:szCs w:val="24"/>
        </w:rPr>
        <w:t xml:space="preserve">. </w:t>
      </w:r>
      <w:r w:rsidR="00B94810" w:rsidRPr="008E772B">
        <w:rPr>
          <w:rFonts w:asciiTheme="majorBidi" w:eastAsia="Times New Roman" w:hAnsiTheme="majorBidi" w:cstheme="majorBidi"/>
          <w:i/>
          <w:sz w:val="24"/>
          <w:szCs w:val="24"/>
        </w:rPr>
        <w:t xml:space="preserve">Board </w:t>
      </w:r>
      <w:r w:rsidR="000269A9" w:rsidRPr="008E772B">
        <w:rPr>
          <w:rFonts w:asciiTheme="majorBidi" w:eastAsia="Times New Roman" w:hAnsiTheme="majorBidi" w:cstheme="majorBidi"/>
          <w:i/>
          <w:sz w:val="24"/>
          <w:szCs w:val="24"/>
        </w:rPr>
        <w:t>leadership structure</w:t>
      </w:r>
      <w:r w:rsidR="0037423D" w:rsidRPr="008E772B">
        <w:rPr>
          <w:rFonts w:asciiTheme="majorBidi" w:eastAsia="Times New Roman" w:hAnsiTheme="majorBidi" w:cstheme="majorBidi"/>
          <w:i/>
          <w:sz w:val="24"/>
          <w:szCs w:val="24"/>
        </w:rPr>
        <w:t xml:space="preserve"> and </w:t>
      </w:r>
      <w:r w:rsidR="00C257D6">
        <w:rPr>
          <w:rFonts w:asciiTheme="majorBidi" w:eastAsia="Times New Roman" w:hAnsiTheme="majorBidi" w:cstheme="majorBidi"/>
          <w:i/>
          <w:sz w:val="24"/>
          <w:szCs w:val="24"/>
        </w:rPr>
        <w:t xml:space="preserve">audit quality </w:t>
      </w:r>
    </w:p>
    <w:p w14:paraId="5CF213AA" w14:textId="0FCC0BEF" w:rsidR="007C4420" w:rsidRPr="008E772B" w:rsidRDefault="007C4420" w:rsidP="003A2CC0">
      <w:pPr>
        <w:spacing w:after="0" w:line="360" w:lineRule="auto"/>
        <w:ind w:firstLine="720"/>
        <w:jc w:val="lowKashida"/>
        <w:rPr>
          <w:rFonts w:asciiTheme="majorBidi" w:eastAsia="Times New Roman" w:hAnsiTheme="majorBidi" w:cstheme="majorBidi"/>
          <w:bCs/>
          <w:iCs/>
          <w:sz w:val="24"/>
          <w:szCs w:val="24"/>
        </w:rPr>
      </w:pPr>
      <w:r w:rsidRPr="008E772B">
        <w:rPr>
          <w:rFonts w:asciiTheme="majorBidi" w:eastAsia="Calibri" w:hAnsiTheme="majorBidi" w:cstheme="majorBidi"/>
          <w:sz w:val="24"/>
          <w:szCs w:val="24"/>
        </w:rPr>
        <w:t>The board of directors</w:t>
      </w:r>
      <w:r w:rsidRPr="008E772B">
        <w:rPr>
          <w:rFonts w:asciiTheme="majorBidi" w:eastAsia="Times New Roman" w:hAnsiTheme="majorBidi" w:cstheme="majorBidi"/>
          <w:bCs/>
          <w:iCs/>
          <w:sz w:val="24"/>
          <w:szCs w:val="24"/>
        </w:rPr>
        <w:t xml:space="preserve"> is an effective </w:t>
      </w:r>
      <w:r w:rsidR="00F10B14" w:rsidRPr="008E772B">
        <w:rPr>
          <w:rFonts w:asciiTheme="majorBidi" w:eastAsia="Times New Roman" w:hAnsiTheme="majorBidi" w:cstheme="majorBidi"/>
          <w:bCs/>
          <w:iCs/>
          <w:sz w:val="24"/>
          <w:szCs w:val="24"/>
        </w:rPr>
        <w:t>governance</w:t>
      </w:r>
      <w:r w:rsidRPr="008E772B">
        <w:rPr>
          <w:rFonts w:asciiTheme="majorBidi" w:eastAsia="Times New Roman" w:hAnsiTheme="majorBidi" w:cstheme="majorBidi"/>
          <w:bCs/>
          <w:iCs/>
          <w:sz w:val="24"/>
          <w:szCs w:val="24"/>
        </w:rPr>
        <w:t xml:space="preserve"> mechanism to ensure that management behave in the </w:t>
      </w:r>
      <w:r w:rsidR="00D36B1E" w:rsidRPr="008E772B">
        <w:rPr>
          <w:rFonts w:asciiTheme="majorBidi" w:eastAsia="Times New Roman" w:hAnsiTheme="majorBidi" w:cstheme="majorBidi"/>
          <w:bCs/>
          <w:iCs/>
          <w:sz w:val="24"/>
          <w:szCs w:val="24"/>
        </w:rPr>
        <w:t xml:space="preserve">best </w:t>
      </w:r>
      <w:r w:rsidRPr="008E772B">
        <w:rPr>
          <w:rFonts w:asciiTheme="majorBidi" w:eastAsia="Times New Roman" w:hAnsiTheme="majorBidi" w:cstheme="majorBidi"/>
          <w:bCs/>
          <w:iCs/>
          <w:sz w:val="24"/>
          <w:szCs w:val="24"/>
        </w:rPr>
        <w:t xml:space="preserve">interest of shareholders (La Porta </w:t>
      </w:r>
      <w:r w:rsidRPr="008E772B">
        <w:rPr>
          <w:rFonts w:asciiTheme="majorBidi" w:eastAsia="Times New Roman" w:hAnsiTheme="majorBidi" w:cstheme="majorBidi"/>
          <w:bCs/>
          <w:i/>
          <w:iCs/>
          <w:sz w:val="24"/>
          <w:szCs w:val="24"/>
        </w:rPr>
        <w:t>et al</w:t>
      </w:r>
      <w:r w:rsidRPr="008E772B">
        <w:rPr>
          <w:rFonts w:asciiTheme="majorBidi" w:eastAsia="Times New Roman" w:hAnsiTheme="majorBidi" w:cstheme="majorBidi"/>
          <w:bCs/>
          <w:iCs/>
          <w:sz w:val="24"/>
          <w:szCs w:val="24"/>
        </w:rPr>
        <w:t xml:space="preserve">., 1998; Fan </w:t>
      </w:r>
      <w:r w:rsidR="001C5247" w:rsidRPr="008E772B">
        <w:rPr>
          <w:rFonts w:asciiTheme="majorBidi" w:eastAsia="Times New Roman" w:hAnsiTheme="majorBidi" w:cstheme="majorBidi"/>
          <w:bCs/>
          <w:iCs/>
          <w:sz w:val="24"/>
          <w:szCs w:val="24"/>
        </w:rPr>
        <w:t>&amp;</w:t>
      </w:r>
      <w:r w:rsidRPr="008E772B">
        <w:rPr>
          <w:rFonts w:asciiTheme="majorBidi" w:eastAsia="Times New Roman" w:hAnsiTheme="majorBidi" w:cstheme="majorBidi"/>
          <w:bCs/>
          <w:iCs/>
          <w:sz w:val="24"/>
          <w:szCs w:val="24"/>
        </w:rPr>
        <w:t xml:space="preserve"> Wong, 2002). </w:t>
      </w:r>
      <w:r w:rsidR="006230DA" w:rsidRPr="008E772B">
        <w:rPr>
          <w:rFonts w:asciiTheme="majorBidi" w:eastAsia="Times New Roman" w:hAnsiTheme="majorBidi" w:cstheme="majorBidi"/>
          <w:bCs/>
          <w:iCs/>
          <w:sz w:val="24"/>
          <w:szCs w:val="24"/>
        </w:rPr>
        <w:t>Specifically, the board is</w:t>
      </w:r>
      <w:r w:rsidRPr="008E772B">
        <w:rPr>
          <w:rFonts w:asciiTheme="majorBidi" w:eastAsia="Times New Roman" w:hAnsiTheme="majorBidi" w:cstheme="majorBidi"/>
          <w:bCs/>
          <w:iCs/>
          <w:sz w:val="24"/>
          <w:szCs w:val="24"/>
        </w:rPr>
        <w:t xml:space="preserve"> responsible for executing the decisions taken during shareholders’ meetings, </w:t>
      </w:r>
      <w:r w:rsidR="007447EE" w:rsidRPr="008E772B">
        <w:rPr>
          <w:rFonts w:asciiTheme="majorBidi" w:eastAsia="Times New Roman" w:hAnsiTheme="majorBidi" w:cstheme="majorBidi"/>
          <w:bCs/>
          <w:iCs/>
          <w:sz w:val="24"/>
          <w:szCs w:val="24"/>
        </w:rPr>
        <w:t xml:space="preserve">including </w:t>
      </w:r>
      <w:r w:rsidRPr="008E772B">
        <w:rPr>
          <w:rFonts w:asciiTheme="majorBidi" w:eastAsia="Times New Roman" w:hAnsiTheme="majorBidi" w:cstheme="majorBidi"/>
          <w:bCs/>
          <w:iCs/>
          <w:sz w:val="24"/>
          <w:szCs w:val="24"/>
        </w:rPr>
        <w:t xml:space="preserve">hiring, firing, remunerating, counselling and monitoring senior managers. However, executive directors (including the CEO) may be biased in monitoring and evaluating management. Therefore, the separation of CEO and board chairperson positions is essential if the </w:t>
      </w:r>
      <w:r w:rsidRPr="008E772B">
        <w:rPr>
          <w:rFonts w:asciiTheme="majorBidi" w:eastAsia="Calibri" w:hAnsiTheme="majorBidi" w:cstheme="majorBidi"/>
          <w:sz w:val="24"/>
          <w:szCs w:val="24"/>
        </w:rPr>
        <w:t>board is</w:t>
      </w:r>
      <w:r w:rsidRPr="008E772B">
        <w:rPr>
          <w:rFonts w:asciiTheme="majorBidi" w:eastAsia="Times New Roman" w:hAnsiTheme="majorBidi" w:cstheme="majorBidi"/>
          <w:bCs/>
          <w:iCs/>
          <w:sz w:val="24"/>
          <w:szCs w:val="24"/>
        </w:rPr>
        <w:t xml:space="preserve"> to effectively meet its internal </w:t>
      </w:r>
      <w:r w:rsidR="000233F2" w:rsidRPr="008E772B">
        <w:rPr>
          <w:rFonts w:asciiTheme="majorBidi" w:eastAsia="Times New Roman" w:hAnsiTheme="majorBidi" w:cstheme="majorBidi"/>
          <w:bCs/>
          <w:iCs/>
          <w:sz w:val="24"/>
          <w:szCs w:val="24"/>
        </w:rPr>
        <w:t>governance</w:t>
      </w:r>
      <w:r w:rsidRPr="008E772B">
        <w:rPr>
          <w:rFonts w:asciiTheme="majorBidi" w:eastAsia="Times New Roman" w:hAnsiTheme="majorBidi" w:cstheme="majorBidi"/>
          <w:bCs/>
          <w:iCs/>
          <w:sz w:val="24"/>
          <w:szCs w:val="24"/>
        </w:rPr>
        <w:t xml:space="preserve"> monitoring role (La Porta </w:t>
      </w:r>
      <w:r w:rsidRPr="008E772B">
        <w:rPr>
          <w:rFonts w:asciiTheme="majorBidi" w:eastAsia="Times New Roman" w:hAnsiTheme="majorBidi" w:cstheme="majorBidi"/>
          <w:bCs/>
          <w:i/>
          <w:iCs/>
          <w:sz w:val="24"/>
          <w:szCs w:val="24"/>
        </w:rPr>
        <w:t>et al</w:t>
      </w:r>
      <w:r w:rsidRPr="008E772B">
        <w:rPr>
          <w:rFonts w:asciiTheme="majorBidi" w:eastAsia="Times New Roman" w:hAnsiTheme="majorBidi" w:cstheme="majorBidi"/>
          <w:bCs/>
          <w:iCs/>
          <w:sz w:val="24"/>
          <w:szCs w:val="24"/>
        </w:rPr>
        <w:t xml:space="preserve">., 1999; Gelb </w:t>
      </w:r>
      <w:r w:rsidR="001C5247" w:rsidRPr="008E772B">
        <w:rPr>
          <w:rFonts w:asciiTheme="majorBidi" w:eastAsia="Times New Roman" w:hAnsiTheme="majorBidi" w:cstheme="majorBidi"/>
          <w:bCs/>
          <w:iCs/>
          <w:sz w:val="24"/>
          <w:szCs w:val="24"/>
        </w:rPr>
        <w:t>&amp;</w:t>
      </w:r>
      <w:r w:rsidRPr="008E772B">
        <w:rPr>
          <w:rFonts w:asciiTheme="majorBidi" w:eastAsia="Times New Roman" w:hAnsiTheme="majorBidi" w:cstheme="majorBidi"/>
          <w:bCs/>
          <w:iCs/>
          <w:sz w:val="24"/>
          <w:szCs w:val="24"/>
        </w:rPr>
        <w:t xml:space="preserve"> Zarowin, 2002). The </w:t>
      </w:r>
      <w:r w:rsidR="00E63AD8" w:rsidRPr="008E772B">
        <w:rPr>
          <w:rFonts w:asciiTheme="majorBidi" w:eastAsia="Times New Roman" w:hAnsiTheme="majorBidi" w:cstheme="majorBidi"/>
          <w:bCs/>
          <w:iCs/>
          <w:sz w:val="24"/>
          <w:szCs w:val="24"/>
        </w:rPr>
        <w:t xml:space="preserve">dual positioning on both CEO and board chairperson positions at the top </w:t>
      </w:r>
      <w:r w:rsidR="00CF4F7B" w:rsidRPr="008E772B">
        <w:rPr>
          <w:rFonts w:asciiTheme="majorBidi" w:eastAsia="Times New Roman" w:hAnsiTheme="majorBidi" w:cstheme="majorBidi"/>
          <w:bCs/>
          <w:iCs/>
          <w:sz w:val="24"/>
          <w:szCs w:val="24"/>
        </w:rPr>
        <w:t xml:space="preserve">(i.e., unitary leadership structure) </w:t>
      </w:r>
      <w:r w:rsidR="00C81DCB">
        <w:rPr>
          <w:rFonts w:asciiTheme="majorBidi" w:eastAsia="Times New Roman" w:hAnsiTheme="majorBidi" w:cstheme="majorBidi"/>
          <w:bCs/>
          <w:iCs/>
          <w:sz w:val="24"/>
          <w:szCs w:val="24"/>
        </w:rPr>
        <w:t>can result in power concentration in a few senior executives</w:t>
      </w:r>
      <w:r w:rsidRPr="008E772B">
        <w:rPr>
          <w:rFonts w:asciiTheme="majorBidi" w:eastAsia="Times New Roman" w:hAnsiTheme="majorBidi" w:cstheme="majorBidi"/>
          <w:bCs/>
          <w:iCs/>
          <w:sz w:val="24"/>
          <w:szCs w:val="24"/>
        </w:rPr>
        <w:t xml:space="preserve">, </w:t>
      </w:r>
      <w:r w:rsidR="0065440E" w:rsidRPr="008E772B">
        <w:rPr>
          <w:rFonts w:asciiTheme="majorBidi" w:eastAsia="Times New Roman" w:hAnsiTheme="majorBidi" w:cstheme="majorBidi"/>
          <w:bCs/>
          <w:iCs/>
          <w:sz w:val="24"/>
          <w:szCs w:val="24"/>
        </w:rPr>
        <w:t xml:space="preserve">and thereby </w:t>
      </w:r>
      <w:r w:rsidRPr="008E772B">
        <w:rPr>
          <w:rFonts w:asciiTheme="majorBidi" w:eastAsia="Times New Roman" w:hAnsiTheme="majorBidi" w:cstheme="majorBidi"/>
          <w:bCs/>
          <w:iCs/>
          <w:sz w:val="24"/>
          <w:szCs w:val="24"/>
        </w:rPr>
        <w:t xml:space="preserve">compromising the independence of the </w:t>
      </w:r>
      <w:r w:rsidRPr="008E772B">
        <w:rPr>
          <w:rFonts w:asciiTheme="majorBidi" w:eastAsia="Calibri" w:hAnsiTheme="majorBidi" w:cstheme="majorBidi"/>
          <w:sz w:val="24"/>
          <w:szCs w:val="24"/>
        </w:rPr>
        <w:t>board of directors</w:t>
      </w:r>
      <w:r w:rsidRPr="008E772B">
        <w:rPr>
          <w:rFonts w:asciiTheme="majorBidi" w:eastAsia="Times New Roman" w:hAnsiTheme="majorBidi" w:cstheme="majorBidi"/>
          <w:bCs/>
          <w:iCs/>
          <w:sz w:val="24"/>
          <w:szCs w:val="24"/>
        </w:rPr>
        <w:t xml:space="preserve"> (Jensen, 1993</w:t>
      </w:r>
      <w:r w:rsidR="0096741E">
        <w:rPr>
          <w:rFonts w:asciiTheme="majorBidi" w:eastAsia="Times New Roman" w:hAnsiTheme="majorBidi" w:cstheme="majorBidi"/>
          <w:bCs/>
          <w:iCs/>
          <w:sz w:val="24"/>
          <w:szCs w:val="24"/>
        </w:rPr>
        <w:t xml:space="preserve">; </w:t>
      </w:r>
      <w:r w:rsidR="0096741E" w:rsidRPr="00AD4702">
        <w:rPr>
          <w:rFonts w:asciiTheme="majorBidi" w:eastAsia="Times New Roman" w:hAnsiTheme="majorBidi" w:cstheme="majorBidi"/>
          <w:bCs/>
          <w:iCs/>
          <w:sz w:val="24"/>
          <w:szCs w:val="24"/>
        </w:rPr>
        <w:t xml:space="preserve">Tsui </w:t>
      </w:r>
      <w:r w:rsidR="0096741E" w:rsidRPr="002513C0">
        <w:rPr>
          <w:rFonts w:asciiTheme="majorBidi" w:eastAsia="Times New Roman" w:hAnsiTheme="majorBidi" w:cstheme="majorBidi"/>
          <w:bCs/>
          <w:i/>
          <w:iCs/>
          <w:sz w:val="24"/>
          <w:szCs w:val="24"/>
        </w:rPr>
        <w:t>et al</w:t>
      </w:r>
      <w:r w:rsidR="0096741E" w:rsidRPr="00AD4702">
        <w:rPr>
          <w:rFonts w:asciiTheme="majorBidi" w:eastAsia="Times New Roman" w:hAnsiTheme="majorBidi" w:cstheme="majorBidi"/>
          <w:bCs/>
          <w:iCs/>
          <w:sz w:val="24"/>
          <w:szCs w:val="24"/>
        </w:rPr>
        <w:t>., 2001</w:t>
      </w:r>
      <w:r w:rsidRPr="008E772B">
        <w:rPr>
          <w:rFonts w:asciiTheme="majorBidi" w:eastAsia="Times New Roman" w:hAnsiTheme="majorBidi" w:cstheme="majorBidi"/>
          <w:bCs/>
          <w:iCs/>
          <w:sz w:val="24"/>
          <w:szCs w:val="24"/>
        </w:rPr>
        <w:t xml:space="preserve">). The literature documents </w:t>
      </w:r>
      <w:r w:rsidR="009B5977" w:rsidRPr="008E772B">
        <w:rPr>
          <w:rFonts w:asciiTheme="majorBidi" w:eastAsia="Times New Roman" w:hAnsiTheme="majorBidi" w:cstheme="majorBidi"/>
          <w:bCs/>
          <w:iCs/>
          <w:sz w:val="24"/>
          <w:szCs w:val="24"/>
        </w:rPr>
        <w:t xml:space="preserve">that </w:t>
      </w:r>
      <w:r w:rsidR="00B408F7">
        <w:rPr>
          <w:rFonts w:asciiTheme="majorBidi" w:eastAsia="Times New Roman" w:hAnsiTheme="majorBidi" w:cstheme="majorBidi"/>
          <w:bCs/>
          <w:iCs/>
          <w:sz w:val="24"/>
          <w:szCs w:val="24"/>
        </w:rPr>
        <w:t>CEO role duality</w:t>
      </w:r>
      <w:r w:rsidRPr="008E772B">
        <w:rPr>
          <w:rFonts w:asciiTheme="majorBidi" w:eastAsia="Times New Roman" w:hAnsiTheme="majorBidi" w:cstheme="majorBidi"/>
          <w:bCs/>
          <w:iCs/>
          <w:sz w:val="24"/>
          <w:szCs w:val="24"/>
        </w:rPr>
        <w:t xml:space="preserve"> is associated with weak </w:t>
      </w:r>
      <w:r w:rsidR="00F10B14" w:rsidRPr="008E772B">
        <w:rPr>
          <w:rFonts w:asciiTheme="majorBidi" w:eastAsia="Times New Roman" w:hAnsiTheme="majorBidi" w:cstheme="majorBidi"/>
          <w:bCs/>
          <w:iCs/>
          <w:sz w:val="24"/>
          <w:szCs w:val="24"/>
        </w:rPr>
        <w:t>governance</w:t>
      </w:r>
      <w:r w:rsidRPr="008E772B">
        <w:rPr>
          <w:rFonts w:asciiTheme="majorBidi" w:eastAsia="Times New Roman" w:hAnsiTheme="majorBidi" w:cstheme="majorBidi"/>
          <w:bCs/>
          <w:iCs/>
          <w:sz w:val="24"/>
          <w:szCs w:val="24"/>
        </w:rPr>
        <w:t xml:space="preserve"> and aggressive earning</w:t>
      </w:r>
      <w:r w:rsidR="00532D5B">
        <w:rPr>
          <w:rFonts w:asciiTheme="majorBidi" w:eastAsia="Times New Roman" w:hAnsiTheme="majorBidi" w:cstheme="majorBidi"/>
          <w:bCs/>
          <w:iCs/>
          <w:sz w:val="24"/>
          <w:szCs w:val="24"/>
        </w:rPr>
        <w:t>s</w:t>
      </w:r>
      <w:r w:rsidRPr="008E772B">
        <w:rPr>
          <w:rFonts w:asciiTheme="majorBidi" w:eastAsia="Times New Roman" w:hAnsiTheme="majorBidi" w:cstheme="majorBidi"/>
          <w:bCs/>
          <w:iCs/>
          <w:sz w:val="24"/>
          <w:szCs w:val="24"/>
        </w:rPr>
        <w:t xml:space="preserve"> management (Hudaib </w:t>
      </w:r>
      <w:r w:rsidR="001C5247" w:rsidRPr="008E772B">
        <w:rPr>
          <w:rFonts w:asciiTheme="majorBidi" w:eastAsia="Times New Roman" w:hAnsiTheme="majorBidi" w:cstheme="majorBidi"/>
          <w:bCs/>
          <w:iCs/>
          <w:sz w:val="24"/>
          <w:szCs w:val="24"/>
        </w:rPr>
        <w:t>&amp;</w:t>
      </w:r>
      <w:r w:rsidRPr="008E772B">
        <w:rPr>
          <w:rFonts w:asciiTheme="majorBidi" w:eastAsia="Times New Roman" w:hAnsiTheme="majorBidi" w:cstheme="majorBidi"/>
          <w:bCs/>
          <w:iCs/>
          <w:sz w:val="24"/>
          <w:szCs w:val="24"/>
        </w:rPr>
        <w:t xml:space="preserve"> Cooke, 2005). Although</w:t>
      </w:r>
      <w:r w:rsidR="00F169FE">
        <w:rPr>
          <w:rFonts w:asciiTheme="majorBidi" w:eastAsia="Times New Roman" w:hAnsiTheme="majorBidi" w:cstheme="majorBidi"/>
          <w:bCs/>
          <w:iCs/>
          <w:sz w:val="24"/>
          <w:szCs w:val="24"/>
        </w:rPr>
        <w:t>,</w:t>
      </w:r>
      <w:r w:rsidRPr="008E772B">
        <w:rPr>
          <w:rFonts w:asciiTheme="majorBidi" w:eastAsia="Times New Roman" w:hAnsiTheme="majorBidi" w:cstheme="majorBidi"/>
          <w:bCs/>
          <w:iCs/>
          <w:sz w:val="24"/>
          <w:szCs w:val="24"/>
        </w:rPr>
        <w:t xml:space="preserve"> combining the two roles may provide the CEO with more perspectives on the company and encourage him/her to act with determination (Lin </w:t>
      </w:r>
      <w:r w:rsidR="001C5247" w:rsidRPr="008E772B">
        <w:rPr>
          <w:rFonts w:asciiTheme="majorBidi" w:eastAsia="Times New Roman" w:hAnsiTheme="majorBidi" w:cstheme="majorBidi"/>
          <w:bCs/>
          <w:iCs/>
          <w:sz w:val="24"/>
          <w:szCs w:val="24"/>
        </w:rPr>
        <w:t>&amp;</w:t>
      </w:r>
      <w:r w:rsidRPr="008E772B">
        <w:rPr>
          <w:rFonts w:asciiTheme="majorBidi" w:eastAsia="Times New Roman" w:hAnsiTheme="majorBidi" w:cstheme="majorBidi"/>
          <w:bCs/>
          <w:iCs/>
          <w:sz w:val="24"/>
          <w:szCs w:val="24"/>
        </w:rPr>
        <w:t xml:space="preserve"> Liu, 2009, 2010), it may </w:t>
      </w:r>
      <w:r w:rsidR="004A1589" w:rsidRPr="008E772B">
        <w:rPr>
          <w:rFonts w:asciiTheme="majorBidi" w:eastAsia="Times New Roman" w:hAnsiTheme="majorBidi" w:cstheme="majorBidi"/>
          <w:bCs/>
          <w:iCs/>
          <w:sz w:val="24"/>
          <w:szCs w:val="24"/>
        </w:rPr>
        <w:t>impair corporate</w:t>
      </w:r>
      <w:r w:rsidRPr="008E772B">
        <w:rPr>
          <w:rFonts w:asciiTheme="majorBidi" w:eastAsia="Times New Roman" w:hAnsiTheme="majorBidi" w:cstheme="majorBidi"/>
          <w:bCs/>
          <w:iCs/>
          <w:sz w:val="24"/>
          <w:szCs w:val="24"/>
        </w:rPr>
        <w:t xml:space="preserve"> </w:t>
      </w:r>
      <w:r w:rsidR="004A1589" w:rsidRPr="008E772B">
        <w:rPr>
          <w:rFonts w:asciiTheme="majorBidi" w:eastAsia="Times New Roman" w:hAnsiTheme="majorBidi" w:cstheme="majorBidi"/>
          <w:bCs/>
          <w:iCs/>
          <w:sz w:val="24"/>
          <w:szCs w:val="24"/>
        </w:rPr>
        <w:t xml:space="preserve">accountability and </w:t>
      </w:r>
      <w:r w:rsidRPr="008E772B">
        <w:rPr>
          <w:rFonts w:asciiTheme="majorBidi" w:eastAsia="Times New Roman" w:hAnsiTheme="majorBidi" w:cstheme="majorBidi"/>
          <w:bCs/>
          <w:iCs/>
          <w:sz w:val="24"/>
          <w:szCs w:val="24"/>
        </w:rPr>
        <w:t xml:space="preserve">transparency </w:t>
      </w:r>
      <w:r w:rsidR="004A1589" w:rsidRPr="008E772B">
        <w:rPr>
          <w:rFonts w:asciiTheme="majorBidi" w:eastAsia="Times New Roman" w:hAnsiTheme="majorBidi" w:cstheme="majorBidi"/>
          <w:bCs/>
          <w:iCs/>
          <w:sz w:val="24"/>
          <w:szCs w:val="24"/>
        </w:rPr>
        <w:t xml:space="preserve">due to the limited ability of the board </w:t>
      </w:r>
      <w:r w:rsidR="004A1589" w:rsidRPr="008E772B">
        <w:rPr>
          <w:rFonts w:asciiTheme="majorBidi" w:eastAsia="Times New Roman" w:hAnsiTheme="majorBidi" w:cstheme="majorBidi"/>
          <w:bCs/>
          <w:iCs/>
          <w:sz w:val="24"/>
          <w:szCs w:val="24"/>
        </w:rPr>
        <w:lastRenderedPageBreak/>
        <w:t>to</w:t>
      </w:r>
      <w:r w:rsidRPr="008E772B">
        <w:rPr>
          <w:rFonts w:asciiTheme="majorBidi" w:eastAsia="Times New Roman" w:hAnsiTheme="majorBidi" w:cstheme="majorBidi"/>
          <w:bCs/>
          <w:iCs/>
          <w:sz w:val="24"/>
          <w:szCs w:val="24"/>
        </w:rPr>
        <w:t xml:space="preserve"> </w:t>
      </w:r>
      <w:r w:rsidR="004A1589" w:rsidRPr="008E772B">
        <w:rPr>
          <w:rFonts w:asciiTheme="majorBidi" w:eastAsia="Times New Roman" w:hAnsiTheme="majorBidi" w:cstheme="majorBidi"/>
          <w:bCs/>
          <w:iCs/>
          <w:sz w:val="24"/>
          <w:szCs w:val="24"/>
        </w:rPr>
        <w:t xml:space="preserve">effectively </w:t>
      </w:r>
      <w:r w:rsidR="00CF4F7B" w:rsidRPr="008E772B">
        <w:rPr>
          <w:rFonts w:asciiTheme="majorBidi" w:eastAsia="Times New Roman" w:hAnsiTheme="majorBidi" w:cstheme="majorBidi"/>
          <w:bCs/>
          <w:iCs/>
          <w:sz w:val="24"/>
          <w:szCs w:val="24"/>
        </w:rPr>
        <w:t>monitor the</w:t>
      </w:r>
      <w:r w:rsidR="004A1589" w:rsidRPr="008E772B">
        <w:rPr>
          <w:rFonts w:asciiTheme="majorBidi" w:eastAsia="Times New Roman" w:hAnsiTheme="majorBidi" w:cstheme="majorBidi"/>
          <w:bCs/>
          <w:iCs/>
          <w:sz w:val="24"/>
          <w:szCs w:val="24"/>
        </w:rPr>
        <w:t xml:space="preserve"> </w:t>
      </w:r>
      <w:r w:rsidRPr="008E772B">
        <w:rPr>
          <w:rFonts w:asciiTheme="majorBidi" w:eastAsia="Times New Roman" w:hAnsiTheme="majorBidi" w:cstheme="majorBidi"/>
          <w:bCs/>
          <w:iCs/>
          <w:sz w:val="24"/>
          <w:szCs w:val="24"/>
        </w:rPr>
        <w:t>CEO</w:t>
      </w:r>
      <w:r w:rsidR="00907637">
        <w:rPr>
          <w:rFonts w:asciiTheme="majorBidi" w:eastAsia="Times New Roman" w:hAnsiTheme="majorBidi" w:cstheme="majorBidi"/>
          <w:bCs/>
          <w:iCs/>
          <w:sz w:val="24"/>
          <w:szCs w:val="24"/>
        </w:rPr>
        <w:t>’</w:t>
      </w:r>
      <w:r w:rsidRPr="008E772B">
        <w:rPr>
          <w:rFonts w:asciiTheme="majorBidi" w:eastAsia="Times New Roman" w:hAnsiTheme="majorBidi" w:cstheme="majorBidi"/>
          <w:bCs/>
          <w:iCs/>
          <w:sz w:val="24"/>
          <w:szCs w:val="24"/>
        </w:rPr>
        <w:t>s actions (</w:t>
      </w:r>
      <w:r w:rsidR="00F10B14" w:rsidRPr="008E772B">
        <w:rPr>
          <w:rFonts w:asciiTheme="majorBidi" w:eastAsia="Times New Roman" w:hAnsiTheme="majorBidi" w:cstheme="majorBidi"/>
          <w:bCs/>
          <w:iCs/>
          <w:sz w:val="24"/>
          <w:szCs w:val="24"/>
        </w:rPr>
        <w:t>Sharma</w:t>
      </w:r>
      <w:r w:rsidRPr="008E772B">
        <w:rPr>
          <w:rFonts w:asciiTheme="majorBidi" w:eastAsia="Times New Roman" w:hAnsiTheme="majorBidi" w:cstheme="majorBidi"/>
          <w:bCs/>
          <w:iCs/>
          <w:sz w:val="24"/>
          <w:szCs w:val="24"/>
        </w:rPr>
        <w:t xml:space="preserve">, 2004). Therefore, </w:t>
      </w:r>
      <w:r w:rsidR="00454A04" w:rsidRPr="008E772B">
        <w:rPr>
          <w:rFonts w:asciiTheme="majorBidi" w:eastAsia="Times New Roman" w:hAnsiTheme="majorBidi" w:cstheme="majorBidi"/>
          <w:bCs/>
          <w:iCs/>
          <w:sz w:val="24"/>
          <w:szCs w:val="24"/>
        </w:rPr>
        <w:t>c</w:t>
      </w:r>
      <w:r w:rsidRPr="008E772B">
        <w:rPr>
          <w:rFonts w:asciiTheme="majorBidi" w:eastAsia="Times New Roman" w:hAnsiTheme="majorBidi" w:cstheme="majorBidi"/>
          <w:bCs/>
          <w:iCs/>
          <w:sz w:val="24"/>
          <w:szCs w:val="24"/>
        </w:rPr>
        <w:t xml:space="preserve">ompanies dominated by a single CEO/chairperson </w:t>
      </w:r>
      <w:r w:rsidR="004A1589" w:rsidRPr="008E772B">
        <w:rPr>
          <w:rFonts w:asciiTheme="majorBidi" w:eastAsia="Times New Roman" w:hAnsiTheme="majorBidi" w:cstheme="majorBidi"/>
          <w:bCs/>
          <w:iCs/>
          <w:sz w:val="24"/>
          <w:szCs w:val="24"/>
        </w:rPr>
        <w:t>(</w:t>
      </w:r>
      <w:r w:rsidR="00CF4F7B" w:rsidRPr="008E772B">
        <w:rPr>
          <w:rFonts w:asciiTheme="majorBidi" w:eastAsia="Times New Roman" w:hAnsiTheme="majorBidi" w:cstheme="majorBidi"/>
          <w:bCs/>
          <w:iCs/>
          <w:sz w:val="24"/>
          <w:szCs w:val="24"/>
        </w:rPr>
        <w:t xml:space="preserve">i.e., </w:t>
      </w:r>
      <w:r w:rsidR="004A1589" w:rsidRPr="008E772B">
        <w:rPr>
          <w:rFonts w:asciiTheme="majorBidi" w:eastAsia="Times New Roman" w:hAnsiTheme="majorBidi" w:cstheme="majorBidi"/>
          <w:bCs/>
          <w:iCs/>
          <w:sz w:val="24"/>
          <w:szCs w:val="24"/>
        </w:rPr>
        <w:t xml:space="preserve">unitary leadership) </w:t>
      </w:r>
      <w:r w:rsidR="00907637">
        <w:rPr>
          <w:rFonts w:asciiTheme="majorBidi" w:eastAsia="Times New Roman" w:hAnsiTheme="majorBidi" w:cstheme="majorBidi"/>
          <w:bCs/>
          <w:iCs/>
          <w:sz w:val="24"/>
          <w:szCs w:val="24"/>
        </w:rPr>
        <w:t>may be</w:t>
      </w:r>
      <w:r w:rsidRPr="008E772B">
        <w:rPr>
          <w:rFonts w:asciiTheme="majorBidi" w:eastAsia="Times New Roman" w:hAnsiTheme="majorBidi" w:cstheme="majorBidi"/>
          <w:bCs/>
          <w:iCs/>
          <w:sz w:val="24"/>
          <w:szCs w:val="24"/>
        </w:rPr>
        <w:t xml:space="preserve"> less motivat</w:t>
      </w:r>
      <w:r w:rsidR="00907637">
        <w:rPr>
          <w:rFonts w:asciiTheme="majorBidi" w:eastAsia="Times New Roman" w:hAnsiTheme="majorBidi" w:cstheme="majorBidi"/>
          <w:bCs/>
          <w:iCs/>
          <w:sz w:val="24"/>
          <w:szCs w:val="24"/>
        </w:rPr>
        <w:t>ed</w:t>
      </w:r>
      <w:r w:rsidRPr="008E772B">
        <w:rPr>
          <w:rFonts w:asciiTheme="majorBidi" w:eastAsia="Times New Roman" w:hAnsiTheme="majorBidi" w:cstheme="majorBidi"/>
          <w:bCs/>
          <w:iCs/>
          <w:sz w:val="24"/>
          <w:szCs w:val="24"/>
        </w:rPr>
        <w:t xml:space="preserve"> to seek an intensive audit, and consequently </w:t>
      </w:r>
      <w:r w:rsidR="004A1589" w:rsidRPr="008E772B">
        <w:rPr>
          <w:rFonts w:asciiTheme="majorBidi" w:eastAsia="Times New Roman" w:hAnsiTheme="majorBidi" w:cstheme="majorBidi"/>
          <w:bCs/>
          <w:iCs/>
          <w:sz w:val="24"/>
          <w:szCs w:val="24"/>
        </w:rPr>
        <w:t xml:space="preserve">may </w:t>
      </w:r>
      <w:r w:rsidRPr="008E772B">
        <w:rPr>
          <w:rFonts w:asciiTheme="majorBidi" w:eastAsia="Times New Roman" w:hAnsiTheme="majorBidi" w:cstheme="majorBidi"/>
          <w:bCs/>
          <w:iCs/>
          <w:sz w:val="24"/>
          <w:szCs w:val="24"/>
        </w:rPr>
        <w:t xml:space="preserve">hire </w:t>
      </w:r>
      <w:r w:rsidR="004A1589" w:rsidRPr="008E772B">
        <w:rPr>
          <w:rFonts w:asciiTheme="majorBidi" w:eastAsia="Times New Roman" w:hAnsiTheme="majorBidi" w:cstheme="majorBidi"/>
          <w:bCs/>
          <w:iCs/>
          <w:sz w:val="24"/>
          <w:szCs w:val="24"/>
        </w:rPr>
        <w:t>non-Big 4</w:t>
      </w:r>
      <w:r w:rsidR="002D2FA8" w:rsidRPr="008E772B">
        <w:rPr>
          <w:rFonts w:asciiTheme="majorBidi" w:eastAsia="Times New Roman" w:hAnsiTheme="majorBidi" w:cstheme="majorBidi"/>
          <w:bCs/>
          <w:iCs/>
          <w:sz w:val="24"/>
          <w:szCs w:val="24"/>
        </w:rPr>
        <w:t xml:space="preserve"> </w:t>
      </w:r>
      <w:r w:rsidRPr="008E772B">
        <w:rPr>
          <w:rFonts w:asciiTheme="majorBidi" w:eastAsia="Times New Roman" w:hAnsiTheme="majorBidi" w:cstheme="majorBidi"/>
          <w:bCs/>
          <w:iCs/>
          <w:sz w:val="24"/>
          <w:szCs w:val="24"/>
        </w:rPr>
        <w:t xml:space="preserve">audit firm and/or pay a lower </w:t>
      </w:r>
      <w:r w:rsidR="006D58A4" w:rsidRPr="008E772B">
        <w:rPr>
          <w:rFonts w:asciiTheme="majorBidi" w:eastAsia="Times New Roman" w:hAnsiTheme="majorBidi" w:cstheme="majorBidi"/>
          <w:bCs/>
          <w:iCs/>
          <w:sz w:val="24"/>
          <w:szCs w:val="24"/>
        </w:rPr>
        <w:t xml:space="preserve">audit </w:t>
      </w:r>
      <w:r w:rsidRPr="008E772B">
        <w:rPr>
          <w:rFonts w:asciiTheme="majorBidi" w:eastAsia="Times New Roman" w:hAnsiTheme="majorBidi" w:cstheme="majorBidi"/>
          <w:bCs/>
          <w:iCs/>
          <w:sz w:val="24"/>
          <w:szCs w:val="24"/>
        </w:rPr>
        <w:t>fees (O’Sullivan, 2000).</w:t>
      </w:r>
      <w:r w:rsidR="00B55457">
        <w:rPr>
          <w:rFonts w:asciiTheme="majorBidi" w:eastAsia="Times New Roman" w:hAnsiTheme="majorBidi" w:cstheme="majorBidi"/>
          <w:bCs/>
          <w:iCs/>
          <w:sz w:val="24"/>
          <w:szCs w:val="24"/>
        </w:rPr>
        <w:t xml:space="preserve"> In contrast,</w:t>
      </w:r>
      <w:r w:rsidR="003A2CC0">
        <w:rPr>
          <w:rFonts w:asciiTheme="majorBidi" w:eastAsia="Times New Roman" w:hAnsiTheme="majorBidi" w:cstheme="majorBidi"/>
          <w:bCs/>
          <w:iCs/>
          <w:sz w:val="24"/>
          <w:szCs w:val="24"/>
        </w:rPr>
        <w:t xml:space="preserve"> </w:t>
      </w:r>
      <w:r w:rsidR="00B55457" w:rsidRPr="00B55457">
        <w:rPr>
          <w:rFonts w:asciiTheme="majorBidi" w:eastAsia="Times New Roman" w:hAnsiTheme="majorBidi" w:cstheme="majorBidi"/>
          <w:bCs/>
          <w:iCs/>
          <w:sz w:val="24"/>
          <w:szCs w:val="24"/>
        </w:rPr>
        <w:t xml:space="preserve">unitary </w:t>
      </w:r>
      <w:r w:rsidR="00B55457">
        <w:rPr>
          <w:rFonts w:asciiTheme="majorBidi" w:eastAsia="Times New Roman" w:hAnsiTheme="majorBidi" w:cstheme="majorBidi"/>
          <w:bCs/>
          <w:iCs/>
          <w:sz w:val="24"/>
          <w:szCs w:val="24"/>
        </w:rPr>
        <w:t xml:space="preserve">board </w:t>
      </w:r>
      <w:r w:rsidR="00B55457" w:rsidRPr="00B55457">
        <w:rPr>
          <w:rFonts w:asciiTheme="majorBidi" w:eastAsia="Times New Roman" w:hAnsiTheme="majorBidi" w:cstheme="majorBidi"/>
          <w:bCs/>
          <w:iCs/>
          <w:sz w:val="24"/>
          <w:szCs w:val="24"/>
        </w:rPr>
        <w:t xml:space="preserve">leadership </w:t>
      </w:r>
      <w:r w:rsidR="003A2CC0">
        <w:rPr>
          <w:rFonts w:asciiTheme="majorBidi" w:eastAsia="Times New Roman" w:hAnsiTheme="majorBidi" w:cstheme="majorBidi"/>
          <w:bCs/>
          <w:iCs/>
          <w:sz w:val="24"/>
          <w:szCs w:val="24"/>
        </w:rPr>
        <w:t>impairs ability to</w:t>
      </w:r>
      <w:r w:rsidR="00B55457">
        <w:rPr>
          <w:rFonts w:asciiTheme="majorBidi" w:eastAsia="Times New Roman" w:hAnsiTheme="majorBidi" w:cstheme="majorBidi"/>
          <w:bCs/>
          <w:iCs/>
          <w:sz w:val="24"/>
          <w:szCs w:val="24"/>
        </w:rPr>
        <w:t xml:space="preserve"> </w:t>
      </w:r>
      <w:r w:rsidR="00B55457" w:rsidRPr="00B55457">
        <w:rPr>
          <w:rFonts w:asciiTheme="majorBidi" w:eastAsia="Times New Roman" w:hAnsiTheme="majorBidi" w:cstheme="majorBidi"/>
          <w:bCs/>
          <w:iCs/>
          <w:sz w:val="24"/>
          <w:szCs w:val="24"/>
        </w:rPr>
        <w:t>mo</w:t>
      </w:r>
      <w:r w:rsidR="00AD4702">
        <w:rPr>
          <w:rFonts w:asciiTheme="majorBidi" w:eastAsia="Times New Roman" w:hAnsiTheme="majorBidi" w:cstheme="majorBidi"/>
          <w:bCs/>
          <w:iCs/>
          <w:sz w:val="24"/>
          <w:szCs w:val="24"/>
        </w:rPr>
        <w:t>nitor managerial opportunism</w:t>
      </w:r>
      <w:r w:rsidR="003A2CC0">
        <w:rPr>
          <w:rFonts w:asciiTheme="majorBidi" w:eastAsia="Times New Roman" w:hAnsiTheme="majorBidi" w:cstheme="majorBidi"/>
          <w:bCs/>
          <w:iCs/>
          <w:sz w:val="24"/>
          <w:szCs w:val="24"/>
        </w:rPr>
        <w:t xml:space="preserve">. </w:t>
      </w:r>
      <w:r w:rsidR="00AD4702">
        <w:rPr>
          <w:rFonts w:asciiTheme="majorBidi" w:eastAsia="Times New Roman" w:hAnsiTheme="majorBidi" w:cstheme="majorBidi"/>
          <w:bCs/>
          <w:iCs/>
          <w:sz w:val="24"/>
          <w:szCs w:val="24"/>
        </w:rPr>
        <w:t xml:space="preserve">This </w:t>
      </w:r>
      <w:r w:rsidR="003A2CC0">
        <w:rPr>
          <w:rFonts w:asciiTheme="majorBidi" w:eastAsia="Times New Roman" w:hAnsiTheme="majorBidi" w:cstheme="majorBidi"/>
          <w:bCs/>
          <w:iCs/>
          <w:sz w:val="24"/>
          <w:szCs w:val="24"/>
        </w:rPr>
        <w:t>can lead to</w:t>
      </w:r>
      <w:r w:rsidR="00AD4702">
        <w:rPr>
          <w:rFonts w:asciiTheme="majorBidi" w:eastAsia="Times New Roman" w:hAnsiTheme="majorBidi" w:cstheme="majorBidi"/>
          <w:bCs/>
          <w:iCs/>
          <w:sz w:val="24"/>
          <w:szCs w:val="24"/>
        </w:rPr>
        <w:t xml:space="preserve"> </w:t>
      </w:r>
      <w:r w:rsidR="003A2CC0">
        <w:rPr>
          <w:rFonts w:asciiTheme="majorBidi" w:eastAsia="Times New Roman" w:hAnsiTheme="majorBidi" w:cstheme="majorBidi"/>
          <w:bCs/>
          <w:iCs/>
          <w:sz w:val="24"/>
          <w:szCs w:val="24"/>
        </w:rPr>
        <w:t xml:space="preserve">the need to </w:t>
      </w:r>
      <w:r w:rsidR="007C47CD">
        <w:rPr>
          <w:rFonts w:asciiTheme="majorBidi" w:eastAsia="Times New Roman" w:hAnsiTheme="majorBidi" w:cstheme="majorBidi"/>
          <w:bCs/>
          <w:iCs/>
          <w:sz w:val="24"/>
          <w:szCs w:val="24"/>
        </w:rPr>
        <w:t>engag</w:t>
      </w:r>
      <w:r w:rsidR="003A2CC0">
        <w:rPr>
          <w:rFonts w:asciiTheme="majorBidi" w:eastAsia="Times New Roman" w:hAnsiTheme="majorBidi" w:cstheme="majorBidi"/>
          <w:bCs/>
          <w:iCs/>
          <w:sz w:val="24"/>
          <w:szCs w:val="24"/>
        </w:rPr>
        <w:t>e</w:t>
      </w:r>
      <w:r w:rsidR="007C47CD">
        <w:rPr>
          <w:rFonts w:asciiTheme="majorBidi" w:eastAsia="Times New Roman" w:hAnsiTheme="majorBidi" w:cstheme="majorBidi"/>
          <w:bCs/>
          <w:iCs/>
          <w:sz w:val="24"/>
          <w:szCs w:val="24"/>
        </w:rPr>
        <w:t xml:space="preserve"> high-quality auditor and </w:t>
      </w:r>
      <w:r w:rsidR="003A2CC0">
        <w:rPr>
          <w:rFonts w:asciiTheme="majorBidi" w:eastAsia="Times New Roman" w:hAnsiTheme="majorBidi" w:cstheme="majorBidi"/>
          <w:bCs/>
          <w:iCs/>
          <w:sz w:val="24"/>
          <w:szCs w:val="24"/>
        </w:rPr>
        <w:t xml:space="preserve">therefore, the </w:t>
      </w:r>
      <w:r w:rsidR="007C47CD">
        <w:rPr>
          <w:rFonts w:asciiTheme="majorBidi" w:eastAsia="Times New Roman" w:hAnsiTheme="majorBidi" w:cstheme="majorBidi"/>
          <w:bCs/>
          <w:iCs/>
          <w:sz w:val="24"/>
          <w:szCs w:val="24"/>
        </w:rPr>
        <w:t xml:space="preserve">payment of </w:t>
      </w:r>
      <w:r w:rsidR="00AD4702">
        <w:rPr>
          <w:rFonts w:asciiTheme="majorBidi" w:eastAsia="Times New Roman" w:hAnsiTheme="majorBidi" w:cstheme="majorBidi"/>
          <w:bCs/>
          <w:iCs/>
          <w:sz w:val="24"/>
          <w:szCs w:val="24"/>
        </w:rPr>
        <w:t>high</w:t>
      </w:r>
      <w:r w:rsidR="00AD4702" w:rsidRPr="00AD4702">
        <w:rPr>
          <w:rFonts w:asciiTheme="majorBidi" w:eastAsia="Times New Roman" w:hAnsiTheme="majorBidi" w:cstheme="majorBidi"/>
          <w:bCs/>
          <w:iCs/>
          <w:sz w:val="24"/>
          <w:szCs w:val="24"/>
        </w:rPr>
        <w:t xml:space="preserve"> audit </w:t>
      </w:r>
      <w:r w:rsidR="00B55457" w:rsidRPr="00B55457">
        <w:rPr>
          <w:rFonts w:asciiTheme="majorBidi" w:eastAsia="Times New Roman" w:hAnsiTheme="majorBidi" w:cstheme="majorBidi"/>
          <w:bCs/>
          <w:iCs/>
          <w:sz w:val="24"/>
          <w:szCs w:val="24"/>
        </w:rPr>
        <w:t>fees</w:t>
      </w:r>
      <w:r w:rsidR="00AD4702">
        <w:rPr>
          <w:rFonts w:asciiTheme="majorBidi" w:eastAsia="Times New Roman" w:hAnsiTheme="majorBidi" w:cstheme="majorBidi"/>
          <w:bCs/>
          <w:iCs/>
          <w:sz w:val="24"/>
          <w:szCs w:val="24"/>
        </w:rPr>
        <w:t xml:space="preserve"> </w:t>
      </w:r>
      <w:r w:rsidR="00B55457" w:rsidRPr="00B55457">
        <w:rPr>
          <w:rFonts w:asciiTheme="majorBidi" w:eastAsia="Times New Roman" w:hAnsiTheme="majorBidi" w:cstheme="majorBidi"/>
          <w:bCs/>
          <w:iCs/>
          <w:sz w:val="24"/>
          <w:szCs w:val="24"/>
        </w:rPr>
        <w:t>(</w:t>
      </w:r>
      <w:r w:rsidR="00AD4702" w:rsidRPr="00AD4702">
        <w:rPr>
          <w:rFonts w:asciiTheme="majorBidi" w:eastAsia="Times New Roman" w:hAnsiTheme="majorBidi" w:cstheme="majorBidi"/>
          <w:bCs/>
          <w:iCs/>
          <w:sz w:val="24"/>
          <w:szCs w:val="24"/>
        </w:rPr>
        <w:t xml:space="preserve">Tsui </w:t>
      </w:r>
      <w:r w:rsidR="00AD4702" w:rsidRPr="002513C0">
        <w:rPr>
          <w:rFonts w:asciiTheme="majorBidi" w:eastAsia="Times New Roman" w:hAnsiTheme="majorBidi" w:cstheme="majorBidi"/>
          <w:bCs/>
          <w:i/>
          <w:iCs/>
          <w:sz w:val="24"/>
          <w:szCs w:val="24"/>
        </w:rPr>
        <w:t>et al.,</w:t>
      </w:r>
      <w:r w:rsidR="00AD4702" w:rsidRPr="00AD4702">
        <w:rPr>
          <w:rFonts w:asciiTheme="majorBidi" w:eastAsia="Times New Roman" w:hAnsiTheme="majorBidi" w:cstheme="majorBidi"/>
          <w:bCs/>
          <w:iCs/>
          <w:sz w:val="24"/>
          <w:szCs w:val="24"/>
        </w:rPr>
        <w:t xml:space="preserve"> 2001</w:t>
      </w:r>
      <w:r w:rsidR="00AD4702">
        <w:rPr>
          <w:rFonts w:asciiTheme="majorBidi" w:eastAsia="Times New Roman" w:hAnsiTheme="majorBidi" w:cstheme="majorBidi"/>
          <w:bCs/>
          <w:iCs/>
          <w:sz w:val="24"/>
          <w:szCs w:val="24"/>
        </w:rPr>
        <w:t xml:space="preserve">; </w:t>
      </w:r>
      <w:r w:rsidR="00AD4702" w:rsidRPr="00AD4702">
        <w:rPr>
          <w:rFonts w:asciiTheme="majorBidi" w:eastAsia="Times New Roman" w:hAnsiTheme="majorBidi" w:cstheme="majorBidi"/>
          <w:bCs/>
          <w:iCs/>
          <w:sz w:val="24"/>
          <w:szCs w:val="24"/>
        </w:rPr>
        <w:t xml:space="preserve">Ben-Hassoun </w:t>
      </w:r>
      <w:r w:rsidR="00AD4702" w:rsidRPr="002513C0">
        <w:rPr>
          <w:rFonts w:asciiTheme="majorBidi" w:eastAsia="Times New Roman" w:hAnsiTheme="majorBidi" w:cstheme="majorBidi"/>
          <w:bCs/>
          <w:i/>
          <w:iCs/>
          <w:sz w:val="24"/>
          <w:szCs w:val="24"/>
        </w:rPr>
        <w:t>et al</w:t>
      </w:r>
      <w:r w:rsidR="00AD4702" w:rsidRPr="00AD4702">
        <w:rPr>
          <w:rFonts w:asciiTheme="majorBidi" w:eastAsia="Times New Roman" w:hAnsiTheme="majorBidi" w:cstheme="majorBidi"/>
          <w:bCs/>
          <w:iCs/>
          <w:sz w:val="24"/>
          <w:szCs w:val="24"/>
        </w:rPr>
        <w:t>.</w:t>
      </w:r>
      <w:r w:rsidR="00AD4702">
        <w:rPr>
          <w:rFonts w:asciiTheme="majorBidi" w:eastAsia="Times New Roman" w:hAnsiTheme="majorBidi" w:cstheme="majorBidi"/>
          <w:bCs/>
          <w:iCs/>
          <w:sz w:val="24"/>
          <w:szCs w:val="24"/>
        </w:rPr>
        <w:t>,</w:t>
      </w:r>
      <w:r w:rsidR="00AD4702" w:rsidRPr="00AD4702">
        <w:rPr>
          <w:rFonts w:asciiTheme="majorBidi" w:eastAsia="Times New Roman" w:hAnsiTheme="majorBidi" w:cstheme="majorBidi"/>
          <w:bCs/>
          <w:iCs/>
          <w:sz w:val="24"/>
          <w:szCs w:val="24"/>
        </w:rPr>
        <w:t xml:space="preserve"> 2018</w:t>
      </w:r>
      <w:r w:rsidR="00AD4702">
        <w:rPr>
          <w:rFonts w:asciiTheme="majorBidi" w:eastAsia="Times New Roman" w:hAnsiTheme="majorBidi" w:cstheme="majorBidi"/>
          <w:bCs/>
          <w:iCs/>
          <w:sz w:val="24"/>
          <w:szCs w:val="24"/>
        </w:rPr>
        <w:t>)</w:t>
      </w:r>
      <w:r w:rsidR="009171BD">
        <w:rPr>
          <w:rFonts w:asciiTheme="majorBidi" w:eastAsia="Times New Roman" w:hAnsiTheme="majorBidi" w:cstheme="majorBidi"/>
          <w:bCs/>
          <w:iCs/>
          <w:sz w:val="24"/>
          <w:szCs w:val="24"/>
        </w:rPr>
        <w:t>.</w:t>
      </w:r>
      <w:r w:rsidR="00B55457">
        <w:rPr>
          <w:rFonts w:asciiTheme="majorBidi" w:eastAsia="Times New Roman" w:hAnsiTheme="majorBidi" w:cstheme="majorBidi"/>
          <w:bCs/>
          <w:iCs/>
          <w:sz w:val="24"/>
          <w:szCs w:val="24"/>
        </w:rPr>
        <w:t xml:space="preserve">  </w:t>
      </w:r>
    </w:p>
    <w:p w14:paraId="147241A7" w14:textId="6D898FE6" w:rsidR="007C4420" w:rsidRPr="000972D1" w:rsidRDefault="007C4420" w:rsidP="006915A5">
      <w:pPr>
        <w:spacing w:after="0" w:line="360" w:lineRule="auto"/>
        <w:ind w:firstLine="720"/>
        <w:jc w:val="lowKashida"/>
        <w:rPr>
          <w:rFonts w:asciiTheme="majorBidi" w:eastAsia="Times New Roman" w:hAnsiTheme="majorBidi" w:cstheme="majorBidi"/>
          <w:bCs/>
          <w:iCs/>
          <w:sz w:val="24"/>
          <w:szCs w:val="24"/>
        </w:rPr>
      </w:pPr>
      <w:r w:rsidRPr="008E772B">
        <w:rPr>
          <w:rFonts w:asciiTheme="majorBidi" w:eastAsia="Times New Roman" w:hAnsiTheme="majorBidi" w:cstheme="majorBidi"/>
          <w:bCs/>
          <w:iCs/>
          <w:sz w:val="24"/>
          <w:szCs w:val="24"/>
        </w:rPr>
        <w:t xml:space="preserve">Asthana </w:t>
      </w:r>
      <w:r w:rsidRPr="008E772B">
        <w:rPr>
          <w:rFonts w:asciiTheme="majorBidi" w:eastAsia="Times New Roman" w:hAnsiTheme="majorBidi" w:cstheme="majorBidi"/>
          <w:bCs/>
          <w:i/>
          <w:iCs/>
          <w:sz w:val="24"/>
          <w:szCs w:val="24"/>
        </w:rPr>
        <w:t>et al</w:t>
      </w:r>
      <w:r w:rsidRPr="008E772B">
        <w:rPr>
          <w:rFonts w:asciiTheme="majorBidi" w:eastAsia="Times New Roman" w:hAnsiTheme="majorBidi" w:cstheme="majorBidi"/>
          <w:bCs/>
          <w:iCs/>
          <w:sz w:val="24"/>
          <w:szCs w:val="24"/>
        </w:rPr>
        <w:t>. (2010) document empirical evidence</w:t>
      </w:r>
      <w:r w:rsidR="00FD4836">
        <w:rPr>
          <w:rFonts w:asciiTheme="majorBidi" w:eastAsia="Times New Roman" w:hAnsiTheme="majorBidi" w:cstheme="majorBidi"/>
          <w:bCs/>
          <w:iCs/>
          <w:sz w:val="24"/>
          <w:szCs w:val="24"/>
        </w:rPr>
        <w:t>,</w:t>
      </w:r>
      <w:r w:rsidRPr="008E772B">
        <w:rPr>
          <w:rFonts w:asciiTheme="majorBidi" w:eastAsia="Times New Roman" w:hAnsiTheme="majorBidi" w:cstheme="majorBidi"/>
          <w:bCs/>
          <w:iCs/>
          <w:sz w:val="24"/>
          <w:szCs w:val="24"/>
        </w:rPr>
        <w:t xml:space="preserve"> </w:t>
      </w:r>
      <w:r w:rsidR="00FD4836">
        <w:rPr>
          <w:rFonts w:asciiTheme="majorBidi" w:eastAsia="Times New Roman" w:hAnsiTheme="majorBidi" w:cstheme="majorBidi"/>
          <w:bCs/>
          <w:iCs/>
          <w:sz w:val="24"/>
          <w:szCs w:val="24"/>
        </w:rPr>
        <w:t xml:space="preserve">which </w:t>
      </w:r>
      <w:r w:rsidRPr="008E772B">
        <w:rPr>
          <w:rFonts w:asciiTheme="majorBidi" w:eastAsia="Times New Roman" w:hAnsiTheme="majorBidi" w:cstheme="majorBidi"/>
          <w:bCs/>
          <w:iCs/>
          <w:sz w:val="24"/>
          <w:szCs w:val="24"/>
        </w:rPr>
        <w:t>sugges</w:t>
      </w:r>
      <w:r w:rsidR="00907637">
        <w:rPr>
          <w:rFonts w:asciiTheme="majorBidi" w:eastAsia="Times New Roman" w:hAnsiTheme="majorBidi" w:cstheme="majorBidi"/>
          <w:bCs/>
          <w:iCs/>
          <w:sz w:val="24"/>
          <w:szCs w:val="24"/>
        </w:rPr>
        <w:t>ts</w:t>
      </w:r>
      <w:r w:rsidRPr="008E772B">
        <w:rPr>
          <w:rFonts w:asciiTheme="majorBidi" w:eastAsia="Times New Roman" w:hAnsiTheme="majorBidi" w:cstheme="majorBidi"/>
          <w:bCs/>
          <w:iCs/>
          <w:sz w:val="24"/>
          <w:szCs w:val="24"/>
        </w:rPr>
        <w:t xml:space="preserve"> that </w:t>
      </w:r>
      <w:r w:rsidR="00E12BCD" w:rsidRPr="008E772B">
        <w:rPr>
          <w:rFonts w:asciiTheme="majorBidi" w:eastAsia="Times New Roman" w:hAnsiTheme="majorBidi" w:cstheme="majorBidi"/>
          <w:bCs/>
          <w:iCs/>
          <w:sz w:val="24"/>
          <w:szCs w:val="24"/>
        </w:rPr>
        <w:t xml:space="preserve">dual leadership structure (i.e., </w:t>
      </w:r>
      <w:r w:rsidRPr="008E772B">
        <w:rPr>
          <w:rFonts w:asciiTheme="majorBidi" w:eastAsia="Times New Roman" w:hAnsiTheme="majorBidi" w:cstheme="majorBidi"/>
          <w:bCs/>
          <w:iCs/>
          <w:sz w:val="24"/>
          <w:szCs w:val="24"/>
        </w:rPr>
        <w:t>separation of the CEO and chairperson roles</w:t>
      </w:r>
      <w:r w:rsidR="00E12BCD" w:rsidRPr="008E772B">
        <w:rPr>
          <w:rFonts w:asciiTheme="majorBidi" w:eastAsia="Times New Roman" w:hAnsiTheme="majorBidi" w:cstheme="majorBidi"/>
          <w:bCs/>
          <w:iCs/>
          <w:sz w:val="24"/>
          <w:szCs w:val="24"/>
        </w:rPr>
        <w:t>)</w:t>
      </w:r>
      <w:r w:rsidRPr="008E772B">
        <w:rPr>
          <w:rFonts w:asciiTheme="majorBidi" w:eastAsia="Times New Roman" w:hAnsiTheme="majorBidi" w:cstheme="majorBidi"/>
          <w:bCs/>
          <w:iCs/>
          <w:sz w:val="24"/>
          <w:szCs w:val="24"/>
        </w:rPr>
        <w:t xml:space="preserve"> is positively associated with quick disassociation from auditors with a bad reputation. Lin and Liu (2009) </w:t>
      </w:r>
      <w:r w:rsidR="003024EF">
        <w:rPr>
          <w:rFonts w:asciiTheme="majorBidi" w:eastAsia="Times New Roman" w:hAnsiTheme="majorBidi" w:cstheme="majorBidi"/>
          <w:bCs/>
          <w:iCs/>
          <w:sz w:val="24"/>
          <w:szCs w:val="24"/>
        </w:rPr>
        <w:t xml:space="preserve">and </w:t>
      </w:r>
      <w:r w:rsidR="003024EF" w:rsidRPr="00602CB2">
        <w:rPr>
          <w:rFonts w:asciiTheme="majorBidi" w:eastAsia="Times New Roman" w:hAnsiTheme="majorBidi" w:cstheme="majorBidi"/>
          <w:bCs/>
          <w:iCs/>
          <w:sz w:val="24"/>
          <w:szCs w:val="24"/>
        </w:rPr>
        <w:t xml:space="preserve">Ben-Hassoun </w:t>
      </w:r>
      <w:r w:rsidR="003024EF" w:rsidRPr="002513C0">
        <w:rPr>
          <w:rFonts w:asciiTheme="majorBidi" w:eastAsia="Times New Roman" w:hAnsiTheme="majorBidi" w:cstheme="majorBidi"/>
          <w:bCs/>
          <w:i/>
          <w:iCs/>
          <w:sz w:val="24"/>
          <w:szCs w:val="24"/>
        </w:rPr>
        <w:t>et al</w:t>
      </w:r>
      <w:r w:rsidR="003024EF" w:rsidRPr="00602CB2">
        <w:rPr>
          <w:rFonts w:asciiTheme="majorBidi" w:eastAsia="Times New Roman" w:hAnsiTheme="majorBidi" w:cstheme="majorBidi"/>
          <w:bCs/>
          <w:iCs/>
          <w:sz w:val="24"/>
          <w:szCs w:val="24"/>
        </w:rPr>
        <w:t xml:space="preserve">. (2018) </w:t>
      </w:r>
      <w:r w:rsidR="00A501E7">
        <w:rPr>
          <w:rFonts w:asciiTheme="majorBidi" w:eastAsia="Times New Roman" w:hAnsiTheme="majorBidi" w:cstheme="majorBidi"/>
          <w:bCs/>
          <w:iCs/>
          <w:sz w:val="24"/>
          <w:szCs w:val="24"/>
        </w:rPr>
        <w:t>argue</w:t>
      </w:r>
      <w:r w:rsidR="00A501E7" w:rsidRPr="008E772B">
        <w:rPr>
          <w:rFonts w:asciiTheme="majorBidi" w:eastAsia="Times New Roman" w:hAnsiTheme="majorBidi" w:cstheme="majorBidi"/>
          <w:bCs/>
          <w:iCs/>
          <w:sz w:val="24"/>
          <w:szCs w:val="24"/>
        </w:rPr>
        <w:t xml:space="preserve"> </w:t>
      </w:r>
      <w:r w:rsidR="00FB144A" w:rsidRPr="008E772B">
        <w:rPr>
          <w:rFonts w:asciiTheme="majorBidi" w:eastAsia="Times New Roman" w:hAnsiTheme="majorBidi" w:cstheme="majorBidi"/>
          <w:bCs/>
          <w:iCs/>
          <w:sz w:val="24"/>
          <w:szCs w:val="24"/>
        </w:rPr>
        <w:t>that</w:t>
      </w:r>
      <w:r w:rsidRPr="008E772B">
        <w:rPr>
          <w:rFonts w:asciiTheme="majorBidi" w:eastAsia="Times New Roman" w:hAnsiTheme="majorBidi" w:cstheme="majorBidi"/>
          <w:bCs/>
          <w:iCs/>
          <w:sz w:val="24"/>
          <w:szCs w:val="24"/>
        </w:rPr>
        <w:t xml:space="preserve"> firms</w:t>
      </w:r>
      <w:r w:rsidR="00A72BDC">
        <w:rPr>
          <w:rFonts w:asciiTheme="majorBidi" w:eastAsia="Times New Roman" w:hAnsiTheme="majorBidi" w:cstheme="majorBidi"/>
          <w:bCs/>
          <w:iCs/>
          <w:sz w:val="24"/>
          <w:szCs w:val="24"/>
        </w:rPr>
        <w:t>,</w:t>
      </w:r>
      <w:r w:rsidRPr="008E772B">
        <w:rPr>
          <w:rFonts w:asciiTheme="majorBidi" w:eastAsia="Times New Roman" w:hAnsiTheme="majorBidi" w:cstheme="majorBidi"/>
          <w:bCs/>
          <w:iCs/>
          <w:sz w:val="24"/>
          <w:szCs w:val="24"/>
        </w:rPr>
        <w:t xml:space="preserve"> whose </w:t>
      </w:r>
      <w:r w:rsidRPr="008E772B">
        <w:rPr>
          <w:rFonts w:asciiTheme="majorBidi" w:eastAsia="Calibri" w:hAnsiTheme="majorBidi" w:cstheme="majorBidi"/>
          <w:sz w:val="24"/>
          <w:szCs w:val="24"/>
        </w:rPr>
        <w:t xml:space="preserve">board </w:t>
      </w:r>
      <w:r w:rsidRPr="008E772B">
        <w:rPr>
          <w:rFonts w:asciiTheme="majorBidi" w:eastAsia="Times New Roman" w:hAnsiTheme="majorBidi" w:cstheme="majorBidi"/>
          <w:bCs/>
          <w:iCs/>
          <w:sz w:val="24"/>
          <w:szCs w:val="24"/>
        </w:rPr>
        <w:t>chairperson is independent from the CEO are more likely to select a high</w:t>
      </w:r>
      <w:r w:rsidR="00184C7B">
        <w:rPr>
          <w:rFonts w:asciiTheme="majorBidi" w:eastAsia="Times New Roman" w:hAnsiTheme="majorBidi" w:cstheme="majorBidi"/>
          <w:bCs/>
          <w:iCs/>
          <w:sz w:val="24"/>
          <w:szCs w:val="24"/>
        </w:rPr>
        <w:t>er</w:t>
      </w:r>
      <w:r w:rsidRPr="008E772B">
        <w:rPr>
          <w:rFonts w:asciiTheme="majorBidi" w:eastAsia="Times New Roman" w:hAnsiTheme="majorBidi" w:cstheme="majorBidi"/>
          <w:bCs/>
          <w:iCs/>
          <w:sz w:val="24"/>
          <w:szCs w:val="24"/>
        </w:rPr>
        <w:t>-quality auditor to monitor</w:t>
      </w:r>
      <w:r w:rsidR="006915A5">
        <w:rPr>
          <w:rFonts w:asciiTheme="majorBidi" w:eastAsia="Times New Roman" w:hAnsiTheme="majorBidi" w:cstheme="majorBidi"/>
          <w:bCs/>
          <w:iCs/>
          <w:sz w:val="24"/>
          <w:szCs w:val="24"/>
        </w:rPr>
        <w:t xml:space="preserve"> </w:t>
      </w:r>
      <w:r w:rsidRPr="008E772B">
        <w:rPr>
          <w:rFonts w:asciiTheme="majorBidi" w:eastAsia="Times New Roman" w:hAnsiTheme="majorBidi" w:cstheme="majorBidi"/>
          <w:bCs/>
          <w:iCs/>
          <w:sz w:val="24"/>
          <w:szCs w:val="24"/>
        </w:rPr>
        <w:t xml:space="preserve">the quality of the financial reporting process and management performance. In their later study, Lin </w:t>
      </w:r>
      <w:r w:rsidRPr="008E772B">
        <w:rPr>
          <w:rFonts w:asciiTheme="majorBidi" w:eastAsia="Times New Roman" w:hAnsiTheme="majorBidi" w:cstheme="majorBidi"/>
          <w:bCs/>
          <w:sz w:val="24"/>
          <w:szCs w:val="24"/>
        </w:rPr>
        <w:t>and</w:t>
      </w:r>
      <w:r w:rsidRPr="008E772B">
        <w:rPr>
          <w:rFonts w:asciiTheme="majorBidi" w:eastAsia="Times New Roman" w:hAnsiTheme="majorBidi" w:cstheme="majorBidi"/>
          <w:bCs/>
          <w:iCs/>
          <w:sz w:val="24"/>
          <w:szCs w:val="24"/>
        </w:rPr>
        <w:t xml:space="preserve"> Liu (2010) document empirical results </w:t>
      </w:r>
      <w:r w:rsidR="006C5692" w:rsidRPr="008E772B">
        <w:rPr>
          <w:rFonts w:asciiTheme="majorBidi" w:eastAsia="Times New Roman" w:hAnsiTheme="majorBidi" w:cstheme="majorBidi"/>
          <w:bCs/>
          <w:iCs/>
          <w:sz w:val="24"/>
          <w:szCs w:val="24"/>
        </w:rPr>
        <w:t>that</w:t>
      </w:r>
      <w:r w:rsidRPr="008E772B">
        <w:rPr>
          <w:rFonts w:asciiTheme="majorBidi" w:eastAsia="Times New Roman" w:hAnsiTheme="majorBidi" w:cstheme="majorBidi"/>
          <w:bCs/>
          <w:iCs/>
          <w:sz w:val="24"/>
          <w:szCs w:val="24"/>
        </w:rPr>
        <w:t xml:space="preserve"> demonstrate that firms in which the CEO and chairperson </w:t>
      </w:r>
      <w:r w:rsidR="001B03B7" w:rsidRPr="008E772B">
        <w:rPr>
          <w:rFonts w:asciiTheme="majorBidi" w:eastAsia="Times New Roman" w:hAnsiTheme="majorBidi" w:cstheme="majorBidi"/>
          <w:bCs/>
          <w:iCs/>
          <w:sz w:val="24"/>
          <w:szCs w:val="24"/>
        </w:rPr>
        <w:t>positions are</w:t>
      </w:r>
      <w:r w:rsidRPr="008E772B">
        <w:rPr>
          <w:rFonts w:asciiTheme="majorBidi" w:eastAsia="Times New Roman" w:hAnsiTheme="majorBidi" w:cstheme="majorBidi"/>
          <w:bCs/>
          <w:iCs/>
          <w:sz w:val="24"/>
          <w:szCs w:val="24"/>
        </w:rPr>
        <w:t xml:space="preserve"> held by the same person are more likely to switch to a smaller auditor rather than to a larger one.</w:t>
      </w:r>
      <w:r w:rsidR="00F04285">
        <w:rPr>
          <w:rFonts w:asciiTheme="majorBidi" w:eastAsia="Times New Roman" w:hAnsiTheme="majorBidi" w:cstheme="majorBidi"/>
          <w:bCs/>
          <w:iCs/>
          <w:sz w:val="24"/>
          <w:szCs w:val="24"/>
        </w:rPr>
        <w:t xml:space="preserve"> </w:t>
      </w:r>
      <w:r w:rsidR="00F04285" w:rsidRPr="000972D1">
        <w:rPr>
          <w:rFonts w:asciiTheme="majorBidi" w:eastAsia="Times New Roman" w:hAnsiTheme="majorBidi" w:cstheme="majorBidi"/>
          <w:bCs/>
          <w:iCs/>
          <w:sz w:val="24"/>
          <w:szCs w:val="24"/>
        </w:rPr>
        <w:t xml:space="preserve">Additionally, </w:t>
      </w:r>
      <w:r w:rsidR="00A501E7" w:rsidRPr="000972D1">
        <w:rPr>
          <w:rFonts w:asciiTheme="majorBidi" w:eastAsia="Times New Roman" w:hAnsiTheme="majorBidi" w:cstheme="majorBidi"/>
          <w:bCs/>
          <w:iCs/>
          <w:sz w:val="24"/>
          <w:szCs w:val="24"/>
        </w:rPr>
        <w:t xml:space="preserve">using evidence </w:t>
      </w:r>
      <w:r w:rsidR="00F04285" w:rsidRPr="000972D1">
        <w:rPr>
          <w:rFonts w:asciiTheme="majorBidi" w:eastAsia="Times New Roman" w:hAnsiTheme="majorBidi" w:cstheme="majorBidi"/>
          <w:bCs/>
          <w:iCs/>
          <w:sz w:val="24"/>
          <w:szCs w:val="24"/>
        </w:rPr>
        <w:t>from Egypt</w:t>
      </w:r>
      <w:r w:rsidR="002513C0" w:rsidRPr="000972D1">
        <w:rPr>
          <w:rFonts w:asciiTheme="majorBidi" w:eastAsia="Times New Roman" w:hAnsiTheme="majorBidi" w:cstheme="majorBidi"/>
          <w:bCs/>
          <w:iCs/>
          <w:sz w:val="24"/>
          <w:szCs w:val="24"/>
        </w:rPr>
        <w:t>,</w:t>
      </w:r>
      <w:r w:rsidR="00F04285" w:rsidRPr="000972D1">
        <w:rPr>
          <w:rFonts w:asciiTheme="majorBidi" w:eastAsia="Times New Roman" w:hAnsiTheme="majorBidi" w:cstheme="majorBidi"/>
          <w:bCs/>
          <w:iCs/>
          <w:sz w:val="24"/>
          <w:szCs w:val="24"/>
        </w:rPr>
        <w:t xml:space="preserve"> Afify </w:t>
      </w:r>
      <w:r w:rsidR="003A2CC0" w:rsidRPr="000972D1">
        <w:rPr>
          <w:rFonts w:asciiTheme="majorBidi" w:eastAsia="Times New Roman" w:hAnsiTheme="majorBidi" w:cstheme="majorBidi"/>
          <w:bCs/>
          <w:iCs/>
          <w:sz w:val="24"/>
          <w:szCs w:val="24"/>
        </w:rPr>
        <w:t>(</w:t>
      </w:r>
      <w:r w:rsidR="00F04285" w:rsidRPr="000972D1">
        <w:rPr>
          <w:rFonts w:asciiTheme="majorBidi" w:eastAsia="Times New Roman" w:hAnsiTheme="majorBidi" w:cstheme="majorBidi"/>
          <w:bCs/>
          <w:iCs/>
          <w:sz w:val="24"/>
          <w:szCs w:val="24"/>
        </w:rPr>
        <w:t>2009</w:t>
      </w:r>
      <w:r w:rsidR="003A2CC0" w:rsidRPr="000972D1">
        <w:rPr>
          <w:rFonts w:asciiTheme="majorBidi" w:eastAsia="Times New Roman" w:hAnsiTheme="majorBidi" w:cstheme="majorBidi"/>
          <w:bCs/>
          <w:iCs/>
          <w:sz w:val="24"/>
          <w:szCs w:val="24"/>
        </w:rPr>
        <w:t>)</w:t>
      </w:r>
      <w:r w:rsidR="00F04285" w:rsidRPr="000972D1">
        <w:rPr>
          <w:rFonts w:asciiTheme="majorBidi" w:eastAsia="Times New Roman" w:hAnsiTheme="majorBidi" w:cstheme="majorBidi"/>
          <w:bCs/>
          <w:iCs/>
          <w:sz w:val="24"/>
          <w:szCs w:val="24"/>
        </w:rPr>
        <w:t xml:space="preserve"> find</w:t>
      </w:r>
      <w:r w:rsidR="00A501E7" w:rsidRPr="000972D1">
        <w:rPr>
          <w:rFonts w:asciiTheme="majorBidi" w:eastAsia="Times New Roman" w:hAnsiTheme="majorBidi" w:cstheme="majorBidi"/>
          <w:bCs/>
          <w:iCs/>
          <w:sz w:val="24"/>
          <w:szCs w:val="24"/>
        </w:rPr>
        <w:t>s</w:t>
      </w:r>
      <w:r w:rsidR="00F04285" w:rsidRPr="000972D1">
        <w:rPr>
          <w:rFonts w:asciiTheme="majorBidi" w:eastAsia="Times New Roman" w:hAnsiTheme="majorBidi" w:cstheme="majorBidi"/>
          <w:bCs/>
          <w:iCs/>
          <w:sz w:val="24"/>
          <w:szCs w:val="24"/>
        </w:rPr>
        <w:t xml:space="preserve"> a </w:t>
      </w:r>
      <w:r w:rsidR="00210E71" w:rsidRPr="000972D1">
        <w:rPr>
          <w:rFonts w:asciiTheme="majorBidi" w:eastAsia="Times New Roman" w:hAnsiTheme="majorBidi" w:cstheme="majorBidi"/>
          <w:bCs/>
          <w:iCs/>
          <w:sz w:val="24"/>
          <w:szCs w:val="24"/>
        </w:rPr>
        <w:t>positive</w:t>
      </w:r>
      <w:r w:rsidR="00F04285" w:rsidRPr="000972D1">
        <w:rPr>
          <w:rFonts w:asciiTheme="majorBidi" w:eastAsia="Times New Roman" w:hAnsiTheme="majorBidi" w:cstheme="majorBidi"/>
          <w:bCs/>
          <w:iCs/>
          <w:sz w:val="24"/>
          <w:szCs w:val="24"/>
        </w:rPr>
        <w:t xml:space="preserve"> association between CEO duality and audit report lag as a proxy for audit quality. </w:t>
      </w:r>
      <w:r w:rsidR="0016788F" w:rsidRPr="000972D1">
        <w:rPr>
          <w:rFonts w:asciiTheme="majorBidi" w:eastAsia="Times New Roman" w:hAnsiTheme="majorBidi" w:cstheme="majorBidi"/>
          <w:bCs/>
          <w:iCs/>
          <w:sz w:val="24"/>
          <w:szCs w:val="24"/>
        </w:rPr>
        <w:t xml:space="preserve">On the other hand, Tsui </w:t>
      </w:r>
      <w:r w:rsidR="0016788F" w:rsidRPr="000972D1">
        <w:rPr>
          <w:rFonts w:asciiTheme="majorBidi" w:eastAsia="Times New Roman" w:hAnsiTheme="majorBidi" w:cstheme="majorBidi"/>
          <w:bCs/>
          <w:i/>
          <w:iCs/>
          <w:sz w:val="24"/>
          <w:szCs w:val="24"/>
        </w:rPr>
        <w:t>et al</w:t>
      </w:r>
      <w:r w:rsidR="0016788F" w:rsidRPr="000972D1">
        <w:rPr>
          <w:rFonts w:asciiTheme="majorBidi" w:eastAsia="Times New Roman" w:hAnsiTheme="majorBidi" w:cstheme="majorBidi"/>
          <w:bCs/>
          <w:iCs/>
          <w:sz w:val="24"/>
          <w:szCs w:val="24"/>
        </w:rPr>
        <w:t xml:space="preserve">. </w:t>
      </w:r>
      <w:r w:rsidR="003A2CC0" w:rsidRPr="000972D1">
        <w:rPr>
          <w:rFonts w:asciiTheme="majorBidi" w:eastAsia="Times New Roman" w:hAnsiTheme="majorBidi" w:cstheme="majorBidi"/>
          <w:bCs/>
          <w:iCs/>
          <w:sz w:val="24"/>
          <w:szCs w:val="24"/>
        </w:rPr>
        <w:t>(</w:t>
      </w:r>
      <w:r w:rsidR="0016788F" w:rsidRPr="000972D1">
        <w:rPr>
          <w:rFonts w:asciiTheme="majorBidi" w:eastAsia="Times New Roman" w:hAnsiTheme="majorBidi" w:cstheme="majorBidi"/>
          <w:bCs/>
          <w:iCs/>
          <w:sz w:val="24"/>
          <w:szCs w:val="24"/>
        </w:rPr>
        <w:t>2001</w:t>
      </w:r>
      <w:r w:rsidR="003A2CC0" w:rsidRPr="000972D1">
        <w:rPr>
          <w:rFonts w:asciiTheme="majorBidi" w:eastAsia="Times New Roman" w:hAnsiTheme="majorBidi" w:cstheme="majorBidi"/>
          <w:bCs/>
          <w:iCs/>
          <w:sz w:val="24"/>
          <w:szCs w:val="24"/>
        </w:rPr>
        <w:t>)</w:t>
      </w:r>
      <w:r w:rsidR="0016788F" w:rsidRPr="000972D1">
        <w:rPr>
          <w:rFonts w:asciiTheme="majorBidi" w:eastAsia="Times New Roman" w:hAnsiTheme="majorBidi" w:cstheme="majorBidi"/>
          <w:bCs/>
          <w:iCs/>
          <w:sz w:val="24"/>
          <w:szCs w:val="24"/>
        </w:rPr>
        <w:t xml:space="preserve">, found that separating the two positions provides an effective monitoring mechanism that </w:t>
      </w:r>
      <w:r w:rsidR="00A501E7" w:rsidRPr="000972D1">
        <w:rPr>
          <w:rFonts w:asciiTheme="majorBidi" w:eastAsia="Times New Roman" w:hAnsiTheme="majorBidi" w:cstheme="majorBidi"/>
          <w:bCs/>
          <w:iCs/>
          <w:sz w:val="24"/>
          <w:szCs w:val="24"/>
        </w:rPr>
        <w:t>substitutes for high audit quality</w:t>
      </w:r>
      <w:r w:rsidR="0016788F" w:rsidRPr="000972D1">
        <w:rPr>
          <w:rFonts w:asciiTheme="majorBidi" w:eastAsia="Times New Roman" w:hAnsiTheme="majorBidi" w:cstheme="majorBidi"/>
          <w:bCs/>
          <w:iCs/>
          <w:sz w:val="24"/>
          <w:szCs w:val="24"/>
        </w:rPr>
        <w:t xml:space="preserve">, and therefore </w:t>
      </w:r>
      <w:r w:rsidR="00A501E7" w:rsidRPr="000972D1">
        <w:rPr>
          <w:rFonts w:asciiTheme="majorBidi" w:eastAsia="Times New Roman" w:hAnsiTheme="majorBidi" w:cstheme="majorBidi"/>
          <w:bCs/>
          <w:iCs/>
          <w:sz w:val="24"/>
          <w:szCs w:val="24"/>
        </w:rPr>
        <w:t xml:space="preserve">results in the payment of low </w:t>
      </w:r>
      <w:r w:rsidR="0016788F" w:rsidRPr="000972D1">
        <w:rPr>
          <w:rFonts w:asciiTheme="majorBidi" w:eastAsia="Times New Roman" w:hAnsiTheme="majorBidi" w:cstheme="majorBidi"/>
          <w:bCs/>
          <w:iCs/>
          <w:sz w:val="24"/>
          <w:szCs w:val="24"/>
        </w:rPr>
        <w:t xml:space="preserve">audit fees. </w:t>
      </w:r>
      <w:r w:rsidRPr="000972D1">
        <w:rPr>
          <w:rFonts w:asciiTheme="majorBidi" w:eastAsia="Times New Roman" w:hAnsiTheme="majorBidi" w:cstheme="majorBidi"/>
          <w:bCs/>
          <w:iCs/>
          <w:sz w:val="24"/>
          <w:szCs w:val="24"/>
        </w:rPr>
        <w:t>However, the results of O’Sulli</w:t>
      </w:r>
      <w:r w:rsidR="00282759" w:rsidRPr="000972D1">
        <w:rPr>
          <w:rFonts w:asciiTheme="majorBidi" w:eastAsia="Times New Roman" w:hAnsiTheme="majorBidi" w:cstheme="majorBidi"/>
          <w:bCs/>
          <w:iCs/>
          <w:sz w:val="24"/>
          <w:szCs w:val="24"/>
        </w:rPr>
        <w:t xml:space="preserve">van (2000) </w:t>
      </w:r>
      <w:r w:rsidRPr="000972D1">
        <w:rPr>
          <w:rFonts w:asciiTheme="majorBidi" w:eastAsia="Times New Roman" w:hAnsiTheme="majorBidi" w:cstheme="majorBidi"/>
          <w:bCs/>
          <w:iCs/>
          <w:sz w:val="24"/>
          <w:szCs w:val="24"/>
        </w:rPr>
        <w:t>suggest no relationship between CEO/chairperson role duality and audit fees.</w:t>
      </w:r>
      <w:r w:rsidR="00C931E8" w:rsidRPr="000972D1">
        <w:rPr>
          <w:rFonts w:ascii="Times New Roman" w:eastAsia="Times New Roman" w:hAnsi="Times New Roman" w:cs="Times New Roman"/>
          <w:sz w:val="24"/>
          <w:szCs w:val="24"/>
        </w:rPr>
        <w:t xml:space="preserve"> </w:t>
      </w:r>
      <w:r w:rsidR="00C931E8" w:rsidRPr="000972D1">
        <w:rPr>
          <w:rFonts w:asciiTheme="majorBidi" w:eastAsia="Times New Roman" w:hAnsiTheme="majorBidi" w:cstheme="majorBidi"/>
          <w:bCs/>
          <w:iCs/>
          <w:sz w:val="24"/>
          <w:szCs w:val="24"/>
        </w:rPr>
        <w:t xml:space="preserve">The </w:t>
      </w:r>
      <w:r w:rsidR="003A2CC0" w:rsidRPr="000972D1">
        <w:rPr>
          <w:rFonts w:asciiTheme="majorBidi" w:eastAsia="Times New Roman" w:hAnsiTheme="majorBidi" w:cstheme="majorBidi"/>
          <w:bCs/>
          <w:iCs/>
          <w:sz w:val="24"/>
          <w:szCs w:val="24"/>
        </w:rPr>
        <w:t xml:space="preserve">2011 </w:t>
      </w:r>
      <w:r w:rsidR="00C931E8" w:rsidRPr="000972D1">
        <w:rPr>
          <w:rFonts w:asciiTheme="majorBidi" w:eastAsia="Times New Roman" w:hAnsiTheme="majorBidi" w:cstheme="majorBidi"/>
          <w:bCs/>
          <w:iCs/>
          <w:sz w:val="24"/>
          <w:szCs w:val="24"/>
        </w:rPr>
        <w:t xml:space="preserve">Egyptian, </w:t>
      </w:r>
      <w:r w:rsidR="003A2CC0" w:rsidRPr="000972D1">
        <w:rPr>
          <w:rFonts w:asciiTheme="majorBidi" w:eastAsia="Times New Roman" w:hAnsiTheme="majorBidi" w:cstheme="majorBidi"/>
          <w:bCs/>
          <w:iCs/>
          <w:sz w:val="24"/>
          <w:szCs w:val="24"/>
        </w:rPr>
        <w:t xml:space="preserve">2007 </w:t>
      </w:r>
      <w:r w:rsidR="00C931E8" w:rsidRPr="000972D1">
        <w:rPr>
          <w:rFonts w:asciiTheme="majorBidi" w:eastAsia="Times New Roman" w:hAnsiTheme="majorBidi" w:cstheme="majorBidi"/>
          <w:bCs/>
          <w:iCs/>
          <w:sz w:val="24"/>
          <w:szCs w:val="24"/>
        </w:rPr>
        <w:t xml:space="preserve">UAE, </w:t>
      </w:r>
      <w:r w:rsidR="003A2CC0" w:rsidRPr="000972D1">
        <w:rPr>
          <w:rFonts w:asciiTheme="majorBidi" w:eastAsia="Times New Roman" w:hAnsiTheme="majorBidi" w:cstheme="majorBidi"/>
          <w:bCs/>
          <w:iCs/>
          <w:sz w:val="24"/>
          <w:szCs w:val="24"/>
        </w:rPr>
        <w:t xml:space="preserve">2006 </w:t>
      </w:r>
      <w:r w:rsidR="00C931E8" w:rsidRPr="000972D1">
        <w:rPr>
          <w:rFonts w:asciiTheme="majorBidi" w:eastAsia="Times New Roman" w:hAnsiTheme="majorBidi" w:cstheme="majorBidi"/>
          <w:bCs/>
          <w:iCs/>
          <w:sz w:val="24"/>
          <w:szCs w:val="24"/>
        </w:rPr>
        <w:t xml:space="preserve">Saudi and </w:t>
      </w:r>
      <w:r w:rsidR="003A2CC0" w:rsidRPr="000972D1">
        <w:rPr>
          <w:rFonts w:asciiTheme="majorBidi" w:eastAsia="Times New Roman" w:hAnsiTheme="majorBidi" w:cstheme="majorBidi"/>
          <w:bCs/>
          <w:iCs/>
          <w:sz w:val="24"/>
          <w:szCs w:val="24"/>
        </w:rPr>
        <w:t xml:space="preserve">2002 </w:t>
      </w:r>
      <w:r w:rsidR="00C931E8" w:rsidRPr="000972D1">
        <w:rPr>
          <w:rFonts w:asciiTheme="majorBidi" w:eastAsia="Times New Roman" w:hAnsiTheme="majorBidi" w:cstheme="majorBidi"/>
          <w:bCs/>
          <w:iCs/>
          <w:sz w:val="24"/>
          <w:szCs w:val="24"/>
        </w:rPr>
        <w:t xml:space="preserve">Omani </w:t>
      </w:r>
      <w:r w:rsidR="00B94810">
        <w:rPr>
          <w:rFonts w:asciiTheme="majorBidi" w:eastAsia="Times New Roman" w:hAnsiTheme="majorBidi" w:cstheme="majorBidi"/>
          <w:bCs/>
          <w:iCs/>
          <w:sz w:val="24"/>
          <w:szCs w:val="24"/>
        </w:rPr>
        <w:t>governance</w:t>
      </w:r>
      <w:r w:rsidR="00B94810" w:rsidRPr="000972D1">
        <w:rPr>
          <w:rFonts w:asciiTheme="majorBidi" w:eastAsia="Times New Roman" w:hAnsiTheme="majorBidi" w:cstheme="majorBidi"/>
          <w:bCs/>
          <w:iCs/>
          <w:sz w:val="24"/>
          <w:szCs w:val="24"/>
        </w:rPr>
        <w:t xml:space="preserve"> </w:t>
      </w:r>
      <w:r w:rsidR="00C931E8" w:rsidRPr="000972D1">
        <w:rPr>
          <w:rFonts w:asciiTheme="majorBidi" w:eastAsia="Times New Roman" w:hAnsiTheme="majorBidi" w:cstheme="majorBidi"/>
          <w:bCs/>
          <w:iCs/>
          <w:sz w:val="24"/>
          <w:szCs w:val="24"/>
        </w:rPr>
        <w:t>code</w:t>
      </w:r>
      <w:r w:rsidR="003A2CC0" w:rsidRPr="000972D1">
        <w:rPr>
          <w:rFonts w:asciiTheme="majorBidi" w:eastAsia="Times New Roman" w:hAnsiTheme="majorBidi" w:cstheme="majorBidi"/>
          <w:bCs/>
          <w:iCs/>
          <w:sz w:val="24"/>
          <w:szCs w:val="24"/>
        </w:rPr>
        <w:t>s</w:t>
      </w:r>
      <w:r w:rsidR="00C931E8" w:rsidRPr="000972D1">
        <w:rPr>
          <w:rFonts w:asciiTheme="majorBidi" w:eastAsia="Times New Roman" w:hAnsiTheme="majorBidi" w:cstheme="majorBidi"/>
          <w:bCs/>
          <w:iCs/>
          <w:sz w:val="24"/>
          <w:szCs w:val="24"/>
        </w:rPr>
        <w:t xml:space="preserve"> recommend separation of </w:t>
      </w:r>
      <w:r w:rsidR="003A2CC0" w:rsidRPr="000972D1">
        <w:rPr>
          <w:rFonts w:asciiTheme="majorBidi" w:eastAsia="Times New Roman" w:hAnsiTheme="majorBidi" w:cstheme="majorBidi"/>
          <w:bCs/>
          <w:iCs/>
          <w:sz w:val="24"/>
          <w:szCs w:val="24"/>
        </w:rPr>
        <w:t xml:space="preserve">the </w:t>
      </w:r>
      <w:r w:rsidR="00C931E8" w:rsidRPr="000972D1">
        <w:rPr>
          <w:rFonts w:asciiTheme="majorBidi" w:eastAsia="Times New Roman" w:hAnsiTheme="majorBidi" w:cstheme="majorBidi"/>
          <w:bCs/>
          <w:iCs/>
          <w:sz w:val="24"/>
          <w:szCs w:val="24"/>
        </w:rPr>
        <w:t xml:space="preserve">chairperson and CEO </w:t>
      </w:r>
      <w:r w:rsidR="003A2CC0" w:rsidRPr="000972D1">
        <w:rPr>
          <w:rFonts w:asciiTheme="majorBidi" w:eastAsia="Times New Roman" w:hAnsiTheme="majorBidi" w:cstheme="majorBidi"/>
          <w:bCs/>
          <w:iCs/>
          <w:sz w:val="24"/>
          <w:szCs w:val="24"/>
        </w:rPr>
        <w:t xml:space="preserve">roles in order </w:t>
      </w:r>
      <w:r w:rsidR="00C931E8" w:rsidRPr="000972D1">
        <w:rPr>
          <w:rFonts w:asciiTheme="majorBidi" w:eastAsia="Times New Roman" w:hAnsiTheme="majorBidi" w:cstheme="majorBidi"/>
          <w:bCs/>
          <w:iCs/>
          <w:sz w:val="24"/>
          <w:szCs w:val="24"/>
        </w:rPr>
        <w:t>to ensure that boards are capable of p</w:t>
      </w:r>
      <w:r w:rsidR="003A2CC0" w:rsidRPr="000972D1">
        <w:rPr>
          <w:rFonts w:asciiTheme="majorBidi" w:eastAsia="Times New Roman" w:hAnsiTheme="majorBidi" w:cstheme="majorBidi"/>
          <w:bCs/>
          <w:iCs/>
          <w:sz w:val="24"/>
          <w:szCs w:val="24"/>
        </w:rPr>
        <w:t>erforming</w:t>
      </w:r>
      <w:r w:rsidR="00C931E8" w:rsidRPr="000972D1">
        <w:rPr>
          <w:rFonts w:asciiTheme="majorBidi" w:eastAsia="Times New Roman" w:hAnsiTheme="majorBidi" w:cstheme="majorBidi"/>
          <w:bCs/>
          <w:iCs/>
          <w:sz w:val="24"/>
          <w:szCs w:val="24"/>
        </w:rPr>
        <w:t xml:space="preserve"> their monitoring role eff</w:t>
      </w:r>
      <w:r w:rsidR="003A2CC0" w:rsidRPr="000972D1">
        <w:rPr>
          <w:rFonts w:asciiTheme="majorBidi" w:eastAsia="Times New Roman" w:hAnsiTheme="majorBidi" w:cstheme="majorBidi"/>
          <w:bCs/>
          <w:iCs/>
          <w:sz w:val="24"/>
          <w:szCs w:val="24"/>
        </w:rPr>
        <w:t>ectively</w:t>
      </w:r>
      <w:r w:rsidR="00C931E8" w:rsidRPr="000972D1">
        <w:rPr>
          <w:rFonts w:asciiTheme="majorBidi" w:eastAsia="Times New Roman" w:hAnsiTheme="majorBidi" w:cstheme="majorBidi"/>
          <w:bCs/>
          <w:iCs/>
          <w:sz w:val="24"/>
          <w:szCs w:val="24"/>
        </w:rPr>
        <w:t>.</w:t>
      </w:r>
      <w:r w:rsidR="005E271D" w:rsidRPr="000972D1">
        <w:rPr>
          <w:rFonts w:asciiTheme="majorBidi" w:eastAsia="Times New Roman" w:hAnsiTheme="majorBidi" w:cstheme="majorBidi"/>
          <w:bCs/>
          <w:iCs/>
          <w:sz w:val="24"/>
          <w:szCs w:val="24"/>
        </w:rPr>
        <w:t xml:space="preserve"> </w:t>
      </w:r>
      <w:r w:rsidRPr="000972D1">
        <w:rPr>
          <w:rFonts w:asciiTheme="majorBidi" w:eastAsia="Times New Roman" w:hAnsiTheme="majorBidi" w:cstheme="majorBidi"/>
          <w:bCs/>
          <w:iCs/>
          <w:sz w:val="24"/>
          <w:szCs w:val="24"/>
        </w:rPr>
        <w:t xml:space="preserve">Given </w:t>
      </w:r>
      <w:r w:rsidR="009F6558" w:rsidRPr="000972D1">
        <w:rPr>
          <w:rFonts w:asciiTheme="majorBidi" w:eastAsia="Times New Roman" w:hAnsiTheme="majorBidi" w:cstheme="majorBidi"/>
          <w:bCs/>
          <w:iCs/>
          <w:sz w:val="24"/>
          <w:szCs w:val="24"/>
        </w:rPr>
        <w:t xml:space="preserve">the above </w:t>
      </w:r>
      <w:r w:rsidRPr="000972D1">
        <w:rPr>
          <w:rFonts w:asciiTheme="majorBidi" w:eastAsia="Times New Roman" w:hAnsiTheme="majorBidi" w:cstheme="majorBidi"/>
          <w:bCs/>
          <w:iCs/>
          <w:sz w:val="24"/>
          <w:szCs w:val="24"/>
        </w:rPr>
        <w:t xml:space="preserve">theoretical and empirical literature, the </w:t>
      </w:r>
      <w:r w:rsidR="00845E4B" w:rsidRPr="000972D1">
        <w:rPr>
          <w:rFonts w:asciiTheme="majorBidi" w:eastAsia="Times New Roman" w:hAnsiTheme="majorBidi" w:cstheme="majorBidi"/>
          <w:bCs/>
          <w:iCs/>
          <w:sz w:val="24"/>
          <w:szCs w:val="24"/>
        </w:rPr>
        <w:t>third</w:t>
      </w:r>
      <w:r w:rsidRPr="000972D1">
        <w:rPr>
          <w:rFonts w:asciiTheme="majorBidi" w:eastAsia="Times New Roman" w:hAnsiTheme="majorBidi" w:cstheme="majorBidi"/>
          <w:bCs/>
          <w:iCs/>
          <w:sz w:val="24"/>
          <w:szCs w:val="24"/>
        </w:rPr>
        <w:t xml:space="preserve"> hypothes</w:t>
      </w:r>
      <w:r w:rsidR="003A2CC0" w:rsidRPr="000972D1">
        <w:rPr>
          <w:rFonts w:asciiTheme="majorBidi" w:eastAsia="Times New Roman" w:hAnsiTheme="majorBidi" w:cstheme="majorBidi"/>
          <w:bCs/>
          <w:iCs/>
          <w:sz w:val="24"/>
          <w:szCs w:val="24"/>
        </w:rPr>
        <w:t>i</w:t>
      </w:r>
      <w:r w:rsidRPr="000972D1">
        <w:rPr>
          <w:rFonts w:asciiTheme="majorBidi" w:eastAsia="Times New Roman" w:hAnsiTheme="majorBidi" w:cstheme="majorBidi"/>
          <w:bCs/>
          <w:iCs/>
          <w:sz w:val="24"/>
          <w:szCs w:val="24"/>
        </w:rPr>
        <w:t xml:space="preserve">s </w:t>
      </w:r>
      <w:r w:rsidR="006C5692" w:rsidRPr="000972D1">
        <w:rPr>
          <w:rFonts w:asciiTheme="majorBidi" w:eastAsia="Times New Roman" w:hAnsiTheme="majorBidi" w:cstheme="majorBidi"/>
          <w:bCs/>
          <w:iCs/>
          <w:sz w:val="24"/>
          <w:szCs w:val="24"/>
        </w:rPr>
        <w:t xml:space="preserve">to be tested </w:t>
      </w:r>
      <w:r w:rsidR="003C36A7" w:rsidRPr="000972D1">
        <w:rPr>
          <w:rFonts w:asciiTheme="majorBidi" w:eastAsia="Times New Roman" w:hAnsiTheme="majorBidi" w:cstheme="majorBidi"/>
          <w:bCs/>
          <w:iCs/>
          <w:sz w:val="24"/>
          <w:szCs w:val="24"/>
        </w:rPr>
        <w:t>is</w:t>
      </w:r>
      <w:r w:rsidRPr="000972D1">
        <w:rPr>
          <w:rFonts w:asciiTheme="majorBidi" w:eastAsia="Times New Roman" w:hAnsiTheme="majorBidi" w:cstheme="majorBidi"/>
          <w:bCs/>
          <w:iCs/>
          <w:sz w:val="24"/>
          <w:szCs w:val="24"/>
        </w:rPr>
        <w:t>:</w:t>
      </w:r>
    </w:p>
    <w:p w14:paraId="76EFC54D" w14:textId="456D3FD4" w:rsidR="007C4420" w:rsidRPr="000972D1" w:rsidRDefault="008A3DBE" w:rsidP="00C10CDB">
      <w:pPr>
        <w:spacing w:after="0" w:line="360" w:lineRule="auto"/>
        <w:ind w:left="709" w:firstLine="11"/>
        <w:jc w:val="lowKashida"/>
        <w:rPr>
          <w:rFonts w:asciiTheme="majorBidi" w:eastAsia="Times New Roman" w:hAnsiTheme="majorBidi" w:cstheme="majorBidi"/>
          <w:bCs/>
          <w:i/>
          <w:iCs/>
          <w:sz w:val="24"/>
          <w:szCs w:val="24"/>
        </w:rPr>
      </w:pPr>
      <w:r w:rsidRPr="000972D1">
        <w:rPr>
          <w:rFonts w:asciiTheme="majorBidi" w:eastAsia="Times New Roman" w:hAnsiTheme="majorBidi" w:cstheme="majorBidi"/>
          <w:b/>
          <w:bCs/>
          <w:i/>
          <w:iCs/>
          <w:sz w:val="24"/>
          <w:szCs w:val="24"/>
        </w:rPr>
        <w:t>H3</w:t>
      </w:r>
      <w:r w:rsidR="007C4420" w:rsidRPr="000972D1">
        <w:rPr>
          <w:rFonts w:asciiTheme="majorBidi" w:eastAsia="Times New Roman" w:hAnsiTheme="majorBidi" w:cstheme="majorBidi"/>
          <w:bCs/>
          <w:i/>
          <w:iCs/>
          <w:sz w:val="24"/>
          <w:szCs w:val="24"/>
        </w:rPr>
        <w:t xml:space="preserve">: </w:t>
      </w:r>
      <w:r w:rsidR="00F7466B">
        <w:rPr>
          <w:rFonts w:asciiTheme="majorBidi" w:eastAsia="Times New Roman" w:hAnsiTheme="majorBidi" w:cstheme="majorBidi"/>
          <w:bCs/>
          <w:i/>
          <w:iCs/>
          <w:sz w:val="24"/>
          <w:szCs w:val="24"/>
        </w:rPr>
        <w:t>A</w:t>
      </w:r>
      <w:r w:rsidR="00C10CDB" w:rsidRPr="000972D1">
        <w:rPr>
          <w:rFonts w:asciiTheme="majorBidi" w:eastAsia="Times New Roman" w:hAnsiTheme="majorBidi" w:cstheme="majorBidi"/>
          <w:bCs/>
          <w:i/>
          <w:iCs/>
          <w:sz w:val="24"/>
          <w:szCs w:val="24"/>
        </w:rPr>
        <w:t xml:space="preserve">udit quality is </w:t>
      </w:r>
      <w:r w:rsidR="00357407" w:rsidRPr="000972D1">
        <w:rPr>
          <w:rFonts w:asciiTheme="majorBidi" w:eastAsia="Times New Roman" w:hAnsiTheme="majorBidi" w:cstheme="majorBidi"/>
          <w:bCs/>
          <w:i/>
          <w:iCs/>
          <w:sz w:val="24"/>
          <w:szCs w:val="24"/>
        </w:rPr>
        <w:t xml:space="preserve">significantly </w:t>
      </w:r>
      <w:r w:rsidR="00A501E7" w:rsidRPr="000972D1">
        <w:rPr>
          <w:rFonts w:asciiTheme="majorBidi" w:eastAsia="Times New Roman" w:hAnsiTheme="majorBidi" w:cstheme="majorBidi"/>
          <w:bCs/>
          <w:i/>
          <w:iCs/>
          <w:sz w:val="24"/>
          <w:szCs w:val="24"/>
        </w:rPr>
        <w:t xml:space="preserve">associated </w:t>
      </w:r>
      <w:r w:rsidR="003A2CC0" w:rsidRPr="000972D1">
        <w:rPr>
          <w:rFonts w:asciiTheme="majorBidi" w:eastAsia="Times New Roman" w:hAnsiTheme="majorBidi" w:cstheme="majorBidi"/>
          <w:bCs/>
          <w:i/>
          <w:iCs/>
          <w:sz w:val="24"/>
          <w:szCs w:val="24"/>
        </w:rPr>
        <w:t>with</w:t>
      </w:r>
      <w:r w:rsidR="00C10CDB" w:rsidRPr="000972D1">
        <w:rPr>
          <w:rFonts w:asciiTheme="majorBidi" w:eastAsia="Times New Roman" w:hAnsiTheme="majorBidi" w:cstheme="majorBidi"/>
          <w:bCs/>
          <w:i/>
          <w:iCs/>
          <w:sz w:val="24"/>
          <w:szCs w:val="24"/>
        </w:rPr>
        <w:t xml:space="preserve"> </w:t>
      </w:r>
      <w:r w:rsidR="00A501E7" w:rsidRPr="000972D1">
        <w:rPr>
          <w:rFonts w:asciiTheme="majorBidi" w:eastAsia="Times New Roman" w:hAnsiTheme="majorBidi" w:cstheme="majorBidi"/>
          <w:bCs/>
          <w:i/>
          <w:iCs/>
          <w:sz w:val="24"/>
          <w:szCs w:val="24"/>
        </w:rPr>
        <w:t xml:space="preserve">board </w:t>
      </w:r>
      <w:r w:rsidR="006C5692" w:rsidRPr="000972D1">
        <w:rPr>
          <w:rFonts w:asciiTheme="majorBidi" w:eastAsia="Times New Roman" w:hAnsiTheme="majorBidi" w:cstheme="majorBidi"/>
          <w:bCs/>
          <w:i/>
          <w:iCs/>
          <w:sz w:val="24"/>
          <w:szCs w:val="24"/>
        </w:rPr>
        <w:t>leadership structure</w:t>
      </w:r>
      <w:r w:rsidR="003A2CC0" w:rsidRPr="000972D1">
        <w:rPr>
          <w:rFonts w:asciiTheme="majorBidi" w:eastAsia="Times New Roman" w:hAnsiTheme="majorBidi" w:cstheme="majorBidi"/>
          <w:bCs/>
          <w:i/>
          <w:iCs/>
          <w:sz w:val="24"/>
          <w:szCs w:val="24"/>
        </w:rPr>
        <w:t>.</w:t>
      </w:r>
    </w:p>
    <w:p w14:paraId="286447AD" w14:textId="77777777" w:rsidR="00A501E7" w:rsidRPr="000972D1" w:rsidRDefault="00A501E7" w:rsidP="001E3C94">
      <w:pPr>
        <w:spacing w:after="0" w:line="360" w:lineRule="auto"/>
        <w:jc w:val="lowKashida"/>
        <w:rPr>
          <w:rFonts w:asciiTheme="majorBidi" w:eastAsia="Times New Roman" w:hAnsiTheme="majorBidi" w:cstheme="majorBidi"/>
          <w:b/>
          <w:bCs/>
          <w:i/>
          <w:sz w:val="24"/>
          <w:szCs w:val="24"/>
        </w:rPr>
      </w:pPr>
    </w:p>
    <w:p w14:paraId="68BE18A7" w14:textId="365EE7FB" w:rsidR="00973391" w:rsidRPr="00C257D6" w:rsidRDefault="00157823" w:rsidP="001E3C94">
      <w:pPr>
        <w:spacing w:after="0" w:line="360" w:lineRule="auto"/>
        <w:jc w:val="lowKashida"/>
        <w:rPr>
          <w:rFonts w:asciiTheme="majorBidi" w:eastAsia="Times New Roman" w:hAnsiTheme="majorBidi" w:cstheme="majorBidi"/>
          <w:b/>
          <w:bCs/>
          <w:i/>
          <w:sz w:val="24"/>
          <w:szCs w:val="24"/>
        </w:rPr>
      </w:pPr>
      <w:r w:rsidRPr="000972D1">
        <w:rPr>
          <w:rFonts w:asciiTheme="majorBidi" w:eastAsia="Times New Roman" w:hAnsiTheme="majorBidi" w:cstheme="majorBidi"/>
          <w:b/>
          <w:bCs/>
          <w:i/>
          <w:sz w:val="24"/>
          <w:szCs w:val="24"/>
        </w:rPr>
        <w:t xml:space="preserve">3.2. </w:t>
      </w:r>
      <w:r w:rsidR="00C81356" w:rsidRPr="000972D1">
        <w:rPr>
          <w:rFonts w:asciiTheme="majorBidi" w:eastAsia="Times New Roman" w:hAnsiTheme="majorBidi" w:cstheme="majorBidi"/>
          <w:b/>
          <w:bCs/>
          <w:i/>
          <w:sz w:val="24"/>
          <w:szCs w:val="24"/>
        </w:rPr>
        <w:t xml:space="preserve">Shareholding </w:t>
      </w:r>
      <w:r w:rsidR="006A75DD" w:rsidRPr="000972D1">
        <w:rPr>
          <w:rFonts w:asciiTheme="majorBidi" w:eastAsia="Times New Roman" w:hAnsiTheme="majorBidi" w:cstheme="majorBidi"/>
          <w:b/>
          <w:bCs/>
          <w:i/>
          <w:sz w:val="24"/>
          <w:szCs w:val="24"/>
        </w:rPr>
        <w:t xml:space="preserve">structure </w:t>
      </w:r>
      <w:r w:rsidR="00BA03EF" w:rsidRPr="000972D1">
        <w:rPr>
          <w:rFonts w:asciiTheme="majorBidi" w:eastAsia="Times New Roman" w:hAnsiTheme="majorBidi" w:cstheme="majorBidi"/>
          <w:b/>
          <w:bCs/>
          <w:i/>
          <w:sz w:val="24"/>
          <w:szCs w:val="24"/>
        </w:rPr>
        <w:t>and audit quality</w:t>
      </w:r>
      <w:r w:rsidR="00BA03EF" w:rsidRPr="00BA03EF">
        <w:rPr>
          <w:rFonts w:asciiTheme="majorBidi" w:eastAsia="Times New Roman" w:hAnsiTheme="majorBidi" w:cstheme="majorBidi"/>
          <w:b/>
          <w:bCs/>
          <w:i/>
          <w:sz w:val="24"/>
          <w:szCs w:val="24"/>
        </w:rPr>
        <w:t xml:space="preserve"> </w:t>
      </w:r>
    </w:p>
    <w:p w14:paraId="39979580" w14:textId="4F41811B" w:rsidR="00D535DF" w:rsidRPr="008E772B" w:rsidRDefault="00157823" w:rsidP="00F83A9E">
      <w:pPr>
        <w:spacing w:after="0" w:line="360" w:lineRule="auto"/>
        <w:jc w:val="lowKashida"/>
        <w:rPr>
          <w:rFonts w:asciiTheme="majorBidi" w:eastAsia="Times New Roman" w:hAnsiTheme="majorBidi" w:cstheme="majorBidi"/>
          <w:i/>
          <w:sz w:val="24"/>
          <w:szCs w:val="24"/>
        </w:rPr>
      </w:pPr>
      <w:r w:rsidRPr="00157823">
        <w:rPr>
          <w:rFonts w:asciiTheme="majorBidi" w:eastAsia="Times New Roman" w:hAnsiTheme="majorBidi" w:cstheme="majorBidi"/>
          <w:i/>
          <w:sz w:val="24"/>
          <w:szCs w:val="24"/>
        </w:rPr>
        <w:t>3.</w:t>
      </w:r>
      <w:r>
        <w:rPr>
          <w:rFonts w:asciiTheme="majorBidi" w:eastAsia="Times New Roman" w:hAnsiTheme="majorBidi" w:cstheme="majorBidi"/>
          <w:i/>
          <w:sz w:val="24"/>
          <w:szCs w:val="24"/>
        </w:rPr>
        <w:t>2</w:t>
      </w:r>
      <w:r w:rsidRPr="00157823">
        <w:rPr>
          <w:rFonts w:asciiTheme="majorBidi" w:eastAsia="Times New Roman" w:hAnsiTheme="majorBidi" w:cstheme="majorBidi"/>
          <w:i/>
          <w:sz w:val="24"/>
          <w:szCs w:val="24"/>
        </w:rPr>
        <w:t xml:space="preserve">.1. </w:t>
      </w:r>
      <w:r w:rsidR="007C4420" w:rsidRPr="008E772B">
        <w:rPr>
          <w:rFonts w:asciiTheme="majorBidi" w:eastAsia="Times New Roman" w:hAnsiTheme="majorBidi" w:cstheme="majorBidi"/>
          <w:i/>
          <w:sz w:val="24"/>
          <w:szCs w:val="24"/>
        </w:rPr>
        <w:t xml:space="preserve">Government </w:t>
      </w:r>
      <w:r w:rsidR="00C81356" w:rsidRPr="008E772B">
        <w:rPr>
          <w:rFonts w:asciiTheme="majorBidi" w:eastAsia="Times New Roman" w:hAnsiTheme="majorBidi" w:cstheme="majorBidi"/>
          <w:i/>
          <w:sz w:val="24"/>
          <w:szCs w:val="24"/>
        </w:rPr>
        <w:t>shareholding</w:t>
      </w:r>
      <w:r w:rsidR="006F46DC" w:rsidRPr="008E772B">
        <w:rPr>
          <w:rFonts w:asciiTheme="majorBidi" w:eastAsia="Times New Roman" w:hAnsiTheme="majorBidi" w:cstheme="majorBidi"/>
          <w:i/>
          <w:sz w:val="24"/>
          <w:szCs w:val="24"/>
        </w:rPr>
        <w:t xml:space="preserve"> and </w:t>
      </w:r>
      <w:r w:rsidR="00D5500D">
        <w:rPr>
          <w:rFonts w:asciiTheme="majorBidi" w:eastAsia="Times New Roman" w:hAnsiTheme="majorBidi" w:cstheme="majorBidi"/>
          <w:i/>
          <w:sz w:val="24"/>
          <w:szCs w:val="24"/>
        </w:rPr>
        <w:t xml:space="preserve">audit quality </w:t>
      </w:r>
    </w:p>
    <w:p w14:paraId="2463D348" w14:textId="15A7632A" w:rsidR="00DA71B9" w:rsidRDefault="007C4420" w:rsidP="00500126">
      <w:pPr>
        <w:spacing w:after="0" w:line="360" w:lineRule="auto"/>
        <w:jc w:val="lowKashida"/>
        <w:rPr>
          <w:rFonts w:asciiTheme="majorBidi" w:eastAsia="Times New Roman" w:hAnsiTheme="majorBidi" w:cstheme="majorBidi"/>
          <w:bCs/>
          <w:iCs/>
          <w:sz w:val="24"/>
          <w:szCs w:val="24"/>
        </w:rPr>
      </w:pPr>
      <w:r w:rsidRPr="008E772B">
        <w:rPr>
          <w:rFonts w:asciiTheme="majorBidi" w:eastAsia="Times New Roman" w:hAnsiTheme="majorBidi" w:cstheme="majorBidi"/>
          <w:b/>
          <w:bCs/>
          <w:sz w:val="24"/>
          <w:szCs w:val="24"/>
        </w:rPr>
        <w:t xml:space="preserve"> </w:t>
      </w:r>
      <w:r w:rsidR="00757584" w:rsidRPr="008E772B">
        <w:rPr>
          <w:rFonts w:asciiTheme="majorBidi" w:eastAsia="Times New Roman" w:hAnsiTheme="majorBidi" w:cstheme="majorBidi"/>
          <w:b/>
          <w:bCs/>
          <w:sz w:val="24"/>
          <w:szCs w:val="24"/>
        </w:rPr>
        <w:tab/>
      </w:r>
      <w:r w:rsidRPr="008E772B">
        <w:rPr>
          <w:rFonts w:asciiTheme="majorBidi" w:eastAsia="Times New Roman" w:hAnsiTheme="majorBidi" w:cstheme="majorBidi"/>
          <w:bCs/>
          <w:iCs/>
          <w:sz w:val="24"/>
          <w:szCs w:val="24"/>
        </w:rPr>
        <w:t>Corporations with high</w:t>
      </w:r>
      <w:r w:rsidR="00677BC1">
        <w:rPr>
          <w:rFonts w:asciiTheme="majorBidi" w:eastAsia="Times New Roman" w:hAnsiTheme="majorBidi" w:cstheme="majorBidi"/>
          <w:bCs/>
          <w:iCs/>
          <w:sz w:val="24"/>
          <w:szCs w:val="24"/>
        </w:rPr>
        <w:t>er</w:t>
      </w:r>
      <w:r w:rsidRPr="008E772B">
        <w:rPr>
          <w:rFonts w:asciiTheme="majorBidi" w:eastAsia="Times New Roman" w:hAnsiTheme="majorBidi" w:cstheme="majorBidi"/>
          <w:bCs/>
          <w:iCs/>
          <w:sz w:val="24"/>
          <w:szCs w:val="24"/>
        </w:rPr>
        <w:t xml:space="preserve"> government </w:t>
      </w:r>
      <w:r w:rsidR="00C81356" w:rsidRPr="008E772B">
        <w:rPr>
          <w:rFonts w:asciiTheme="majorBidi" w:eastAsia="Times New Roman" w:hAnsiTheme="majorBidi" w:cstheme="majorBidi"/>
          <w:bCs/>
          <w:sz w:val="24"/>
          <w:szCs w:val="24"/>
        </w:rPr>
        <w:t>shareholding</w:t>
      </w:r>
      <w:r w:rsidRPr="008E772B">
        <w:rPr>
          <w:rFonts w:asciiTheme="majorBidi" w:eastAsia="Times New Roman" w:hAnsiTheme="majorBidi" w:cstheme="majorBidi"/>
          <w:bCs/>
          <w:iCs/>
          <w:sz w:val="24"/>
          <w:szCs w:val="24"/>
        </w:rPr>
        <w:t xml:space="preserve"> </w:t>
      </w:r>
      <w:r w:rsidR="007839BF" w:rsidRPr="008E772B">
        <w:rPr>
          <w:rFonts w:asciiTheme="majorBidi" w:eastAsia="Times New Roman" w:hAnsiTheme="majorBidi" w:cstheme="majorBidi"/>
          <w:bCs/>
          <w:iCs/>
          <w:sz w:val="24"/>
          <w:szCs w:val="24"/>
        </w:rPr>
        <w:t>may seek to win</w:t>
      </w:r>
      <w:r w:rsidRPr="008E772B">
        <w:rPr>
          <w:rFonts w:asciiTheme="majorBidi" w:eastAsia="Times New Roman" w:hAnsiTheme="majorBidi" w:cstheme="majorBidi"/>
          <w:bCs/>
          <w:iCs/>
          <w:sz w:val="24"/>
          <w:szCs w:val="24"/>
        </w:rPr>
        <w:t xml:space="preserve"> government support by providing more transparent and trustworthy financial statements (Ntim </w:t>
      </w:r>
      <w:r w:rsidR="001C5247" w:rsidRPr="008E772B">
        <w:rPr>
          <w:rFonts w:asciiTheme="majorBidi" w:eastAsia="Times New Roman" w:hAnsiTheme="majorBidi" w:cstheme="majorBidi"/>
          <w:bCs/>
          <w:sz w:val="24"/>
          <w:szCs w:val="24"/>
        </w:rPr>
        <w:t>&amp;</w:t>
      </w:r>
      <w:r w:rsidR="00D1388B" w:rsidRPr="008E772B">
        <w:rPr>
          <w:rFonts w:asciiTheme="majorBidi" w:eastAsia="Times New Roman" w:hAnsiTheme="majorBidi" w:cstheme="majorBidi"/>
          <w:bCs/>
          <w:iCs/>
          <w:sz w:val="24"/>
          <w:szCs w:val="24"/>
        </w:rPr>
        <w:t xml:space="preserve"> Soobaroyen, 2013</w:t>
      </w:r>
      <w:r w:rsidRPr="008E772B">
        <w:rPr>
          <w:rFonts w:asciiTheme="majorBidi" w:eastAsia="Times New Roman" w:hAnsiTheme="majorBidi" w:cstheme="majorBidi"/>
          <w:bCs/>
          <w:iCs/>
          <w:sz w:val="24"/>
          <w:szCs w:val="24"/>
        </w:rPr>
        <w:t xml:space="preserve">). The winning of government support can be translated into legitimisation of corporate operations (Aguilera </w:t>
      </w:r>
      <w:r w:rsidRPr="008E772B">
        <w:rPr>
          <w:rFonts w:asciiTheme="majorBidi" w:eastAsia="Times New Roman" w:hAnsiTheme="majorBidi" w:cstheme="majorBidi"/>
          <w:bCs/>
          <w:i/>
          <w:iCs/>
          <w:sz w:val="24"/>
          <w:szCs w:val="24"/>
        </w:rPr>
        <w:t>et al</w:t>
      </w:r>
      <w:r w:rsidRPr="008E772B">
        <w:rPr>
          <w:rFonts w:asciiTheme="majorBidi" w:eastAsia="Times New Roman" w:hAnsiTheme="majorBidi" w:cstheme="majorBidi"/>
          <w:bCs/>
          <w:iCs/>
          <w:sz w:val="24"/>
          <w:szCs w:val="24"/>
        </w:rPr>
        <w:t>., 2007) and greater opportunity to acquire essential resources</w:t>
      </w:r>
      <w:r w:rsidR="00BF5533" w:rsidRPr="008E772B">
        <w:rPr>
          <w:rFonts w:asciiTheme="majorBidi" w:eastAsia="Times New Roman" w:hAnsiTheme="majorBidi" w:cstheme="majorBidi"/>
          <w:bCs/>
          <w:iCs/>
          <w:sz w:val="24"/>
          <w:szCs w:val="24"/>
        </w:rPr>
        <w:t>,</w:t>
      </w:r>
      <w:r w:rsidRPr="008E772B">
        <w:rPr>
          <w:rFonts w:asciiTheme="majorBidi" w:eastAsia="Times New Roman" w:hAnsiTheme="majorBidi" w:cstheme="majorBidi"/>
          <w:bCs/>
          <w:iCs/>
          <w:sz w:val="24"/>
          <w:szCs w:val="24"/>
        </w:rPr>
        <w:t xml:space="preserve"> such as subsidies, tax exemptions and contracts</w:t>
      </w:r>
      <w:r w:rsidR="00BF5533" w:rsidRPr="008E772B">
        <w:rPr>
          <w:rFonts w:asciiTheme="majorBidi" w:eastAsia="Times New Roman" w:hAnsiTheme="majorBidi" w:cstheme="majorBidi"/>
          <w:bCs/>
          <w:iCs/>
          <w:sz w:val="24"/>
          <w:szCs w:val="24"/>
        </w:rPr>
        <w:t xml:space="preserve"> </w:t>
      </w:r>
      <w:r w:rsidRPr="008E772B">
        <w:rPr>
          <w:rFonts w:asciiTheme="majorBidi" w:eastAsia="Times New Roman" w:hAnsiTheme="majorBidi" w:cstheme="majorBidi"/>
          <w:bCs/>
          <w:iCs/>
          <w:sz w:val="24"/>
          <w:szCs w:val="24"/>
        </w:rPr>
        <w:t>(</w:t>
      </w:r>
      <w:r w:rsidR="00E03BE7" w:rsidRPr="00602CB2">
        <w:rPr>
          <w:rFonts w:asciiTheme="majorBidi" w:eastAsia="Times New Roman" w:hAnsiTheme="majorBidi" w:cstheme="majorBidi"/>
          <w:bCs/>
          <w:iCs/>
          <w:sz w:val="24"/>
          <w:szCs w:val="24"/>
        </w:rPr>
        <w:t>Ben-Hassoun et al.</w:t>
      </w:r>
      <w:r w:rsidR="00E03BE7">
        <w:rPr>
          <w:rFonts w:asciiTheme="majorBidi" w:eastAsia="Times New Roman" w:hAnsiTheme="majorBidi" w:cstheme="majorBidi"/>
          <w:bCs/>
          <w:iCs/>
          <w:sz w:val="24"/>
          <w:szCs w:val="24"/>
        </w:rPr>
        <w:t xml:space="preserve">, </w:t>
      </w:r>
      <w:r w:rsidR="00E03BE7" w:rsidRPr="00602CB2">
        <w:rPr>
          <w:rFonts w:asciiTheme="majorBidi" w:eastAsia="Times New Roman" w:hAnsiTheme="majorBidi" w:cstheme="majorBidi"/>
          <w:bCs/>
          <w:iCs/>
          <w:sz w:val="24"/>
          <w:szCs w:val="24"/>
        </w:rPr>
        <w:t>2018</w:t>
      </w:r>
      <w:r w:rsidRPr="008E772B">
        <w:rPr>
          <w:rFonts w:asciiTheme="majorBidi" w:eastAsia="Times New Roman" w:hAnsiTheme="majorBidi" w:cstheme="majorBidi"/>
          <w:bCs/>
          <w:iCs/>
          <w:sz w:val="24"/>
          <w:szCs w:val="24"/>
        </w:rPr>
        <w:t>)</w:t>
      </w:r>
      <w:r w:rsidR="00BF5533" w:rsidRPr="008E772B">
        <w:rPr>
          <w:rFonts w:asciiTheme="majorBidi" w:eastAsia="Times New Roman" w:hAnsiTheme="majorBidi" w:cstheme="majorBidi"/>
          <w:bCs/>
          <w:iCs/>
          <w:sz w:val="24"/>
          <w:szCs w:val="24"/>
        </w:rPr>
        <w:t>, and thereby improving performance</w:t>
      </w:r>
      <w:r w:rsidRPr="008E772B">
        <w:rPr>
          <w:rFonts w:asciiTheme="majorBidi" w:eastAsia="Times New Roman" w:hAnsiTheme="majorBidi" w:cstheme="majorBidi"/>
          <w:bCs/>
          <w:iCs/>
          <w:sz w:val="24"/>
          <w:szCs w:val="24"/>
        </w:rPr>
        <w:t xml:space="preserve">. Additionally, corporations with higher government </w:t>
      </w:r>
      <w:r w:rsidR="00C81356" w:rsidRPr="008E772B">
        <w:rPr>
          <w:rFonts w:asciiTheme="majorBidi" w:eastAsia="Times New Roman" w:hAnsiTheme="majorBidi" w:cstheme="majorBidi"/>
          <w:bCs/>
          <w:sz w:val="24"/>
          <w:szCs w:val="24"/>
        </w:rPr>
        <w:t>shareholding</w:t>
      </w:r>
      <w:r w:rsidRPr="008E772B">
        <w:rPr>
          <w:rFonts w:asciiTheme="majorBidi" w:eastAsia="Times New Roman" w:hAnsiTheme="majorBidi" w:cstheme="majorBidi"/>
          <w:bCs/>
          <w:iCs/>
          <w:sz w:val="24"/>
          <w:szCs w:val="24"/>
        </w:rPr>
        <w:t xml:space="preserve"> face more agency conflict between government and other shareholders, and therefore prefer to conduct better and more extensive auditing </w:t>
      </w:r>
      <w:r w:rsidR="007E0C73" w:rsidRPr="008E772B">
        <w:rPr>
          <w:rFonts w:asciiTheme="majorBidi" w:eastAsia="Times New Roman" w:hAnsiTheme="majorBidi" w:cstheme="majorBidi"/>
          <w:bCs/>
          <w:iCs/>
          <w:sz w:val="24"/>
          <w:szCs w:val="24"/>
        </w:rPr>
        <w:t xml:space="preserve">in order </w:t>
      </w:r>
      <w:r w:rsidRPr="008E772B">
        <w:rPr>
          <w:rFonts w:asciiTheme="majorBidi" w:eastAsia="Times New Roman" w:hAnsiTheme="majorBidi" w:cstheme="majorBidi"/>
          <w:bCs/>
          <w:iCs/>
          <w:sz w:val="24"/>
          <w:szCs w:val="24"/>
        </w:rPr>
        <w:t xml:space="preserve">to </w:t>
      </w:r>
      <w:r w:rsidRPr="008E772B">
        <w:rPr>
          <w:rFonts w:asciiTheme="majorBidi" w:eastAsia="Times New Roman" w:hAnsiTheme="majorBidi" w:cstheme="majorBidi"/>
          <w:bCs/>
          <w:iCs/>
          <w:sz w:val="24"/>
          <w:szCs w:val="24"/>
        </w:rPr>
        <w:lastRenderedPageBreak/>
        <w:t xml:space="preserve">provide more informative financial statements (Al-Janadi </w:t>
      </w:r>
      <w:r w:rsidRPr="008E772B">
        <w:rPr>
          <w:rFonts w:asciiTheme="majorBidi" w:eastAsia="Times New Roman" w:hAnsiTheme="majorBidi" w:cstheme="majorBidi"/>
          <w:bCs/>
          <w:i/>
          <w:iCs/>
          <w:sz w:val="24"/>
          <w:szCs w:val="24"/>
        </w:rPr>
        <w:t>et al</w:t>
      </w:r>
      <w:r w:rsidRPr="008E772B">
        <w:rPr>
          <w:rFonts w:asciiTheme="majorBidi" w:eastAsia="Times New Roman" w:hAnsiTheme="majorBidi" w:cstheme="majorBidi"/>
          <w:bCs/>
          <w:iCs/>
          <w:sz w:val="24"/>
          <w:szCs w:val="24"/>
        </w:rPr>
        <w:t xml:space="preserve">., </w:t>
      </w:r>
      <w:r w:rsidR="00715B5C" w:rsidRPr="008E772B">
        <w:rPr>
          <w:rFonts w:asciiTheme="majorBidi" w:eastAsia="Times New Roman" w:hAnsiTheme="majorBidi" w:cstheme="majorBidi"/>
          <w:bCs/>
          <w:iCs/>
          <w:sz w:val="24"/>
          <w:szCs w:val="24"/>
        </w:rPr>
        <w:t>201</w:t>
      </w:r>
      <w:r w:rsidR="00715B5C">
        <w:rPr>
          <w:rFonts w:asciiTheme="majorBidi" w:eastAsia="Times New Roman" w:hAnsiTheme="majorBidi" w:cstheme="majorBidi"/>
          <w:bCs/>
          <w:iCs/>
          <w:sz w:val="24"/>
          <w:szCs w:val="24"/>
        </w:rPr>
        <w:t>6</w:t>
      </w:r>
      <w:r w:rsidRPr="008E772B">
        <w:rPr>
          <w:rFonts w:asciiTheme="majorBidi" w:eastAsia="Times New Roman" w:hAnsiTheme="majorBidi" w:cstheme="majorBidi"/>
          <w:bCs/>
          <w:iCs/>
          <w:sz w:val="24"/>
          <w:szCs w:val="24"/>
        </w:rPr>
        <w:t xml:space="preserve">; Al-Bassam </w:t>
      </w:r>
      <w:r w:rsidRPr="008E772B">
        <w:rPr>
          <w:rFonts w:asciiTheme="majorBidi" w:eastAsia="Times New Roman" w:hAnsiTheme="majorBidi" w:cstheme="majorBidi"/>
          <w:bCs/>
          <w:i/>
          <w:iCs/>
          <w:sz w:val="24"/>
          <w:szCs w:val="24"/>
        </w:rPr>
        <w:t>et al</w:t>
      </w:r>
      <w:r w:rsidRPr="008E772B">
        <w:rPr>
          <w:rFonts w:asciiTheme="majorBidi" w:eastAsia="Times New Roman" w:hAnsiTheme="majorBidi" w:cstheme="majorBidi"/>
          <w:bCs/>
          <w:iCs/>
          <w:sz w:val="24"/>
          <w:szCs w:val="24"/>
        </w:rPr>
        <w:t xml:space="preserve">., </w:t>
      </w:r>
      <w:r w:rsidR="00594CA4" w:rsidRPr="008E772B">
        <w:rPr>
          <w:rFonts w:asciiTheme="majorBidi" w:eastAsia="Times New Roman" w:hAnsiTheme="majorBidi" w:cstheme="majorBidi"/>
          <w:bCs/>
          <w:iCs/>
          <w:sz w:val="24"/>
          <w:szCs w:val="24"/>
        </w:rPr>
        <w:t>201</w:t>
      </w:r>
      <w:r w:rsidR="00594CA4">
        <w:rPr>
          <w:rFonts w:asciiTheme="majorBidi" w:eastAsia="Times New Roman" w:hAnsiTheme="majorBidi" w:cstheme="majorBidi"/>
          <w:bCs/>
          <w:iCs/>
          <w:sz w:val="24"/>
          <w:szCs w:val="24"/>
        </w:rPr>
        <w:t>8</w:t>
      </w:r>
      <w:r w:rsidR="00417415">
        <w:rPr>
          <w:rFonts w:asciiTheme="majorBidi" w:eastAsia="Times New Roman" w:hAnsiTheme="majorBidi" w:cstheme="majorBidi"/>
          <w:bCs/>
          <w:iCs/>
          <w:sz w:val="24"/>
          <w:szCs w:val="24"/>
        </w:rPr>
        <w:t xml:space="preserve">; </w:t>
      </w:r>
      <w:r w:rsidR="00417415" w:rsidRPr="00BA444A">
        <w:rPr>
          <w:rFonts w:asciiTheme="majorBidi" w:eastAsia="Times New Roman" w:hAnsiTheme="majorBidi" w:cstheme="majorBidi"/>
          <w:bCs/>
          <w:sz w:val="24"/>
          <w:szCs w:val="24"/>
        </w:rPr>
        <w:t>Barroso et al., 2018</w:t>
      </w:r>
      <w:r w:rsidRPr="008E772B">
        <w:rPr>
          <w:rFonts w:asciiTheme="majorBidi" w:eastAsia="Times New Roman" w:hAnsiTheme="majorBidi" w:cstheme="majorBidi"/>
          <w:bCs/>
          <w:iCs/>
          <w:sz w:val="24"/>
          <w:szCs w:val="24"/>
        </w:rPr>
        <w:t>). However, government agencies can exercise a substantial influence over government-controlled firms</w:t>
      </w:r>
      <w:r w:rsidR="00DD72F3">
        <w:rPr>
          <w:rFonts w:asciiTheme="majorBidi" w:eastAsia="Times New Roman" w:hAnsiTheme="majorBidi" w:cstheme="majorBidi"/>
          <w:bCs/>
          <w:iCs/>
          <w:sz w:val="24"/>
          <w:szCs w:val="24"/>
        </w:rPr>
        <w:t xml:space="preserve"> (</w:t>
      </w:r>
      <w:r w:rsidR="00DD72F3" w:rsidRPr="00DD72F3">
        <w:rPr>
          <w:rFonts w:asciiTheme="majorBidi" w:eastAsia="Times New Roman" w:hAnsiTheme="majorBidi" w:cstheme="majorBidi"/>
          <w:bCs/>
          <w:iCs/>
          <w:sz w:val="24"/>
          <w:szCs w:val="24"/>
        </w:rPr>
        <w:t xml:space="preserve">mainly through additional board </w:t>
      </w:r>
      <w:r w:rsidR="00DD72F3">
        <w:rPr>
          <w:rFonts w:asciiTheme="majorBidi" w:eastAsia="Times New Roman" w:hAnsiTheme="majorBidi" w:cstheme="majorBidi"/>
          <w:bCs/>
          <w:iCs/>
          <w:sz w:val="24"/>
          <w:szCs w:val="24"/>
        </w:rPr>
        <w:t>members)</w:t>
      </w:r>
      <w:r w:rsidRPr="008E772B">
        <w:rPr>
          <w:rFonts w:asciiTheme="majorBidi" w:eastAsia="Times New Roman" w:hAnsiTheme="majorBidi" w:cstheme="majorBidi"/>
          <w:bCs/>
          <w:iCs/>
          <w:sz w:val="24"/>
          <w:szCs w:val="24"/>
        </w:rPr>
        <w:t xml:space="preserve">, and can readily </w:t>
      </w:r>
      <w:r w:rsidR="00BB540C">
        <w:rPr>
          <w:rFonts w:asciiTheme="majorBidi" w:eastAsia="Times New Roman" w:hAnsiTheme="majorBidi" w:cstheme="majorBidi"/>
          <w:bCs/>
          <w:iCs/>
          <w:sz w:val="24"/>
          <w:szCs w:val="24"/>
        </w:rPr>
        <w:t xml:space="preserve">have </w:t>
      </w:r>
      <w:r w:rsidRPr="008E772B">
        <w:rPr>
          <w:rFonts w:asciiTheme="majorBidi" w:eastAsia="Times New Roman" w:hAnsiTheme="majorBidi" w:cstheme="majorBidi"/>
          <w:bCs/>
          <w:iCs/>
          <w:sz w:val="24"/>
          <w:szCs w:val="24"/>
        </w:rPr>
        <w:t>access</w:t>
      </w:r>
      <w:r w:rsidR="00BB540C">
        <w:rPr>
          <w:rFonts w:asciiTheme="majorBidi" w:eastAsia="Times New Roman" w:hAnsiTheme="majorBidi" w:cstheme="majorBidi"/>
          <w:bCs/>
          <w:iCs/>
          <w:sz w:val="24"/>
          <w:szCs w:val="24"/>
        </w:rPr>
        <w:t xml:space="preserve"> to</w:t>
      </w:r>
      <w:r w:rsidRPr="008E772B">
        <w:rPr>
          <w:rFonts w:asciiTheme="majorBidi" w:eastAsia="Times New Roman" w:hAnsiTheme="majorBidi" w:cstheme="majorBidi"/>
          <w:bCs/>
          <w:iCs/>
          <w:sz w:val="24"/>
          <w:szCs w:val="24"/>
        </w:rPr>
        <w:t xml:space="preserve"> the firm’s </w:t>
      </w:r>
      <w:r w:rsidR="00417415">
        <w:rPr>
          <w:rFonts w:asciiTheme="majorBidi" w:eastAsia="Times New Roman" w:hAnsiTheme="majorBidi" w:cstheme="majorBidi"/>
          <w:bCs/>
          <w:iCs/>
          <w:sz w:val="24"/>
          <w:szCs w:val="24"/>
        </w:rPr>
        <w:t xml:space="preserve">private </w:t>
      </w:r>
      <w:r w:rsidRPr="008E772B">
        <w:rPr>
          <w:rFonts w:asciiTheme="majorBidi" w:eastAsia="Times New Roman" w:hAnsiTheme="majorBidi" w:cstheme="majorBidi"/>
          <w:bCs/>
          <w:iCs/>
          <w:sz w:val="24"/>
          <w:szCs w:val="24"/>
        </w:rPr>
        <w:t>information (Ch</w:t>
      </w:r>
      <w:r w:rsidR="00E46D17" w:rsidRPr="008E772B">
        <w:rPr>
          <w:rFonts w:asciiTheme="majorBidi" w:eastAsia="Times New Roman" w:hAnsiTheme="majorBidi" w:cstheme="majorBidi"/>
          <w:bCs/>
          <w:iCs/>
          <w:sz w:val="24"/>
          <w:szCs w:val="24"/>
        </w:rPr>
        <w:t>a</w:t>
      </w:r>
      <w:r w:rsidRPr="008E772B">
        <w:rPr>
          <w:rFonts w:asciiTheme="majorBidi" w:eastAsia="Times New Roman" w:hAnsiTheme="majorBidi" w:cstheme="majorBidi"/>
          <w:bCs/>
          <w:iCs/>
          <w:sz w:val="24"/>
          <w:szCs w:val="24"/>
        </w:rPr>
        <w:t xml:space="preserve">n </w:t>
      </w:r>
      <w:r w:rsidRPr="008E772B">
        <w:rPr>
          <w:rFonts w:asciiTheme="majorBidi" w:eastAsia="Times New Roman" w:hAnsiTheme="majorBidi" w:cstheme="majorBidi"/>
          <w:bCs/>
          <w:i/>
          <w:iCs/>
          <w:sz w:val="24"/>
          <w:szCs w:val="24"/>
        </w:rPr>
        <w:t>et al</w:t>
      </w:r>
      <w:r w:rsidRPr="008E772B">
        <w:rPr>
          <w:rFonts w:asciiTheme="majorBidi" w:eastAsia="Times New Roman" w:hAnsiTheme="majorBidi" w:cstheme="majorBidi"/>
          <w:bCs/>
          <w:iCs/>
          <w:sz w:val="24"/>
          <w:szCs w:val="24"/>
        </w:rPr>
        <w:t>., 2006</w:t>
      </w:r>
      <w:r w:rsidR="00417415">
        <w:rPr>
          <w:rFonts w:asciiTheme="majorBidi" w:eastAsia="Times New Roman" w:hAnsiTheme="majorBidi" w:cstheme="majorBidi"/>
          <w:bCs/>
          <w:iCs/>
          <w:sz w:val="24"/>
          <w:szCs w:val="24"/>
        </w:rPr>
        <w:t xml:space="preserve">; </w:t>
      </w:r>
      <w:r w:rsidR="00417415" w:rsidRPr="00BA444A">
        <w:rPr>
          <w:rFonts w:asciiTheme="majorBidi" w:eastAsia="Times New Roman" w:hAnsiTheme="majorBidi" w:cstheme="majorBidi"/>
          <w:bCs/>
          <w:sz w:val="24"/>
          <w:szCs w:val="24"/>
        </w:rPr>
        <w:t xml:space="preserve">Barroso </w:t>
      </w:r>
      <w:r w:rsidR="00417415" w:rsidRPr="002513C0">
        <w:rPr>
          <w:rFonts w:asciiTheme="majorBidi" w:eastAsia="Times New Roman" w:hAnsiTheme="majorBidi" w:cstheme="majorBidi"/>
          <w:bCs/>
          <w:i/>
          <w:iCs/>
          <w:sz w:val="24"/>
          <w:szCs w:val="24"/>
        </w:rPr>
        <w:t>et al</w:t>
      </w:r>
      <w:r w:rsidR="00417415" w:rsidRPr="00BA444A">
        <w:rPr>
          <w:rFonts w:asciiTheme="majorBidi" w:eastAsia="Times New Roman" w:hAnsiTheme="majorBidi" w:cstheme="majorBidi"/>
          <w:bCs/>
          <w:sz w:val="24"/>
          <w:szCs w:val="24"/>
        </w:rPr>
        <w:t>., 2018</w:t>
      </w:r>
      <w:r w:rsidRPr="008E772B">
        <w:rPr>
          <w:rFonts w:asciiTheme="majorBidi" w:eastAsia="Times New Roman" w:hAnsiTheme="majorBidi" w:cstheme="majorBidi"/>
          <w:bCs/>
          <w:iCs/>
          <w:sz w:val="24"/>
          <w:szCs w:val="24"/>
        </w:rPr>
        <w:t xml:space="preserve">). </w:t>
      </w:r>
      <w:r w:rsidR="00455B60">
        <w:rPr>
          <w:rFonts w:asciiTheme="majorBidi" w:eastAsia="Times New Roman" w:hAnsiTheme="majorBidi" w:cstheme="majorBidi"/>
          <w:bCs/>
          <w:iCs/>
          <w:sz w:val="24"/>
          <w:szCs w:val="24"/>
        </w:rPr>
        <w:t>Accordingly,</w:t>
      </w:r>
      <w:r w:rsidR="00455B60" w:rsidRPr="00455B60">
        <w:rPr>
          <w:rFonts w:asciiTheme="majorBidi" w:eastAsia="Times New Roman" w:hAnsiTheme="majorBidi" w:cstheme="majorBidi"/>
          <w:bCs/>
          <w:iCs/>
          <w:sz w:val="24"/>
          <w:szCs w:val="24"/>
        </w:rPr>
        <w:t xml:space="preserve"> </w:t>
      </w:r>
      <w:r w:rsidR="00455B60">
        <w:rPr>
          <w:rFonts w:asciiTheme="majorBidi" w:eastAsia="Times New Roman" w:hAnsiTheme="majorBidi" w:cstheme="majorBidi"/>
          <w:bCs/>
          <w:iCs/>
          <w:sz w:val="24"/>
          <w:szCs w:val="24"/>
        </w:rPr>
        <w:t>t</w:t>
      </w:r>
      <w:r w:rsidR="00EA71F2" w:rsidRPr="00EA71F2">
        <w:rPr>
          <w:rFonts w:asciiTheme="majorBidi" w:eastAsia="Times New Roman" w:hAnsiTheme="majorBidi" w:cstheme="majorBidi"/>
          <w:bCs/>
          <w:iCs/>
          <w:sz w:val="24"/>
          <w:szCs w:val="24"/>
        </w:rPr>
        <w:t>hey</w:t>
      </w:r>
      <w:r w:rsidR="003A2CC0">
        <w:rPr>
          <w:rFonts w:asciiTheme="majorBidi" w:eastAsia="Times New Roman" w:hAnsiTheme="majorBidi" w:cstheme="majorBidi"/>
          <w:bCs/>
          <w:iCs/>
          <w:sz w:val="24"/>
          <w:szCs w:val="24"/>
        </w:rPr>
        <w:t xml:space="preserve"> tend to</w:t>
      </w:r>
      <w:r w:rsidR="00EA71F2" w:rsidRPr="00EA71F2">
        <w:rPr>
          <w:rFonts w:asciiTheme="majorBidi" w:eastAsia="Times New Roman" w:hAnsiTheme="majorBidi" w:cstheme="majorBidi"/>
          <w:bCs/>
          <w:iCs/>
          <w:sz w:val="24"/>
          <w:szCs w:val="24"/>
        </w:rPr>
        <w:t xml:space="preserve"> focus more on direct monitoring (Desender </w:t>
      </w:r>
      <w:r w:rsidR="00EA71F2" w:rsidRPr="002513C0">
        <w:rPr>
          <w:rFonts w:asciiTheme="majorBidi" w:eastAsia="Times New Roman" w:hAnsiTheme="majorBidi" w:cstheme="majorBidi"/>
          <w:bCs/>
          <w:i/>
          <w:iCs/>
          <w:sz w:val="24"/>
          <w:szCs w:val="24"/>
        </w:rPr>
        <w:t>et al</w:t>
      </w:r>
      <w:r w:rsidR="00EA71F2" w:rsidRPr="00EA71F2">
        <w:rPr>
          <w:rFonts w:asciiTheme="majorBidi" w:eastAsia="Times New Roman" w:hAnsiTheme="majorBidi" w:cstheme="majorBidi"/>
          <w:bCs/>
          <w:iCs/>
          <w:sz w:val="24"/>
          <w:szCs w:val="24"/>
        </w:rPr>
        <w:t>., 2013)</w:t>
      </w:r>
      <w:r w:rsidR="00455B60">
        <w:rPr>
          <w:rFonts w:asciiTheme="majorBidi" w:eastAsia="Times New Roman" w:hAnsiTheme="majorBidi" w:cstheme="majorBidi"/>
          <w:bCs/>
          <w:iCs/>
          <w:sz w:val="24"/>
          <w:szCs w:val="24"/>
        </w:rPr>
        <w:t>.</w:t>
      </w:r>
      <w:r w:rsidR="00EA71F2" w:rsidRPr="00EA71F2">
        <w:rPr>
          <w:rFonts w:asciiTheme="majorBidi" w:eastAsia="Times New Roman" w:hAnsiTheme="majorBidi" w:cstheme="majorBidi"/>
          <w:bCs/>
          <w:iCs/>
          <w:sz w:val="24"/>
          <w:szCs w:val="24"/>
        </w:rPr>
        <w:t xml:space="preserve"> </w:t>
      </w:r>
      <w:r w:rsidRPr="008E772B">
        <w:rPr>
          <w:rFonts w:asciiTheme="majorBidi" w:eastAsia="Times New Roman" w:hAnsiTheme="majorBidi" w:cstheme="majorBidi"/>
          <w:bCs/>
          <w:iCs/>
          <w:sz w:val="24"/>
          <w:szCs w:val="24"/>
        </w:rPr>
        <w:t xml:space="preserve">Therefore, firms with high government </w:t>
      </w:r>
      <w:r w:rsidR="00C81356" w:rsidRPr="008E772B">
        <w:rPr>
          <w:rFonts w:asciiTheme="majorBidi" w:eastAsia="Times New Roman" w:hAnsiTheme="majorBidi" w:cstheme="majorBidi"/>
          <w:bCs/>
          <w:sz w:val="24"/>
          <w:szCs w:val="24"/>
        </w:rPr>
        <w:t>shareholding</w:t>
      </w:r>
      <w:r w:rsidRPr="008E772B">
        <w:rPr>
          <w:rFonts w:asciiTheme="majorBidi" w:eastAsia="Times New Roman" w:hAnsiTheme="majorBidi" w:cstheme="majorBidi"/>
          <w:bCs/>
          <w:iCs/>
          <w:sz w:val="24"/>
          <w:szCs w:val="24"/>
        </w:rPr>
        <w:t xml:space="preserve"> have </w:t>
      </w:r>
      <w:r w:rsidR="00942C84" w:rsidRPr="008E772B">
        <w:rPr>
          <w:rFonts w:asciiTheme="majorBidi" w:eastAsia="Times New Roman" w:hAnsiTheme="majorBidi" w:cstheme="majorBidi"/>
          <w:bCs/>
          <w:iCs/>
          <w:sz w:val="24"/>
          <w:szCs w:val="24"/>
        </w:rPr>
        <w:t>less</w:t>
      </w:r>
      <w:r w:rsidRPr="008E772B">
        <w:rPr>
          <w:rFonts w:asciiTheme="majorBidi" w:eastAsia="Times New Roman" w:hAnsiTheme="majorBidi" w:cstheme="majorBidi"/>
          <w:bCs/>
          <w:iCs/>
          <w:sz w:val="24"/>
          <w:szCs w:val="24"/>
        </w:rPr>
        <w:t xml:space="preserve"> incentive to provide highly credible financial reports</w:t>
      </w:r>
      <w:r w:rsidR="007F4EBE" w:rsidRPr="007F4EBE">
        <w:rPr>
          <w:rFonts w:asciiTheme="majorBidi" w:eastAsia="Times New Roman" w:hAnsiTheme="majorBidi" w:cstheme="majorBidi"/>
          <w:bCs/>
          <w:iCs/>
          <w:sz w:val="24"/>
          <w:szCs w:val="24"/>
        </w:rPr>
        <w:t xml:space="preserve"> to monitor management and reduce information asymmetries</w:t>
      </w:r>
      <w:r w:rsidR="00D240BE">
        <w:rPr>
          <w:rFonts w:asciiTheme="majorBidi" w:eastAsia="Times New Roman" w:hAnsiTheme="majorBidi" w:cstheme="majorBidi"/>
          <w:bCs/>
          <w:iCs/>
          <w:sz w:val="24"/>
          <w:szCs w:val="24"/>
        </w:rPr>
        <w:t>,</w:t>
      </w:r>
      <w:r w:rsidRPr="008E772B">
        <w:rPr>
          <w:rFonts w:asciiTheme="majorBidi" w:eastAsia="Times New Roman" w:hAnsiTheme="majorBidi" w:cstheme="majorBidi"/>
          <w:bCs/>
          <w:iCs/>
          <w:sz w:val="24"/>
          <w:szCs w:val="24"/>
        </w:rPr>
        <w:t xml:space="preserve"> and thus are less likely to choose high-quality audit firms,</w:t>
      </w:r>
      <w:r w:rsidR="007E0C73" w:rsidRPr="008E772B">
        <w:rPr>
          <w:rFonts w:asciiTheme="majorBidi" w:eastAsia="Times New Roman" w:hAnsiTheme="majorBidi" w:cstheme="majorBidi"/>
          <w:bCs/>
          <w:iCs/>
          <w:sz w:val="24"/>
          <w:szCs w:val="24"/>
        </w:rPr>
        <w:t xml:space="preserve"> and thereby</w:t>
      </w:r>
      <w:r w:rsidRPr="008E772B">
        <w:rPr>
          <w:rFonts w:asciiTheme="majorBidi" w:eastAsia="Times New Roman" w:hAnsiTheme="majorBidi" w:cstheme="majorBidi"/>
          <w:bCs/>
          <w:iCs/>
          <w:sz w:val="24"/>
          <w:szCs w:val="24"/>
        </w:rPr>
        <w:t xml:space="preserve"> preferring to pay lower fees (Lin </w:t>
      </w:r>
      <w:r w:rsidR="001C5247" w:rsidRPr="008E772B">
        <w:rPr>
          <w:rFonts w:asciiTheme="majorBidi" w:eastAsia="Times New Roman" w:hAnsiTheme="majorBidi" w:cstheme="majorBidi"/>
          <w:bCs/>
          <w:sz w:val="24"/>
          <w:szCs w:val="24"/>
        </w:rPr>
        <w:t>&amp;</w:t>
      </w:r>
      <w:r w:rsidRPr="008E772B">
        <w:rPr>
          <w:rFonts w:asciiTheme="majorBidi" w:eastAsia="Times New Roman" w:hAnsiTheme="majorBidi" w:cstheme="majorBidi"/>
          <w:bCs/>
          <w:iCs/>
          <w:sz w:val="24"/>
          <w:szCs w:val="24"/>
        </w:rPr>
        <w:t xml:space="preserve"> Liu, 2010</w:t>
      </w:r>
      <w:r w:rsidR="00822686">
        <w:rPr>
          <w:rFonts w:asciiTheme="majorBidi" w:eastAsia="Times New Roman" w:hAnsiTheme="majorBidi" w:cstheme="majorBidi"/>
          <w:bCs/>
          <w:iCs/>
          <w:sz w:val="24"/>
          <w:szCs w:val="24"/>
        </w:rPr>
        <w:t xml:space="preserve">; </w:t>
      </w:r>
      <w:r w:rsidR="00822686" w:rsidRPr="00602CB2">
        <w:rPr>
          <w:rFonts w:asciiTheme="majorBidi" w:eastAsia="Times New Roman" w:hAnsiTheme="majorBidi" w:cstheme="majorBidi"/>
          <w:bCs/>
          <w:iCs/>
          <w:sz w:val="24"/>
          <w:szCs w:val="24"/>
        </w:rPr>
        <w:t xml:space="preserve">Ben-Hassoun </w:t>
      </w:r>
      <w:r w:rsidR="00822686" w:rsidRPr="002513C0">
        <w:rPr>
          <w:rFonts w:asciiTheme="majorBidi" w:eastAsia="Times New Roman" w:hAnsiTheme="majorBidi" w:cstheme="majorBidi"/>
          <w:bCs/>
          <w:i/>
          <w:iCs/>
          <w:sz w:val="24"/>
          <w:szCs w:val="24"/>
        </w:rPr>
        <w:t>et al</w:t>
      </w:r>
      <w:r w:rsidR="00822686" w:rsidRPr="00602CB2">
        <w:rPr>
          <w:rFonts w:asciiTheme="majorBidi" w:eastAsia="Times New Roman" w:hAnsiTheme="majorBidi" w:cstheme="majorBidi"/>
          <w:bCs/>
          <w:iCs/>
          <w:sz w:val="24"/>
          <w:szCs w:val="24"/>
        </w:rPr>
        <w:t>.</w:t>
      </w:r>
      <w:r w:rsidR="00822686">
        <w:rPr>
          <w:rFonts w:asciiTheme="majorBidi" w:eastAsia="Times New Roman" w:hAnsiTheme="majorBidi" w:cstheme="majorBidi"/>
          <w:bCs/>
          <w:iCs/>
          <w:sz w:val="24"/>
          <w:szCs w:val="24"/>
        </w:rPr>
        <w:t>,</w:t>
      </w:r>
      <w:r w:rsidR="00822686" w:rsidRPr="00602CB2">
        <w:rPr>
          <w:rFonts w:asciiTheme="majorBidi" w:eastAsia="Times New Roman" w:hAnsiTheme="majorBidi" w:cstheme="majorBidi"/>
          <w:bCs/>
          <w:iCs/>
          <w:sz w:val="24"/>
          <w:szCs w:val="24"/>
        </w:rPr>
        <w:t xml:space="preserve"> 2018</w:t>
      </w:r>
      <w:r w:rsidR="00417415">
        <w:rPr>
          <w:rFonts w:asciiTheme="majorBidi" w:eastAsia="Times New Roman" w:hAnsiTheme="majorBidi" w:cstheme="majorBidi"/>
          <w:bCs/>
          <w:iCs/>
          <w:sz w:val="24"/>
          <w:szCs w:val="24"/>
        </w:rPr>
        <w:t xml:space="preserve">; </w:t>
      </w:r>
      <w:r w:rsidR="00417415" w:rsidRPr="00BA444A">
        <w:rPr>
          <w:rFonts w:asciiTheme="majorBidi" w:eastAsia="Times New Roman" w:hAnsiTheme="majorBidi" w:cstheme="majorBidi"/>
          <w:bCs/>
          <w:sz w:val="24"/>
          <w:szCs w:val="24"/>
        </w:rPr>
        <w:t xml:space="preserve">Barroso </w:t>
      </w:r>
      <w:r w:rsidR="00417415" w:rsidRPr="002513C0">
        <w:rPr>
          <w:rFonts w:asciiTheme="majorBidi" w:eastAsia="Times New Roman" w:hAnsiTheme="majorBidi" w:cstheme="majorBidi"/>
          <w:bCs/>
          <w:i/>
          <w:iCs/>
          <w:sz w:val="24"/>
          <w:szCs w:val="24"/>
        </w:rPr>
        <w:t>et al.</w:t>
      </w:r>
      <w:r w:rsidR="00417415" w:rsidRPr="00BA444A">
        <w:rPr>
          <w:rFonts w:asciiTheme="majorBidi" w:eastAsia="Times New Roman" w:hAnsiTheme="majorBidi" w:cstheme="majorBidi"/>
          <w:bCs/>
          <w:sz w:val="24"/>
          <w:szCs w:val="24"/>
        </w:rPr>
        <w:t>, 2018</w:t>
      </w:r>
      <w:r w:rsidRPr="008E772B">
        <w:rPr>
          <w:rFonts w:asciiTheme="majorBidi" w:eastAsia="Times New Roman" w:hAnsiTheme="majorBidi" w:cstheme="majorBidi"/>
          <w:bCs/>
          <w:iCs/>
          <w:sz w:val="24"/>
          <w:szCs w:val="24"/>
        </w:rPr>
        <w:t xml:space="preserve">). Likewise, some studies argue that higher levels of state </w:t>
      </w:r>
      <w:r w:rsidR="00C81356" w:rsidRPr="008E772B">
        <w:rPr>
          <w:rFonts w:asciiTheme="majorBidi" w:eastAsia="Times New Roman" w:hAnsiTheme="majorBidi" w:cstheme="majorBidi"/>
          <w:bCs/>
          <w:sz w:val="24"/>
          <w:szCs w:val="24"/>
        </w:rPr>
        <w:t>shareholding</w:t>
      </w:r>
      <w:r w:rsidRPr="008E772B">
        <w:rPr>
          <w:rFonts w:asciiTheme="majorBidi" w:eastAsia="Times New Roman" w:hAnsiTheme="majorBidi" w:cstheme="majorBidi"/>
          <w:bCs/>
          <w:iCs/>
          <w:sz w:val="24"/>
          <w:szCs w:val="24"/>
        </w:rPr>
        <w:t xml:space="preserve">, with wide and powerful political connections, provide protection against review and discipline by regulatory authorities (e.g., Hou </w:t>
      </w:r>
      <w:r w:rsidR="001C5247" w:rsidRPr="008E772B">
        <w:rPr>
          <w:rFonts w:asciiTheme="majorBidi" w:eastAsia="Times New Roman" w:hAnsiTheme="majorBidi" w:cstheme="majorBidi"/>
          <w:bCs/>
          <w:iCs/>
          <w:sz w:val="24"/>
          <w:szCs w:val="24"/>
        </w:rPr>
        <w:t>&amp;</w:t>
      </w:r>
      <w:r w:rsidRPr="008E772B">
        <w:rPr>
          <w:rFonts w:asciiTheme="majorBidi" w:eastAsia="Times New Roman" w:hAnsiTheme="majorBidi" w:cstheme="majorBidi"/>
          <w:bCs/>
          <w:iCs/>
          <w:sz w:val="24"/>
          <w:szCs w:val="24"/>
        </w:rPr>
        <w:t xml:space="preserve"> Moore, 2010). Consequently, firms with high government </w:t>
      </w:r>
      <w:r w:rsidR="00C81356" w:rsidRPr="008E772B">
        <w:rPr>
          <w:rFonts w:asciiTheme="majorBidi" w:eastAsia="Times New Roman" w:hAnsiTheme="majorBidi" w:cstheme="majorBidi"/>
          <w:bCs/>
          <w:sz w:val="24"/>
          <w:szCs w:val="24"/>
        </w:rPr>
        <w:t>shareholding</w:t>
      </w:r>
      <w:r w:rsidRPr="008E772B">
        <w:rPr>
          <w:rFonts w:asciiTheme="majorBidi" w:eastAsia="Times New Roman" w:hAnsiTheme="majorBidi" w:cstheme="majorBidi"/>
          <w:bCs/>
          <w:iCs/>
          <w:sz w:val="24"/>
          <w:szCs w:val="24"/>
        </w:rPr>
        <w:t xml:space="preserve"> are less likely </w:t>
      </w:r>
      <w:r w:rsidR="00455B60">
        <w:rPr>
          <w:rFonts w:asciiTheme="majorBidi" w:eastAsia="Times New Roman" w:hAnsiTheme="majorBidi" w:cstheme="majorBidi"/>
          <w:bCs/>
          <w:iCs/>
          <w:sz w:val="24"/>
          <w:szCs w:val="24"/>
        </w:rPr>
        <w:t>w</w:t>
      </w:r>
      <w:r w:rsidR="003A2CC0">
        <w:rPr>
          <w:rFonts w:asciiTheme="majorBidi" w:eastAsia="Times New Roman" w:hAnsiTheme="majorBidi" w:cstheme="majorBidi"/>
          <w:bCs/>
          <w:iCs/>
          <w:sz w:val="24"/>
          <w:szCs w:val="24"/>
        </w:rPr>
        <w:t>i</w:t>
      </w:r>
      <w:r w:rsidR="00455B60">
        <w:rPr>
          <w:rFonts w:asciiTheme="majorBidi" w:eastAsia="Times New Roman" w:hAnsiTheme="majorBidi" w:cstheme="majorBidi"/>
          <w:bCs/>
          <w:iCs/>
          <w:sz w:val="24"/>
          <w:szCs w:val="24"/>
        </w:rPr>
        <w:t xml:space="preserve">lling </w:t>
      </w:r>
      <w:r w:rsidRPr="008E772B">
        <w:rPr>
          <w:rFonts w:asciiTheme="majorBidi" w:eastAsia="Times New Roman" w:hAnsiTheme="majorBidi" w:cstheme="majorBidi"/>
          <w:bCs/>
          <w:iCs/>
          <w:sz w:val="24"/>
          <w:szCs w:val="24"/>
        </w:rPr>
        <w:t>to be extensively monito</w:t>
      </w:r>
      <w:r w:rsidR="00615B45" w:rsidRPr="008E772B">
        <w:rPr>
          <w:rFonts w:asciiTheme="majorBidi" w:eastAsia="Times New Roman" w:hAnsiTheme="majorBidi" w:cstheme="majorBidi"/>
          <w:bCs/>
          <w:iCs/>
          <w:sz w:val="24"/>
          <w:szCs w:val="24"/>
        </w:rPr>
        <w:t xml:space="preserve">red by </w:t>
      </w:r>
      <w:r w:rsidR="00D80349">
        <w:rPr>
          <w:rFonts w:asciiTheme="majorBidi" w:eastAsia="Times New Roman" w:hAnsiTheme="majorBidi" w:cstheme="majorBidi"/>
          <w:bCs/>
          <w:iCs/>
          <w:sz w:val="24"/>
          <w:szCs w:val="24"/>
        </w:rPr>
        <w:t>high</w:t>
      </w:r>
      <w:r w:rsidR="00615B45" w:rsidRPr="008E772B">
        <w:rPr>
          <w:rFonts w:asciiTheme="majorBidi" w:eastAsia="Times New Roman" w:hAnsiTheme="majorBidi" w:cstheme="majorBidi"/>
          <w:bCs/>
          <w:iCs/>
          <w:sz w:val="24"/>
          <w:szCs w:val="24"/>
        </w:rPr>
        <w:t xml:space="preserve">-quality </w:t>
      </w:r>
      <w:r w:rsidR="00EC69B7">
        <w:rPr>
          <w:rFonts w:asciiTheme="majorBidi" w:eastAsia="Times New Roman" w:hAnsiTheme="majorBidi" w:cstheme="majorBidi"/>
          <w:bCs/>
          <w:iCs/>
          <w:sz w:val="24"/>
          <w:szCs w:val="24"/>
        </w:rPr>
        <w:t>audit/</w:t>
      </w:r>
      <w:r w:rsidR="00615B45" w:rsidRPr="008E772B">
        <w:rPr>
          <w:rFonts w:asciiTheme="majorBidi" w:eastAsia="Times New Roman" w:hAnsiTheme="majorBidi" w:cstheme="majorBidi"/>
          <w:bCs/>
          <w:iCs/>
          <w:sz w:val="24"/>
          <w:szCs w:val="24"/>
        </w:rPr>
        <w:t>auditors.</w:t>
      </w:r>
      <w:r w:rsidR="009D446A" w:rsidRPr="008E772B">
        <w:rPr>
          <w:rFonts w:asciiTheme="majorBidi" w:eastAsia="Times New Roman" w:hAnsiTheme="majorBidi" w:cstheme="majorBidi"/>
          <w:bCs/>
          <w:iCs/>
          <w:sz w:val="24"/>
          <w:szCs w:val="24"/>
        </w:rPr>
        <w:t xml:space="preserve"> </w:t>
      </w:r>
    </w:p>
    <w:p w14:paraId="75288E25" w14:textId="7924A698" w:rsidR="00500126" w:rsidRPr="008E772B" w:rsidRDefault="00500126" w:rsidP="00090C94">
      <w:pPr>
        <w:spacing w:after="0" w:line="360" w:lineRule="auto"/>
        <w:ind w:firstLine="720"/>
        <w:jc w:val="lowKashida"/>
        <w:rPr>
          <w:rFonts w:asciiTheme="majorBidi" w:eastAsia="Times New Roman" w:hAnsiTheme="majorBidi" w:cstheme="majorBidi"/>
          <w:bCs/>
          <w:iCs/>
          <w:sz w:val="24"/>
          <w:szCs w:val="24"/>
        </w:rPr>
      </w:pPr>
      <w:r w:rsidRPr="000972D1">
        <w:rPr>
          <w:rFonts w:asciiTheme="majorBidi" w:eastAsia="Times New Roman" w:hAnsiTheme="majorBidi" w:cstheme="majorBidi"/>
          <w:bCs/>
          <w:iCs/>
          <w:sz w:val="24"/>
          <w:szCs w:val="24"/>
        </w:rPr>
        <w:t>The ownership of most listed companies in MENA countries remains concentrated and is typically state ownership, which brings a unique set of governance challenges</w:t>
      </w:r>
      <w:r w:rsidR="003413BE" w:rsidRPr="000972D1">
        <w:rPr>
          <w:rFonts w:asciiTheme="majorBidi" w:eastAsia="Times New Roman" w:hAnsiTheme="majorBidi" w:cstheme="majorBidi"/>
          <w:bCs/>
          <w:iCs/>
          <w:sz w:val="24"/>
          <w:szCs w:val="24"/>
        </w:rPr>
        <w:t xml:space="preserve"> (Ben-Hassoun </w:t>
      </w:r>
      <w:r w:rsidR="003413BE" w:rsidRPr="000972D1">
        <w:rPr>
          <w:rFonts w:asciiTheme="majorBidi" w:eastAsia="Times New Roman" w:hAnsiTheme="majorBidi" w:cstheme="majorBidi"/>
          <w:bCs/>
          <w:i/>
          <w:iCs/>
          <w:sz w:val="24"/>
          <w:szCs w:val="24"/>
        </w:rPr>
        <w:t>et al</w:t>
      </w:r>
      <w:r w:rsidR="003413BE" w:rsidRPr="000972D1">
        <w:rPr>
          <w:rFonts w:asciiTheme="majorBidi" w:eastAsia="Times New Roman" w:hAnsiTheme="majorBidi" w:cstheme="majorBidi"/>
          <w:bCs/>
          <w:iCs/>
          <w:sz w:val="24"/>
          <w:szCs w:val="24"/>
        </w:rPr>
        <w:t>., 2018)</w:t>
      </w:r>
      <w:r w:rsidRPr="000972D1">
        <w:rPr>
          <w:rFonts w:asciiTheme="majorBidi" w:eastAsia="Times New Roman" w:hAnsiTheme="majorBidi" w:cstheme="majorBidi"/>
          <w:bCs/>
          <w:iCs/>
          <w:sz w:val="24"/>
          <w:szCs w:val="24"/>
        </w:rPr>
        <w:t xml:space="preserve">. Government shareholding probably has important vested interests that often hinder governance efficiency at the company level (Khlif </w:t>
      </w:r>
      <w:r w:rsidRPr="000972D1">
        <w:rPr>
          <w:rFonts w:asciiTheme="majorBidi" w:eastAsia="Times New Roman" w:hAnsiTheme="majorBidi" w:cstheme="majorBidi"/>
          <w:bCs/>
          <w:i/>
          <w:iCs/>
          <w:sz w:val="24"/>
          <w:szCs w:val="24"/>
        </w:rPr>
        <w:t>et al</w:t>
      </w:r>
      <w:r w:rsidRPr="000972D1">
        <w:rPr>
          <w:rFonts w:asciiTheme="majorBidi" w:eastAsia="Times New Roman" w:hAnsiTheme="majorBidi" w:cstheme="majorBidi"/>
          <w:bCs/>
          <w:iCs/>
          <w:sz w:val="24"/>
          <w:szCs w:val="24"/>
        </w:rPr>
        <w:t>., 2015</w:t>
      </w:r>
      <w:r w:rsidR="00715B5C" w:rsidRPr="000972D1">
        <w:rPr>
          <w:rFonts w:asciiTheme="majorBidi" w:eastAsia="Times New Roman" w:hAnsiTheme="majorBidi" w:cstheme="majorBidi"/>
          <w:bCs/>
          <w:iCs/>
          <w:sz w:val="24"/>
          <w:szCs w:val="24"/>
        </w:rPr>
        <w:t xml:space="preserve">; Al-Janadi </w:t>
      </w:r>
      <w:r w:rsidR="00715B5C" w:rsidRPr="000972D1">
        <w:rPr>
          <w:rFonts w:asciiTheme="majorBidi" w:eastAsia="Times New Roman" w:hAnsiTheme="majorBidi" w:cstheme="majorBidi"/>
          <w:bCs/>
          <w:i/>
          <w:iCs/>
          <w:sz w:val="24"/>
          <w:szCs w:val="24"/>
        </w:rPr>
        <w:t>et al</w:t>
      </w:r>
      <w:r w:rsidR="00715B5C" w:rsidRPr="000972D1">
        <w:rPr>
          <w:rFonts w:asciiTheme="majorBidi" w:eastAsia="Times New Roman" w:hAnsiTheme="majorBidi" w:cstheme="majorBidi"/>
          <w:bCs/>
          <w:iCs/>
          <w:sz w:val="24"/>
          <w:szCs w:val="24"/>
        </w:rPr>
        <w:t>., 2016</w:t>
      </w:r>
      <w:r w:rsidRPr="000972D1">
        <w:rPr>
          <w:rFonts w:asciiTheme="majorBidi" w:eastAsia="Times New Roman" w:hAnsiTheme="majorBidi" w:cstheme="majorBidi"/>
          <w:bCs/>
          <w:iCs/>
          <w:sz w:val="24"/>
          <w:szCs w:val="24"/>
        </w:rPr>
        <w:t>).</w:t>
      </w:r>
      <w:r w:rsidR="00090C94" w:rsidRPr="000972D1">
        <w:rPr>
          <w:rFonts w:ascii="AdvOT8cb2ddbd" w:hAnsi="AdvOT8cb2ddbd" w:cs="AdvOT8cb2ddbd"/>
          <w:sz w:val="20"/>
          <w:szCs w:val="20"/>
        </w:rPr>
        <w:t xml:space="preserve"> </w:t>
      </w:r>
      <w:r w:rsidR="003C36A7" w:rsidRPr="000972D1">
        <w:rPr>
          <w:rFonts w:asciiTheme="majorBidi" w:hAnsiTheme="majorBidi" w:cstheme="majorBidi"/>
          <w:sz w:val="24"/>
          <w:szCs w:val="24"/>
        </w:rPr>
        <w:t xml:space="preserve">For example, </w:t>
      </w:r>
      <w:r w:rsidR="00886413" w:rsidRPr="000972D1">
        <w:rPr>
          <w:rFonts w:asciiTheme="majorBidi" w:eastAsia="Times New Roman" w:hAnsiTheme="majorBidi" w:cstheme="majorBidi"/>
          <w:bCs/>
          <w:iCs/>
          <w:sz w:val="24"/>
          <w:szCs w:val="24"/>
        </w:rPr>
        <w:t xml:space="preserve">Al-Janadi </w:t>
      </w:r>
      <w:r w:rsidR="00886413" w:rsidRPr="000972D1">
        <w:rPr>
          <w:rFonts w:asciiTheme="majorBidi" w:eastAsia="Times New Roman" w:hAnsiTheme="majorBidi" w:cstheme="majorBidi"/>
          <w:bCs/>
          <w:i/>
          <w:iCs/>
          <w:sz w:val="24"/>
          <w:szCs w:val="24"/>
        </w:rPr>
        <w:t>et al</w:t>
      </w:r>
      <w:r w:rsidR="00886413" w:rsidRPr="000972D1">
        <w:rPr>
          <w:rFonts w:asciiTheme="majorBidi" w:eastAsia="Times New Roman" w:hAnsiTheme="majorBidi" w:cstheme="majorBidi"/>
          <w:bCs/>
          <w:iCs/>
          <w:sz w:val="24"/>
          <w:szCs w:val="24"/>
        </w:rPr>
        <w:t>., (201</w:t>
      </w:r>
      <w:r w:rsidR="00715B5C" w:rsidRPr="000972D1">
        <w:rPr>
          <w:rFonts w:asciiTheme="majorBidi" w:eastAsia="Times New Roman" w:hAnsiTheme="majorBidi" w:cstheme="majorBidi"/>
          <w:bCs/>
          <w:iCs/>
          <w:sz w:val="24"/>
          <w:szCs w:val="24"/>
        </w:rPr>
        <w:t>6</w:t>
      </w:r>
      <w:r w:rsidR="00886413" w:rsidRPr="000972D1">
        <w:rPr>
          <w:rFonts w:asciiTheme="majorBidi" w:eastAsia="Times New Roman" w:hAnsiTheme="majorBidi" w:cstheme="majorBidi"/>
          <w:bCs/>
          <w:iCs/>
          <w:sz w:val="24"/>
          <w:szCs w:val="24"/>
        </w:rPr>
        <w:t xml:space="preserve">) </w:t>
      </w:r>
      <w:r w:rsidR="00090C94" w:rsidRPr="000972D1">
        <w:rPr>
          <w:rFonts w:asciiTheme="majorBidi" w:eastAsia="Times New Roman" w:hAnsiTheme="majorBidi" w:cstheme="majorBidi"/>
          <w:bCs/>
          <w:iCs/>
          <w:sz w:val="24"/>
          <w:szCs w:val="24"/>
        </w:rPr>
        <w:t xml:space="preserve">found that state-ownership is negatively associated with financial reporting quality in </w:t>
      </w:r>
      <w:r w:rsidR="00886413" w:rsidRPr="000972D1">
        <w:rPr>
          <w:rFonts w:asciiTheme="majorBidi" w:eastAsia="Times New Roman" w:hAnsiTheme="majorBidi" w:cstheme="majorBidi"/>
          <w:bCs/>
          <w:iCs/>
          <w:sz w:val="24"/>
          <w:szCs w:val="24"/>
        </w:rPr>
        <w:t>Saudi Arabia</w:t>
      </w:r>
      <w:r w:rsidR="00217B7C" w:rsidRPr="000972D1">
        <w:rPr>
          <w:rFonts w:asciiTheme="majorBidi" w:eastAsia="Times New Roman" w:hAnsiTheme="majorBidi" w:cstheme="majorBidi"/>
          <w:bCs/>
          <w:iCs/>
          <w:sz w:val="24"/>
          <w:szCs w:val="24"/>
        </w:rPr>
        <w:t>.</w:t>
      </w:r>
    </w:p>
    <w:p w14:paraId="532EFB56" w14:textId="6A8F2CB5" w:rsidR="007C4420" w:rsidRPr="008E772B" w:rsidRDefault="003C36A7" w:rsidP="00EE5C01">
      <w:pPr>
        <w:spacing w:after="0" w:line="360" w:lineRule="auto"/>
        <w:ind w:firstLine="720"/>
        <w:jc w:val="lowKashida"/>
        <w:rPr>
          <w:rFonts w:asciiTheme="majorBidi" w:eastAsia="Times New Roman" w:hAnsiTheme="majorBidi" w:cstheme="majorBidi"/>
          <w:bCs/>
          <w:iCs/>
          <w:sz w:val="24"/>
          <w:szCs w:val="24"/>
        </w:rPr>
      </w:pPr>
      <w:r>
        <w:rPr>
          <w:rFonts w:asciiTheme="majorBidi" w:eastAsia="Times New Roman" w:hAnsiTheme="majorBidi" w:cstheme="majorBidi"/>
          <w:bCs/>
          <w:iCs/>
          <w:sz w:val="24"/>
          <w:szCs w:val="24"/>
        </w:rPr>
        <w:t>Nevertheless, t</w:t>
      </w:r>
      <w:r w:rsidR="00E967B4" w:rsidRPr="008E772B">
        <w:rPr>
          <w:rFonts w:asciiTheme="majorBidi" w:eastAsia="Times New Roman" w:hAnsiTheme="majorBidi" w:cstheme="majorBidi"/>
          <w:bCs/>
          <w:iCs/>
          <w:sz w:val="24"/>
          <w:szCs w:val="24"/>
        </w:rPr>
        <w:t xml:space="preserve">here </w:t>
      </w:r>
      <w:r w:rsidR="007C4420" w:rsidRPr="008E772B">
        <w:rPr>
          <w:rFonts w:asciiTheme="majorBidi" w:eastAsia="Times New Roman" w:hAnsiTheme="majorBidi" w:cstheme="majorBidi"/>
          <w:bCs/>
          <w:iCs/>
          <w:sz w:val="24"/>
          <w:szCs w:val="24"/>
        </w:rPr>
        <w:t xml:space="preserve">is a </w:t>
      </w:r>
      <w:r>
        <w:rPr>
          <w:rFonts w:asciiTheme="majorBidi" w:eastAsia="Times New Roman" w:hAnsiTheme="majorBidi" w:cstheme="majorBidi"/>
          <w:bCs/>
          <w:iCs/>
          <w:sz w:val="24"/>
          <w:szCs w:val="24"/>
        </w:rPr>
        <w:t xml:space="preserve">general </w:t>
      </w:r>
      <w:r w:rsidR="007C4420" w:rsidRPr="008E772B">
        <w:rPr>
          <w:rFonts w:asciiTheme="majorBidi" w:eastAsia="Times New Roman" w:hAnsiTheme="majorBidi" w:cstheme="majorBidi"/>
          <w:bCs/>
          <w:iCs/>
          <w:sz w:val="24"/>
          <w:szCs w:val="24"/>
        </w:rPr>
        <w:t xml:space="preserve">dearth of studies that examine the association between government </w:t>
      </w:r>
      <w:r w:rsidR="00C81356" w:rsidRPr="008E772B">
        <w:rPr>
          <w:rFonts w:asciiTheme="majorBidi" w:eastAsia="Times New Roman" w:hAnsiTheme="majorBidi" w:cstheme="majorBidi"/>
          <w:bCs/>
          <w:sz w:val="24"/>
          <w:szCs w:val="24"/>
        </w:rPr>
        <w:t>shareholding</w:t>
      </w:r>
      <w:r w:rsidR="007C4420" w:rsidRPr="008E772B">
        <w:rPr>
          <w:rFonts w:asciiTheme="majorBidi" w:eastAsia="Times New Roman" w:hAnsiTheme="majorBidi" w:cstheme="majorBidi"/>
          <w:bCs/>
          <w:iCs/>
          <w:sz w:val="24"/>
          <w:szCs w:val="24"/>
        </w:rPr>
        <w:t xml:space="preserve"> and </w:t>
      </w:r>
      <w:r w:rsidR="00492C4C">
        <w:rPr>
          <w:rFonts w:asciiTheme="majorBidi" w:eastAsia="Times New Roman" w:hAnsiTheme="majorBidi" w:cstheme="majorBidi"/>
          <w:bCs/>
          <w:iCs/>
          <w:sz w:val="24"/>
          <w:szCs w:val="24"/>
        </w:rPr>
        <w:t>audit quality</w:t>
      </w:r>
      <w:r w:rsidR="007E0C73" w:rsidRPr="008E772B">
        <w:rPr>
          <w:rFonts w:asciiTheme="majorBidi" w:eastAsia="Times New Roman" w:hAnsiTheme="majorBidi" w:cstheme="majorBidi"/>
          <w:bCs/>
          <w:iCs/>
          <w:sz w:val="24"/>
          <w:szCs w:val="24"/>
        </w:rPr>
        <w:t>, and therefore a genuine opportunity to contribute to the audit and governance literature by providing new evidence</w:t>
      </w:r>
      <w:r w:rsidR="007C4420" w:rsidRPr="008E772B">
        <w:rPr>
          <w:rFonts w:asciiTheme="majorBidi" w:eastAsia="Times New Roman" w:hAnsiTheme="majorBidi" w:cstheme="majorBidi"/>
          <w:bCs/>
          <w:iCs/>
          <w:sz w:val="24"/>
          <w:szCs w:val="24"/>
        </w:rPr>
        <w:t xml:space="preserve">. </w:t>
      </w:r>
      <w:r w:rsidR="00602CB2" w:rsidRPr="000972D1">
        <w:rPr>
          <w:rFonts w:asciiTheme="majorBidi" w:eastAsia="Times New Roman" w:hAnsiTheme="majorBidi" w:cstheme="majorBidi"/>
          <w:bCs/>
          <w:iCs/>
          <w:sz w:val="24"/>
          <w:szCs w:val="24"/>
        </w:rPr>
        <w:t xml:space="preserve">Ben-Hassoun </w:t>
      </w:r>
      <w:r w:rsidR="00602CB2" w:rsidRPr="000972D1">
        <w:rPr>
          <w:rFonts w:asciiTheme="majorBidi" w:eastAsia="Times New Roman" w:hAnsiTheme="majorBidi" w:cstheme="majorBidi"/>
          <w:bCs/>
          <w:i/>
          <w:iCs/>
          <w:sz w:val="24"/>
          <w:szCs w:val="24"/>
        </w:rPr>
        <w:t>et al.</w:t>
      </w:r>
      <w:r w:rsidR="00602CB2" w:rsidRPr="000972D1">
        <w:rPr>
          <w:rFonts w:asciiTheme="majorBidi" w:eastAsia="Times New Roman" w:hAnsiTheme="majorBidi" w:cstheme="majorBidi"/>
          <w:bCs/>
          <w:iCs/>
          <w:sz w:val="24"/>
          <w:szCs w:val="24"/>
        </w:rPr>
        <w:t xml:space="preserve"> (2018) report that government ownership has negative correlation with</w:t>
      </w:r>
      <w:r w:rsidR="00E654E6">
        <w:rPr>
          <w:rFonts w:asciiTheme="majorBidi" w:eastAsia="Times New Roman" w:hAnsiTheme="majorBidi" w:cstheme="majorBidi"/>
          <w:bCs/>
          <w:iCs/>
          <w:sz w:val="24"/>
          <w:szCs w:val="24"/>
        </w:rPr>
        <w:t xml:space="preserve"> the likelihood of</w:t>
      </w:r>
      <w:r w:rsidR="00602CB2" w:rsidRPr="000972D1">
        <w:rPr>
          <w:rFonts w:asciiTheme="majorBidi" w:eastAsia="Times New Roman" w:hAnsiTheme="majorBidi" w:cstheme="majorBidi"/>
          <w:bCs/>
          <w:iCs/>
          <w:sz w:val="24"/>
          <w:szCs w:val="24"/>
        </w:rPr>
        <w:t xml:space="preserve"> appointing a Big</w:t>
      </w:r>
      <w:r w:rsidR="00FE5415" w:rsidRPr="000972D1">
        <w:rPr>
          <w:rFonts w:asciiTheme="majorBidi" w:eastAsia="Times New Roman" w:hAnsiTheme="majorBidi" w:cstheme="majorBidi"/>
          <w:bCs/>
          <w:iCs/>
          <w:sz w:val="24"/>
          <w:szCs w:val="24"/>
        </w:rPr>
        <w:t xml:space="preserve"> </w:t>
      </w:r>
      <w:r w:rsidR="00C55F13" w:rsidRPr="000972D1">
        <w:rPr>
          <w:rFonts w:asciiTheme="majorBidi" w:eastAsia="Times New Roman" w:hAnsiTheme="majorBidi" w:cstheme="majorBidi"/>
          <w:bCs/>
          <w:iCs/>
          <w:sz w:val="24"/>
          <w:szCs w:val="24"/>
        </w:rPr>
        <w:t>4</w:t>
      </w:r>
      <w:r w:rsidR="00602CB2" w:rsidRPr="000972D1">
        <w:rPr>
          <w:rFonts w:asciiTheme="majorBidi" w:eastAsia="Times New Roman" w:hAnsiTheme="majorBidi" w:cstheme="majorBidi"/>
          <w:bCs/>
          <w:iCs/>
          <w:sz w:val="24"/>
          <w:szCs w:val="24"/>
        </w:rPr>
        <w:t xml:space="preserve"> auditor.</w:t>
      </w:r>
      <w:r w:rsidR="00602CB2">
        <w:rPr>
          <w:rFonts w:asciiTheme="majorBidi" w:eastAsia="Times New Roman" w:hAnsiTheme="majorBidi" w:cstheme="majorBidi"/>
          <w:bCs/>
          <w:iCs/>
          <w:sz w:val="24"/>
          <w:szCs w:val="24"/>
        </w:rPr>
        <w:t xml:space="preserve"> However, </w:t>
      </w:r>
      <w:r w:rsidR="00E967B4" w:rsidRPr="008E772B">
        <w:rPr>
          <w:rFonts w:asciiTheme="majorBidi" w:eastAsia="Times New Roman" w:hAnsiTheme="majorBidi" w:cstheme="majorBidi"/>
          <w:bCs/>
          <w:iCs/>
          <w:sz w:val="24"/>
          <w:szCs w:val="24"/>
        </w:rPr>
        <w:t>Lin and Liu, (2010)</w:t>
      </w:r>
      <w:r w:rsidR="007E0C73" w:rsidRPr="008E772B">
        <w:rPr>
          <w:rFonts w:asciiTheme="majorBidi" w:eastAsia="Times New Roman" w:hAnsiTheme="majorBidi" w:cstheme="majorBidi"/>
          <w:bCs/>
          <w:iCs/>
          <w:sz w:val="24"/>
          <w:szCs w:val="24"/>
        </w:rPr>
        <w:t xml:space="preserve"> </w:t>
      </w:r>
      <w:r w:rsidR="007C4420" w:rsidRPr="008E772B">
        <w:rPr>
          <w:rFonts w:asciiTheme="majorBidi" w:eastAsia="Times New Roman" w:hAnsiTheme="majorBidi" w:cstheme="majorBidi"/>
          <w:bCs/>
          <w:iCs/>
          <w:sz w:val="24"/>
          <w:szCs w:val="24"/>
        </w:rPr>
        <w:t xml:space="preserve">find </w:t>
      </w:r>
      <w:r w:rsidR="007E0C73" w:rsidRPr="008E772B">
        <w:rPr>
          <w:rFonts w:asciiTheme="majorBidi" w:eastAsia="Times New Roman" w:hAnsiTheme="majorBidi" w:cstheme="majorBidi"/>
          <w:bCs/>
          <w:iCs/>
          <w:sz w:val="24"/>
          <w:szCs w:val="24"/>
        </w:rPr>
        <w:t>that</w:t>
      </w:r>
      <w:r w:rsidR="007C4420" w:rsidRPr="008E772B">
        <w:rPr>
          <w:rFonts w:asciiTheme="majorBidi" w:eastAsia="Times New Roman" w:hAnsiTheme="majorBidi" w:cstheme="majorBidi"/>
          <w:bCs/>
          <w:iCs/>
          <w:sz w:val="24"/>
          <w:szCs w:val="24"/>
        </w:rPr>
        <w:t xml:space="preserve"> government </w:t>
      </w:r>
      <w:r w:rsidR="00C81356" w:rsidRPr="008E772B">
        <w:rPr>
          <w:rFonts w:asciiTheme="majorBidi" w:eastAsia="Times New Roman" w:hAnsiTheme="majorBidi" w:cstheme="majorBidi"/>
          <w:bCs/>
          <w:sz w:val="24"/>
          <w:szCs w:val="24"/>
        </w:rPr>
        <w:t>shareholding</w:t>
      </w:r>
      <w:r w:rsidR="007C4420" w:rsidRPr="008E772B">
        <w:rPr>
          <w:rFonts w:asciiTheme="majorBidi" w:eastAsia="Times New Roman" w:hAnsiTheme="majorBidi" w:cstheme="majorBidi"/>
          <w:bCs/>
          <w:iCs/>
          <w:sz w:val="24"/>
          <w:szCs w:val="24"/>
        </w:rPr>
        <w:t xml:space="preserve"> </w:t>
      </w:r>
      <w:r w:rsidR="007E0C73" w:rsidRPr="008E772B">
        <w:rPr>
          <w:rFonts w:asciiTheme="majorBidi" w:eastAsia="Times New Roman" w:hAnsiTheme="majorBidi" w:cstheme="majorBidi"/>
          <w:bCs/>
          <w:iCs/>
          <w:sz w:val="24"/>
          <w:szCs w:val="24"/>
        </w:rPr>
        <w:t xml:space="preserve">has no effect </w:t>
      </w:r>
      <w:r w:rsidR="007C4420" w:rsidRPr="008E772B">
        <w:rPr>
          <w:rFonts w:asciiTheme="majorBidi" w:eastAsia="Times New Roman" w:hAnsiTheme="majorBidi" w:cstheme="majorBidi"/>
          <w:bCs/>
          <w:iCs/>
          <w:sz w:val="24"/>
          <w:szCs w:val="24"/>
        </w:rPr>
        <w:t xml:space="preserve">on auditor switching decisions. </w:t>
      </w:r>
      <w:r w:rsidR="00EE5C01">
        <w:rPr>
          <w:rFonts w:asciiTheme="majorBidi" w:eastAsia="Times New Roman" w:hAnsiTheme="majorBidi" w:cstheme="majorBidi"/>
          <w:bCs/>
          <w:iCs/>
          <w:sz w:val="24"/>
          <w:szCs w:val="24"/>
        </w:rPr>
        <w:t xml:space="preserve">Also, </w:t>
      </w:r>
      <w:r w:rsidR="00EE5C01" w:rsidRPr="00EE5C01">
        <w:rPr>
          <w:rFonts w:asciiTheme="majorBidi" w:eastAsia="Times New Roman" w:hAnsiTheme="majorBidi" w:cstheme="majorBidi"/>
          <w:bCs/>
          <w:iCs/>
          <w:sz w:val="24"/>
          <w:szCs w:val="24"/>
        </w:rPr>
        <w:t xml:space="preserve">Niemi (2005) </w:t>
      </w:r>
      <w:r w:rsidR="00EE5C01">
        <w:rPr>
          <w:rFonts w:asciiTheme="majorBidi" w:eastAsia="Times New Roman" w:hAnsiTheme="majorBidi" w:cstheme="majorBidi"/>
          <w:bCs/>
          <w:iCs/>
          <w:sz w:val="24"/>
          <w:szCs w:val="24"/>
        </w:rPr>
        <w:t>found in</w:t>
      </w:r>
      <w:r w:rsidR="00EE5C01" w:rsidRPr="00EE5C01">
        <w:rPr>
          <w:rFonts w:asciiTheme="majorBidi" w:eastAsia="Times New Roman" w:hAnsiTheme="majorBidi" w:cstheme="majorBidi"/>
          <w:bCs/>
          <w:iCs/>
          <w:sz w:val="24"/>
          <w:szCs w:val="24"/>
        </w:rPr>
        <w:t>significant relation</w:t>
      </w:r>
      <w:r w:rsidR="00E654E6">
        <w:rPr>
          <w:rFonts w:asciiTheme="majorBidi" w:eastAsia="Times New Roman" w:hAnsiTheme="majorBidi" w:cstheme="majorBidi"/>
          <w:bCs/>
          <w:iCs/>
          <w:sz w:val="24"/>
          <w:szCs w:val="24"/>
        </w:rPr>
        <w:t>ship</w:t>
      </w:r>
      <w:r w:rsidR="00EE5C01" w:rsidRPr="00EE5C01">
        <w:rPr>
          <w:rFonts w:asciiTheme="majorBidi" w:eastAsia="Times New Roman" w:hAnsiTheme="majorBidi" w:cstheme="majorBidi"/>
          <w:bCs/>
          <w:iCs/>
          <w:sz w:val="24"/>
          <w:szCs w:val="24"/>
        </w:rPr>
        <w:t xml:space="preserve"> between audit fees and government</w:t>
      </w:r>
      <w:r>
        <w:rPr>
          <w:rFonts w:asciiTheme="majorBidi" w:eastAsia="Times New Roman" w:hAnsiTheme="majorBidi" w:cstheme="majorBidi"/>
          <w:bCs/>
          <w:iCs/>
          <w:sz w:val="24"/>
          <w:szCs w:val="24"/>
        </w:rPr>
        <w:t xml:space="preserve"> </w:t>
      </w:r>
      <w:r w:rsidR="00A17319">
        <w:rPr>
          <w:rFonts w:asciiTheme="majorBidi" w:eastAsia="Times New Roman" w:hAnsiTheme="majorBidi" w:cstheme="majorBidi"/>
          <w:bCs/>
          <w:iCs/>
          <w:sz w:val="24"/>
          <w:szCs w:val="24"/>
        </w:rPr>
        <w:t>shareholding</w:t>
      </w:r>
      <w:r w:rsidR="00EE5C01" w:rsidRPr="00EE5C01">
        <w:rPr>
          <w:rFonts w:asciiTheme="majorBidi" w:eastAsia="Times New Roman" w:hAnsiTheme="majorBidi" w:cstheme="majorBidi"/>
          <w:bCs/>
          <w:iCs/>
          <w:sz w:val="24"/>
          <w:szCs w:val="24"/>
        </w:rPr>
        <w:t>.</w:t>
      </w:r>
      <w:r w:rsidR="00EE5C01">
        <w:rPr>
          <w:rFonts w:asciiTheme="majorBidi" w:eastAsia="Times New Roman" w:hAnsiTheme="majorBidi" w:cstheme="majorBidi"/>
          <w:bCs/>
          <w:iCs/>
          <w:sz w:val="24"/>
          <w:szCs w:val="24"/>
        </w:rPr>
        <w:t xml:space="preserve"> </w:t>
      </w:r>
      <w:r w:rsidR="00900BC5" w:rsidRPr="008E772B">
        <w:rPr>
          <w:rFonts w:asciiTheme="majorBidi" w:eastAsia="Times New Roman" w:hAnsiTheme="majorBidi" w:cstheme="majorBidi"/>
          <w:bCs/>
          <w:iCs/>
          <w:sz w:val="24"/>
          <w:szCs w:val="24"/>
        </w:rPr>
        <w:t xml:space="preserve">Based </w:t>
      </w:r>
      <w:r w:rsidR="007C4420" w:rsidRPr="008E772B">
        <w:rPr>
          <w:rFonts w:asciiTheme="majorBidi" w:eastAsia="Times New Roman" w:hAnsiTheme="majorBidi" w:cstheme="majorBidi"/>
          <w:bCs/>
          <w:iCs/>
          <w:sz w:val="24"/>
          <w:szCs w:val="24"/>
        </w:rPr>
        <w:t xml:space="preserve">on these arguments, the </w:t>
      </w:r>
      <w:r w:rsidR="00900BC5" w:rsidRPr="008E772B">
        <w:rPr>
          <w:rFonts w:asciiTheme="majorBidi" w:eastAsia="Times New Roman" w:hAnsiTheme="majorBidi" w:cstheme="majorBidi"/>
          <w:bCs/>
          <w:iCs/>
          <w:sz w:val="24"/>
          <w:szCs w:val="24"/>
        </w:rPr>
        <w:t>f</w:t>
      </w:r>
      <w:r w:rsidR="00845E4B" w:rsidRPr="008E772B">
        <w:rPr>
          <w:rFonts w:asciiTheme="majorBidi" w:eastAsia="Times New Roman" w:hAnsiTheme="majorBidi" w:cstheme="majorBidi"/>
          <w:bCs/>
          <w:iCs/>
          <w:sz w:val="24"/>
          <w:szCs w:val="24"/>
        </w:rPr>
        <w:t>our</w:t>
      </w:r>
      <w:r w:rsidR="00900BC5" w:rsidRPr="008E772B">
        <w:rPr>
          <w:rFonts w:asciiTheme="majorBidi" w:eastAsia="Times New Roman" w:hAnsiTheme="majorBidi" w:cstheme="majorBidi"/>
          <w:bCs/>
          <w:iCs/>
          <w:sz w:val="24"/>
          <w:szCs w:val="24"/>
        </w:rPr>
        <w:t>th</w:t>
      </w:r>
      <w:r w:rsidR="007C4420" w:rsidRPr="008E772B">
        <w:rPr>
          <w:rFonts w:asciiTheme="majorBidi" w:eastAsia="Times New Roman" w:hAnsiTheme="majorBidi" w:cstheme="majorBidi"/>
          <w:bCs/>
          <w:iCs/>
          <w:sz w:val="24"/>
          <w:szCs w:val="24"/>
        </w:rPr>
        <w:t xml:space="preserve"> hypothes</w:t>
      </w:r>
      <w:r>
        <w:rPr>
          <w:rFonts w:asciiTheme="majorBidi" w:eastAsia="Times New Roman" w:hAnsiTheme="majorBidi" w:cstheme="majorBidi"/>
          <w:bCs/>
          <w:iCs/>
          <w:sz w:val="24"/>
          <w:szCs w:val="24"/>
        </w:rPr>
        <w:t>i</w:t>
      </w:r>
      <w:r w:rsidR="007C4420" w:rsidRPr="008E772B">
        <w:rPr>
          <w:rFonts w:asciiTheme="majorBidi" w:eastAsia="Times New Roman" w:hAnsiTheme="majorBidi" w:cstheme="majorBidi"/>
          <w:bCs/>
          <w:iCs/>
          <w:sz w:val="24"/>
          <w:szCs w:val="24"/>
        </w:rPr>
        <w:t xml:space="preserve">s </w:t>
      </w:r>
      <w:r>
        <w:rPr>
          <w:rFonts w:asciiTheme="majorBidi" w:eastAsia="Times New Roman" w:hAnsiTheme="majorBidi" w:cstheme="majorBidi"/>
          <w:bCs/>
          <w:iCs/>
          <w:sz w:val="24"/>
          <w:szCs w:val="24"/>
        </w:rPr>
        <w:t>is</w:t>
      </w:r>
      <w:r w:rsidR="007C4420" w:rsidRPr="008E772B">
        <w:rPr>
          <w:rFonts w:asciiTheme="majorBidi" w:eastAsia="Times New Roman" w:hAnsiTheme="majorBidi" w:cstheme="majorBidi"/>
          <w:bCs/>
          <w:iCs/>
          <w:sz w:val="24"/>
          <w:szCs w:val="24"/>
        </w:rPr>
        <w:t xml:space="preserve"> as follows: </w:t>
      </w:r>
    </w:p>
    <w:p w14:paraId="0A10D2A3" w14:textId="436FB495" w:rsidR="007C4420" w:rsidRPr="008E772B" w:rsidRDefault="007C4420" w:rsidP="00C10CDB">
      <w:pPr>
        <w:spacing w:after="0" w:line="360" w:lineRule="auto"/>
        <w:ind w:left="709" w:firstLine="11"/>
        <w:jc w:val="lowKashida"/>
        <w:rPr>
          <w:rFonts w:asciiTheme="majorBidi" w:eastAsia="Times New Roman" w:hAnsiTheme="majorBidi" w:cstheme="majorBidi"/>
          <w:bCs/>
          <w:i/>
          <w:iCs/>
          <w:sz w:val="24"/>
          <w:szCs w:val="24"/>
        </w:rPr>
      </w:pPr>
      <w:r w:rsidRPr="008E772B">
        <w:rPr>
          <w:rFonts w:asciiTheme="majorBidi" w:eastAsia="Times New Roman" w:hAnsiTheme="majorBidi" w:cstheme="majorBidi"/>
          <w:bCs/>
          <w:iCs/>
          <w:sz w:val="24"/>
          <w:szCs w:val="24"/>
        </w:rPr>
        <w:t xml:space="preserve"> </w:t>
      </w:r>
      <w:r w:rsidR="008A3DBE" w:rsidRPr="000972D1">
        <w:rPr>
          <w:rFonts w:asciiTheme="majorBidi" w:eastAsia="Times New Roman" w:hAnsiTheme="majorBidi" w:cstheme="majorBidi"/>
          <w:b/>
          <w:bCs/>
          <w:i/>
          <w:iCs/>
          <w:sz w:val="24"/>
          <w:szCs w:val="24"/>
        </w:rPr>
        <w:t>H4</w:t>
      </w:r>
      <w:r w:rsidRPr="000972D1">
        <w:rPr>
          <w:rFonts w:asciiTheme="majorBidi" w:eastAsia="Times New Roman" w:hAnsiTheme="majorBidi" w:cstheme="majorBidi"/>
          <w:bCs/>
          <w:i/>
          <w:iCs/>
          <w:sz w:val="24"/>
          <w:szCs w:val="24"/>
        </w:rPr>
        <w:t xml:space="preserve">: </w:t>
      </w:r>
      <w:r w:rsidR="00F7466B">
        <w:rPr>
          <w:rFonts w:asciiTheme="majorBidi" w:eastAsia="Times New Roman" w:hAnsiTheme="majorBidi" w:cstheme="majorBidi"/>
          <w:bCs/>
          <w:i/>
          <w:iCs/>
          <w:sz w:val="24"/>
          <w:szCs w:val="24"/>
        </w:rPr>
        <w:t>A</w:t>
      </w:r>
      <w:r w:rsidR="00C10CDB" w:rsidRPr="000972D1">
        <w:rPr>
          <w:rFonts w:asciiTheme="majorBidi" w:eastAsia="Times New Roman" w:hAnsiTheme="majorBidi" w:cstheme="majorBidi"/>
          <w:bCs/>
          <w:i/>
          <w:iCs/>
          <w:sz w:val="24"/>
          <w:szCs w:val="24"/>
        </w:rPr>
        <w:t xml:space="preserve">udit quality is </w:t>
      </w:r>
      <w:r w:rsidR="00357407" w:rsidRPr="000972D1">
        <w:rPr>
          <w:rFonts w:asciiTheme="majorBidi" w:eastAsia="Times New Roman" w:hAnsiTheme="majorBidi" w:cstheme="majorBidi"/>
          <w:bCs/>
          <w:i/>
          <w:iCs/>
          <w:sz w:val="24"/>
          <w:szCs w:val="24"/>
        </w:rPr>
        <w:t xml:space="preserve">significantly </w:t>
      </w:r>
      <w:r w:rsidR="00C10CDB" w:rsidRPr="000972D1">
        <w:rPr>
          <w:rFonts w:asciiTheme="majorBidi" w:eastAsia="Times New Roman" w:hAnsiTheme="majorBidi" w:cstheme="majorBidi"/>
          <w:bCs/>
          <w:i/>
          <w:iCs/>
          <w:sz w:val="24"/>
          <w:szCs w:val="24"/>
        </w:rPr>
        <w:t xml:space="preserve">associated </w:t>
      </w:r>
      <w:r w:rsidR="003C36A7" w:rsidRPr="000972D1">
        <w:rPr>
          <w:rFonts w:asciiTheme="majorBidi" w:eastAsia="Times New Roman" w:hAnsiTheme="majorBidi" w:cstheme="majorBidi"/>
          <w:bCs/>
          <w:i/>
          <w:iCs/>
          <w:sz w:val="24"/>
          <w:szCs w:val="24"/>
        </w:rPr>
        <w:t xml:space="preserve">with </w:t>
      </w:r>
      <w:r w:rsidR="00DD4C05" w:rsidRPr="00DD4C05">
        <w:rPr>
          <w:rFonts w:asciiTheme="majorBidi" w:eastAsia="Times New Roman" w:hAnsiTheme="majorBidi" w:cstheme="majorBidi"/>
          <w:bCs/>
          <w:i/>
          <w:iCs/>
          <w:sz w:val="24"/>
          <w:szCs w:val="24"/>
        </w:rPr>
        <w:t>government shareholding</w:t>
      </w:r>
      <w:r w:rsidR="003C36A7" w:rsidRPr="000972D1">
        <w:rPr>
          <w:rFonts w:asciiTheme="majorBidi" w:eastAsia="Times New Roman" w:hAnsiTheme="majorBidi" w:cstheme="majorBidi"/>
          <w:bCs/>
          <w:i/>
          <w:iCs/>
          <w:sz w:val="24"/>
          <w:szCs w:val="24"/>
        </w:rPr>
        <w:t>.</w:t>
      </w:r>
    </w:p>
    <w:p w14:paraId="4C9B06D3" w14:textId="77777777" w:rsidR="005F1EBB" w:rsidRDefault="005F1EBB" w:rsidP="00F83A9E">
      <w:pPr>
        <w:spacing w:after="0" w:line="360" w:lineRule="auto"/>
        <w:jc w:val="lowKashida"/>
        <w:rPr>
          <w:rFonts w:asciiTheme="majorBidi" w:eastAsia="Times New Roman" w:hAnsiTheme="majorBidi" w:cstheme="majorBidi"/>
          <w:b/>
          <w:bCs/>
          <w:iCs/>
          <w:sz w:val="24"/>
          <w:szCs w:val="24"/>
        </w:rPr>
      </w:pPr>
    </w:p>
    <w:p w14:paraId="7B049592" w14:textId="77183C5E" w:rsidR="007C4420" w:rsidRPr="008E772B" w:rsidRDefault="00157823" w:rsidP="00F83A9E">
      <w:pPr>
        <w:spacing w:after="0" w:line="360" w:lineRule="auto"/>
        <w:jc w:val="lowKashida"/>
        <w:rPr>
          <w:rFonts w:asciiTheme="majorBidi" w:eastAsia="Times New Roman" w:hAnsiTheme="majorBidi" w:cstheme="majorBidi"/>
          <w:i/>
          <w:sz w:val="24"/>
          <w:szCs w:val="24"/>
        </w:rPr>
      </w:pPr>
      <w:r w:rsidRPr="00157823">
        <w:rPr>
          <w:rFonts w:asciiTheme="majorBidi" w:eastAsia="Times New Roman" w:hAnsiTheme="majorBidi" w:cstheme="majorBidi"/>
          <w:i/>
          <w:sz w:val="24"/>
          <w:szCs w:val="24"/>
        </w:rPr>
        <w:t>3.2.</w:t>
      </w:r>
      <w:r>
        <w:rPr>
          <w:rFonts w:asciiTheme="majorBidi" w:eastAsia="Times New Roman" w:hAnsiTheme="majorBidi" w:cstheme="majorBidi"/>
          <w:i/>
          <w:sz w:val="24"/>
          <w:szCs w:val="24"/>
        </w:rPr>
        <w:t>2</w:t>
      </w:r>
      <w:r w:rsidRPr="00157823">
        <w:rPr>
          <w:rFonts w:asciiTheme="majorBidi" w:eastAsia="Times New Roman" w:hAnsiTheme="majorBidi" w:cstheme="majorBidi"/>
          <w:i/>
          <w:sz w:val="24"/>
          <w:szCs w:val="24"/>
        </w:rPr>
        <w:t xml:space="preserve">. </w:t>
      </w:r>
      <w:r w:rsidR="007C4420" w:rsidRPr="008E772B">
        <w:rPr>
          <w:rFonts w:asciiTheme="majorBidi" w:eastAsia="Times New Roman" w:hAnsiTheme="majorBidi" w:cstheme="majorBidi"/>
          <w:i/>
          <w:sz w:val="24"/>
          <w:szCs w:val="24"/>
        </w:rPr>
        <w:t xml:space="preserve">Director </w:t>
      </w:r>
      <w:r w:rsidR="00C81356" w:rsidRPr="008E772B">
        <w:rPr>
          <w:rFonts w:asciiTheme="majorBidi" w:eastAsia="Times New Roman" w:hAnsiTheme="majorBidi" w:cstheme="majorBidi"/>
          <w:bCs/>
          <w:i/>
          <w:sz w:val="24"/>
          <w:szCs w:val="24"/>
        </w:rPr>
        <w:t>shareholding</w:t>
      </w:r>
      <w:r w:rsidR="006F46DC" w:rsidRPr="008E772B">
        <w:rPr>
          <w:rFonts w:asciiTheme="majorBidi" w:eastAsia="Times New Roman" w:hAnsiTheme="majorBidi" w:cstheme="majorBidi"/>
          <w:i/>
          <w:sz w:val="24"/>
          <w:szCs w:val="24"/>
        </w:rPr>
        <w:t xml:space="preserve"> and </w:t>
      </w:r>
      <w:r w:rsidR="00C257D6">
        <w:rPr>
          <w:rFonts w:asciiTheme="majorBidi" w:eastAsia="Times New Roman" w:hAnsiTheme="majorBidi" w:cstheme="majorBidi"/>
          <w:i/>
          <w:sz w:val="24"/>
          <w:szCs w:val="24"/>
        </w:rPr>
        <w:t xml:space="preserve">audit quality </w:t>
      </w:r>
    </w:p>
    <w:p w14:paraId="711A276A" w14:textId="50E08056" w:rsidR="0003067B" w:rsidRDefault="00133E29" w:rsidP="007D5106">
      <w:pPr>
        <w:spacing w:after="0" w:line="360" w:lineRule="auto"/>
        <w:ind w:firstLine="720"/>
        <w:jc w:val="both"/>
        <w:rPr>
          <w:rFonts w:asciiTheme="majorBidi" w:eastAsia="Calibri" w:hAnsiTheme="majorBidi" w:cstheme="majorBidi"/>
          <w:sz w:val="24"/>
          <w:szCs w:val="24"/>
        </w:rPr>
      </w:pPr>
      <w:r w:rsidRPr="008E772B">
        <w:rPr>
          <w:rFonts w:asciiTheme="majorBidi" w:eastAsia="Calibri" w:hAnsiTheme="majorBidi" w:cstheme="majorBidi"/>
          <w:sz w:val="24"/>
          <w:szCs w:val="24"/>
        </w:rPr>
        <w:t>It has been argued that managerial or director</w:t>
      </w:r>
      <w:r w:rsidR="007C4420" w:rsidRPr="008E772B">
        <w:rPr>
          <w:rFonts w:asciiTheme="majorBidi" w:eastAsia="Calibri" w:hAnsiTheme="majorBidi" w:cstheme="majorBidi"/>
          <w:sz w:val="24"/>
          <w:szCs w:val="24"/>
        </w:rPr>
        <w:t xml:space="preserve"> </w:t>
      </w:r>
      <w:r w:rsidR="00C81356" w:rsidRPr="008E772B">
        <w:rPr>
          <w:rFonts w:asciiTheme="majorBidi" w:eastAsia="Times New Roman" w:hAnsiTheme="majorBidi" w:cstheme="majorBidi"/>
          <w:bCs/>
          <w:sz w:val="24"/>
          <w:szCs w:val="24"/>
        </w:rPr>
        <w:t>shareholding</w:t>
      </w:r>
      <w:r w:rsidR="007C4420" w:rsidRPr="008E772B">
        <w:rPr>
          <w:rFonts w:asciiTheme="majorBidi" w:eastAsia="Calibri" w:hAnsiTheme="majorBidi" w:cstheme="majorBidi"/>
          <w:sz w:val="24"/>
          <w:szCs w:val="24"/>
        </w:rPr>
        <w:t xml:space="preserve"> reduces agency conflict with shareholders</w:t>
      </w:r>
      <w:r w:rsidRPr="008E772B">
        <w:rPr>
          <w:rFonts w:asciiTheme="majorBidi" w:eastAsia="Calibri" w:hAnsiTheme="majorBidi" w:cstheme="majorBidi"/>
          <w:sz w:val="24"/>
          <w:szCs w:val="24"/>
        </w:rPr>
        <w:t xml:space="preserve"> by aligning their interests with those of shareholders</w:t>
      </w:r>
      <w:r w:rsidR="007C4420" w:rsidRPr="008E772B">
        <w:rPr>
          <w:rFonts w:asciiTheme="majorBidi" w:eastAsia="Calibri" w:hAnsiTheme="majorBidi" w:cstheme="majorBidi"/>
          <w:sz w:val="24"/>
          <w:szCs w:val="24"/>
        </w:rPr>
        <w:t>, and thereby increas</w:t>
      </w:r>
      <w:r w:rsidRPr="008E772B">
        <w:rPr>
          <w:rFonts w:asciiTheme="majorBidi" w:eastAsia="Calibri" w:hAnsiTheme="majorBidi" w:cstheme="majorBidi"/>
          <w:sz w:val="24"/>
          <w:szCs w:val="24"/>
        </w:rPr>
        <w:t>ing</w:t>
      </w:r>
      <w:r w:rsidR="007C4420" w:rsidRPr="008E772B">
        <w:rPr>
          <w:rFonts w:asciiTheme="majorBidi" w:eastAsia="Calibri" w:hAnsiTheme="majorBidi" w:cstheme="majorBidi"/>
          <w:sz w:val="24"/>
          <w:szCs w:val="24"/>
        </w:rPr>
        <w:t xml:space="preserve"> firm value (Jensen &amp; Meckling, 1976</w:t>
      </w:r>
      <w:r w:rsidR="001B47E6" w:rsidRPr="008E772B">
        <w:rPr>
          <w:rFonts w:asciiTheme="majorBidi" w:eastAsia="Calibri" w:hAnsiTheme="majorBidi" w:cstheme="majorBidi"/>
          <w:sz w:val="24"/>
          <w:szCs w:val="24"/>
        </w:rPr>
        <w:t>; Khalil &amp; Ozkan, 2016</w:t>
      </w:r>
      <w:r w:rsidR="007C4420" w:rsidRPr="008E772B">
        <w:rPr>
          <w:rFonts w:asciiTheme="majorBidi" w:eastAsia="Calibri" w:hAnsiTheme="majorBidi" w:cstheme="majorBidi"/>
          <w:sz w:val="24"/>
          <w:szCs w:val="24"/>
        </w:rPr>
        <w:t xml:space="preserve">). Boards have the power to make or at least approve all important company decisions, </w:t>
      </w:r>
      <w:r w:rsidRPr="008E772B">
        <w:rPr>
          <w:rFonts w:asciiTheme="majorBidi" w:eastAsia="Calibri" w:hAnsiTheme="majorBidi" w:cstheme="majorBidi"/>
          <w:sz w:val="24"/>
          <w:szCs w:val="24"/>
        </w:rPr>
        <w:t xml:space="preserve">and </w:t>
      </w:r>
      <w:r w:rsidR="007C4420" w:rsidRPr="008E772B">
        <w:rPr>
          <w:rFonts w:asciiTheme="majorBidi" w:eastAsia="Calibri" w:hAnsiTheme="majorBidi" w:cstheme="majorBidi"/>
          <w:sz w:val="24"/>
          <w:szCs w:val="24"/>
        </w:rPr>
        <w:t>therefore</w:t>
      </w:r>
      <w:r w:rsidR="00FB20F2">
        <w:rPr>
          <w:rFonts w:asciiTheme="majorBidi" w:eastAsia="Calibri" w:hAnsiTheme="majorBidi" w:cstheme="majorBidi"/>
          <w:sz w:val="24"/>
          <w:szCs w:val="24"/>
        </w:rPr>
        <w:t>,</w:t>
      </w:r>
      <w:r w:rsidR="007C4420" w:rsidRPr="008E772B">
        <w:rPr>
          <w:rFonts w:asciiTheme="majorBidi" w:eastAsia="Calibri" w:hAnsiTheme="majorBidi" w:cstheme="majorBidi"/>
          <w:sz w:val="24"/>
          <w:szCs w:val="24"/>
        </w:rPr>
        <w:t xml:space="preserve"> it is probable that board members with appropriate stock ownership will have the incentive to offer effective monitoring and oversight of these important </w:t>
      </w:r>
      <w:r w:rsidR="007C4420" w:rsidRPr="008E772B">
        <w:rPr>
          <w:rFonts w:asciiTheme="majorBidi" w:eastAsia="Calibri" w:hAnsiTheme="majorBidi" w:cstheme="majorBidi"/>
          <w:sz w:val="24"/>
          <w:szCs w:val="24"/>
        </w:rPr>
        <w:lastRenderedPageBreak/>
        <w:t>corporate decisions (</w:t>
      </w:r>
      <w:r w:rsidR="001B47E6" w:rsidRPr="008E772B">
        <w:rPr>
          <w:rFonts w:asciiTheme="majorBidi" w:eastAsia="Calibri" w:hAnsiTheme="majorBidi" w:cstheme="majorBidi"/>
          <w:sz w:val="24"/>
          <w:szCs w:val="24"/>
        </w:rPr>
        <w:t>Khalil &amp; Ozkan, 2016</w:t>
      </w:r>
      <w:r w:rsidR="007C4420" w:rsidRPr="008E772B">
        <w:rPr>
          <w:rFonts w:asciiTheme="majorBidi" w:eastAsia="Calibri" w:hAnsiTheme="majorBidi" w:cstheme="majorBidi"/>
          <w:sz w:val="24"/>
          <w:szCs w:val="24"/>
        </w:rPr>
        <w:t xml:space="preserve">). </w:t>
      </w:r>
      <w:r w:rsidRPr="008E772B">
        <w:rPr>
          <w:rFonts w:asciiTheme="majorBidi" w:eastAsia="Calibri" w:hAnsiTheme="majorBidi" w:cstheme="majorBidi"/>
          <w:sz w:val="24"/>
          <w:szCs w:val="24"/>
        </w:rPr>
        <w:t>In this case, an in</w:t>
      </w:r>
      <w:r w:rsidR="007C4420" w:rsidRPr="008E772B">
        <w:rPr>
          <w:rFonts w:asciiTheme="majorBidi" w:eastAsia="Calibri" w:hAnsiTheme="majorBidi" w:cstheme="majorBidi"/>
          <w:sz w:val="24"/>
          <w:szCs w:val="24"/>
        </w:rPr>
        <w:t xml:space="preserve">crease in director </w:t>
      </w:r>
      <w:r w:rsidR="00C81356" w:rsidRPr="008E772B">
        <w:rPr>
          <w:rFonts w:asciiTheme="majorBidi" w:eastAsia="Times New Roman" w:hAnsiTheme="majorBidi" w:cstheme="majorBidi"/>
          <w:bCs/>
          <w:sz w:val="24"/>
          <w:szCs w:val="24"/>
        </w:rPr>
        <w:t xml:space="preserve">shareholding </w:t>
      </w:r>
      <w:r w:rsidRPr="008E772B">
        <w:rPr>
          <w:rFonts w:asciiTheme="majorBidi" w:eastAsia="Calibri" w:hAnsiTheme="majorBidi" w:cstheme="majorBidi"/>
          <w:sz w:val="24"/>
          <w:szCs w:val="24"/>
        </w:rPr>
        <w:t xml:space="preserve">can </w:t>
      </w:r>
      <w:r w:rsidR="007C4420" w:rsidRPr="008E772B">
        <w:rPr>
          <w:rFonts w:asciiTheme="majorBidi" w:eastAsia="Calibri" w:hAnsiTheme="majorBidi" w:cstheme="majorBidi"/>
          <w:sz w:val="24"/>
          <w:szCs w:val="24"/>
        </w:rPr>
        <w:t>reduce the conventional agency problems</w:t>
      </w:r>
      <w:r w:rsidR="00F9166C">
        <w:rPr>
          <w:rFonts w:asciiTheme="majorBidi" w:eastAsia="Calibri" w:hAnsiTheme="majorBidi" w:cstheme="majorBidi"/>
          <w:sz w:val="24"/>
          <w:szCs w:val="24"/>
        </w:rPr>
        <w:t>,</w:t>
      </w:r>
      <w:r w:rsidR="007C4420" w:rsidRPr="008E772B">
        <w:rPr>
          <w:rFonts w:asciiTheme="majorBidi" w:eastAsia="Calibri" w:hAnsiTheme="majorBidi" w:cstheme="majorBidi"/>
          <w:sz w:val="24"/>
          <w:szCs w:val="24"/>
        </w:rPr>
        <w:t xml:space="preserve"> and </w:t>
      </w:r>
      <w:r w:rsidRPr="008E772B">
        <w:rPr>
          <w:rFonts w:asciiTheme="majorBidi" w:eastAsia="Calibri" w:hAnsiTheme="majorBidi" w:cstheme="majorBidi"/>
          <w:sz w:val="24"/>
          <w:szCs w:val="24"/>
        </w:rPr>
        <w:t xml:space="preserve">thereby </w:t>
      </w:r>
      <w:r w:rsidR="007C4420" w:rsidRPr="008E772B">
        <w:rPr>
          <w:rFonts w:asciiTheme="majorBidi" w:eastAsia="Calibri" w:hAnsiTheme="majorBidi" w:cstheme="majorBidi"/>
          <w:sz w:val="24"/>
          <w:szCs w:val="24"/>
        </w:rPr>
        <w:t xml:space="preserve">enhance directors’ incentives to provide </w:t>
      </w:r>
      <w:r w:rsidR="00BB540C">
        <w:rPr>
          <w:rFonts w:asciiTheme="majorBidi" w:eastAsia="Calibri" w:hAnsiTheme="majorBidi" w:cstheme="majorBidi"/>
          <w:sz w:val="24"/>
          <w:szCs w:val="24"/>
        </w:rPr>
        <w:t>greater levels of</w:t>
      </w:r>
      <w:r w:rsidR="007C4420" w:rsidRPr="008E772B">
        <w:rPr>
          <w:rFonts w:asciiTheme="majorBidi" w:eastAsia="Calibri" w:hAnsiTheme="majorBidi" w:cstheme="majorBidi"/>
          <w:sz w:val="24"/>
          <w:szCs w:val="24"/>
        </w:rPr>
        <w:t xml:space="preserve"> </w:t>
      </w:r>
      <w:r w:rsidR="00BB540C">
        <w:rPr>
          <w:rFonts w:asciiTheme="majorBidi" w:eastAsia="Calibri" w:hAnsiTheme="majorBidi" w:cstheme="majorBidi"/>
          <w:sz w:val="24"/>
          <w:szCs w:val="24"/>
        </w:rPr>
        <w:t xml:space="preserve">corporate </w:t>
      </w:r>
      <w:r w:rsidR="007C4420" w:rsidRPr="008E772B">
        <w:rPr>
          <w:rFonts w:asciiTheme="majorBidi" w:eastAsia="Calibri" w:hAnsiTheme="majorBidi" w:cstheme="majorBidi"/>
          <w:sz w:val="24"/>
          <w:szCs w:val="24"/>
        </w:rPr>
        <w:t>disclosure</w:t>
      </w:r>
      <w:r w:rsidR="00BB540C">
        <w:rPr>
          <w:rFonts w:asciiTheme="majorBidi" w:eastAsia="Calibri" w:hAnsiTheme="majorBidi" w:cstheme="majorBidi"/>
          <w:sz w:val="24"/>
          <w:szCs w:val="24"/>
        </w:rPr>
        <w:t>s</w:t>
      </w:r>
      <w:r w:rsidR="007C4420" w:rsidRPr="008E772B">
        <w:rPr>
          <w:rFonts w:asciiTheme="majorBidi" w:eastAsia="Calibri" w:hAnsiTheme="majorBidi" w:cstheme="majorBidi"/>
          <w:sz w:val="24"/>
          <w:szCs w:val="24"/>
        </w:rPr>
        <w:t xml:space="preserve"> </w:t>
      </w:r>
      <w:r w:rsidRPr="008E772B">
        <w:rPr>
          <w:rFonts w:asciiTheme="majorBidi" w:eastAsia="Calibri" w:hAnsiTheme="majorBidi" w:cstheme="majorBidi"/>
          <w:sz w:val="24"/>
          <w:szCs w:val="24"/>
        </w:rPr>
        <w:t xml:space="preserve">in order </w:t>
      </w:r>
      <w:r w:rsidR="007C4420" w:rsidRPr="008E772B">
        <w:rPr>
          <w:rFonts w:asciiTheme="majorBidi" w:eastAsia="Calibri" w:hAnsiTheme="majorBidi" w:cstheme="majorBidi"/>
          <w:sz w:val="24"/>
          <w:szCs w:val="24"/>
        </w:rPr>
        <w:t>to reduce information asymmetry</w:t>
      </w:r>
      <w:r w:rsidRPr="008E772B">
        <w:rPr>
          <w:rFonts w:asciiTheme="majorBidi" w:eastAsia="Calibri" w:hAnsiTheme="majorBidi" w:cstheme="majorBidi"/>
          <w:sz w:val="24"/>
          <w:szCs w:val="24"/>
        </w:rPr>
        <w:t>.</w:t>
      </w:r>
      <w:r w:rsidR="007C4420" w:rsidRPr="008E772B">
        <w:rPr>
          <w:rFonts w:asciiTheme="majorBidi" w:eastAsia="Calibri" w:hAnsiTheme="majorBidi" w:cstheme="majorBidi"/>
          <w:sz w:val="24"/>
          <w:szCs w:val="24"/>
        </w:rPr>
        <w:t xml:space="preserve"> </w:t>
      </w:r>
      <w:r w:rsidR="007D5106">
        <w:rPr>
          <w:rFonts w:asciiTheme="majorBidi" w:eastAsia="Calibri" w:hAnsiTheme="majorBidi" w:cstheme="majorBidi"/>
          <w:sz w:val="24"/>
          <w:szCs w:val="24"/>
        </w:rPr>
        <w:t xml:space="preserve">Effective </w:t>
      </w:r>
      <w:r w:rsidR="007D5106" w:rsidRPr="007D5106">
        <w:rPr>
          <w:rFonts w:asciiTheme="majorBidi" w:eastAsia="Calibri" w:hAnsiTheme="majorBidi" w:cstheme="majorBidi"/>
          <w:sz w:val="24"/>
          <w:szCs w:val="24"/>
        </w:rPr>
        <w:t>auditing</w:t>
      </w:r>
      <w:r w:rsidR="007D5106">
        <w:rPr>
          <w:rFonts w:asciiTheme="majorBidi" w:eastAsia="Calibri" w:hAnsiTheme="majorBidi" w:cstheme="majorBidi"/>
          <w:sz w:val="24"/>
          <w:szCs w:val="24"/>
        </w:rPr>
        <w:t xml:space="preserve"> is perceived </w:t>
      </w:r>
      <w:r w:rsidR="007D5106" w:rsidRPr="007D5106">
        <w:rPr>
          <w:rFonts w:asciiTheme="majorBidi" w:eastAsia="Calibri" w:hAnsiTheme="majorBidi" w:cstheme="majorBidi"/>
          <w:sz w:val="24"/>
          <w:szCs w:val="24"/>
        </w:rPr>
        <w:t>as a defensive measure against managerial control (Shleifer &amp; Vishny, 1997</w:t>
      </w:r>
      <w:r w:rsidR="00CE53C2">
        <w:rPr>
          <w:rFonts w:asciiTheme="majorBidi" w:eastAsia="Calibri" w:hAnsiTheme="majorBidi" w:cstheme="majorBidi"/>
          <w:sz w:val="24"/>
          <w:szCs w:val="24"/>
        </w:rPr>
        <w:t xml:space="preserve">; </w:t>
      </w:r>
      <w:r w:rsidR="00CE53C2" w:rsidRPr="009A5FAB">
        <w:rPr>
          <w:rFonts w:asciiTheme="majorBidi" w:eastAsia="Times New Roman" w:hAnsiTheme="majorBidi" w:cstheme="majorBidi"/>
          <w:bCs/>
          <w:iCs/>
          <w:sz w:val="24"/>
          <w:szCs w:val="24"/>
        </w:rPr>
        <w:t xml:space="preserve">Barroso </w:t>
      </w:r>
      <w:r w:rsidR="00CE53C2" w:rsidRPr="002513C0">
        <w:rPr>
          <w:rFonts w:asciiTheme="majorBidi" w:eastAsia="Times New Roman" w:hAnsiTheme="majorBidi" w:cstheme="majorBidi"/>
          <w:bCs/>
          <w:i/>
          <w:iCs/>
          <w:sz w:val="24"/>
          <w:szCs w:val="24"/>
        </w:rPr>
        <w:t>et al.,</w:t>
      </w:r>
      <w:r w:rsidR="00CE53C2" w:rsidRPr="009A5FAB">
        <w:rPr>
          <w:rFonts w:asciiTheme="majorBidi" w:eastAsia="Times New Roman" w:hAnsiTheme="majorBidi" w:cstheme="majorBidi"/>
          <w:bCs/>
          <w:iCs/>
          <w:sz w:val="24"/>
          <w:szCs w:val="24"/>
        </w:rPr>
        <w:t xml:space="preserve"> 2018</w:t>
      </w:r>
      <w:r w:rsidR="007D5106">
        <w:rPr>
          <w:rFonts w:asciiTheme="majorBidi" w:eastAsia="Calibri" w:hAnsiTheme="majorBidi" w:cstheme="majorBidi"/>
          <w:sz w:val="24"/>
          <w:szCs w:val="24"/>
        </w:rPr>
        <w:t xml:space="preserve">). </w:t>
      </w:r>
      <w:r w:rsidR="007D5106" w:rsidRPr="008E772B">
        <w:rPr>
          <w:rFonts w:asciiTheme="majorBidi" w:eastAsia="Calibri" w:hAnsiTheme="majorBidi" w:cstheme="majorBidi"/>
          <w:sz w:val="24"/>
          <w:szCs w:val="24"/>
        </w:rPr>
        <w:t>Th</w:t>
      </w:r>
      <w:r w:rsidR="007D5106">
        <w:rPr>
          <w:rFonts w:asciiTheme="majorBidi" w:eastAsia="Calibri" w:hAnsiTheme="majorBidi" w:cstheme="majorBidi"/>
          <w:sz w:val="24"/>
          <w:szCs w:val="24"/>
        </w:rPr>
        <w:t xml:space="preserve">us, </w:t>
      </w:r>
      <w:r w:rsidR="007D5D1F" w:rsidRPr="007D5D1F">
        <w:rPr>
          <w:rFonts w:asciiTheme="majorBidi" w:eastAsia="Calibri" w:hAnsiTheme="majorBidi" w:cstheme="majorBidi"/>
          <w:sz w:val="24"/>
          <w:szCs w:val="24"/>
        </w:rPr>
        <w:t xml:space="preserve">financial reporting quality </w:t>
      </w:r>
      <w:r w:rsidR="007D5D1F">
        <w:rPr>
          <w:rFonts w:asciiTheme="majorBidi" w:eastAsia="Calibri" w:hAnsiTheme="majorBidi" w:cstheme="majorBidi"/>
          <w:sz w:val="24"/>
          <w:szCs w:val="24"/>
        </w:rPr>
        <w:t xml:space="preserve">and </w:t>
      </w:r>
      <w:r w:rsidR="007D5106" w:rsidRPr="007D5106">
        <w:rPr>
          <w:rFonts w:asciiTheme="majorBidi" w:eastAsia="Calibri" w:hAnsiTheme="majorBidi" w:cstheme="majorBidi"/>
          <w:sz w:val="24"/>
          <w:szCs w:val="24"/>
        </w:rPr>
        <w:t>diligent</w:t>
      </w:r>
      <w:r w:rsidR="007D5106" w:rsidRPr="008E772B">
        <w:rPr>
          <w:rFonts w:asciiTheme="majorBidi" w:eastAsia="Calibri" w:hAnsiTheme="majorBidi" w:cstheme="majorBidi"/>
          <w:sz w:val="24"/>
          <w:szCs w:val="24"/>
        </w:rPr>
        <w:t xml:space="preserve"> </w:t>
      </w:r>
      <w:r w:rsidR="007D5106">
        <w:rPr>
          <w:rFonts w:asciiTheme="majorBidi" w:eastAsia="Calibri" w:hAnsiTheme="majorBidi" w:cstheme="majorBidi"/>
          <w:sz w:val="24"/>
          <w:szCs w:val="24"/>
        </w:rPr>
        <w:t xml:space="preserve">auditing </w:t>
      </w:r>
      <w:r w:rsidRPr="008E772B">
        <w:rPr>
          <w:rFonts w:asciiTheme="majorBidi" w:eastAsia="Calibri" w:hAnsiTheme="majorBidi" w:cstheme="majorBidi"/>
          <w:sz w:val="24"/>
          <w:szCs w:val="24"/>
        </w:rPr>
        <w:t>can</w:t>
      </w:r>
      <w:r w:rsidR="007C4420" w:rsidRPr="008E772B">
        <w:rPr>
          <w:rFonts w:asciiTheme="majorBidi" w:eastAsia="Calibri" w:hAnsiTheme="majorBidi" w:cstheme="majorBidi"/>
          <w:sz w:val="24"/>
          <w:szCs w:val="24"/>
        </w:rPr>
        <w:t xml:space="preserve"> lower the cost of capital</w:t>
      </w:r>
      <w:r w:rsidR="00490279">
        <w:rPr>
          <w:rFonts w:asciiTheme="majorBidi" w:eastAsia="Calibri" w:hAnsiTheme="majorBidi" w:cstheme="majorBidi"/>
          <w:sz w:val="24"/>
          <w:szCs w:val="24"/>
        </w:rPr>
        <w:t>,</w:t>
      </w:r>
      <w:r w:rsidR="00490279" w:rsidRPr="008E772B">
        <w:rPr>
          <w:rFonts w:asciiTheme="majorBidi" w:eastAsia="Calibri" w:hAnsiTheme="majorBidi" w:cstheme="majorBidi"/>
          <w:sz w:val="24"/>
          <w:szCs w:val="24"/>
        </w:rPr>
        <w:t xml:space="preserve"> </w:t>
      </w:r>
      <w:r w:rsidRPr="008E772B">
        <w:rPr>
          <w:rFonts w:asciiTheme="majorBidi" w:eastAsia="Calibri" w:hAnsiTheme="majorBidi" w:cstheme="majorBidi"/>
          <w:sz w:val="24"/>
          <w:szCs w:val="24"/>
        </w:rPr>
        <w:t xml:space="preserve">and </w:t>
      </w:r>
      <w:r w:rsidR="007C4420" w:rsidRPr="008E772B">
        <w:rPr>
          <w:rFonts w:asciiTheme="majorBidi" w:eastAsia="Calibri" w:hAnsiTheme="majorBidi" w:cstheme="majorBidi"/>
          <w:sz w:val="24"/>
          <w:szCs w:val="24"/>
        </w:rPr>
        <w:t xml:space="preserve">therefore greater alignment of interest occurs when management </w:t>
      </w:r>
      <w:r w:rsidR="00C81356" w:rsidRPr="008E772B">
        <w:rPr>
          <w:rFonts w:asciiTheme="majorBidi" w:eastAsia="Times New Roman" w:hAnsiTheme="majorBidi" w:cstheme="majorBidi"/>
          <w:bCs/>
          <w:sz w:val="24"/>
          <w:szCs w:val="24"/>
        </w:rPr>
        <w:t>shareholding</w:t>
      </w:r>
      <w:r w:rsidR="007C4420" w:rsidRPr="008E772B">
        <w:rPr>
          <w:rFonts w:asciiTheme="majorBidi" w:eastAsia="Calibri" w:hAnsiTheme="majorBidi" w:cstheme="majorBidi"/>
          <w:sz w:val="24"/>
          <w:szCs w:val="24"/>
        </w:rPr>
        <w:t xml:space="preserve"> is increased</w:t>
      </w:r>
      <w:r w:rsidR="007D5D1F">
        <w:rPr>
          <w:rFonts w:asciiTheme="majorBidi" w:eastAsia="Calibri" w:hAnsiTheme="majorBidi" w:cstheme="majorBidi"/>
          <w:sz w:val="24"/>
          <w:szCs w:val="24"/>
        </w:rPr>
        <w:t xml:space="preserve"> </w:t>
      </w:r>
      <w:r w:rsidR="007C4420" w:rsidRPr="008E772B">
        <w:rPr>
          <w:rFonts w:asciiTheme="majorBidi" w:eastAsia="Calibri" w:hAnsiTheme="majorBidi" w:cstheme="majorBidi"/>
          <w:sz w:val="24"/>
          <w:szCs w:val="24"/>
        </w:rPr>
        <w:t>(</w:t>
      </w:r>
      <w:r w:rsidR="001B47E6" w:rsidRPr="008E772B">
        <w:rPr>
          <w:rFonts w:asciiTheme="majorBidi" w:eastAsia="Calibri" w:hAnsiTheme="majorBidi" w:cstheme="majorBidi"/>
          <w:sz w:val="24"/>
          <w:szCs w:val="24"/>
        </w:rPr>
        <w:t>Khalil &amp; Ozkan, 2016</w:t>
      </w:r>
      <w:r w:rsidR="007C4420" w:rsidRPr="008E772B">
        <w:rPr>
          <w:rFonts w:asciiTheme="majorBidi" w:eastAsia="Calibri" w:hAnsiTheme="majorBidi" w:cstheme="majorBidi"/>
          <w:sz w:val="24"/>
          <w:szCs w:val="24"/>
        </w:rPr>
        <w:t>).</w:t>
      </w:r>
      <w:r w:rsidR="00AC18A0" w:rsidRPr="008E772B">
        <w:rPr>
          <w:rFonts w:asciiTheme="majorBidi" w:eastAsia="Calibri" w:hAnsiTheme="majorBidi" w:cstheme="majorBidi"/>
          <w:sz w:val="24"/>
          <w:szCs w:val="24"/>
        </w:rPr>
        <w:t xml:space="preserve"> </w:t>
      </w:r>
      <w:r w:rsidR="007D5D1F">
        <w:rPr>
          <w:rFonts w:asciiTheme="majorBidi" w:eastAsia="Calibri" w:hAnsiTheme="majorBidi" w:cstheme="majorBidi"/>
          <w:sz w:val="24"/>
          <w:szCs w:val="24"/>
        </w:rPr>
        <w:t xml:space="preserve">On the other hand, </w:t>
      </w:r>
      <w:r w:rsidR="007D5D1F" w:rsidRPr="007D5D1F">
        <w:rPr>
          <w:rFonts w:asciiTheme="majorBidi" w:eastAsia="Calibri" w:hAnsiTheme="majorBidi" w:cstheme="majorBidi"/>
          <w:sz w:val="24"/>
          <w:szCs w:val="24"/>
        </w:rPr>
        <w:t xml:space="preserve">director </w:t>
      </w:r>
      <w:r w:rsidR="007D5D1F" w:rsidRPr="007D5D1F">
        <w:rPr>
          <w:rFonts w:asciiTheme="majorBidi" w:eastAsia="Calibri" w:hAnsiTheme="majorBidi" w:cstheme="majorBidi"/>
          <w:bCs/>
          <w:sz w:val="24"/>
          <w:szCs w:val="24"/>
        </w:rPr>
        <w:t>shareholding</w:t>
      </w:r>
      <w:r w:rsidR="007D5D1F">
        <w:rPr>
          <w:rFonts w:asciiTheme="majorBidi" w:eastAsia="Calibri" w:hAnsiTheme="majorBidi" w:cstheme="majorBidi"/>
          <w:bCs/>
          <w:sz w:val="24"/>
          <w:szCs w:val="24"/>
        </w:rPr>
        <w:t xml:space="preserve"> </w:t>
      </w:r>
      <w:r w:rsidR="007D5D1F" w:rsidRPr="007D5D1F">
        <w:rPr>
          <w:rFonts w:asciiTheme="majorBidi" w:eastAsia="Calibri" w:hAnsiTheme="majorBidi" w:cstheme="majorBidi"/>
          <w:bCs/>
          <w:iCs/>
          <w:sz w:val="24"/>
          <w:szCs w:val="24"/>
        </w:rPr>
        <w:t xml:space="preserve">provides an effective monitoring mechanism that </w:t>
      </w:r>
      <w:r w:rsidR="003C36A7">
        <w:rPr>
          <w:rFonts w:asciiTheme="majorBidi" w:eastAsia="Calibri" w:hAnsiTheme="majorBidi" w:cstheme="majorBidi"/>
          <w:bCs/>
          <w:iCs/>
          <w:sz w:val="24"/>
          <w:szCs w:val="24"/>
        </w:rPr>
        <w:t xml:space="preserve">can </w:t>
      </w:r>
      <w:r w:rsidR="007D5D1F" w:rsidRPr="007D5D1F">
        <w:rPr>
          <w:rFonts w:asciiTheme="majorBidi" w:eastAsia="Calibri" w:hAnsiTheme="majorBidi" w:cstheme="majorBidi"/>
          <w:bCs/>
          <w:iCs/>
          <w:sz w:val="24"/>
          <w:szCs w:val="24"/>
        </w:rPr>
        <w:t>substitute for high audit quality, and therefore result in the payment of low audit fees</w:t>
      </w:r>
      <w:r w:rsidR="007C4420" w:rsidRPr="008E772B">
        <w:rPr>
          <w:rFonts w:asciiTheme="majorBidi" w:eastAsia="Calibri" w:hAnsiTheme="majorBidi" w:cstheme="majorBidi"/>
          <w:sz w:val="24"/>
          <w:szCs w:val="24"/>
        </w:rPr>
        <w:t xml:space="preserve"> (O’Sullivan, 2000).</w:t>
      </w:r>
    </w:p>
    <w:p w14:paraId="23ECCF4C" w14:textId="1C8EFA84" w:rsidR="00DA71B9" w:rsidRPr="008E772B" w:rsidRDefault="007C4420" w:rsidP="006E537E">
      <w:pPr>
        <w:spacing w:after="0" w:line="360" w:lineRule="auto"/>
        <w:ind w:firstLine="720"/>
        <w:jc w:val="both"/>
        <w:rPr>
          <w:rFonts w:asciiTheme="majorBidi" w:eastAsia="Calibri" w:hAnsiTheme="majorBidi" w:cstheme="majorBidi"/>
          <w:sz w:val="24"/>
          <w:szCs w:val="24"/>
        </w:rPr>
      </w:pPr>
      <w:r w:rsidRPr="008E772B">
        <w:rPr>
          <w:rFonts w:asciiTheme="majorBidi" w:eastAsia="Calibri" w:hAnsiTheme="majorBidi" w:cstheme="majorBidi"/>
          <w:sz w:val="24"/>
          <w:szCs w:val="24"/>
        </w:rPr>
        <w:t xml:space="preserve"> </w:t>
      </w:r>
      <w:r w:rsidR="0003067B" w:rsidRPr="000972D1">
        <w:rPr>
          <w:rFonts w:asciiTheme="majorBidi" w:eastAsia="Calibri" w:hAnsiTheme="majorBidi" w:cstheme="majorBidi"/>
          <w:sz w:val="24"/>
          <w:szCs w:val="24"/>
        </w:rPr>
        <w:t xml:space="preserve">MENA </w:t>
      </w:r>
      <w:r w:rsidR="0098030F" w:rsidRPr="000972D1">
        <w:rPr>
          <w:rFonts w:asciiTheme="majorBidi" w:eastAsia="Calibri" w:hAnsiTheme="majorBidi" w:cstheme="majorBidi"/>
          <w:sz w:val="24"/>
          <w:szCs w:val="24"/>
        </w:rPr>
        <w:t>countries are characterised by</w:t>
      </w:r>
      <w:r w:rsidR="0003067B" w:rsidRPr="000972D1">
        <w:rPr>
          <w:rFonts w:asciiTheme="majorBidi" w:eastAsia="Calibri" w:hAnsiTheme="majorBidi" w:cstheme="majorBidi"/>
          <w:sz w:val="24"/>
          <w:szCs w:val="24"/>
        </w:rPr>
        <w:t xml:space="preserve"> weak investor protection and le</w:t>
      </w:r>
      <w:r w:rsidR="0098030F" w:rsidRPr="000972D1">
        <w:rPr>
          <w:rFonts w:asciiTheme="majorBidi" w:eastAsia="Calibri" w:hAnsiTheme="majorBidi" w:cstheme="majorBidi"/>
          <w:sz w:val="24"/>
          <w:szCs w:val="24"/>
        </w:rPr>
        <w:t>ss</w:t>
      </w:r>
      <w:r w:rsidR="0003067B" w:rsidRPr="000972D1">
        <w:rPr>
          <w:rFonts w:asciiTheme="majorBidi" w:eastAsia="Calibri" w:hAnsiTheme="majorBidi" w:cstheme="majorBidi"/>
          <w:sz w:val="24"/>
          <w:szCs w:val="24"/>
        </w:rPr>
        <w:t xml:space="preserve"> developed capital markets (</w:t>
      </w:r>
      <w:r w:rsidR="0003067B" w:rsidRPr="000972D1">
        <w:rPr>
          <w:rFonts w:asciiTheme="majorBidi" w:eastAsia="Calibri" w:hAnsiTheme="majorBidi" w:cstheme="majorBidi"/>
          <w:bCs/>
          <w:iCs/>
          <w:sz w:val="24"/>
          <w:szCs w:val="24"/>
        </w:rPr>
        <w:t xml:space="preserve">Al-Ajmi, 2009; Samaha </w:t>
      </w:r>
      <w:r w:rsidR="0003067B" w:rsidRPr="000972D1">
        <w:rPr>
          <w:rFonts w:asciiTheme="majorBidi" w:eastAsia="Calibri" w:hAnsiTheme="majorBidi" w:cstheme="majorBidi"/>
          <w:bCs/>
          <w:sz w:val="24"/>
          <w:szCs w:val="24"/>
        </w:rPr>
        <w:t>&amp;</w:t>
      </w:r>
      <w:r w:rsidR="0003067B" w:rsidRPr="000972D1">
        <w:rPr>
          <w:rFonts w:asciiTheme="majorBidi" w:eastAsia="Calibri" w:hAnsiTheme="majorBidi" w:cstheme="majorBidi"/>
          <w:bCs/>
          <w:iCs/>
          <w:sz w:val="24"/>
          <w:szCs w:val="24"/>
        </w:rPr>
        <w:t xml:space="preserve"> Hegazy, 2010; Mohamed </w:t>
      </w:r>
      <w:r w:rsidR="0003067B" w:rsidRPr="000972D1">
        <w:rPr>
          <w:rFonts w:asciiTheme="majorBidi" w:eastAsia="Calibri" w:hAnsiTheme="majorBidi" w:cstheme="majorBidi"/>
          <w:bCs/>
          <w:sz w:val="24"/>
          <w:szCs w:val="24"/>
        </w:rPr>
        <w:t>&amp;</w:t>
      </w:r>
      <w:r w:rsidR="0003067B" w:rsidRPr="000972D1">
        <w:rPr>
          <w:rFonts w:asciiTheme="majorBidi" w:eastAsia="Calibri" w:hAnsiTheme="majorBidi" w:cstheme="majorBidi"/>
          <w:bCs/>
          <w:iCs/>
          <w:sz w:val="24"/>
          <w:szCs w:val="24"/>
        </w:rPr>
        <w:t xml:space="preserve"> Habib, 2013; Ben-Hassoun </w:t>
      </w:r>
      <w:r w:rsidR="0003067B" w:rsidRPr="000972D1">
        <w:rPr>
          <w:rFonts w:asciiTheme="majorBidi" w:eastAsia="Times New Roman" w:hAnsiTheme="majorBidi" w:cstheme="majorBidi"/>
          <w:bCs/>
          <w:i/>
          <w:iCs/>
          <w:sz w:val="24"/>
          <w:szCs w:val="24"/>
        </w:rPr>
        <w:t>et al</w:t>
      </w:r>
      <w:r w:rsidR="0003067B" w:rsidRPr="000972D1">
        <w:rPr>
          <w:rFonts w:asciiTheme="majorBidi" w:eastAsia="Calibri" w:hAnsiTheme="majorBidi" w:cstheme="majorBidi"/>
          <w:bCs/>
          <w:iCs/>
          <w:sz w:val="24"/>
          <w:szCs w:val="24"/>
        </w:rPr>
        <w:t>., 2018</w:t>
      </w:r>
      <w:r w:rsidR="0003067B" w:rsidRPr="000972D1">
        <w:rPr>
          <w:rFonts w:asciiTheme="majorBidi" w:eastAsia="Calibri" w:hAnsiTheme="majorBidi" w:cstheme="majorBidi"/>
          <w:sz w:val="24"/>
          <w:szCs w:val="24"/>
        </w:rPr>
        <w:t xml:space="preserve">), </w:t>
      </w:r>
      <w:r w:rsidR="003C36A7" w:rsidRPr="000972D1">
        <w:rPr>
          <w:rFonts w:asciiTheme="majorBidi" w:eastAsia="Calibri" w:hAnsiTheme="majorBidi" w:cstheme="majorBidi"/>
          <w:sz w:val="24"/>
          <w:szCs w:val="24"/>
        </w:rPr>
        <w:t xml:space="preserve">and </w:t>
      </w:r>
      <w:r w:rsidR="0003067B" w:rsidRPr="000972D1">
        <w:rPr>
          <w:rFonts w:asciiTheme="majorBidi" w:eastAsia="Calibri" w:hAnsiTheme="majorBidi" w:cstheme="majorBidi"/>
          <w:sz w:val="24"/>
          <w:szCs w:val="24"/>
        </w:rPr>
        <w:t xml:space="preserve">thus managerial ownership is likely to be perceived as an efficient governance mechanism that offset the less developed formal </w:t>
      </w:r>
      <w:r w:rsidR="00B94810">
        <w:rPr>
          <w:rFonts w:asciiTheme="majorBidi" w:eastAsia="Calibri" w:hAnsiTheme="majorBidi" w:cstheme="majorBidi"/>
          <w:sz w:val="24"/>
          <w:szCs w:val="24"/>
        </w:rPr>
        <w:t>corporate governance</w:t>
      </w:r>
      <w:r w:rsidR="00B94810" w:rsidRPr="000972D1">
        <w:rPr>
          <w:rFonts w:asciiTheme="majorBidi" w:eastAsia="Calibri" w:hAnsiTheme="majorBidi" w:cstheme="majorBidi"/>
          <w:sz w:val="24"/>
          <w:szCs w:val="24"/>
        </w:rPr>
        <w:t xml:space="preserve"> </w:t>
      </w:r>
      <w:r w:rsidR="0003067B" w:rsidRPr="000972D1">
        <w:rPr>
          <w:rFonts w:asciiTheme="majorBidi" w:eastAsia="Calibri" w:hAnsiTheme="majorBidi" w:cstheme="majorBidi"/>
          <w:sz w:val="24"/>
          <w:szCs w:val="24"/>
        </w:rPr>
        <w:t>systems (Wahba, 2014</w:t>
      </w:r>
      <w:r w:rsidR="00C567C9" w:rsidRPr="000972D1">
        <w:rPr>
          <w:rFonts w:asciiTheme="majorBidi" w:eastAsia="Calibri" w:hAnsiTheme="majorBidi" w:cstheme="majorBidi"/>
          <w:sz w:val="24"/>
          <w:szCs w:val="24"/>
        </w:rPr>
        <w:t xml:space="preserve">; Khlif </w:t>
      </w:r>
      <w:r w:rsidR="00C567C9" w:rsidRPr="000972D1">
        <w:rPr>
          <w:rFonts w:asciiTheme="majorBidi" w:eastAsia="Times New Roman" w:hAnsiTheme="majorBidi" w:cstheme="majorBidi"/>
          <w:bCs/>
          <w:i/>
          <w:iCs/>
          <w:sz w:val="24"/>
          <w:szCs w:val="24"/>
        </w:rPr>
        <w:t>et al.,</w:t>
      </w:r>
      <w:r w:rsidR="00C567C9" w:rsidRPr="000972D1">
        <w:rPr>
          <w:rFonts w:asciiTheme="majorBidi" w:eastAsia="Calibri" w:hAnsiTheme="majorBidi" w:cstheme="majorBidi"/>
          <w:sz w:val="24"/>
          <w:szCs w:val="24"/>
        </w:rPr>
        <w:t xml:space="preserve"> 2015</w:t>
      </w:r>
      <w:r w:rsidR="0003067B" w:rsidRPr="000972D1">
        <w:rPr>
          <w:rFonts w:asciiTheme="majorBidi" w:eastAsia="Calibri" w:hAnsiTheme="majorBidi" w:cstheme="majorBidi"/>
          <w:sz w:val="24"/>
          <w:szCs w:val="24"/>
        </w:rPr>
        <w:t>). This is because managers are more informed than outsiders, and hence managerial ownership is considered as an effective internal governance mechanism that reduces information asymmetries</w:t>
      </w:r>
      <w:r w:rsidR="006E537E" w:rsidRPr="000972D1">
        <w:rPr>
          <w:rFonts w:asciiTheme="majorBidi" w:eastAsia="Calibri" w:hAnsiTheme="majorBidi" w:cstheme="majorBidi"/>
          <w:sz w:val="24"/>
          <w:szCs w:val="24"/>
        </w:rPr>
        <w:t xml:space="preserve"> and increases financial reporting and audit quality </w:t>
      </w:r>
      <w:r w:rsidR="0003067B" w:rsidRPr="000972D1">
        <w:rPr>
          <w:rFonts w:asciiTheme="majorBidi" w:eastAsia="Calibri" w:hAnsiTheme="majorBidi" w:cstheme="majorBidi"/>
          <w:sz w:val="24"/>
          <w:szCs w:val="24"/>
        </w:rPr>
        <w:t>(</w:t>
      </w:r>
      <w:r w:rsidR="00C567C9" w:rsidRPr="000972D1">
        <w:rPr>
          <w:rFonts w:asciiTheme="majorBidi" w:hAnsiTheme="majorBidi" w:cstheme="majorBidi"/>
          <w:sz w:val="24"/>
          <w:szCs w:val="24"/>
        </w:rPr>
        <w:t xml:space="preserve">Khlif </w:t>
      </w:r>
      <w:r w:rsidR="00C567C9" w:rsidRPr="000972D1">
        <w:rPr>
          <w:rFonts w:asciiTheme="majorBidi" w:eastAsia="Times New Roman" w:hAnsiTheme="majorBidi" w:cstheme="majorBidi"/>
          <w:bCs/>
          <w:i/>
          <w:iCs/>
          <w:sz w:val="24"/>
          <w:szCs w:val="24"/>
        </w:rPr>
        <w:t>et al</w:t>
      </w:r>
      <w:r w:rsidR="00C567C9" w:rsidRPr="000972D1">
        <w:rPr>
          <w:rFonts w:asciiTheme="majorBidi" w:hAnsiTheme="majorBidi" w:cstheme="majorBidi"/>
          <w:sz w:val="24"/>
          <w:szCs w:val="24"/>
        </w:rPr>
        <w:t xml:space="preserve">., 2015; </w:t>
      </w:r>
      <w:r w:rsidR="006E537E" w:rsidRPr="000972D1">
        <w:rPr>
          <w:rFonts w:asciiTheme="majorBidi" w:eastAsia="Calibri" w:hAnsiTheme="majorBidi" w:cstheme="majorBidi"/>
          <w:sz w:val="24"/>
          <w:szCs w:val="24"/>
        </w:rPr>
        <w:t>Khalil &amp; Ozkan, 2016</w:t>
      </w:r>
      <w:r w:rsidR="0003067B" w:rsidRPr="000972D1">
        <w:rPr>
          <w:rFonts w:asciiTheme="majorBidi" w:eastAsia="Calibri" w:hAnsiTheme="majorBidi" w:cstheme="majorBidi"/>
          <w:sz w:val="24"/>
          <w:szCs w:val="24"/>
        </w:rPr>
        <w:t>).</w:t>
      </w:r>
      <w:r w:rsidR="0003067B" w:rsidRPr="0003067B">
        <w:rPr>
          <w:rFonts w:asciiTheme="majorBidi" w:eastAsia="Calibri" w:hAnsiTheme="majorBidi" w:cstheme="majorBidi"/>
          <w:sz w:val="24"/>
          <w:szCs w:val="24"/>
        </w:rPr>
        <w:t xml:space="preserve"> </w:t>
      </w:r>
    </w:p>
    <w:p w14:paraId="1EEBB054" w14:textId="4DDCEEA2" w:rsidR="007C4420" w:rsidRPr="000972D1" w:rsidRDefault="004940F8" w:rsidP="00E548F7">
      <w:pPr>
        <w:spacing w:after="0" w:line="360" w:lineRule="auto"/>
        <w:ind w:firstLine="720"/>
        <w:jc w:val="both"/>
        <w:rPr>
          <w:rFonts w:asciiTheme="majorBidi" w:eastAsia="Calibri" w:hAnsiTheme="majorBidi" w:cstheme="majorBidi"/>
          <w:bCs/>
          <w:iCs/>
          <w:sz w:val="24"/>
          <w:szCs w:val="24"/>
        </w:rPr>
      </w:pPr>
      <w:r w:rsidRPr="008E772B">
        <w:rPr>
          <w:rFonts w:asciiTheme="majorBidi" w:eastAsia="Calibri" w:hAnsiTheme="majorBidi" w:cstheme="majorBidi"/>
          <w:bCs/>
          <w:iCs/>
          <w:sz w:val="24"/>
          <w:szCs w:val="24"/>
        </w:rPr>
        <w:t xml:space="preserve">O’Sullivan (2000) reports a negative and significant relationship between executives and non-executives </w:t>
      </w:r>
      <w:r w:rsidR="00C81356" w:rsidRPr="008E772B">
        <w:rPr>
          <w:rFonts w:asciiTheme="majorBidi" w:eastAsia="Times New Roman" w:hAnsiTheme="majorBidi" w:cstheme="majorBidi"/>
          <w:bCs/>
          <w:sz w:val="24"/>
          <w:szCs w:val="24"/>
        </w:rPr>
        <w:t>shareholding</w:t>
      </w:r>
      <w:r w:rsidR="00660853">
        <w:rPr>
          <w:rFonts w:asciiTheme="majorBidi" w:eastAsia="Times New Roman" w:hAnsiTheme="majorBidi" w:cstheme="majorBidi"/>
          <w:bCs/>
          <w:sz w:val="24"/>
          <w:szCs w:val="24"/>
        </w:rPr>
        <w:t>,</w:t>
      </w:r>
      <w:r w:rsidRPr="008E772B">
        <w:rPr>
          <w:rFonts w:asciiTheme="majorBidi" w:eastAsia="Calibri" w:hAnsiTheme="majorBidi" w:cstheme="majorBidi"/>
          <w:bCs/>
          <w:iCs/>
          <w:sz w:val="24"/>
          <w:szCs w:val="24"/>
        </w:rPr>
        <w:t xml:space="preserve"> and audit fees.</w:t>
      </w:r>
      <w:r w:rsidR="00E548F7">
        <w:rPr>
          <w:rFonts w:asciiTheme="majorBidi" w:eastAsia="Calibri" w:hAnsiTheme="majorBidi" w:cstheme="majorBidi"/>
          <w:bCs/>
          <w:iCs/>
          <w:sz w:val="24"/>
          <w:szCs w:val="24"/>
        </w:rPr>
        <w:t xml:space="preserve"> </w:t>
      </w:r>
      <w:r w:rsidR="003C36A7">
        <w:rPr>
          <w:rFonts w:asciiTheme="majorBidi" w:eastAsia="Calibri" w:hAnsiTheme="majorBidi" w:cstheme="majorBidi"/>
          <w:bCs/>
          <w:iCs/>
          <w:sz w:val="24"/>
          <w:szCs w:val="24"/>
        </w:rPr>
        <w:t xml:space="preserve">Similarly, </w:t>
      </w:r>
      <w:r w:rsidR="000B74A2">
        <w:rPr>
          <w:rFonts w:asciiTheme="majorBidi" w:eastAsia="Calibri" w:hAnsiTheme="majorBidi" w:cstheme="majorBidi"/>
          <w:bCs/>
          <w:sz w:val="24"/>
          <w:szCs w:val="24"/>
          <w:lang w:eastAsia="en-US"/>
        </w:rPr>
        <w:t xml:space="preserve">Barroso </w:t>
      </w:r>
      <w:r w:rsidR="000B74A2" w:rsidRPr="002513C0">
        <w:rPr>
          <w:rFonts w:asciiTheme="majorBidi" w:eastAsia="Times New Roman" w:hAnsiTheme="majorBidi" w:cstheme="majorBidi"/>
          <w:bCs/>
          <w:i/>
          <w:iCs/>
          <w:sz w:val="24"/>
          <w:szCs w:val="24"/>
        </w:rPr>
        <w:t>et al.</w:t>
      </w:r>
      <w:r w:rsidR="000B74A2" w:rsidRPr="009610C8">
        <w:rPr>
          <w:rFonts w:asciiTheme="majorBidi" w:eastAsia="Calibri" w:hAnsiTheme="majorBidi" w:cstheme="majorBidi"/>
          <w:bCs/>
          <w:sz w:val="24"/>
          <w:szCs w:val="24"/>
          <w:lang w:eastAsia="en-US"/>
        </w:rPr>
        <w:t xml:space="preserve"> </w:t>
      </w:r>
      <w:r w:rsidR="000B74A2">
        <w:rPr>
          <w:rFonts w:asciiTheme="majorBidi" w:eastAsia="Calibri" w:hAnsiTheme="majorBidi" w:cstheme="majorBidi"/>
          <w:bCs/>
          <w:sz w:val="24"/>
          <w:szCs w:val="24"/>
          <w:lang w:eastAsia="en-US"/>
        </w:rPr>
        <w:t>(</w:t>
      </w:r>
      <w:r w:rsidR="000B74A2" w:rsidRPr="009610C8">
        <w:rPr>
          <w:rFonts w:asciiTheme="majorBidi" w:eastAsia="Calibri" w:hAnsiTheme="majorBidi" w:cstheme="majorBidi"/>
          <w:bCs/>
          <w:sz w:val="24"/>
          <w:szCs w:val="24"/>
          <w:lang w:eastAsia="en-US"/>
        </w:rPr>
        <w:t>2018</w:t>
      </w:r>
      <w:r w:rsidR="000B74A2">
        <w:rPr>
          <w:rFonts w:asciiTheme="majorBidi" w:eastAsia="Calibri" w:hAnsiTheme="majorBidi" w:cstheme="majorBidi"/>
          <w:bCs/>
          <w:sz w:val="24"/>
          <w:szCs w:val="24"/>
          <w:lang w:eastAsia="en-US"/>
        </w:rPr>
        <w:t>)</w:t>
      </w:r>
      <w:r w:rsidR="000B74A2" w:rsidRPr="005075F8">
        <w:rPr>
          <w:rFonts w:ascii="Times-Roman" w:hAnsi="Times-Roman" w:cs="Times-Roman"/>
          <w:color w:val="231F20"/>
          <w:sz w:val="20"/>
          <w:szCs w:val="20"/>
        </w:rPr>
        <w:t xml:space="preserve"> </w:t>
      </w:r>
      <w:r w:rsidR="00E548F7" w:rsidRPr="00E548F7">
        <w:rPr>
          <w:rFonts w:asciiTheme="majorBidi" w:eastAsia="Calibri" w:hAnsiTheme="majorBidi" w:cstheme="majorBidi"/>
          <w:bCs/>
          <w:iCs/>
          <w:sz w:val="24"/>
          <w:szCs w:val="24"/>
        </w:rPr>
        <w:t>find</w:t>
      </w:r>
      <w:r w:rsidR="00E548F7">
        <w:rPr>
          <w:rFonts w:asciiTheme="majorBidi" w:eastAsia="Calibri" w:hAnsiTheme="majorBidi" w:cstheme="majorBidi"/>
          <w:bCs/>
          <w:iCs/>
          <w:sz w:val="24"/>
          <w:szCs w:val="24"/>
        </w:rPr>
        <w:t xml:space="preserve"> </w:t>
      </w:r>
      <w:r w:rsidR="00E548F7" w:rsidRPr="00E548F7">
        <w:rPr>
          <w:rFonts w:asciiTheme="majorBidi" w:eastAsia="Calibri" w:hAnsiTheme="majorBidi" w:cstheme="majorBidi"/>
          <w:bCs/>
          <w:iCs/>
          <w:sz w:val="24"/>
          <w:szCs w:val="24"/>
        </w:rPr>
        <w:t>a negative association between audit fees and insiders’ ownership</w:t>
      </w:r>
      <w:r w:rsidR="00E548F7">
        <w:rPr>
          <w:rFonts w:asciiTheme="majorBidi" w:eastAsia="Calibri" w:hAnsiTheme="majorBidi" w:cstheme="majorBidi"/>
          <w:bCs/>
          <w:iCs/>
          <w:sz w:val="24"/>
          <w:szCs w:val="24"/>
        </w:rPr>
        <w:t>.</w:t>
      </w:r>
      <w:r w:rsidRPr="008E772B">
        <w:rPr>
          <w:rFonts w:asciiTheme="majorBidi" w:eastAsia="Calibri" w:hAnsiTheme="majorBidi" w:cstheme="majorBidi"/>
          <w:bCs/>
          <w:iCs/>
          <w:sz w:val="24"/>
          <w:szCs w:val="24"/>
        </w:rPr>
        <w:t xml:space="preserve"> </w:t>
      </w:r>
      <w:r w:rsidR="003C36A7">
        <w:rPr>
          <w:rFonts w:asciiTheme="majorBidi" w:eastAsia="Calibri" w:hAnsiTheme="majorBidi" w:cstheme="majorBidi"/>
          <w:bCs/>
          <w:iCs/>
          <w:sz w:val="24"/>
          <w:szCs w:val="24"/>
        </w:rPr>
        <w:t xml:space="preserve">Further, </w:t>
      </w:r>
      <w:r w:rsidR="00407426" w:rsidRPr="00407426">
        <w:rPr>
          <w:rFonts w:asciiTheme="majorBidi" w:eastAsia="Calibri" w:hAnsiTheme="majorBidi" w:cstheme="majorBidi"/>
          <w:bCs/>
          <w:iCs/>
          <w:sz w:val="24"/>
          <w:szCs w:val="24"/>
        </w:rPr>
        <w:t>Niemi (2005</w:t>
      </w:r>
      <w:r w:rsidR="00407426">
        <w:rPr>
          <w:rFonts w:asciiTheme="majorBidi" w:eastAsia="Calibri" w:hAnsiTheme="majorBidi" w:cstheme="majorBidi"/>
          <w:bCs/>
          <w:iCs/>
          <w:sz w:val="24"/>
          <w:szCs w:val="24"/>
        </w:rPr>
        <w:t xml:space="preserve">) </w:t>
      </w:r>
      <w:r w:rsidR="00407426" w:rsidRPr="00407426">
        <w:rPr>
          <w:rFonts w:asciiTheme="majorBidi" w:eastAsia="Calibri" w:hAnsiTheme="majorBidi" w:cstheme="majorBidi"/>
          <w:bCs/>
          <w:iCs/>
          <w:sz w:val="24"/>
          <w:szCs w:val="24"/>
        </w:rPr>
        <w:t>documents that audit hours and fees are lower for companies majority-owned by their management</w:t>
      </w:r>
      <w:r w:rsidR="00407426" w:rsidRPr="000972D1">
        <w:rPr>
          <w:rFonts w:asciiTheme="majorBidi" w:eastAsia="Calibri" w:hAnsiTheme="majorBidi" w:cstheme="majorBidi"/>
          <w:bCs/>
          <w:iCs/>
          <w:sz w:val="24"/>
          <w:szCs w:val="24"/>
        </w:rPr>
        <w:t xml:space="preserve">. </w:t>
      </w:r>
      <w:r w:rsidR="003E2107" w:rsidRPr="000972D1">
        <w:rPr>
          <w:rFonts w:asciiTheme="majorBidi" w:eastAsia="Calibri" w:hAnsiTheme="majorBidi" w:cstheme="majorBidi"/>
          <w:bCs/>
          <w:iCs/>
          <w:sz w:val="24"/>
          <w:szCs w:val="24"/>
        </w:rPr>
        <w:t xml:space="preserve">In </w:t>
      </w:r>
      <w:r w:rsidR="003C36A7" w:rsidRPr="000972D1">
        <w:rPr>
          <w:rFonts w:asciiTheme="majorBidi" w:eastAsia="Calibri" w:hAnsiTheme="majorBidi" w:cstheme="majorBidi"/>
          <w:bCs/>
          <w:iCs/>
          <w:sz w:val="24"/>
          <w:szCs w:val="24"/>
        </w:rPr>
        <w:t xml:space="preserve">the </w:t>
      </w:r>
      <w:r w:rsidR="003E2107" w:rsidRPr="000972D1">
        <w:rPr>
          <w:rFonts w:asciiTheme="majorBidi" w:eastAsia="Calibri" w:hAnsiTheme="majorBidi" w:cstheme="majorBidi"/>
          <w:bCs/>
          <w:iCs/>
          <w:sz w:val="24"/>
          <w:szCs w:val="24"/>
        </w:rPr>
        <w:t xml:space="preserve">MENA context, Wahba (2014) found a significant negative association between debt and firm performance when managerial ownership is concentrated.  </w:t>
      </w:r>
      <w:r w:rsidR="0087304A" w:rsidRPr="000972D1">
        <w:rPr>
          <w:rFonts w:asciiTheme="majorBidi" w:eastAsia="Calibri" w:hAnsiTheme="majorBidi" w:cstheme="majorBidi"/>
          <w:bCs/>
          <w:iCs/>
          <w:sz w:val="24"/>
          <w:szCs w:val="24"/>
        </w:rPr>
        <w:t xml:space="preserve">Based </w:t>
      </w:r>
      <w:r w:rsidR="007C4420" w:rsidRPr="000972D1">
        <w:rPr>
          <w:rFonts w:asciiTheme="majorBidi" w:eastAsia="Calibri" w:hAnsiTheme="majorBidi" w:cstheme="majorBidi"/>
          <w:bCs/>
          <w:iCs/>
          <w:sz w:val="24"/>
          <w:szCs w:val="24"/>
        </w:rPr>
        <w:t xml:space="preserve">on these arguments, the </w:t>
      </w:r>
      <w:r w:rsidR="007157E9" w:rsidRPr="000972D1">
        <w:rPr>
          <w:rFonts w:asciiTheme="majorBidi" w:eastAsia="Calibri" w:hAnsiTheme="majorBidi" w:cstheme="majorBidi"/>
          <w:bCs/>
          <w:iCs/>
          <w:sz w:val="24"/>
          <w:szCs w:val="24"/>
        </w:rPr>
        <w:t>fif</w:t>
      </w:r>
      <w:r w:rsidR="007C4420" w:rsidRPr="000972D1">
        <w:rPr>
          <w:rFonts w:asciiTheme="majorBidi" w:eastAsia="Calibri" w:hAnsiTheme="majorBidi" w:cstheme="majorBidi"/>
          <w:bCs/>
          <w:iCs/>
          <w:sz w:val="24"/>
          <w:szCs w:val="24"/>
        </w:rPr>
        <w:t>th hypothes</w:t>
      </w:r>
      <w:r w:rsidR="003C36A7" w:rsidRPr="000972D1">
        <w:rPr>
          <w:rFonts w:asciiTheme="majorBidi" w:eastAsia="Calibri" w:hAnsiTheme="majorBidi" w:cstheme="majorBidi"/>
          <w:bCs/>
          <w:iCs/>
          <w:sz w:val="24"/>
          <w:szCs w:val="24"/>
        </w:rPr>
        <w:t>i</w:t>
      </w:r>
      <w:r w:rsidR="007C4420" w:rsidRPr="000972D1">
        <w:rPr>
          <w:rFonts w:asciiTheme="majorBidi" w:eastAsia="Calibri" w:hAnsiTheme="majorBidi" w:cstheme="majorBidi"/>
          <w:bCs/>
          <w:iCs/>
          <w:sz w:val="24"/>
          <w:szCs w:val="24"/>
        </w:rPr>
        <w:t xml:space="preserve">s </w:t>
      </w:r>
      <w:r w:rsidR="003C36A7" w:rsidRPr="000972D1">
        <w:rPr>
          <w:rFonts w:asciiTheme="majorBidi" w:eastAsia="Calibri" w:hAnsiTheme="majorBidi" w:cstheme="majorBidi"/>
          <w:bCs/>
          <w:iCs/>
          <w:sz w:val="24"/>
          <w:szCs w:val="24"/>
        </w:rPr>
        <w:t>is</w:t>
      </w:r>
      <w:r w:rsidR="007C4420" w:rsidRPr="000972D1">
        <w:rPr>
          <w:rFonts w:asciiTheme="majorBidi" w:eastAsia="Calibri" w:hAnsiTheme="majorBidi" w:cstheme="majorBidi"/>
          <w:bCs/>
          <w:iCs/>
          <w:sz w:val="24"/>
          <w:szCs w:val="24"/>
        </w:rPr>
        <w:t>:</w:t>
      </w:r>
    </w:p>
    <w:p w14:paraId="4F773171" w14:textId="73E49654" w:rsidR="007C4420" w:rsidRPr="000972D1" w:rsidRDefault="008A3DBE" w:rsidP="00C10CDB">
      <w:pPr>
        <w:spacing w:after="0" w:line="360" w:lineRule="auto"/>
        <w:ind w:left="851" w:hanging="131"/>
        <w:jc w:val="both"/>
        <w:rPr>
          <w:rFonts w:asciiTheme="majorBidi" w:eastAsia="Times New Roman" w:hAnsiTheme="majorBidi" w:cstheme="majorBidi"/>
          <w:b/>
          <w:bCs/>
          <w:i/>
          <w:iCs/>
          <w:sz w:val="24"/>
          <w:szCs w:val="24"/>
        </w:rPr>
      </w:pPr>
      <w:r w:rsidRPr="000972D1">
        <w:rPr>
          <w:rFonts w:asciiTheme="majorBidi" w:eastAsia="Calibri" w:hAnsiTheme="majorBidi" w:cstheme="majorBidi"/>
          <w:b/>
          <w:bCs/>
          <w:i/>
          <w:iCs/>
          <w:sz w:val="24"/>
          <w:szCs w:val="24"/>
        </w:rPr>
        <w:t>H5</w:t>
      </w:r>
      <w:r w:rsidR="007C4420" w:rsidRPr="000972D1">
        <w:rPr>
          <w:rFonts w:asciiTheme="majorBidi" w:eastAsia="Calibri" w:hAnsiTheme="majorBidi" w:cstheme="majorBidi"/>
          <w:bCs/>
          <w:i/>
          <w:iCs/>
          <w:sz w:val="24"/>
          <w:szCs w:val="24"/>
        </w:rPr>
        <w:t xml:space="preserve">: </w:t>
      </w:r>
      <w:r w:rsidR="00F7466B">
        <w:rPr>
          <w:rFonts w:asciiTheme="majorBidi" w:eastAsia="Calibri" w:hAnsiTheme="majorBidi" w:cstheme="majorBidi"/>
          <w:bCs/>
          <w:i/>
          <w:iCs/>
          <w:sz w:val="24"/>
          <w:szCs w:val="24"/>
        </w:rPr>
        <w:t>A</w:t>
      </w:r>
      <w:r w:rsidR="00C10CDB" w:rsidRPr="000972D1">
        <w:rPr>
          <w:rFonts w:asciiTheme="majorBidi" w:eastAsia="Calibri" w:hAnsiTheme="majorBidi" w:cstheme="majorBidi"/>
          <w:bCs/>
          <w:i/>
          <w:iCs/>
          <w:sz w:val="24"/>
          <w:szCs w:val="24"/>
        </w:rPr>
        <w:t xml:space="preserve">udit quality is </w:t>
      </w:r>
      <w:r w:rsidR="00357407" w:rsidRPr="000972D1">
        <w:rPr>
          <w:rFonts w:asciiTheme="majorBidi" w:eastAsia="Calibri" w:hAnsiTheme="majorBidi" w:cstheme="majorBidi"/>
          <w:bCs/>
          <w:i/>
          <w:iCs/>
          <w:sz w:val="24"/>
          <w:szCs w:val="24"/>
        </w:rPr>
        <w:t xml:space="preserve">significantly </w:t>
      </w:r>
      <w:r w:rsidR="00C10CDB" w:rsidRPr="000972D1">
        <w:rPr>
          <w:rFonts w:asciiTheme="majorBidi" w:eastAsia="Calibri" w:hAnsiTheme="majorBidi" w:cstheme="majorBidi"/>
          <w:bCs/>
          <w:i/>
          <w:iCs/>
          <w:sz w:val="24"/>
          <w:szCs w:val="24"/>
        </w:rPr>
        <w:t xml:space="preserve">associated </w:t>
      </w:r>
      <w:r w:rsidR="003C36A7" w:rsidRPr="000972D1">
        <w:rPr>
          <w:rFonts w:asciiTheme="majorBidi" w:eastAsia="Calibri" w:hAnsiTheme="majorBidi" w:cstheme="majorBidi"/>
          <w:bCs/>
          <w:i/>
          <w:iCs/>
          <w:sz w:val="24"/>
          <w:szCs w:val="24"/>
        </w:rPr>
        <w:t xml:space="preserve">with </w:t>
      </w:r>
      <w:r w:rsidR="00DD4C05" w:rsidRPr="00DD4C05">
        <w:rPr>
          <w:rFonts w:asciiTheme="majorBidi" w:eastAsia="Calibri" w:hAnsiTheme="majorBidi" w:cstheme="majorBidi"/>
          <w:bCs/>
          <w:i/>
          <w:iCs/>
          <w:sz w:val="24"/>
          <w:szCs w:val="24"/>
        </w:rPr>
        <w:t>director shareholding</w:t>
      </w:r>
      <w:r w:rsidR="003C36A7" w:rsidRPr="000972D1">
        <w:rPr>
          <w:rFonts w:asciiTheme="majorBidi" w:eastAsia="Calibri" w:hAnsiTheme="majorBidi" w:cstheme="majorBidi"/>
          <w:bCs/>
          <w:i/>
          <w:iCs/>
          <w:sz w:val="24"/>
          <w:szCs w:val="24"/>
        </w:rPr>
        <w:t xml:space="preserve">. </w:t>
      </w:r>
    </w:p>
    <w:p w14:paraId="4B2C8E6F" w14:textId="77777777" w:rsidR="00E369F6" w:rsidRPr="000972D1" w:rsidRDefault="00E369F6" w:rsidP="001E3C94">
      <w:pPr>
        <w:spacing w:after="0" w:line="360" w:lineRule="auto"/>
        <w:jc w:val="lowKashida"/>
        <w:rPr>
          <w:rFonts w:asciiTheme="majorBidi" w:eastAsia="Times New Roman" w:hAnsiTheme="majorBidi" w:cstheme="majorBidi"/>
          <w:b/>
          <w:bCs/>
          <w:i/>
          <w:iCs/>
          <w:sz w:val="24"/>
          <w:szCs w:val="24"/>
        </w:rPr>
      </w:pPr>
    </w:p>
    <w:p w14:paraId="2AB08F99" w14:textId="345FEAF9" w:rsidR="007C4420" w:rsidRPr="000972D1" w:rsidRDefault="00E369F6" w:rsidP="001E3C94">
      <w:pPr>
        <w:spacing w:after="0" w:line="360" w:lineRule="auto"/>
        <w:jc w:val="lowKashida"/>
        <w:rPr>
          <w:rFonts w:asciiTheme="majorBidi" w:eastAsia="Times New Roman" w:hAnsiTheme="majorBidi" w:cstheme="majorBidi"/>
          <w:b/>
          <w:bCs/>
          <w:i/>
          <w:iCs/>
          <w:sz w:val="24"/>
          <w:szCs w:val="24"/>
        </w:rPr>
      </w:pPr>
      <w:r w:rsidRPr="000972D1">
        <w:rPr>
          <w:rFonts w:asciiTheme="majorBidi" w:eastAsia="Times New Roman" w:hAnsiTheme="majorBidi" w:cstheme="majorBidi"/>
          <w:b/>
          <w:bCs/>
          <w:i/>
          <w:iCs/>
          <w:sz w:val="24"/>
          <w:szCs w:val="24"/>
        </w:rPr>
        <w:t xml:space="preserve">3.2.3 </w:t>
      </w:r>
      <w:r w:rsidR="00727E27" w:rsidRPr="000972D1">
        <w:rPr>
          <w:rFonts w:asciiTheme="majorBidi" w:eastAsia="Times New Roman" w:hAnsiTheme="majorBidi" w:cstheme="majorBidi"/>
          <w:b/>
          <w:bCs/>
          <w:i/>
          <w:iCs/>
          <w:sz w:val="24"/>
          <w:szCs w:val="24"/>
        </w:rPr>
        <w:t>Family shareholding</w:t>
      </w:r>
      <w:r w:rsidRPr="000972D1">
        <w:rPr>
          <w:rFonts w:asciiTheme="majorBidi" w:eastAsia="Times New Roman" w:hAnsiTheme="majorBidi" w:cstheme="majorBidi"/>
          <w:b/>
          <w:bCs/>
          <w:i/>
          <w:iCs/>
          <w:sz w:val="24"/>
          <w:szCs w:val="24"/>
        </w:rPr>
        <w:t xml:space="preserve"> and audit quality</w:t>
      </w:r>
    </w:p>
    <w:p w14:paraId="48C36632" w14:textId="3B127756" w:rsidR="00B953EF" w:rsidRPr="000972D1" w:rsidRDefault="00E369F6" w:rsidP="003C36A7">
      <w:pPr>
        <w:spacing w:after="0" w:line="360" w:lineRule="auto"/>
        <w:jc w:val="lowKashida"/>
        <w:rPr>
          <w:rFonts w:asciiTheme="majorBidi" w:eastAsia="Times New Roman" w:hAnsiTheme="majorBidi" w:cstheme="majorBidi"/>
          <w:bCs/>
          <w:iCs/>
          <w:sz w:val="24"/>
          <w:szCs w:val="24"/>
        </w:rPr>
      </w:pPr>
      <w:r w:rsidRPr="000972D1">
        <w:rPr>
          <w:rFonts w:asciiTheme="majorBidi" w:eastAsia="Times New Roman" w:hAnsiTheme="majorBidi" w:cstheme="majorBidi"/>
          <w:bCs/>
          <w:iCs/>
          <w:sz w:val="24"/>
          <w:szCs w:val="24"/>
        </w:rPr>
        <w:tab/>
      </w:r>
      <w:r w:rsidR="00857BA8" w:rsidRPr="000972D1">
        <w:rPr>
          <w:rFonts w:asciiTheme="majorBidi" w:eastAsia="Times New Roman" w:hAnsiTheme="majorBidi" w:cstheme="majorBidi"/>
          <w:bCs/>
          <w:iCs/>
          <w:sz w:val="24"/>
          <w:szCs w:val="24"/>
        </w:rPr>
        <w:t>Firms in MENA countries</w:t>
      </w:r>
      <w:r w:rsidR="00BC64A4" w:rsidRPr="000972D1">
        <w:rPr>
          <w:rFonts w:asciiTheme="majorBidi" w:eastAsia="Times New Roman" w:hAnsiTheme="majorBidi" w:cstheme="majorBidi"/>
          <w:bCs/>
          <w:iCs/>
          <w:sz w:val="24"/>
          <w:szCs w:val="24"/>
        </w:rPr>
        <w:t xml:space="preserve"> </w:t>
      </w:r>
      <w:r w:rsidR="00857BA8" w:rsidRPr="000972D1">
        <w:rPr>
          <w:rFonts w:asciiTheme="majorBidi" w:eastAsia="Times New Roman" w:hAnsiTheme="majorBidi" w:cstheme="majorBidi"/>
          <w:bCs/>
          <w:iCs/>
          <w:sz w:val="24"/>
          <w:szCs w:val="24"/>
        </w:rPr>
        <w:t>are dominated by high percentage</w:t>
      </w:r>
      <w:r w:rsidR="00BC64A4" w:rsidRPr="000972D1">
        <w:rPr>
          <w:rFonts w:asciiTheme="majorBidi" w:eastAsia="Times New Roman" w:hAnsiTheme="majorBidi" w:cstheme="majorBidi"/>
          <w:bCs/>
          <w:iCs/>
          <w:sz w:val="24"/>
          <w:szCs w:val="24"/>
        </w:rPr>
        <w:t xml:space="preserve"> </w:t>
      </w:r>
      <w:r w:rsidR="00857BA8" w:rsidRPr="000972D1">
        <w:rPr>
          <w:rFonts w:asciiTheme="majorBidi" w:eastAsia="Times New Roman" w:hAnsiTheme="majorBidi" w:cstheme="majorBidi"/>
          <w:bCs/>
          <w:iCs/>
          <w:sz w:val="24"/>
          <w:szCs w:val="24"/>
        </w:rPr>
        <w:t>of family ownership (</w:t>
      </w:r>
      <w:r w:rsidR="00BC64A4" w:rsidRPr="000972D1">
        <w:rPr>
          <w:rFonts w:asciiTheme="majorBidi" w:eastAsia="Times New Roman" w:hAnsiTheme="majorBidi" w:cstheme="majorBidi"/>
          <w:bCs/>
          <w:iCs/>
          <w:sz w:val="24"/>
          <w:szCs w:val="24"/>
        </w:rPr>
        <w:t xml:space="preserve">Wahdan </w:t>
      </w:r>
      <w:r w:rsidR="00BC64A4" w:rsidRPr="000972D1">
        <w:rPr>
          <w:rFonts w:asciiTheme="majorBidi" w:eastAsia="Times New Roman" w:hAnsiTheme="majorBidi" w:cstheme="majorBidi"/>
          <w:bCs/>
          <w:i/>
          <w:iCs/>
          <w:sz w:val="24"/>
          <w:szCs w:val="24"/>
        </w:rPr>
        <w:t>et al</w:t>
      </w:r>
      <w:r w:rsidR="00BC64A4" w:rsidRPr="000972D1">
        <w:rPr>
          <w:rFonts w:asciiTheme="majorBidi" w:eastAsia="Times New Roman" w:hAnsiTheme="majorBidi" w:cstheme="majorBidi"/>
          <w:bCs/>
          <w:iCs/>
          <w:sz w:val="24"/>
          <w:szCs w:val="24"/>
        </w:rPr>
        <w:t xml:space="preserve">., 2005; Al-Ajmi, 2009; Samaha &amp; Hegazy, 2010; Mohamed &amp; Habib, 2013; Habbash &amp; Alghamdi, 2017; Ben-Hassoun </w:t>
      </w:r>
      <w:r w:rsidR="00BC64A4" w:rsidRPr="000972D1">
        <w:rPr>
          <w:rFonts w:asciiTheme="majorBidi" w:eastAsia="Times New Roman" w:hAnsiTheme="majorBidi" w:cstheme="majorBidi"/>
          <w:bCs/>
          <w:i/>
          <w:iCs/>
          <w:sz w:val="24"/>
          <w:szCs w:val="24"/>
        </w:rPr>
        <w:t>et al</w:t>
      </w:r>
      <w:r w:rsidR="00BC64A4" w:rsidRPr="000972D1">
        <w:rPr>
          <w:rFonts w:asciiTheme="majorBidi" w:eastAsia="Times New Roman" w:hAnsiTheme="majorBidi" w:cstheme="majorBidi"/>
          <w:bCs/>
          <w:iCs/>
          <w:sz w:val="24"/>
          <w:szCs w:val="24"/>
        </w:rPr>
        <w:t>., 2018</w:t>
      </w:r>
      <w:r w:rsidR="00857BA8" w:rsidRPr="000972D1">
        <w:rPr>
          <w:rFonts w:asciiTheme="majorBidi" w:eastAsia="Times New Roman" w:hAnsiTheme="majorBidi" w:cstheme="majorBidi"/>
          <w:bCs/>
          <w:iCs/>
          <w:sz w:val="24"/>
          <w:szCs w:val="24"/>
        </w:rPr>
        <w:t>). Thus, separation of ownership</w:t>
      </w:r>
      <w:r w:rsidR="00BC64A4" w:rsidRPr="000972D1">
        <w:rPr>
          <w:rFonts w:asciiTheme="majorBidi" w:eastAsia="Times New Roman" w:hAnsiTheme="majorBidi" w:cstheme="majorBidi"/>
          <w:bCs/>
          <w:iCs/>
          <w:sz w:val="24"/>
          <w:szCs w:val="24"/>
        </w:rPr>
        <w:t xml:space="preserve"> </w:t>
      </w:r>
      <w:r w:rsidR="00857BA8" w:rsidRPr="000972D1">
        <w:rPr>
          <w:rFonts w:asciiTheme="majorBidi" w:eastAsia="Times New Roman" w:hAnsiTheme="majorBidi" w:cstheme="majorBidi"/>
          <w:bCs/>
          <w:iCs/>
          <w:sz w:val="24"/>
          <w:szCs w:val="24"/>
        </w:rPr>
        <w:t xml:space="preserve">and control is not as clear as in the </w:t>
      </w:r>
      <w:r w:rsidR="00BC64A4" w:rsidRPr="000972D1">
        <w:rPr>
          <w:rFonts w:asciiTheme="majorBidi" w:eastAsia="Times New Roman" w:hAnsiTheme="majorBidi" w:cstheme="majorBidi"/>
          <w:bCs/>
          <w:iCs/>
          <w:sz w:val="24"/>
          <w:szCs w:val="24"/>
        </w:rPr>
        <w:t>more developed</w:t>
      </w:r>
      <w:r w:rsidR="00857BA8" w:rsidRPr="000972D1">
        <w:rPr>
          <w:rFonts w:asciiTheme="majorBidi" w:eastAsia="Times New Roman" w:hAnsiTheme="majorBidi" w:cstheme="majorBidi"/>
          <w:bCs/>
          <w:iCs/>
          <w:sz w:val="24"/>
          <w:szCs w:val="24"/>
        </w:rPr>
        <w:t xml:space="preserve"> countries.</w:t>
      </w:r>
      <w:r w:rsidR="00BC64A4" w:rsidRPr="000972D1">
        <w:rPr>
          <w:rFonts w:asciiTheme="majorBidi" w:eastAsia="Times New Roman" w:hAnsiTheme="majorBidi" w:cstheme="majorBidi"/>
          <w:bCs/>
          <w:iCs/>
          <w:sz w:val="24"/>
          <w:szCs w:val="24"/>
        </w:rPr>
        <w:t xml:space="preserve"> This provides MENA countries</w:t>
      </w:r>
      <w:r w:rsidR="00FB20F2">
        <w:rPr>
          <w:rFonts w:asciiTheme="majorBidi" w:eastAsia="Times New Roman" w:hAnsiTheme="majorBidi" w:cstheme="majorBidi"/>
          <w:bCs/>
          <w:iCs/>
          <w:sz w:val="24"/>
          <w:szCs w:val="24"/>
        </w:rPr>
        <w:t xml:space="preserve"> with</w:t>
      </w:r>
      <w:r w:rsidR="00BC64A4" w:rsidRPr="000972D1">
        <w:rPr>
          <w:rFonts w:asciiTheme="majorBidi" w:eastAsia="Times New Roman" w:hAnsiTheme="majorBidi" w:cstheme="majorBidi"/>
          <w:bCs/>
          <w:iCs/>
          <w:sz w:val="24"/>
          <w:szCs w:val="24"/>
        </w:rPr>
        <w:t xml:space="preserve"> </w:t>
      </w:r>
      <w:r w:rsidR="00FB20F2">
        <w:rPr>
          <w:rFonts w:asciiTheme="majorBidi" w:eastAsia="Times New Roman" w:hAnsiTheme="majorBidi" w:cstheme="majorBidi"/>
          <w:bCs/>
          <w:iCs/>
          <w:sz w:val="24"/>
          <w:szCs w:val="24"/>
        </w:rPr>
        <w:t>a</w:t>
      </w:r>
      <w:r w:rsidR="00BC64A4" w:rsidRPr="000972D1">
        <w:rPr>
          <w:rFonts w:asciiTheme="majorBidi" w:eastAsia="Times New Roman" w:hAnsiTheme="majorBidi" w:cstheme="majorBidi"/>
          <w:bCs/>
          <w:iCs/>
          <w:sz w:val="24"/>
          <w:szCs w:val="24"/>
        </w:rPr>
        <w:t xml:space="preserve"> unique institutional setting that allows us to examine the possible effect of family shareholding on </w:t>
      </w:r>
      <w:r w:rsidR="006074E1" w:rsidRPr="000972D1">
        <w:rPr>
          <w:rFonts w:asciiTheme="majorBidi" w:eastAsia="Times New Roman" w:hAnsiTheme="majorBidi" w:cstheme="majorBidi"/>
          <w:bCs/>
          <w:iCs/>
          <w:sz w:val="24"/>
          <w:szCs w:val="24"/>
        </w:rPr>
        <w:t>audit quality.</w:t>
      </w:r>
      <w:r w:rsidR="00916339" w:rsidRPr="000972D1">
        <w:rPr>
          <w:rFonts w:asciiTheme="majorBidi" w:eastAsia="Times New Roman" w:hAnsiTheme="majorBidi" w:cstheme="majorBidi"/>
          <w:bCs/>
          <w:iCs/>
          <w:sz w:val="24"/>
          <w:szCs w:val="24"/>
        </w:rPr>
        <w:t xml:space="preserve"> Family shareholders usually participate in the management of the firm</w:t>
      </w:r>
      <w:r w:rsidR="00FD6B56" w:rsidRPr="000972D1">
        <w:rPr>
          <w:rFonts w:asciiTheme="majorBidi" w:eastAsia="Times New Roman" w:hAnsiTheme="majorBidi" w:cstheme="majorBidi"/>
          <w:bCs/>
          <w:iCs/>
          <w:sz w:val="24"/>
          <w:szCs w:val="24"/>
        </w:rPr>
        <w:t xml:space="preserve"> either</w:t>
      </w:r>
      <w:r w:rsidR="00916339" w:rsidRPr="000972D1">
        <w:rPr>
          <w:rFonts w:asciiTheme="majorBidi" w:eastAsia="Times New Roman" w:hAnsiTheme="majorBidi" w:cstheme="majorBidi"/>
          <w:bCs/>
          <w:iCs/>
          <w:sz w:val="24"/>
          <w:szCs w:val="24"/>
        </w:rPr>
        <w:t xml:space="preserve"> directly or indirectly and influence most of the management decisions (Chau &amp; Leung 2006</w:t>
      </w:r>
      <w:r w:rsidR="00504DC7" w:rsidRPr="000972D1">
        <w:rPr>
          <w:rFonts w:asciiTheme="majorBidi" w:eastAsia="Times New Roman" w:hAnsiTheme="majorBidi" w:cstheme="majorBidi"/>
          <w:bCs/>
          <w:iCs/>
          <w:sz w:val="24"/>
          <w:szCs w:val="24"/>
        </w:rPr>
        <w:t xml:space="preserve">; Cascino </w:t>
      </w:r>
      <w:r w:rsidR="00504DC7" w:rsidRPr="000972D1">
        <w:rPr>
          <w:rFonts w:asciiTheme="majorBidi" w:eastAsia="Times New Roman" w:hAnsiTheme="majorBidi" w:cstheme="majorBidi"/>
          <w:bCs/>
          <w:i/>
          <w:iCs/>
          <w:sz w:val="24"/>
          <w:szCs w:val="24"/>
        </w:rPr>
        <w:t>et al.,</w:t>
      </w:r>
      <w:r w:rsidR="00504DC7" w:rsidRPr="000972D1">
        <w:rPr>
          <w:rFonts w:asciiTheme="majorBidi" w:eastAsia="Times New Roman" w:hAnsiTheme="majorBidi" w:cstheme="majorBidi"/>
          <w:bCs/>
          <w:iCs/>
          <w:sz w:val="24"/>
          <w:szCs w:val="24"/>
        </w:rPr>
        <w:t xml:space="preserve"> 2010</w:t>
      </w:r>
      <w:r w:rsidR="008C7867" w:rsidRPr="000972D1">
        <w:rPr>
          <w:rFonts w:asciiTheme="majorBidi" w:eastAsia="Times New Roman" w:hAnsiTheme="majorBidi" w:cstheme="majorBidi"/>
          <w:bCs/>
          <w:iCs/>
          <w:sz w:val="24"/>
          <w:szCs w:val="24"/>
        </w:rPr>
        <w:t xml:space="preserve">; Ho </w:t>
      </w:r>
      <w:r w:rsidR="00467505">
        <w:rPr>
          <w:rFonts w:asciiTheme="majorBidi" w:eastAsia="Times New Roman" w:hAnsiTheme="majorBidi" w:cstheme="majorBidi"/>
          <w:bCs/>
          <w:iCs/>
          <w:sz w:val="24"/>
          <w:szCs w:val="24"/>
        </w:rPr>
        <w:t>&amp;</w:t>
      </w:r>
      <w:r w:rsidR="00467505" w:rsidRPr="000972D1">
        <w:rPr>
          <w:rFonts w:asciiTheme="majorBidi" w:eastAsia="Times New Roman" w:hAnsiTheme="majorBidi" w:cstheme="majorBidi"/>
          <w:bCs/>
          <w:iCs/>
          <w:sz w:val="24"/>
          <w:szCs w:val="24"/>
        </w:rPr>
        <w:t xml:space="preserve"> </w:t>
      </w:r>
      <w:r w:rsidR="008C7867" w:rsidRPr="000972D1">
        <w:rPr>
          <w:rFonts w:asciiTheme="majorBidi" w:eastAsia="Times New Roman" w:hAnsiTheme="majorBidi" w:cstheme="majorBidi"/>
          <w:bCs/>
          <w:iCs/>
          <w:sz w:val="24"/>
          <w:szCs w:val="24"/>
        </w:rPr>
        <w:t>Kang, 2013</w:t>
      </w:r>
      <w:r w:rsidR="00916339" w:rsidRPr="000972D1">
        <w:rPr>
          <w:rFonts w:asciiTheme="majorBidi" w:eastAsia="Times New Roman" w:hAnsiTheme="majorBidi" w:cstheme="majorBidi"/>
          <w:bCs/>
          <w:iCs/>
          <w:sz w:val="24"/>
          <w:szCs w:val="24"/>
        </w:rPr>
        <w:t>).</w:t>
      </w:r>
      <w:r w:rsidR="00277CCC" w:rsidRPr="000972D1">
        <w:rPr>
          <w:rFonts w:ascii="Times-Roman" w:hAnsi="Times-Roman" w:cs="Times-Roman"/>
          <w:color w:val="000000"/>
          <w:sz w:val="20"/>
          <w:szCs w:val="20"/>
        </w:rPr>
        <w:t xml:space="preserve"> </w:t>
      </w:r>
      <w:r w:rsidR="00504DC7" w:rsidRPr="000972D1">
        <w:rPr>
          <w:rFonts w:asciiTheme="majorBidi" w:eastAsia="Times New Roman" w:hAnsiTheme="majorBidi" w:cstheme="majorBidi"/>
          <w:bCs/>
          <w:iCs/>
          <w:sz w:val="24"/>
          <w:szCs w:val="24"/>
        </w:rPr>
        <w:t xml:space="preserve">Furthermore, family firms are more likely to appoint family members on the board, </w:t>
      </w:r>
      <w:r w:rsidR="00504DC7" w:rsidRPr="000972D1">
        <w:rPr>
          <w:rFonts w:asciiTheme="majorBidi" w:eastAsia="Times New Roman" w:hAnsiTheme="majorBidi" w:cstheme="majorBidi"/>
          <w:bCs/>
          <w:iCs/>
          <w:sz w:val="24"/>
          <w:szCs w:val="24"/>
        </w:rPr>
        <w:lastRenderedPageBreak/>
        <w:t xml:space="preserve">deteriorating monitoring activities, therefore decreasing reliability perceived by financial markets (Anderson </w:t>
      </w:r>
      <w:r w:rsidR="00562E77" w:rsidRPr="00562E77">
        <w:rPr>
          <w:rFonts w:asciiTheme="majorBidi" w:eastAsia="Times New Roman" w:hAnsiTheme="majorBidi" w:cstheme="majorBidi"/>
          <w:bCs/>
          <w:i/>
          <w:iCs/>
          <w:sz w:val="24"/>
          <w:szCs w:val="24"/>
        </w:rPr>
        <w:t>et al</w:t>
      </w:r>
      <w:r w:rsidR="00562E77">
        <w:rPr>
          <w:rFonts w:asciiTheme="majorBidi" w:eastAsia="Times New Roman" w:hAnsiTheme="majorBidi" w:cstheme="majorBidi"/>
          <w:bCs/>
          <w:iCs/>
          <w:sz w:val="24"/>
          <w:szCs w:val="24"/>
        </w:rPr>
        <w:t>.</w:t>
      </w:r>
      <w:r w:rsidR="00504DC7" w:rsidRPr="000972D1">
        <w:rPr>
          <w:rFonts w:asciiTheme="majorBidi" w:eastAsia="Times New Roman" w:hAnsiTheme="majorBidi" w:cstheme="majorBidi"/>
          <w:bCs/>
          <w:iCs/>
          <w:sz w:val="24"/>
          <w:szCs w:val="24"/>
        </w:rPr>
        <w:t xml:space="preserve">, </w:t>
      </w:r>
      <w:r w:rsidR="00562E77" w:rsidRPr="000972D1">
        <w:rPr>
          <w:rFonts w:asciiTheme="majorBidi" w:eastAsia="Times New Roman" w:hAnsiTheme="majorBidi" w:cstheme="majorBidi"/>
          <w:bCs/>
          <w:iCs/>
          <w:sz w:val="24"/>
          <w:szCs w:val="24"/>
        </w:rPr>
        <w:t>200</w:t>
      </w:r>
      <w:r w:rsidR="00562E77">
        <w:rPr>
          <w:rFonts w:asciiTheme="majorBidi" w:eastAsia="Times New Roman" w:hAnsiTheme="majorBidi" w:cstheme="majorBidi"/>
          <w:bCs/>
          <w:iCs/>
          <w:sz w:val="24"/>
          <w:szCs w:val="24"/>
        </w:rPr>
        <w:t>9</w:t>
      </w:r>
      <w:r w:rsidR="00504DC7" w:rsidRPr="000972D1">
        <w:rPr>
          <w:rFonts w:asciiTheme="majorBidi" w:eastAsia="Times New Roman" w:hAnsiTheme="majorBidi" w:cstheme="majorBidi"/>
          <w:bCs/>
          <w:iCs/>
          <w:sz w:val="24"/>
          <w:szCs w:val="24"/>
        </w:rPr>
        <w:t>).</w:t>
      </w:r>
      <w:r w:rsidR="00504DC7" w:rsidRPr="000972D1">
        <w:rPr>
          <w:rFonts w:ascii="Times-Roman" w:hAnsi="Times-Roman" w:cs="Times-Roman"/>
          <w:color w:val="000000"/>
          <w:sz w:val="20"/>
          <w:szCs w:val="20"/>
        </w:rPr>
        <w:t xml:space="preserve"> </w:t>
      </w:r>
      <w:r w:rsidR="005A097F" w:rsidRPr="000972D1">
        <w:rPr>
          <w:rFonts w:ascii="Times-Roman" w:hAnsi="Times-Roman" w:cs="Times-Roman"/>
          <w:bCs/>
          <w:iCs/>
          <w:color w:val="000000"/>
          <w:sz w:val="24"/>
          <w:szCs w:val="24"/>
        </w:rPr>
        <w:t xml:space="preserve">Additionally, </w:t>
      </w:r>
      <w:r w:rsidR="003C36A7" w:rsidRPr="000972D1">
        <w:rPr>
          <w:rFonts w:ascii="Times-Roman" w:hAnsi="Times-Roman" w:cs="Times-Roman"/>
          <w:bCs/>
          <w:iCs/>
          <w:color w:val="000000"/>
          <w:sz w:val="24"/>
          <w:szCs w:val="24"/>
        </w:rPr>
        <w:t>f</w:t>
      </w:r>
      <w:r w:rsidR="005A097F" w:rsidRPr="000972D1">
        <w:rPr>
          <w:rFonts w:ascii="Times-Roman" w:hAnsi="Times-Roman" w:cs="Times-Roman"/>
          <w:bCs/>
          <w:iCs/>
          <w:color w:val="000000"/>
          <w:sz w:val="24"/>
          <w:szCs w:val="24"/>
        </w:rPr>
        <w:t>amily shareholders with higher concentrated ownership have sufficient control to follow their own objectives without fear of disciplinary actions from other minority ownership interests (Chau &amp; Leung, 2006). Thus, they may attempt to maximise their own interest by engaging in benefit-transfer that expropriate other stakeholder</w:t>
      </w:r>
      <w:r w:rsidR="00D85B5F">
        <w:rPr>
          <w:rFonts w:ascii="Times-Roman" w:hAnsi="Times-Roman" w:cs="Times-Roman"/>
          <w:bCs/>
          <w:iCs/>
          <w:color w:val="000000"/>
          <w:sz w:val="24"/>
          <w:szCs w:val="24"/>
        </w:rPr>
        <w:t>s</w:t>
      </w:r>
      <w:r w:rsidR="005A097F" w:rsidRPr="000972D1">
        <w:rPr>
          <w:rFonts w:ascii="Times-Roman" w:hAnsi="Times-Roman" w:cs="Times-Roman"/>
          <w:bCs/>
          <w:iCs/>
          <w:color w:val="000000"/>
          <w:sz w:val="24"/>
          <w:szCs w:val="24"/>
        </w:rPr>
        <w:t xml:space="preserve"> (; Fan &amp; Wong, 2002; Barroso </w:t>
      </w:r>
      <w:r w:rsidR="005A097F" w:rsidRPr="000972D1">
        <w:rPr>
          <w:rFonts w:asciiTheme="majorBidi" w:eastAsia="Times New Roman" w:hAnsiTheme="majorBidi" w:cstheme="majorBidi"/>
          <w:bCs/>
          <w:i/>
          <w:iCs/>
          <w:sz w:val="24"/>
          <w:szCs w:val="24"/>
        </w:rPr>
        <w:t>et al.,</w:t>
      </w:r>
      <w:r w:rsidR="005A097F" w:rsidRPr="000972D1">
        <w:rPr>
          <w:rFonts w:ascii="Times-Roman" w:hAnsi="Times-Roman" w:cs="Times-Roman"/>
          <w:bCs/>
          <w:iCs/>
          <w:color w:val="000000"/>
          <w:sz w:val="24"/>
          <w:szCs w:val="24"/>
        </w:rPr>
        <w:t xml:space="preserve"> 2018).</w:t>
      </w:r>
      <w:r w:rsidR="005A097F" w:rsidRPr="000972D1">
        <w:rPr>
          <w:rFonts w:ascii="Times-Roman" w:hAnsi="Times-Roman" w:cs="Times-Roman"/>
          <w:bCs/>
          <w:iCs/>
          <w:color w:val="000000"/>
          <w:sz w:val="20"/>
          <w:szCs w:val="20"/>
        </w:rPr>
        <w:t xml:space="preserve"> </w:t>
      </w:r>
      <w:r w:rsidR="008422F7" w:rsidRPr="000972D1">
        <w:rPr>
          <w:rFonts w:asciiTheme="majorBidi" w:eastAsia="Times New Roman" w:hAnsiTheme="majorBidi" w:cstheme="majorBidi"/>
          <w:bCs/>
          <w:iCs/>
          <w:sz w:val="24"/>
          <w:szCs w:val="24"/>
        </w:rPr>
        <w:t>Ultimately,</w:t>
      </w:r>
      <w:r w:rsidR="004E2E0C" w:rsidRPr="000972D1">
        <w:rPr>
          <w:rFonts w:asciiTheme="majorBidi" w:eastAsia="Times New Roman" w:hAnsiTheme="majorBidi" w:cstheme="majorBidi"/>
          <w:bCs/>
          <w:iCs/>
          <w:sz w:val="24"/>
          <w:szCs w:val="24"/>
        </w:rPr>
        <w:t xml:space="preserve"> family shareholders tend to held </w:t>
      </w:r>
      <w:r w:rsidR="008422F7" w:rsidRPr="000972D1">
        <w:rPr>
          <w:rFonts w:asciiTheme="majorBidi" w:eastAsia="Times New Roman" w:hAnsiTheme="majorBidi" w:cstheme="majorBidi"/>
          <w:bCs/>
          <w:iCs/>
          <w:sz w:val="24"/>
          <w:szCs w:val="24"/>
        </w:rPr>
        <w:t>privat</w:t>
      </w:r>
      <w:r w:rsidR="004E2E0C" w:rsidRPr="000972D1">
        <w:rPr>
          <w:rFonts w:asciiTheme="majorBidi" w:eastAsia="Times New Roman" w:hAnsiTheme="majorBidi" w:cstheme="majorBidi"/>
          <w:bCs/>
          <w:iCs/>
          <w:sz w:val="24"/>
          <w:szCs w:val="24"/>
        </w:rPr>
        <w:t>e information</w:t>
      </w:r>
      <w:r w:rsidR="008422F7" w:rsidRPr="000972D1">
        <w:rPr>
          <w:rFonts w:asciiTheme="majorBidi" w:eastAsia="Times New Roman" w:hAnsiTheme="majorBidi" w:cstheme="majorBidi"/>
          <w:bCs/>
          <w:iCs/>
          <w:sz w:val="24"/>
          <w:szCs w:val="24"/>
        </w:rPr>
        <w:t xml:space="preserve">, </w:t>
      </w:r>
      <w:r w:rsidR="004E2E0C" w:rsidRPr="000972D1">
        <w:rPr>
          <w:rFonts w:asciiTheme="majorBidi" w:eastAsia="Times New Roman" w:hAnsiTheme="majorBidi" w:cstheme="majorBidi"/>
          <w:bCs/>
          <w:iCs/>
          <w:sz w:val="24"/>
          <w:szCs w:val="24"/>
        </w:rPr>
        <w:t xml:space="preserve">increasing information asymmetry with </w:t>
      </w:r>
      <w:r w:rsidR="008422F7" w:rsidRPr="000972D1">
        <w:rPr>
          <w:rFonts w:asciiTheme="majorBidi" w:eastAsia="Times New Roman" w:hAnsiTheme="majorBidi" w:cstheme="majorBidi"/>
          <w:bCs/>
          <w:iCs/>
          <w:sz w:val="24"/>
          <w:szCs w:val="24"/>
        </w:rPr>
        <w:t>outsiders</w:t>
      </w:r>
      <w:r w:rsidR="004E2E0C" w:rsidRPr="000972D1">
        <w:rPr>
          <w:rFonts w:asciiTheme="majorBidi" w:eastAsia="Times New Roman" w:hAnsiTheme="majorBidi" w:cstheme="majorBidi"/>
          <w:bCs/>
          <w:iCs/>
          <w:sz w:val="24"/>
          <w:szCs w:val="24"/>
        </w:rPr>
        <w:t xml:space="preserve"> (</w:t>
      </w:r>
      <w:r w:rsidR="00386548" w:rsidRPr="000972D1">
        <w:rPr>
          <w:rFonts w:asciiTheme="majorBidi" w:eastAsia="Times New Roman" w:hAnsiTheme="majorBidi" w:cstheme="majorBidi"/>
          <w:bCs/>
          <w:sz w:val="24"/>
          <w:szCs w:val="24"/>
        </w:rPr>
        <w:t xml:space="preserve">Barroso </w:t>
      </w:r>
      <w:r w:rsidR="00386548" w:rsidRPr="000972D1">
        <w:rPr>
          <w:rFonts w:asciiTheme="majorBidi" w:eastAsia="Times New Roman" w:hAnsiTheme="majorBidi" w:cstheme="majorBidi"/>
          <w:bCs/>
          <w:i/>
          <w:iCs/>
          <w:sz w:val="24"/>
          <w:szCs w:val="24"/>
        </w:rPr>
        <w:t>et al</w:t>
      </w:r>
      <w:r w:rsidR="00386548" w:rsidRPr="000972D1">
        <w:rPr>
          <w:rFonts w:asciiTheme="majorBidi" w:eastAsia="Times New Roman" w:hAnsiTheme="majorBidi" w:cstheme="majorBidi"/>
          <w:bCs/>
          <w:sz w:val="24"/>
          <w:szCs w:val="24"/>
        </w:rPr>
        <w:t>., 2018</w:t>
      </w:r>
      <w:r w:rsidR="008422F7" w:rsidRPr="000972D1">
        <w:rPr>
          <w:rFonts w:asciiTheme="majorBidi" w:eastAsia="Times New Roman" w:hAnsiTheme="majorBidi" w:cstheme="majorBidi"/>
          <w:bCs/>
          <w:iCs/>
          <w:sz w:val="24"/>
          <w:szCs w:val="24"/>
        </w:rPr>
        <w:t>).</w:t>
      </w:r>
      <w:r w:rsidR="008422F7" w:rsidRPr="000972D1">
        <w:rPr>
          <w:rFonts w:ascii="Times-Roman" w:hAnsi="Times-Roman" w:cs="Times-Roman"/>
          <w:color w:val="000000"/>
          <w:sz w:val="20"/>
          <w:szCs w:val="20"/>
        </w:rPr>
        <w:t xml:space="preserve"> </w:t>
      </w:r>
      <w:r w:rsidR="00D86C4F" w:rsidRPr="000972D1">
        <w:rPr>
          <w:rFonts w:asciiTheme="majorBidi" w:eastAsia="Times New Roman" w:hAnsiTheme="majorBidi" w:cstheme="majorBidi"/>
          <w:bCs/>
          <w:iCs/>
          <w:sz w:val="24"/>
          <w:szCs w:val="24"/>
        </w:rPr>
        <w:t xml:space="preserve">These agency conflicts may induce managers to hide private information from other outside shareholders that potentially leads to lower quality of financial reports (Cascino </w:t>
      </w:r>
      <w:r w:rsidR="00D86C4F" w:rsidRPr="000972D1">
        <w:rPr>
          <w:rFonts w:asciiTheme="majorBidi" w:eastAsia="Times New Roman" w:hAnsiTheme="majorBidi" w:cstheme="majorBidi"/>
          <w:bCs/>
          <w:i/>
          <w:iCs/>
          <w:sz w:val="24"/>
          <w:szCs w:val="24"/>
        </w:rPr>
        <w:t>et al</w:t>
      </w:r>
      <w:r w:rsidR="00D86C4F" w:rsidRPr="000972D1">
        <w:rPr>
          <w:rFonts w:asciiTheme="majorBidi" w:eastAsia="Times New Roman" w:hAnsiTheme="majorBidi" w:cstheme="majorBidi"/>
          <w:bCs/>
          <w:iCs/>
          <w:sz w:val="24"/>
          <w:szCs w:val="24"/>
        </w:rPr>
        <w:t>., 2010).</w:t>
      </w:r>
      <w:r w:rsidR="00D86C4F" w:rsidRPr="000972D1">
        <w:rPr>
          <w:rFonts w:ascii="Times-Roman" w:hAnsi="Times-Roman" w:cs="Times-Roman"/>
          <w:bCs/>
          <w:iCs/>
          <w:color w:val="000000"/>
          <w:sz w:val="20"/>
          <w:szCs w:val="20"/>
        </w:rPr>
        <w:t xml:space="preserve"> </w:t>
      </w:r>
      <w:r w:rsidR="00277CCC" w:rsidRPr="000972D1">
        <w:rPr>
          <w:rFonts w:asciiTheme="majorBidi" w:eastAsia="Times New Roman" w:hAnsiTheme="majorBidi" w:cstheme="majorBidi"/>
          <w:bCs/>
          <w:iCs/>
          <w:sz w:val="24"/>
          <w:szCs w:val="24"/>
        </w:rPr>
        <w:t xml:space="preserve">Audit quality can be considered as a governance and monitoring mechanism which help to improve financial reporting quality especially in high agency </w:t>
      </w:r>
      <w:r w:rsidR="004C60F0">
        <w:rPr>
          <w:rFonts w:asciiTheme="majorBidi" w:eastAsia="Times New Roman" w:hAnsiTheme="majorBidi" w:cstheme="majorBidi"/>
          <w:bCs/>
          <w:iCs/>
          <w:sz w:val="24"/>
          <w:szCs w:val="24"/>
        </w:rPr>
        <w:t>conflict</w:t>
      </w:r>
      <w:r w:rsidR="004C60F0" w:rsidRPr="000972D1">
        <w:rPr>
          <w:rFonts w:asciiTheme="majorBidi" w:eastAsia="Times New Roman" w:hAnsiTheme="majorBidi" w:cstheme="majorBidi"/>
          <w:bCs/>
          <w:iCs/>
          <w:sz w:val="24"/>
          <w:szCs w:val="24"/>
        </w:rPr>
        <w:t xml:space="preserve"> </w:t>
      </w:r>
      <w:r w:rsidR="00277CCC" w:rsidRPr="000972D1">
        <w:rPr>
          <w:rFonts w:asciiTheme="majorBidi" w:eastAsia="Times New Roman" w:hAnsiTheme="majorBidi" w:cstheme="majorBidi"/>
          <w:bCs/>
          <w:iCs/>
          <w:sz w:val="24"/>
          <w:szCs w:val="24"/>
        </w:rPr>
        <w:t xml:space="preserve">situations (Al-Ajmi, 2009; </w:t>
      </w:r>
      <w:r w:rsidR="00386548" w:rsidRPr="000972D1">
        <w:rPr>
          <w:rFonts w:asciiTheme="majorBidi" w:eastAsia="Times New Roman" w:hAnsiTheme="majorBidi" w:cstheme="majorBidi"/>
          <w:bCs/>
          <w:iCs/>
          <w:sz w:val="24"/>
          <w:szCs w:val="24"/>
        </w:rPr>
        <w:t xml:space="preserve">Barroso </w:t>
      </w:r>
      <w:r w:rsidR="00386548" w:rsidRPr="000972D1">
        <w:rPr>
          <w:rFonts w:asciiTheme="majorBidi" w:eastAsia="Times New Roman" w:hAnsiTheme="majorBidi" w:cstheme="majorBidi"/>
          <w:bCs/>
          <w:i/>
          <w:iCs/>
          <w:sz w:val="24"/>
          <w:szCs w:val="24"/>
        </w:rPr>
        <w:t>et al</w:t>
      </w:r>
      <w:r w:rsidR="00386548" w:rsidRPr="000972D1">
        <w:rPr>
          <w:rFonts w:asciiTheme="majorBidi" w:eastAsia="Times New Roman" w:hAnsiTheme="majorBidi" w:cstheme="majorBidi"/>
          <w:bCs/>
          <w:iCs/>
          <w:sz w:val="24"/>
          <w:szCs w:val="24"/>
        </w:rPr>
        <w:t xml:space="preserve">., 2018; </w:t>
      </w:r>
      <w:r w:rsidR="00277CCC" w:rsidRPr="000972D1">
        <w:rPr>
          <w:rFonts w:asciiTheme="majorBidi" w:eastAsia="Times New Roman" w:hAnsiTheme="majorBidi" w:cstheme="majorBidi"/>
          <w:bCs/>
          <w:iCs/>
          <w:sz w:val="24"/>
          <w:szCs w:val="24"/>
        </w:rPr>
        <w:t xml:space="preserve">Ben-Hassoun </w:t>
      </w:r>
      <w:r w:rsidR="00277CCC" w:rsidRPr="000972D1">
        <w:rPr>
          <w:rFonts w:asciiTheme="majorBidi" w:eastAsia="Times New Roman" w:hAnsiTheme="majorBidi" w:cstheme="majorBidi"/>
          <w:bCs/>
          <w:i/>
          <w:iCs/>
          <w:sz w:val="24"/>
          <w:szCs w:val="24"/>
        </w:rPr>
        <w:t>et al.,</w:t>
      </w:r>
      <w:r w:rsidR="00277CCC" w:rsidRPr="000972D1">
        <w:rPr>
          <w:rFonts w:asciiTheme="majorBidi" w:eastAsia="Times New Roman" w:hAnsiTheme="majorBidi" w:cstheme="majorBidi"/>
          <w:bCs/>
          <w:iCs/>
          <w:sz w:val="24"/>
          <w:szCs w:val="24"/>
        </w:rPr>
        <w:t xml:space="preserve"> 2018).</w:t>
      </w:r>
      <w:r w:rsidR="00A83AA0" w:rsidRPr="000972D1">
        <w:rPr>
          <w:rFonts w:asciiTheme="majorBidi" w:eastAsia="Times New Roman" w:hAnsiTheme="majorBidi" w:cstheme="majorBidi"/>
          <w:bCs/>
          <w:iCs/>
          <w:sz w:val="24"/>
          <w:szCs w:val="24"/>
        </w:rPr>
        <w:t xml:space="preserve"> From the audit supply side, audit firms tend to increase the scope of their audit</w:t>
      </w:r>
      <w:r w:rsidR="009F6B95" w:rsidRPr="000972D1">
        <w:rPr>
          <w:rFonts w:asciiTheme="majorBidi" w:eastAsia="Times New Roman" w:hAnsiTheme="majorBidi" w:cstheme="majorBidi"/>
          <w:bCs/>
          <w:iCs/>
          <w:sz w:val="24"/>
          <w:szCs w:val="24"/>
        </w:rPr>
        <w:t>,</w:t>
      </w:r>
      <w:r w:rsidR="00A83AA0" w:rsidRPr="000972D1">
        <w:rPr>
          <w:rFonts w:asciiTheme="majorBidi" w:eastAsia="Times New Roman" w:hAnsiTheme="majorBidi" w:cstheme="majorBidi"/>
          <w:bCs/>
          <w:iCs/>
          <w:sz w:val="24"/>
          <w:szCs w:val="24"/>
        </w:rPr>
        <w:t xml:space="preserve"> </w:t>
      </w:r>
      <w:r w:rsidR="009F6B95" w:rsidRPr="000972D1">
        <w:rPr>
          <w:rFonts w:asciiTheme="majorBidi" w:eastAsia="Times New Roman" w:hAnsiTheme="majorBidi" w:cstheme="majorBidi"/>
          <w:bCs/>
          <w:iCs/>
          <w:sz w:val="24"/>
          <w:szCs w:val="24"/>
        </w:rPr>
        <w:t xml:space="preserve">and hence the audit fees, </w:t>
      </w:r>
      <w:r w:rsidR="00A83AA0" w:rsidRPr="000972D1">
        <w:rPr>
          <w:rFonts w:asciiTheme="majorBidi" w:eastAsia="Times New Roman" w:hAnsiTheme="majorBidi" w:cstheme="majorBidi"/>
          <w:bCs/>
          <w:iCs/>
          <w:sz w:val="24"/>
          <w:szCs w:val="24"/>
        </w:rPr>
        <w:t xml:space="preserve">for firms with high agency conflicts because of increased audit risk (inherent and/or control risk) and auditor business risk (litigation risk) (Khalil </w:t>
      </w:r>
      <w:r w:rsidR="00A83AA0" w:rsidRPr="000972D1">
        <w:rPr>
          <w:rFonts w:asciiTheme="majorBidi" w:eastAsia="Times New Roman" w:hAnsiTheme="majorBidi" w:cstheme="majorBidi"/>
          <w:bCs/>
          <w:i/>
          <w:iCs/>
          <w:sz w:val="24"/>
          <w:szCs w:val="24"/>
        </w:rPr>
        <w:t>et al</w:t>
      </w:r>
      <w:r w:rsidR="00A83AA0" w:rsidRPr="000972D1">
        <w:rPr>
          <w:rFonts w:asciiTheme="majorBidi" w:eastAsia="Times New Roman" w:hAnsiTheme="majorBidi" w:cstheme="majorBidi"/>
          <w:bCs/>
          <w:iCs/>
          <w:sz w:val="24"/>
          <w:szCs w:val="24"/>
        </w:rPr>
        <w:t xml:space="preserve">., 2008). </w:t>
      </w:r>
    </w:p>
    <w:p w14:paraId="6C442F44" w14:textId="522F960A" w:rsidR="002C49F4" w:rsidRPr="000972D1" w:rsidRDefault="00BF603F" w:rsidP="005A097F">
      <w:pPr>
        <w:spacing w:after="0" w:line="360" w:lineRule="auto"/>
        <w:ind w:firstLine="720"/>
        <w:jc w:val="lowKashida"/>
        <w:rPr>
          <w:rFonts w:asciiTheme="majorBidi" w:eastAsia="Times New Roman" w:hAnsiTheme="majorBidi" w:cstheme="majorBidi"/>
          <w:bCs/>
          <w:iCs/>
          <w:sz w:val="24"/>
          <w:szCs w:val="24"/>
        </w:rPr>
      </w:pPr>
      <w:r w:rsidRPr="000972D1">
        <w:rPr>
          <w:rFonts w:asciiTheme="majorBidi" w:eastAsia="Times New Roman" w:hAnsiTheme="majorBidi" w:cstheme="majorBidi"/>
          <w:bCs/>
          <w:iCs/>
          <w:sz w:val="24"/>
          <w:szCs w:val="24"/>
        </w:rPr>
        <w:t xml:space="preserve">On the other hand, </w:t>
      </w:r>
      <w:r w:rsidR="003C36A7" w:rsidRPr="000972D1">
        <w:rPr>
          <w:rFonts w:asciiTheme="majorBidi" w:eastAsia="Times New Roman" w:hAnsiTheme="majorBidi" w:cstheme="majorBidi"/>
          <w:bCs/>
          <w:iCs/>
          <w:sz w:val="24"/>
          <w:szCs w:val="24"/>
        </w:rPr>
        <w:t>f</w:t>
      </w:r>
      <w:r w:rsidR="005A097F" w:rsidRPr="000972D1">
        <w:rPr>
          <w:rFonts w:asciiTheme="majorBidi" w:eastAsia="Times New Roman" w:hAnsiTheme="majorBidi" w:cstheme="majorBidi"/>
          <w:bCs/>
          <w:iCs/>
          <w:sz w:val="24"/>
          <w:szCs w:val="24"/>
        </w:rPr>
        <w:t>amily shareholders tend to have long-term orientation and reputational concerns (</w:t>
      </w:r>
      <w:r w:rsidR="0045491F" w:rsidRPr="000972D1">
        <w:rPr>
          <w:rFonts w:asciiTheme="majorBidi" w:eastAsia="Times New Roman" w:hAnsiTheme="majorBidi" w:cstheme="majorBidi"/>
          <w:bCs/>
          <w:iCs/>
          <w:sz w:val="24"/>
          <w:szCs w:val="24"/>
        </w:rPr>
        <w:t>Khalifa, 2012</w:t>
      </w:r>
      <w:r w:rsidR="005A097F" w:rsidRPr="000972D1">
        <w:rPr>
          <w:rFonts w:asciiTheme="majorBidi" w:eastAsia="Times New Roman" w:hAnsiTheme="majorBidi" w:cstheme="majorBidi"/>
          <w:bCs/>
          <w:iCs/>
          <w:sz w:val="24"/>
          <w:szCs w:val="24"/>
        </w:rPr>
        <w:t xml:space="preserve">). They also have less diversified portfolios and hold large blocks of shares, thus they have the incentives and means to control managerial opportunism (Barroso </w:t>
      </w:r>
      <w:r w:rsidR="005A097F" w:rsidRPr="000972D1">
        <w:rPr>
          <w:rFonts w:asciiTheme="majorBidi" w:eastAsia="Times New Roman" w:hAnsiTheme="majorBidi" w:cstheme="majorBidi"/>
          <w:bCs/>
          <w:i/>
          <w:iCs/>
          <w:sz w:val="24"/>
          <w:szCs w:val="24"/>
        </w:rPr>
        <w:t>et al.,</w:t>
      </w:r>
      <w:r w:rsidR="005A097F" w:rsidRPr="000972D1">
        <w:rPr>
          <w:rFonts w:asciiTheme="majorBidi" w:eastAsia="Times New Roman" w:hAnsiTheme="majorBidi" w:cstheme="majorBidi"/>
          <w:bCs/>
          <w:iCs/>
          <w:sz w:val="24"/>
          <w:szCs w:val="24"/>
        </w:rPr>
        <w:t xml:space="preserve"> 2018). Furthermore, they have access to internal/private information because family members participate in the management or serve as directors on the board (Chen et al., 2008). Family </w:t>
      </w:r>
      <w:r w:rsidR="002C49F4" w:rsidRPr="000972D1">
        <w:rPr>
          <w:rFonts w:asciiTheme="majorBidi" w:eastAsia="Times New Roman" w:hAnsiTheme="majorBidi" w:cstheme="majorBidi"/>
          <w:bCs/>
          <w:iCs/>
          <w:sz w:val="24"/>
          <w:szCs w:val="24"/>
        </w:rPr>
        <w:t>shareholders with private information tend to provide more direct monitoring</w:t>
      </w:r>
      <w:r w:rsidR="00052E0D" w:rsidRPr="000972D1">
        <w:rPr>
          <w:rFonts w:asciiTheme="majorBidi" w:eastAsia="Times New Roman" w:hAnsiTheme="majorBidi" w:cstheme="majorBidi"/>
          <w:bCs/>
          <w:iCs/>
          <w:sz w:val="24"/>
          <w:szCs w:val="24"/>
        </w:rPr>
        <w:t xml:space="preserve"> through</w:t>
      </w:r>
      <w:r w:rsidR="00052E0D" w:rsidRPr="000972D1">
        <w:rPr>
          <w:rFonts w:ascii="Times-Roman" w:hAnsi="Times-Roman" w:cs="Times-Roman"/>
          <w:color w:val="231F20"/>
          <w:sz w:val="20"/>
          <w:szCs w:val="20"/>
        </w:rPr>
        <w:t xml:space="preserve"> </w:t>
      </w:r>
      <w:r w:rsidR="00052E0D" w:rsidRPr="000972D1">
        <w:rPr>
          <w:rFonts w:asciiTheme="majorBidi" w:eastAsia="Times New Roman" w:hAnsiTheme="majorBidi" w:cstheme="majorBidi"/>
          <w:bCs/>
          <w:iCs/>
          <w:sz w:val="24"/>
          <w:szCs w:val="24"/>
        </w:rPr>
        <w:t>appointing additional board members</w:t>
      </w:r>
      <w:r w:rsidR="002C49F4" w:rsidRPr="000972D1">
        <w:rPr>
          <w:rFonts w:asciiTheme="majorBidi" w:eastAsia="Times New Roman" w:hAnsiTheme="majorBidi" w:cstheme="majorBidi"/>
          <w:bCs/>
          <w:iCs/>
          <w:sz w:val="24"/>
          <w:szCs w:val="24"/>
        </w:rPr>
        <w:t xml:space="preserve"> (Desender </w:t>
      </w:r>
      <w:r w:rsidR="002C49F4" w:rsidRPr="000972D1">
        <w:rPr>
          <w:rFonts w:asciiTheme="majorBidi" w:eastAsia="Times New Roman" w:hAnsiTheme="majorBidi" w:cstheme="majorBidi"/>
          <w:bCs/>
          <w:i/>
          <w:iCs/>
          <w:sz w:val="24"/>
          <w:szCs w:val="24"/>
        </w:rPr>
        <w:t>et al</w:t>
      </w:r>
      <w:r w:rsidR="002C49F4" w:rsidRPr="000972D1">
        <w:rPr>
          <w:rFonts w:asciiTheme="majorBidi" w:eastAsia="Times New Roman" w:hAnsiTheme="majorBidi" w:cstheme="majorBidi"/>
          <w:bCs/>
          <w:iCs/>
          <w:sz w:val="24"/>
          <w:szCs w:val="24"/>
        </w:rPr>
        <w:t>., 2013</w:t>
      </w:r>
      <w:r w:rsidR="008C7867" w:rsidRPr="000972D1">
        <w:rPr>
          <w:rFonts w:asciiTheme="majorBidi" w:eastAsia="Times New Roman" w:hAnsiTheme="majorBidi" w:cstheme="majorBidi"/>
          <w:bCs/>
          <w:iCs/>
          <w:sz w:val="24"/>
          <w:szCs w:val="24"/>
        </w:rPr>
        <w:t xml:space="preserve">; Ho </w:t>
      </w:r>
      <w:r w:rsidR="002513C0" w:rsidRPr="000972D1">
        <w:rPr>
          <w:rFonts w:asciiTheme="majorBidi" w:eastAsia="Times New Roman" w:hAnsiTheme="majorBidi" w:cstheme="majorBidi"/>
          <w:bCs/>
          <w:iCs/>
          <w:sz w:val="24"/>
          <w:szCs w:val="24"/>
        </w:rPr>
        <w:t>&amp;</w:t>
      </w:r>
      <w:r w:rsidR="008C7867" w:rsidRPr="000972D1">
        <w:rPr>
          <w:rFonts w:asciiTheme="majorBidi" w:eastAsia="Times New Roman" w:hAnsiTheme="majorBidi" w:cstheme="majorBidi"/>
          <w:bCs/>
          <w:iCs/>
          <w:sz w:val="24"/>
          <w:szCs w:val="24"/>
        </w:rPr>
        <w:t xml:space="preserve"> Kang, 2013</w:t>
      </w:r>
      <w:r w:rsidR="002C49F4" w:rsidRPr="000972D1">
        <w:rPr>
          <w:rFonts w:asciiTheme="majorBidi" w:eastAsia="Times New Roman" w:hAnsiTheme="majorBidi" w:cstheme="majorBidi"/>
          <w:bCs/>
          <w:iCs/>
          <w:sz w:val="24"/>
          <w:szCs w:val="24"/>
        </w:rPr>
        <w:t>). Therefore, they have lower incentives to demand external auditing services</w:t>
      </w:r>
      <w:r w:rsidR="00154B19" w:rsidRPr="000972D1">
        <w:rPr>
          <w:rFonts w:asciiTheme="majorBidi" w:eastAsia="Times New Roman" w:hAnsiTheme="majorBidi" w:cstheme="majorBidi"/>
          <w:bCs/>
          <w:iCs/>
          <w:sz w:val="24"/>
          <w:szCs w:val="24"/>
        </w:rPr>
        <w:t>/ hiring top-tier auditors</w:t>
      </w:r>
      <w:r w:rsidR="002C49F4" w:rsidRPr="000972D1">
        <w:rPr>
          <w:rFonts w:asciiTheme="majorBidi" w:eastAsia="Times New Roman" w:hAnsiTheme="majorBidi" w:cstheme="majorBidi"/>
          <w:bCs/>
          <w:iCs/>
          <w:sz w:val="24"/>
          <w:szCs w:val="24"/>
        </w:rPr>
        <w:t xml:space="preserve"> </w:t>
      </w:r>
      <w:r w:rsidR="005A097F" w:rsidRPr="000972D1">
        <w:rPr>
          <w:rFonts w:asciiTheme="majorBidi" w:eastAsia="Times New Roman" w:hAnsiTheme="majorBidi" w:cstheme="majorBidi"/>
          <w:bCs/>
          <w:iCs/>
          <w:sz w:val="24"/>
          <w:szCs w:val="24"/>
        </w:rPr>
        <w:t xml:space="preserve">to monitor managers </w:t>
      </w:r>
      <w:r w:rsidR="002C49F4" w:rsidRPr="000972D1">
        <w:rPr>
          <w:rFonts w:asciiTheme="majorBidi" w:eastAsia="Times New Roman" w:hAnsiTheme="majorBidi" w:cstheme="majorBidi"/>
          <w:bCs/>
          <w:iCs/>
          <w:sz w:val="24"/>
          <w:szCs w:val="24"/>
        </w:rPr>
        <w:t>since they also bear most of the costs</w:t>
      </w:r>
      <w:r w:rsidR="00A67926" w:rsidRPr="000972D1">
        <w:rPr>
          <w:rFonts w:asciiTheme="majorBidi" w:eastAsia="Times New Roman" w:hAnsiTheme="majorBidi" w:cstheme="majorBidi"/>
          <w:bCs/>
          <w:iCs/>
          <w:sz w:val="24"/>
          <w:szCs w:val="24"/>
        </w:rPr>
        <w:t xml:space="preserve"> </w:t>
      </w:r>
      <w:r w:rsidR="005A097F" w:rsidRPr="000972D1">
        <w:rPr>
          <w:rFonts w:asciiTheme="majorBidi" w:eastAsia="Times New Roman" w:hAnsiTheme="majorBidi" w:cstheme="majorBidi"/>
          <w:bCs/>
          <w:iCs/>
          <w:sz w:val="24"/>
          <w:szCs w:val="24"/>
        </w:rPr>
        <w:t>(</w:t>
      </w:r>
      <w:r w:rsidR="008C7867" w:rsidRPr="000972D1">
        <w:rPr>
          <w:rFonts w:asciiTheme="majorBidi" w:eastAsia="Times New Roman" w:hAnsiTheme="majorBidi" w:cstheme="majorBidi"/>
          <w:bCs/>
          <w:iCs/>
          <w:sz w:val="24"/>
          <w:szCs w:val="24"/>
        </w:rPr>
        <w:t xml:space="preserve">Ho </w:t>
      </w:r>
      <w:r w:rsidR="002513C0" w:rsidRPr="000972D1">
        <w:rPr>
          <w:rFonts w:asciiTheme="majorBidi" w:eastAsia="Times New Roman" w:hAnsiTheme="majorBidi" w:cstheme="majorBidi"/>
          <w:bCs/>
          <w:iCs/>
          <w:sz w:val="24"/>
          <w:szCs w:val="24"/>
        </w:rPr>
        <w:t>&amp;</w:t>
      </w:r>
      <w:r w:rsidR="008C7867" w:rsidRPr="000972D1">
        <w:rPr>
          <w:rFonts w:asciiTheme="majorBidi" w:eastAsia="Times New Roman" w:hAnsiTheme="majorBidi" w:cstheme="majorBidi"/>
          <w:bCs/>
          <w:iCs/>
          <w:sz w:val="24"/>
          <w:szCs w:val="24"/>
        </w:rPr>
        <w:t xml:space="preserve"> Kang, 2013; </w:t>
      </w:r>
      <w:r w:rsidR="005A097F" w:rsidRPr="000972D1">
        <w:rPr>
          <w:rFonts w:asciiTheme="majorBidi" w:eastAsia="Times New Roman" w:hAnsiTheme="majorBidi" w:cstheme="majorBidi"/>
          <w:bCs/>
          <w:iCs/>
          <w:sz w:val="24"/>
          <w:szCs w:val="24"/>
        </w:rPr>
        <w:t xml:space="preserve">Barroso </w:t>
      </w:r>
      <w:r w:rsidR="005A097F" w:rsidRPr="000972D1">
        <w:rPr>
          <w:rFonts w:asciiTheme="majorBidi" w:eastAsia="Times New Roman" w:hAnsiTheme="majorBidi" w:cstheme="majorBidi"/>
          <w:bCs/>
          <w:i/>
          <w:iCs/>
          <w:sz w:val="24"/>
          <w:szCs w:val="24"/>
        </w:rPr>
        <w:t>et al</w:t>
      </w:r>
      <w:r w:rsidR="005A097F" w:rsidRPr="000972D1">
        <w:rPr>
          <w:rFonts w:asciiTheme="majorBidi" w:eastAsia="Times New Roman" w:hAnsiTheme="majorBidi" w:cstheme="majorBidi"/>
          <w:bCs/>
          <w:iCs/>
          <w:sz w:val="24"/>
          <w:szCs w:val="24"/>
        </w:rPr>
        <w:t xml:space="preserve">., 2018). </w:t>
      </w:r>
      <w:r w:rsidR="00625963" w:rsidRPr="000972D1">
        <w:rPr>
          <w:rFonts w:asciiTheme="majorBidi" w:eastAsia="Times New Roman" w:hAnsiTheme="majorBidi" w:cstheme="majorBidi"/>
          <w:bCs/>
          <w:iCs/>
          <w:sz w:val="24"/>
          <w:szCs w:val="24"/>
        </w:rPr>
        <w:t xml:space="preserve">Similarly and </w:t>
      </w:r>
      <w:r w:rsidR="00794C88" w:rsidRPr="000972D1">
        <w:rPr>
          <w:rFonts w:asciiTheme="majorBidi" w:eastAsia="Times New Roman" w:hAnsiTheme="majorBidi" w:cstheme="majorBidi"/>
          <w:bCs/>
          <w:iCs/>
          <w:sz w:val="24"/>
          <w:szCs w:val="24"/>
        </w:rPr>
        <w:t xml:space="preserve">from the audit firm side, </w:t>
      </w:r>
      <w:r w:rsidR="006E5A70" w:rsidRPr="000972D1">
        <w:rPr>
          <w:rFonts w:asciiTheme="majorBidi" w:eastAsia="Times New Roman" w:hAnsiTheme="majorBidi" w:cstheme="majorBidi"/>
          <w:bCs/>
          <w:iCs/>
          <w:sz w:val="24"/>
          <w:szCs w:val="24"/>
        </w:rPr>
        <w:t>i</w:t>
      </w:r>
      <w:r w:rsidR="00794C88" w:rsidRPr="000972D1">
        <w:rPr>
          <w:rFonts w:asciiTheme="majorBidi" w:eastAsia="Times New Roman" w:hAnsiTheme="majorBidi" w:cstheme="majorBidi"/>
          <w:bCs/>
          <w:iCs/>
          <w:sz w:val="24"/>
          <w:szCs w:val="24"/>
        </w:rPr>
        <w:t>n competitive audit markets with low litigation risk,</w:t>
      </w:r>
      <w:r w:rsidR="00625963" w:rsidRPr="000972D1">
        <w:rPr>
          <w:rFonts w:asciiTheme="majorBidi" w:eastAsia="Times New Roman" w:hAnsiTheme="majorBidi" w:cstheme="majorBidi"/>
          <w:bCs/>
          <w:iCs/>
          <w:sz w:val="24"/>
          <w:szCs w:val="24"/>
        </w:rPr>
        <w:t xml:space="preserve"> like most MENA countries,</w:t>
      </w:r>
      <w:r w:rsidR="00794C88" w:rsidRPr="000972D1">
        <w:rPr>
          <w:rFonts w:asciiTheme="majorBidi" w:eastAsia="Times New Roman" w:hAnsiTheme="majorBidi" w:cstheme="majorBidi"/>
          <w:bCs/>
          <w:iCs/>
          <w:sz w:val="24"/>
          <w:szCs w:val="24"/>
        </w:rPr>
        <w:t xml:space="preserve"> audit firms have little incentive to include a risk premium associated with high agency conflicts (</w:t>
      </w:r>
      <w:r w:rsidR="00B719B7" w:rsidRPr="000972D1">
        <w:rPr>
          <w:rFonts w:asciiTheme="majorBidi" w:eastAsia="Times New Roman" w:hAnsiTheme="majorBidi" w:cstheme="majorBidi"/>
          <w:bCs/>
          <w:iCs/>
          <w:sz w:val="24"/>
          <w:szCs w:val="24"/>
        </w:rPr>
        <w:t xml:space="preserve">Barroso </w:t>
      </w:r>
      <w:r w:rsidR="00B719B7" w:rsidRPr="000972D1">
        <w:rPr>
          <w:rFonts w:asciiTheme="majorBidi" w:eastAsia="Times New Roman" w:hAnsiTheme="majorBidi" w:cstheme="majorBidi"/>
          <w:bCs/>
          <w:i/>
          <w:iCs/>
          <w:sz w:val="24"/>
          <w:szCs w:val="24"/>
        </w:rPr>
        <w:t>et al</w:t>
      </w:r>
      <w:r w:rsidR="00B719B7" w:rsidRPr="000972D1">
        <w:rPr>
          <w:rFonts w:asciiTheme="majorBidi" w:eastAsia="Times New Roman" w:hAnsiTheme="majorBidi" w:cstheme="majorBidi"/>
          <w:bCs/>
          <w:iCs/>
          <w:sz w:val="24"/>
          <w:szCs w:val="24"/>
        </w:rPr>
        <w:t>., 2018</w:t>
      </w:r>
      <w:r w:rsidR="00794C88" w:rsidRPr="000972D1">
        <w:rPr>
          <w:rFonts w:asciiTheme="majorBidi" w:eastAsia="Times New Roman" w:hAnsiTheme="majorBidi" w:cstheme="majorBidi"/>
          <w:bCs/>
          <w:iCs/>
          <w:sz w:val="24"/>
          <w:szCs w:val="24"/>
        </w:rPr>
        <w:t>).</w:t>
      </w:r>
    </w:p>
    <w:p w14:paraId="523DAD03" w14:textId="5E99590C" w:rsidR="00EA7013" w:rsidRPr="000972D1" w:rsidRDefault="00C12A4F" w:rsidP="00C81E2B">
      <w:pPr>
        <w:spacing w:after="0" w:line="360" w:lineRule="auto"/>
        <w:ind w:firstLine="720"/>
        <w:jc w:val="lowKashida"/>
        <w:rPr>
          <w:rFonts w:asciiTheme="majorBidi" w:eastAsia="Times New Roman" w:hAnsiTheme="majorBidi" w:cstheme="majorBidi"/>
          <w:bCs/>
          <w:iCs/>
          <w:sz w:val="24"/>
          <w:szCs w:val="24"/>
        </w:rPr>
      </w:pPr>
      <w:r w:rsidRPr="000972D1">
        <w:rPr>
          <w:rFonts w:asciiTheme="majorBidi" w:eastAsia="Times New Roman" w:hAnsiTheme="majorBidi" w:cstheme="majorBidi"/>
          <w:bCs/>
          <w:iCs/>
          <w:sz w:val="24"/>
          <w:szCs w:val="24"/>
        </w:rPr>
        <w:t xml:space="preserve">Empirically, </w:t>
      </w:r>
      <w:r w:rsidR="00190ECD" w:rsidRPr="000972D1">
        <w:rPr>
          <w:rFonts w:asciiTheme="majorBidi" w:eastAsia="Times New Roman" w:hAnsiTheme="majorBidi" w:cstheme="majorBidi"/>
          <w:bCs/>
          <w:iCs/>
          <w:sz w:val="24"/>
          <w:szCs w:val="24"/>
        </w:rPr>
        <w:t xml:space="preserve">Barroso </w:t>
      </w:r>
      <w:r w:rsidR="00190ECD" w:rsidRPr="000972D1">
        <w:rPr>
          <w:rFonts w:asciiTheme="majorBidi" w:eastAsia="Times New Roman" w:hAnsiTheme="majorBidi" w:cstheme="majorBidi"/>
          <w:bCs/>
          <w:i/>
          <w:iCs/>
          <w:sz w:val="24"/>
          <w:szCs w:val="24"/>
        </w:rPr>
        <w:t>et al</w:t>
      </w:r>
      <w:r w:rsidR="002513C0" w:rsidRPr="000972D1">
        <w:rPr>
          <w:rFonts w:asciiTheme="majorBidi" w:eastAsia="Times New Roman" w:hAnsiTheme="majorBidi" w:cstheme="majorBidi"/>
          <w:bCs/>
          <w:iCs/>
          <w:sz w:val="24"/>
          <w:szCs w:val="24"/>
        </w:rPr>
        <w:t>.</w:t>
      </w:r>
      <w:r w:rsidR="00190ECD" w:rsidRPr="000972D1">
        <w:rPr>
          <w:rFonts w:asciiTheme="majorBidi" w:eastAsia="Times New Roman" w:hAnsiTheme="majorBidi" w:cstheme="majorBidi"/>
          <w:bCs/>
          <w:iCs/>
          <w:sz w:val="24"/>
          <w:szCs w:val="24"/>
        </w:rPr>
        <w:t xml:space="preserve"> (2018)</w:t>
      </w:r>
      <w:r w:rsidR="004F3515" w:rsidRPr="000972D1">
        <w:rPr>
          <w:rFonts w:asciiTheme="majorBidi" w:eastAsia="Times New Roman" w:hAnsiTheme="majorBidi" w:cstheme="majorBidi"/>
          <w:bCs/>
          <w:iCs/>
          <w:sz w:val="24"/>
          <w:szCs w:val="24"/>
        </w:rPr>
        <w:t>’s</w:t>
      </w:r>
      <w:r w:rsidR="00190ECD" w:rsidRPr="000972D1">
        <w:rPr>
          <w:rFonts w:asciiTheme="majorBidi" w:eastAsia="Times New Roman" w:hAnsiTheme="majorBidi" w:cstheme="majorBidi"/>
          <w:bCs/>
          <w:iCs/>
          <w:sz w:val="24"/>
          <w:szCs w:val="24"/>
        </w:rPr>
        <w:t xml:space="preserve"> findings </w:t>
      </w:r>
      <w:r w:rsidR="003C36A7" w:rsidRPr="000972D1">
        <w:rPr>
          <w:rFonts w:asciiTheme="majorBidi" w:eastAsia="Times New Roman" w:hAnsiTheme="majorBidi" w:cstheme="majorBidi"/>
          <w:bCs/>
          <w:iCs/>
          <w:sz w:val="24"/>
          <w:szCs w:val="24"/>
        </w:rPr>
        <w:t>indicate</w:t>
      </w:r>
      <w:r w:rsidR="00190ECD" w:rsidRPr="000972D1">
        <w:rPr>
          <w:rFonts w:asciiTheme="majorBidi" w:eastAsia="Times New Roman" w:hAnsiTheme="majorBidi" w:cstheme="majorBidi"/>
          <w:bCs/>
          <w:iCs/>
          <w:sz w:val="24"/>
          <w:szCs w:val="24"/>
        </w:rPr>
        <w:t xml:space="preserve"> that auditors are more opportunistic, </w:t>
      </w:r>
      <w:r w:rsidR="00C81E2B" w:rsidRPr="000972D1">
        <w:rPr>
          <w:rFonts w:asciiTheme="majorBidi" w:eastAsia="Times New Roman" w:hAnsiTheme="majorBidi" w:cstheme="majorBidi"/>
          <w:bCs/>
          <w:iCs/>
          <w:sz w:val="24"/>
          <w:szCs w:val="24"/>
        </w:rPr>
        <w:t xml:space="preserve">not </w:t>
      </w:r>
      <w:r w:rsidR="00190ECD" w:rsidRPr="000972D1">
        <w:rPr>
          <w:rFonts w:asciiTheme="majorBidi" w:eastAsia="Times New Roman" w:hAnsiTheme="majorBidi" w:cstheme="majorBidi"/>
          <w:bCs/>
          <w:iCs/>
          <w:sz w:val="24"/>
          <w:szCs w:val="24"/>
        </w:rPr>
        <w:t>driven by the shareholders’ needs, in low litigation countries.</w:t>
      </w:r>
      <w:r w:rsidR="00FF01F0" w:rsidRPr="000972D1">
        <w:rPr>
          <w:rFonts w:asciiTheme="majorBidi" w:eastAsia="Times New Roman" w:hAnsiTheme="majorBidi" w:cstheme="majorBidi"/>
          <w:bCs/>
          <w:iCs/>
          <w:sz w:val="24"/>
          <w:szCs w:val="24"/>
        </w:rPr>
        <w:t xml:space="preserve"> They</w:t>
      </w:r>
      <w:r w:rsidR="00C81E2B" w:rsidRPr="000972D1">
        <w:rPr>
          <w:rFonts w:asciiTheme="majorBidi" w:eastAsia="Times New Roman" w:hAnsiTheme="majorBidi" w:cstheme="majorBidi"/>
          <w:bCs/>
          <w:iCs/>
          <w:sz w:val="24"/>
          <w:szCs w:val="24"/>
        </w:rPr>
        <w:t xml:space="preserve"> also</w:t>
      </w:r>
      <w:r w:rsidR="00FF01F0" w:rsidRPr="000972D1">
        <w:rPr>
          <w:rFonts w:asciiTheme="majorBidi" w:eastAsia="Times New Roman" w:hAnsiTheme="majorBidi" w:cstheme="majorBidi"/>
          <w:bCs/>
          <w:iCs/>
          <w:sz w:val="24"/>
          <w:szCs w:val="24"/>
        </w:rPr>
        <w:t xml:space="preserve"> found a negative relation between audit fees and the </w:t>
      </w:r>
      <w:r w:rsidR="0089645C" w:rsidRPr="000972D1">
        <w:rPr>
          <w:rFonts w:asciiTheme="majorBidi" w:eastAsia="Times New Roman" w:hAnsiTheme="majorBidi" w:cstheme="majorBidi"/>
          <w:bCs/>
          <w:iCs/>
          <w:sz w:val="24"/>
          <w:szCs w:val="24"/>
        </w:rPr>
        <w:t>blockholder</w:t>
      </w:r>
      <w:r w:rsidR="00FF01F0" w:rsidRPr="000972D1">
        <w:rPr>
          <w:rFonts w:asciiTheme="majorBidi" w:eastAsia="Times New Roman" w:hAnsiTheme="majorBidi" w:cstheme="majorBidi"/>
          <w:bCs/>
          <w:iCs/>
          <w:sz w:val="24"/>
          <w:szCs w:val="24"/>
        </w:rPr>
        <w:t>s</w:t>
      </w:r>
      <w:r w:rsidR="0089645C" w:rsidRPr="000972D1">
        <w:rPr>
          <w:rFonts w:asciiTheme="majorBidi" w:eastAsia="Times New Roman" w:hAnsiTheme="majorBidi" w:cstheme="majorBidi"/>
          <w:bCs/>
          <w:iCs/>
          <w:sz w:val="24"/>
          <w:szCs w:val="24"/>
        </w:rPr>
        <w:t>’</w:t>
      </w:r>
      <w:r w:rsidR="00FF01F0" w:rsidRPr="000972D1">
        <w:rPr>
          <w:rFonts w:asciiTheme="majorBidi" w:eastAsia="Times New Roman" w:hAnsiTheme="majorBidi" w:cstheme="majorBidi"/>
          <w:bCs/>
          <w:iCs/>
          <w:sz w:val="24"/>
          <w:szCs w:val="24"/>
        </w:rPr>
        <w:t xml:space="preserve"> ownership </w:t>
      </w:r>
      <w:r w:rsidR="00AA0BB8" w:rsidRPr="000972D1">
        <w:rPr>
          <w:rFonts w:asciiTheme="majorBidi" w:eastAsia="Times New Roman" w:hAnsiTheme="majorBidi" w:cstheme="majorBidi"/>
          <w:bCs/>
          <w:iCs/>
          <w:sz w:val="24"/>
          <w:szCs w:val="24"/>
        </w:rPr>
        <w:t xml:space="preserve">in family firms in stakeholder </w:t>
      </w:r>
      <w:r w:rsidR="004F3515" w:rsidRPr="000972D1">
        <w:rPr>
          <w:rFonts w:asciiTheme="majorBidi" w:eastAsia="Times New Roman" w:hAnsiTheme="majorBidi" w:cstheme="majorBidi"/>
          <w:bCs/>
          <w:iCs/>
          <w:sz w:val="24"/>
          <w:szCs w:val="24"/>
        </w:rPr>
        <w:t xml:space="preserve">model </w:t>
      </w:r>
      <w:r w:rsidR="00AA0BB8" w:rsidRPr="000972D1">
        <w:rPr>
          <w:rFonts w:asciiTheme="majorBidi" w:eastAsia="Times New Roman" w:hAnsiTheme="majorBidi" w:cstheme="majorBidi"/>
          <w:bCs/>
          <w:iCs/>
          <w:sz w:val="24"/>
          <w:szCs w:val="24"/>
        </w:rPr>
        <w:t>countries</w:t>
      </w:r>
      <w:r w:rsidR="00FF01F0" w:rsidRPr="000972D1">
        <w:rPr>
          <w:rFonts w:asciiTheme="majorBidi" w:eastAsia="Times New Roman" w:hAnsiTheme="majorBidi" w:cstheme="majorBidi"/>
          <w:bCs/>
          <w:iCs/>
          <w:sz w:val="24"/>
          <w:szCs w:val="24"/>
        </w:rPr>
        <w:t>.</w:t>
      </w:r>
      <w:r w:rsidR="00AA0BB8" w:rsidRPr="000972D1">
        <w:rPr>
          <w:rFonts w:asciiTheme="majorBidi" w:eastAsia="Times New Roman" w:hAnsiTheme="majorBidi" w:cstheme="majorBidi"/>
          <w:bCs/>
          <w:iCs/>
          <w:sz w:val="24"/>
          <w:szCs w:val="24"/>
        </w:rPr>
        <w:t xml:space="preserve"> </w:t>
      </w:r>
      <w:r w:rsidR="000704D4" w:rsidRPr="000972D1">
        <w:rPr>
          <w:rFonts w:asciiTheme="majorBidi" w:eastAsia="Times New Roman" w:hAnsiTheme="majorBidi" w:cstheme="majorBidi"/>
          <w:bCs/>
          <w:iCs/>
          <w:sz w:val="24"/>
          <w:szCs w:val="24"/>
        </w:rPr>
        <w:t>Similarly</w:t>
      </w:r>
      <w:r w:rsidR="00AA0BB8" w:rsidRPr="000972D1">
        <w:rPr>
          <w:rFonts w:asciiTheme="majorBidi" w:eastAsia="Times New Roman" w:hAnsiTheme="majorBidi" w:cstheme="majorBidi"/>
          <w:bCs/>
          <w:iCs/>
          <w:sz w:val="24"/>
          <w:szCs w:val="24"/>
        </w:rPr>
        <w:t>,</w:t>
      </w:r>
      <w:r w:rsidR="002C19C9" w:rsidRPr="000972D1">
        <w:rPr>
          <w:rFonts w:asciiTheme="majorBidi" w:eastAsia="Times New Roman" w:hAnsiTheme="majorBidi" w:cstheme="majorBidi"/>
          <w:bCs/>
          <w:iCs/>
          <w:sz w:val="24"/>
          <w:szCs w:val="24"/>
        </w:rPr>
        <w:t xml:space="preserve"> using a sample of S&amp;P 1500 firms, Ho and Kang (2013) find that family firms demand lower audit effort resulting in lower audit fees. They also show that family firms are </w:t>
      </w:r>
      <w:r w:rsidR="008C7867" w:rsidRPr="000972D1">
        <w:rPr>
          <w:rFonts w:asciiTheme="majorBidi" w:eastAsia="Times New Roman" w:hAnsiTheme="majorBidi" w:cstheme="majorBidi"/>
          <w:bCs/>
          <w:iCs/>
          <w:sz w:val="24"/>
          <w:szCs w:val="24"/>
        </w:rPr>
        <w:t>less likely</w:t>
      </w:r>
      <w:r w:rsidR="002C19C9" w:rsidRPr="000972D1">
        <w:rPr>
          <w:rFonts w:asciiTheme="majorBidi" w:eastAsia="Times New Roman" w:hAnsiTheme="majorBidi" w:cstheme="majorBidi"/>
          <w:bCs/>
          <w:iCs/>
          <w:sz w:val="24"/>
          <w:szCs w:val="24"/>
        </w:rPr>
        <w:t xml:space="preserve"> to </w:t>
      </w:r>
      <w:r w:rsidR="008C7867" w:rsidRPr="000972D1">
        <w:rPr>
          <w:rFonts w:asciiTheme="majorBidi" w:eastAsia="Times New Roman" w:hAnsiTheme="majorBidi" w:cstheme="majorBidi"/>
          <w:bCs/>
          <w:iCs/>
          <w:sz w:val="24"/>
          <w:szCs w:val="24"/>
        </w:rPr>
        <w:t>hire</w:t>
      </w:r>
      <w:r w:rsidR="002C19C9" w:rsidRPr="000972D1">
        <w:rPr>
          <w:rFonts w:asciiTheme="majorBidi" w:eastAsia="Times New Roman" w:hAnsiTheme="majorBidi" w:cstheme="majorBidi"/>
          <w:bCs/>
          <w:iCs/>
          <w:sz w:val="24"/>
          <w:szCs w:val="24"/>
        </w:rPr>
        <w:t xml:space="preserve"> top-tier auditors and that auditors perceive lower audit risk for family firms. </w:t>
      </w:r>
      <w:r w:rsidR="00CD70E4" w:rsidRPr="000972D1">
        <w:rPr>
          <w:rFonts w:asciiTheme="majorBidi" w:eastAsia="Times New Roman" w:hAnsiTheme="majorBidi" w:cstheme="majorBidi"/>
          <w:bCs/>
          <w:iCs/>
          <w:sz w:val="24"/>
          <w:szCs w:val="24"/>
        </w:rPr>
        <w:t xml:space="preserve">Chau </w:t>
      </w:r>
      <w:r w:rsidR="00C81E2B" w:rsidRPr="000972D1">
        <w:rPr>
          <w:rFonts w:asciiTheme="majorBidi" w:eastAsia="Times New Roman" w:hAnsiTheme="majorBidi" w:cstheme="majorBidi"/>
          <w:bCs/>
          <w:iCs/>
          <w:sz w:val="24"/>
          <w:szCs w:val="24"/>
        </w:rPr>
        <w:t>and</w:t>
      </w:r>
      <w:r w:rsidR="00CD70E4" w:rsidRPr="000972D1">
        <w:rPr>
          <w:rFonts w:asciiTheme="majorBidi" w:eastAsia="Times New Roman" w:hAnsiTheme="majorBidi" w:cstheme="majorBidi"/>
          <w:bCs/>
          <w:iCs/>
          <w:sz w:val="24"/>
          <w:szCs w:val="24"/>
        </w:rPr>
        <w:t xml:space="preserve"> Leung (2006)</w:t>
      </w:r>
      <w:r w:rsidR="00CD70E4" w:rsidRPr="000972D1">
        <w:rPr>
          <w:rFonts w:asciiTheme="majorBidi" w:eastAsia="Times New Roman" w:hAnsiTheme="majorBidi" w:cstheme="majorBidi"/>
          <w:b/>
          <w:bCs/>
          <w:i/>
          <w:iCs/>
          <w:sz w:val="24"/>
          <w:szCs w:val="24"/>
        </w:rPr>
        <w:t xml:space="preserve"> </w:t>
      </w:r>
      <w:r w:rsidR="00CD70E4" w:rsidRPr="000972D1">
        <w:rPr>
          <w:rFonts w:asciiTheme="majorBidi" w:eastAsia="Times New Roman" w:hAnsiTheme="majorBidi" w:cstheme="majorBidi"/>
          <w:bCs/>
          <w:iCs/>
          <w:sz w:val="24"/>
          <w:szCs w:val="24"/>
        </w:rPr>
        <w:t xml:space="preserve">find </w:t>
      </w:r>
      <w:r w:rsidR="00FB082D" w:rsidRPr="000972D1">
        <w:rPr>
          <w:rFonts w:asciiTheme="majorBidi" w:eastAsia="Times New Roman" w:hAnsiTheme="majorBidi" w:cstheme="majorBidi"/>
          <w:bCs/>
          <w:iCs/>
          <w:sz w:val="24"/>
          <w:szCs w:val="24"/>
        </w:rPr>
        <w:t xml:space="preserve">non-linear association between family shareholding and the existence of audit committee. Their results </w:t>
      </w:r>
      <w:r w:rsidR="00C81E2B" w:rsidRPr="000972D1">
        <w:rPr>
          <w:rFonts w:asciiTheme="majorBidi" w:eastAsia="Times New Roman" w:hAnsiTheme="majorBidi" w:cstheme="majorBidi"/>
          <w:bCs/>
          <w:iCs/>
          <w:sz w:val="24"/>
          <w:szCs w:val="24"/>
        </w:rPr>
        <w:t>suggest</w:t>
      </w:r>
      <w:r w:rsidR="00FB082D" w:rsidRPr="000972D1">
        <w:rPr>
          <w:rFonts w:asciiTheme="majorBidi" w:eastAsia="Times New Roman" w:hAnsiTheme="majorBidi" w:cstheme="majorBidi"/>
          <w:bCs/>
          <w:iCs/>
          <w:sz w:val="24"/>
          <w:szCs w:val="24"/>
        </w:rPr>
        <w:t xml:space="preserve"> that </w:t>
      </w:r>
      <w:r w:rsidR="000E0301" w:rsidRPr="000972D1">
        <w:rPr>
          <w:rFonts w:asciiTheme="majorBidi" w:eastAsia="Times New Roman" w:hAnsiTheme="majorBidi" w:cstheme="majorBidi"/>
          <w:bCs/>
          <w:iCs/>
          <w:sz w:val="24"/>
          <w:szCs w:val="24"/>
        </w:rPr>
        <w:t xml:space="preserve">medium level </w:t>
      </w:r>
      <w:r w:rsidR="00FB082D" w:rsidRPr="000972D1">
        <w:rPr>
          <w:rFonts w:asciiTheme="majorBidi" w:eastAsia="Times New Roman" w:hAnsiTheme="majorBidi" w:cstheme="majorBidi"/>
          <w:bCs/>
          <w:iCs/>
          <w:sz w:val="24"/>
          <w:szCs w:val="24"/>
        </w:rPr>
        <w:t xml:space="preserve">family shareholding (between 5% and 25%) is negatively associated </w:t>
      </w:r>
      <w:r w:rsidR="00FB082D" w:rsidRPr="000972D1">
        <w:rPr>
          <w:rFonts w:asciiTheme="majorBidi" w:eastAsia="Times New Roman" w:hAnsiTheme="majorBidi" w:cstheme="majorBidi"/>
          <w:bCs/>
          <w:iCs/>
          <w:sz w:val="24"/>
          <w:szCs w:val="24"/>
        </w:rPr>
        <w:lastRenderedPageBreak/>
        <w:t>with the existence of audit committees. However, at family shareholding of more than 25%</w:t>
      </w:r>
      <w:r w:rsidR="00C81E2B" w:rsidRPr="000972D1">
        <w:rPr>
          <w:rFonts w:asciiTheme="majorBidi" w:eastAsia="Times New Roman" w:hAnsiTheme="majorBidi" w:cstheme="majorBidi"/>
          <w:bCs/>
          <w:iCs/>
          <w:sz w:val="24"/>
          <w:szCs w:val="24"/>
        </w:rPr>
        <w:t>,</w:t>
      </w:r>
      <w:r w:rsidR="00FB082D" w:rsidRPr="000972D1">
        <w:rPr>
          <w:rFonts w:asciiTheme="majorBidi" w:eastAsia="Times New Roman" w:hAnsiTheme="majorBidi" w:cstheme="majorBidi"/>
          <w:bCs/>
          <w:iCs/>
          <w:sz w:val="24"/>
          <w:szCs w:val="24"/>
        </w:rPr>
        <w:t xml:space="preserve"> the existence of audit committees increases</w:t>
      </w:r>
      <w:r w:rsidR="00CD70E4" w:rsidRPr="000972D1">
        <w:rPr>
          <w:rFonts w:asciiTheme="majorBidi" w:eastAsia="Times New Roman" w:hAnsiTheme="majorBidi" w:cstheme="majorBidi"/>
          <w:bCs/>
          <w:iCs/>
          <w:sz w:val="24"/>
          <w:szCs w:val="24"/>
        </w:rPr>
        <w:t>.</w:t>
      </w:r>
      <w:r w:rsidR="00C87653" w:rsidRPr="000972D1">
        <w:rPr>
          <w:rFonts w:asciiTheme="majorBidi" w:eastAsia="Times New Roman" w:hAnsiTheme="majorBidi" w:cstheme="majorBidi"/>
          <w:bCs/>
          <w:iCs/>
          <w:sz w:val="24"/>
          <w:szCs w:val="24"/>
        </w:rPr>
        <w:t xml:space="preserve"> </w:t>
      </w:r>
      <w:r w:rsidR="000704D4" w:rsidRPr="000972D1">
        <w:rPr>
          <w:rFonts w:asciiTheme="majorBidi" w:eastAsia="Times New Roman" w:hAnsiTheme="majorBidi" w:cstheme="majorBidi"/>
          <w:bCs/>
          <w:iCs/>
          <w:sz w:val="24"/>
          <w:szCs w:val="24"/>
        </w:rPr>
        <w:t xml:space="preserve">On the other hand, </w:t>
      </w:r>
      <w:r w:rsidR="00C87653" w:rsidRPr="000972D1">
        <w:rPr>
          <w:rFonts w:asciiTheme="majorBidi" w:eastAsia="Times New Roman" w:hAnsiTheme="majorBidi" w:cstheme="majorBidi"/>
          <w:bCs/>
          <w:iCs/>
          <w:sz w:val="24"/>
          <w:szCs w:val="24"/>
        </w:rPr>
        <w:t xml:space="preserve">Cascino </w:t>
      </w:r>
      <w:r w:rsidR="00C87653" w:rsidRPr="000972D1">
        <w:rPr>
          <w:rFonts w:asciiTheme="majorBidi" w:eastAsia="Times New Roman" w:hAnsiTheme="majorBidi" w:cstheme="majorBidi"/>
          <w:bCs/>
          <w:i/>
          <w:iCs/>
          <w:sz w:val="24"/>
          <w:szCs w:val="24"/>
        </w:rPr>
        <w:t>et al</w:t>
      </w:r>
      <w:r w:rsidR="002513C0" w:rsidRPr="000972D1">
        <w:rPr>
          <w:rFonts w:asciiTheme="majorBidi" w:eastAsia="Times New Roman" w:hAnsiTheme="majorBidi" w:cstheme="majorBidi"/>
          <w:bCs/>
          <w:iCs/>
          <w:sz w:val="24"/>
          <w:szCs w:val="24"/>
        </w:rPr>
        <w:t>.</w:t>
      </w:r>
      <w:r w:rsidR="00C87653" w:rsidRPr="000972D1">
        <w:rPr>
          <w:rFonts w:asciiTheme="majorBidi" w:eastAsia="Times New Roman" w:hAnsiTheme="majorBidi" w:cstheme="majorBidi"/>
          <w:bCs/>
          <w:iCs/>
          <w:sz w:val="24"/>
          <w:szCs w:val="24"/>
        </w:rPr>
        <w:t xml:space="preserve"> (2010) results </w:t>
      </w:r>
      <w:r w:rsidR="00C81E2B" w:rsidRPr="000972D1">
        <w:rPr>
          <w:rFonts w:asciiTheme="majorBidi" w:eastAsia="Times New Roman" w:hAnsiTheme="majorBidi" w:cstheme="majorBidi"/>
          <w:bCs/>
          <w:iCs/>
          <w:sz w:val="24"/>
          <w:szCs w:val="24"/>
        </w:rPr>
        <w:t>indicate</w:t>
      </w:r>
      <w:r w:rsidR="00C87653" w:rsidRPr="000972D1">
        <w:rPr>
          <w:rFonts w:asciiTheme="majorBidi" w:eastAsia="Times New Roman" w:hAnsiTheme="majorBidi" w:cstheme="majorBidi"/>
          <w:bCs/>
          <w:iCs/>
          <w:sz w:val="24"/>
          <w:szCs w:val="24"/>
        </w:rPr>
        <w:t xml:space="preserve"> that Italian family firms exhibit higher accounting quality compared to nonfamily firms.</w:t>
      </w:r>
      <w:r w:rsidR="00EA7013" w:rsidRPr="000972D1">
        <w:rPr>
          <w:rFonts w:asciiTheme="majorBidi" w:eastAsia="Times New Roman" w:hAnsiTheme="majorBidi" w:cstheme="majorBidi"/>
          <w:bCs/>
          <w:iCs/>
          <w:sz w:val="24"/>
          <w:szCs w:val="24"/>
        </w:rPr>
        <w:t xml:space="preserve"> Given the theoretical and empirical literature, the sixth hypothes</w:t>
      </w:r>
      <w:r w:rsidR="00C81E2B" w:rsidRPr="000972D1">
        <w:rPr>
          <w:rFonts w:asciiTheme="majorBidi" w:eastAsia="Times New Roman" w:hAnsiTheme="majorBidi" w:cstheme="majorBidi"/>
          <w:bCs/>
          <w:iCs/>
          <w:sz w:val="24"/>
          <w:szCs w:val="24"/>
        </w:rPr>
        <w:t>is</w:t>
      </w:r>
      <w:r w:rsidR="00EA7013" w:rsidRPr="000972D1">
        <w:rPr>
          <w:rFonts w:asciiTheme="majorBidi" w:eastAsia="Times New Roman" w:hAnsiTheme="majorBidi" w:cstheme="majorBidi"/>
          <w:bCs/>
          <w:iCs/>
          <w:sz w:val="24"/>
          <w:szCs w:val="24"/>
        </w:rPr>
        <w:t xml:space="preserve"> </w:t>
      </w:r>
      <w:r w:rsidR="00C81E2B" w:rsidRPr="000972D1">
        <w:rPr>
          <w:rFonts w:asciiTheme="majorBidi" w:eastAsia="Times New Roman" w:hAnsiTheme="majorBidi" w:cstheme="majorBidi"/>
          <w:bCs/>
          <w:iCs/>
          <w:sz w:val="24"/>
          <w:szCs w:val="24"/>
        </w:rPr>
        <w:t>is</w:t>
      </w:r>
      <w:r w:rsidR="00EA7013" w:rsidRPr="000972D1">
        <w:rPr>
          <w:rFonts w:asciiTheme="majorBidi" w:eastAsia="Times New Roman" w:hAnsiTheme="majorBidi" w:cstheme="majorBidi"/>
          <w:bCs/>
          <w:iCs/>
          <w:sz w:val="24"/>
          <w:szCs w:val="24"/>
        </w:rPr>
        <w:t xml:space="preserve">: </w:t>
      </w:r>
    </w:p>
    <w:p w14:paraId="23233F42" w14:textId="1C9E4972" w:rsidR="00EA7013" w:rsidRPr="00EA7013" w:rsidRDefault="00C10CDB" w:rsidP="00EA7013">
      <w:pPr>
        <w:spacing w:after="0" w:line="360" w:lineRule="auto"/>
        <w:ind w:firstLine="720"/>
        <w:jc w:val="lowKashida"/>
        <w:rPr>
          <w:rFonts w:asciiTheme="majorBidi" w:eastAsia="Times New Roman" w:hAnsiTheme="majorBidi" w:cstheme="majorBidi"/>
          <w:bCs/>
          <w:i/>
          <w:iCs/>
          <w:sz w:val="24"/>
          <w:szCs w:val="24"/>
        </w:rPr>
      </w:pPr>
      <w:r w:rsidRPr="000972D1">
        <w:rPr>
          <w:rFonts w:asciiTheme="majorBidi" w:eastAsia="Times New Roman" w:hAnsiTheme="majorBidi" w:cstheme="majorBidi"/>
          <w:b/>
          <w:bCs/>
          <w:i/>
          <w:iCs/>
          <w:sz w:val="24"/>
          <w:szCs w:val="24"/>
        </w:rPr>
        <w:t>H6</w:t>
      </w:r>
      <w:r w:rsidR="00EA7013" w:rsidRPr="000972D1">
        <w:rPr>
          <w:rFonts w:asciiTheme="majorBidi" w:eastAsia="Times New Roman" w:hAnsiTheme="majorBidi" w:cstheme="majorBidi"/>
          <w:bCs/>
          <w:i/>
          <w:iCs/>
          <w:sz w:val="24"/>
          <w:szCs w:val="24"/>
        </w:rPr>
        <w:t xml:space="preserve">: </w:t>
      </w:r>
      <w:r w:rsidR="00F7466B">
        <w:rPr>
          <w:rFonts w:asciiTheme="majorBidi" w:eastAsia="Times New Roman" w:hAnsiTheme="majorBidi" w:cstheme="majorBidi"/>
          <w:bCs/>
          <w:i/>
          <w:iCs/>
          <w:sz w:val="24"/>
          <w:szCs w:val="24"/>
        </w:rPr>
        <w:t>A</w:t>
      </w:r>
      <w:r w:rsidRPr="000972D1">
        <w:rPr>
          <w:rFonts w:asciiTheme="majorBidi" w:eastAsia="Times New Roman" w:hAnsiTheme="majorBidi" w:cstheme="majorBidi"/>
          <w:bCs/>
          <w:i/>
          <w:iCs/>
          <w:sz w:val="24"/>
          <w:szCs w:val="24"/>
        </w:rPr>
        <w:t xml:space="preserve">udit quality is </w:t>
      </w:r>
      <w:r w:rsidR="00357407" w:rsidRPr="000972D1">
        <w:rPr>
          <w:rFonts w:asciiTheme="majorBidi" w:eastAsia="Times New Roman" w:hAnsiTheme="majorBidi" w:cstheme="majorBidi"/>
          <w:bCs/>
          <w:i/>
          <w:iCs/>
          <w:sz w:val="24"/>
          <w:szCs w:val="24"/>
        </w:rPr>
        <w:t xml:space="preserve">significantly </w:t>
      </w:r>
      <w:r w:rsidRPr="000972D1">
        <w:rPr>
          <w:rFonts w:asciiTheme="majorBidi" w:eastAsia="Times New Roman" w:hAnsiTheme="majorBidi" w:cstheme="majorBidi"/>
          <w:bCs/>
          <w:i/>
          <w:iCs/>
          <w:sz w:val="24"/>
          <w:szCs w:val="24"/>
        </w:rPr>
        <w:t xml:space="preserve">associated </w:t>
      </w:r>
      <w:r w:rsidR="00C81E2B" w:rsidRPr="000972D1">
        <w:rPr>
          <w:rFonts w:asciiTheme="majorBidi" w:eastAsia="Times New Roman" w:hAnsiTheme="majorBidi" w:cstheme="majorBidi"/>
          <w:bCs/>
          <w:i/>
          <w:iCs/>
          <w:sz w:val="24"/>
          <w:szCs w:val="24"/>
        </w:rPr>
        <w:t xml:space="preserve">with </w:t>
      </w:r>
      <w:r w:rsidR="00DD4C05" w:rsidRPr="00DD4C05">
        <w:rPr>
          <w:rFonts w:asciiTheme="majorBidi" w:eastAsia="Times New Roman" w:hAnsiTheme="majorBidi" w:cstheme="majorBidi"/>
          <w:bCs/>
          <w:i/>
          <w:iCs/>
          <w:sz w:val="24"/>
          <w:szCs w:val="24"/>
        </w:rPr>
        <w:t>family shareholding</w:t>
      </w:r>
      <w:r w:rsidR="00EA7013" w:rsidRPr="000972D1">
        <w:rPr>
          <w:rFonts w:asciiTheme="majorBidi" w:eastAsia="Times New Roman" w:hAnsiTheme="majorBidi" w:cstheme="majorBidi"/>
          <w:bCs/>
          <w:i/>
          <w:iCs/>
          <w:sz w:val="24"/>
          <w:szCs w:val="24"/>
        </w:rPr>
        <w:t>.</w:t>
      </w:r>
    </w:p>
    <w:p w14:paraId="00157752" w14:textId="77777777" w:rsidR="008E5472" w:rsidRPr="008E5472" w:rsidRDefault="008E5472" w:rsidP="00F83A9E">
      <w:pPr>
        <w:spacing w:after="0" w:line="360" w:lineRule="auto"/>
        <w:jc w:val="lowKashida"/>
        <w:rPr>
          <w:rFonts w:asciiTheme="majorBidi" w:eastAsia="Times New Roman" w:hAnsiTheme="majorBidi" w:cstheme="majorBidi"/>
          <w:bCs/>
          <w:sz w:val="24"/>
          <w:szCs w:val="24"/>
        </w:rPr>
      </w:pPr>
    </w:p>
    <w:p w14:paraId="69C48BD8" w14:textId="04CD63AF" w:rsidR="006F46DC" w:rsidRPr="00C257D6" w:rsidRDefault="00157823" w:rsidP="00F83A9E">
      <w:pPr>
        <w:spacing w:after="0" w:line="360" w:lineRule="auto"/>
        <w:jc w:val="lowKashida"/>
        <w:rPr>
          <w:rFonts w:asciiTheme="majorBidi" w:eastAsia="Times New Roman" w:hAnsiTheme="majorBidi" w:cstheme="majorBidi"/>
          <w:b/>
          <w:i/>
          <w:iCs/>
          <w:sz w:val="24"/>
          <w:szCs w:val="24"/>
        </w:rPr>
      </w:pPr>
      <w:r w:rsidRPr="00157823">
        <w:rPr>
          <w:rFonts w:asciiTheme="majorBidi" w:eastAsia="Times New Roman" w:hAnsiTheme="majorBidi" w:cstheme="majorBidi"/>
          <w:b/>
          <w:i/>
          <w:iCs/>
          <w:sz w:val="24"/>
          <w:szCs w:val="24"/>
        </w:rPr>
        <w:t>3.</w:t>
      </w:r>
      <w:r>
        <w:rPr>
          <w:rFonts w:asciiTheme="majorBidi" w:eastAsia="Times New Roman" w:hAnsiTheme="majorBidi" w:cstheme="majorBidi"/>
          <w:b/>
          <w:i/>
          <w:iCs/>
          <w:sz w:val="24"/>
          <w:szCs w:val="24"/>
        </w:rPr>
        <w:t>3</w:t>
      </w:r>
      <w:r w:rsidRPr="00157823">
        <w:rPr>
          <w:rFonts w:asciiTheme="majorBidi" w:eastAsia="Times New Roman" w:hAnsiTheme="majorBidi" w:cstheme="majorBidi"/>
          <w:b/>
          <w:i/>
          <w:iCs/>
          <w:sz w:val="24"/>
          <w:szCs w:val="24"/>
        </w:rPr>
        <w:t xml:space="preserve">. </w:t>
      </w:r>
      <w:r w:rsidR="006F46DC" w:rsidRPr="00C257D6">
        <w:rPr>
          <w:rFonts w:asciiTheme="majorBidi" w:eastAsia="Times New Roman" w:hAnsiTheme="majorBidi" w:cstheme="majorBidi"/>
          <w:b/>
          <w:i/>
          <w:iCs/>
          <w:sz w:val="24"/>
          <w:szCs w:val="24"/>
        </w:rPr>
        <w:t xml:space="preserve">Country-Level Governance Quality and </w:t>
      </w:r>
      <w:r w:rsidR="00C257D6" w:rsidRPr="00C257D6">
        <w:rPr>
          <w:rFonts w:asciiTheme="majorBidi" w:eastAsia="Times New Roman" w:hAnsiTheme="majorBidi" w:cstheme="majorBidi"/>
          <w:b/>
          <w:i/>
          <w:iCs/>
          <w:sz w:val="24"/>
          <w:szCs w:val="24"/>
        </w:rPr>
        <w:t xml:space="preserve">Audit Quality </w:t>
      </w:r>
    </w:p>
    <w:p w14:paraId="389AA687" w14:textId="34340315" w:rsidR="00933A57" w:rsidRPr="008E772B" w:rsidRDefault="00955473" w:rsidP="003F2F94">
      <w:pPr>
        <w:spacing w:after="0" w:line="360" w:lineRule="auto"/>
        <w:ind w:firstLine="720"/>
        <w:jc w:val="lowKashida"/>
        <w:rPr>
          <w:rFonts w:asciiTheme="majorBidi" w:eastAsia="Times New Roman" w:hAnsiTheme="majorBidi" w:cstheme="majorBidi"/>
          <w:bCs/>
          <w:iCs/>
          <w:sz w:val="24"/>
          <w:szCs w:val="24"/>
        </w:rPr>
      </w:pPr>
      <w:r w:rsidRPr="008E772B">
        <w:rPr>
          <w:rFonts w:asciiTheme="majorBidi" w:eastAsia="Times New Roman" w:hAnsiTheme="majorBidi" w:cstheme="majorBidi"/>
          <w:bCs/>
          <w:iCs/>
          <w:sz w:val="24"/>
          <w:szCs w:val="24"/>
        </w:rPr>
        <w:t xml:space="preserve">Governance generally refers to the manner in which authority is exercised, including the respect </w:t>
      </w:r>
      <w:r w:rsidR="007679F6" w:rsidRPr="008E772B">
        <w:rPr>
          <w:rFonts w:asciiTheme="majorBidi" w:eastAsia="Times New Roman" w:hAnsiTheme="majorBidi" w:cstheme="majorBidi"/>
          <w:bCs/>
          <w:iCs/>
          <w:sz w:val="24"/>
          <w:szCs w:val="24"/>
        </w:rPr>
        <w:t>for</w:t>
      </w:r>
      <w:r w:rsidRPr="008E772B">
        <w:rPr>
          <w:rFonts w:asciiTheme="majorBidi" w:eastAsia="Times New Roman" w:hAnsiTheme="majorBidi" w:cstheme="majorBidi"/>
          <w:bCs/>
          <w:iCs/>
          <w:sz w:val="24"/>
          <w:szCs w:val="24"/>
        </w:rPr>
        <w:t xml:space="preserve"> the institutions </w:t>
      </w:r>
      <w:r w:rsidR="00B74E59" w:rsidRPr="008E772B">
        <w:rPr>
          <w:rFonts w:asciiTheme="majorBidi" w:eastAsia="Times New Roman" w:hAnsiTheme="majorBidi" w:cstheme="majorBidi"/>
          <w:bCs/>
          <w:iCs/>
          <w:sz w:val="24"/>
          <w:szCs w:val="24"/>
        </w:rPr>
        <w:t>organi</w:t>
      </w:r>
      <w:r w:rsidR="00B74E59">
        <w:rPr>
          <w:rFonts w:asciiTheme="majorBidi" w:eastAsia="Times New Roman" w:hAnsiTheme="majorBidi" w:cstheme="majorBidi"/>
          <w:bCs/>
          <w:iCs/>
          <w:sz w:val="24"/>
          <w:szCs w:val="24"/>
        </w:rPr>
        <w:t>z</w:t>
      </w:r>
      <w:r w:rsidR="00B74E59" w:rsidRPr="008E772B">
        <w:rPr>
          <w:rFonts w:asciiTheme="majorBidi" w:eastAsia="Times New Roman" w:hAnsiTheme="majorBidi" w:cstheme="majorBidi"/>
          <w:bCs/>
          <w:iCs/>
          <w:sz w:val="24"/>
          <w:szCs w:val="24"/>
        </w:rPr>
        <w:t xml:space="preserve">ing </w:t>
      </w:r>
      <w:r w:rsidRPr="008E772B">
        <w:rPr>
          <w:rFonts w:asciiTheme="majorBidi" w:eastAsia="Times New Roman" w:hAnsiTheme="majorBidi" w:cstheme="majorBidi"/>
          <w:bCs/>
          <w:iCs/>
          <w:sz w:val="24"/>
          <w:szCs w:val="24"/>
        </w:rPr>
        <w:t>the economies and social interactions among people and the governing bodies (Al</w:t>
      </w:r>
      <w:r w:rsidRPr="008E772B">
        <w:rPr>
          <w:rFonts w:ascii="Cambria Math" w:eastAsia="Times New Roman" w:hAnsi="Cambria Math" w:cs="Cambria Math"/>
          <w:bCs/>
          <w:iCs/>
          <w:sz w:val="24"/>
          <w:szCs w:val="24"/>
        </w:rPr>
        <w:t>‐</w:t>
      </w:r>
      <w:r w:rsidRPr="008E772B">
        <w:rPr>
          <w:rFonts w:asciiTheme="majorBidi" w:eastAsia="Times New Roman" w:hAnsiTheme="majorBidi" w:cstheme="majorBidi"/>
          <w:bCs/>
          <w:iCs/>
          <w:sz w:val="24"/>
          <w:szCs w:val="24"/>
        </w:rPr>
        <w:t>Marhubi, 2004</w:t>
      </w:r>
      <w:r w:rsidR="00CD3C73" w:rsidRPr="008E772B">
        <w:rPr>
          <w:rFonts w:asciiTheme="majorBidi" w:eastAsia="Times New Roman" w:hAnsiTheme="majorBidi" w:cstheme="majorBidi"/>
          <w:bCs/>
          <w:iCs/>
          <w:sz w:val="24"/>
          <w:szCs w:val="24"/>
        </w:rPr>
        <w:t>; Zahra, 2014</w:t>
      </w:r>
      <w:r w:rsidRPr="008E772B">
        <w:rPr>
          <w:rFonts w:asciiTheme="majorBidi" w:eastAsia="Times New Roman" w:hAnsiTheme="majorBidi" w:cstheme="majorBidi"/>
          <w:bCs/>
          <w:iCs/>
          <w:sz w:val="24"/>
          <w:szCs w:val="24"/>
        </w:rPr>
        <w:t>).</w:t>
      </w:r>
      <w:r w:rsidR="006441A0" w:rsidRPr="008E772B">
        <w:rPr>
          <w:rFonts w:asciiTheme="majorBidi" w:eastAsia="Times New Roman" w:hAnsiTheme="majorBidi" w:cstheme="majorBidi"/>
          <w:bCs/>
          <w:iCs/>
          <w:sz w:val="24"/>
          <w:szCs w:val="24"/>
        </w:rPr>
        <w:t xml:space="preserve"> Country specific regulations and systems constitute the framework within which companies operate. Consequently, governmental efficiency, regulations quality and empowerment of law</w:t>
      </w:r>
      <w:r w:rsidR="008B1E46">
        <w:rPr>
          <w:rFonts w:asciiTheme="majorBidi" w:eastAsia="Times New Roman" w:hAnsiTheme="majorBidi" w:cstheme="majorBidi"/>
          <w:bCs/>
          <w:iCs/>
          <w:sz w:val="24"/>
          <w:szCs w:val="24"/>
        </w:rPr>
        <w:t>s</w:t>
      </w:r>
      <w:r w:rsidR="006441A0" w:rsidRPr="008E772B">
        <w:rPr>
          <w:rFonts w:asciiTheme="majorBidi" w:eastAsia="Times New Roman" w:hAnsiTheme="majorBidi" w:cstheme="majorBidi"/>
          <w:bCs/>
          <w:iCs/>
          <w:sz w:val="24"/>
          <w:szCs w:val="24"/>
        </w:rPr>
        <w:t xml:space="preserve"> are found to affect company’s activities and outcomes (Aguilera &amp; Jackson, 2003; Ioannou &amp; Serafeim, 2012; Baldini </w:t>
      </w:r>
      <w:r w:rsidR="006441A0" w:rsidRPr="008E772B">
        <w:rPr>
          <w:rFonts w:asciiTheme="majorBidi" w:eastAsia="Times New Roman" w:hAnsiTheme="majorBidi" w:cstheme="majorBidi"/>
          <w:bCs/>
          <w:i/>
          <w:sz w:val="24"/>
          <w:szCs w:val="24"/>
        </w:rPr>
        <w:t>et al</w:t>
      </w:r>
      <w:r w:rsidR="006441A0" w:rsidRPr="008E772B">
        <w:rPr>
          <w:rFonts w:asciiTheme="majorBidi" w:eastAsia="Times New Roman" w:hAnsiTheme="majorBidi" w:cstheme="majorBidi"/>
          <w:bCs/>
          <w:iCs/>
          <w:sz w:val="24"/>
          <w:szCs w:val="24"/>
        </w:rPr>
        <w:t xml:space="preserve">., </w:t>
      </w:r>
      <w:r w:rsidR="00EA1FDF" w:rsidRPr="008E772B">
        <w:rPr>
          <w:rFonts w:asciiTheme="majorBidi" w:eastAsia="Times New Roman" w:hAnsiTheme="majorBidi" w:cstheme="majorBidi"/>
          <w:bCs/>
          <w:iCs/>
          <w:sz w:val="24"/>
          <w:szCs w:val="24"/>
        </w:rPr>
        <w:t>201</w:t>
      </w:r>
      <w:r w:rsidR="00EA1FDF">
        <w:rPr>
          <w:rFonts w:asciiTheme="majorBidi" w:eastAsia="Times New Roman" w:hAnsiTheme="majorBidi" w:cstheme="majorBidi"/>
          <w:bCs/>
          <w:iCs/>
          <w:sz w:val="24"/>
          <w:szCs w:val="24"/>
        </w:rPr>
        <w:t>8</w:t>
      </w:r>
      <w:r w:rsidR="006441A0" w:rsidRPr="008E772B">
        <w:rPr>
          <w:rFonts w:asciiTheme="majorBidi" w:eastAsia="Times New Roman" w:hAnsiTheme="majorBidi" w:cstheme="majorBidi"/>
          <w:bCs/>
          <w:iCs/>
          <w:sz w:val="24"/>
          <w:szCs w:val="24"/>
        </w:rPr>
        <w:t>).</w:t>
      </w:r>
      <w:r w:rsidR="006441A0" w:rsidRPr="008E772B">
        <w:rPr>
          <w:rFonts w:asciiTheme="majorBidi" w:eastAsia="Calibri" w:hAnsiTheme="majorBidi" w:cstheme="majorBidi"/>
          <w:sz w:val="24"/>
          <w:szCs w:val="24"/>
          <w:lang w:eastAsia="en-US"/>
        </w:rPr>
        <w:t xml:space="preserve"> </w:t>
      </w:r>
      <w:r w:rsidR="002E5922" w:rsidRPr="008E772B">
        <w:rPr>
          <w:rFonts w:asciiTheme="majorBidi" w:eastAsia="Calibri" w:hAnsiTheme="majorBidi" w:cstheme="majorBidi"/>
          <w:bCs/>
          <w:iCs/>
          <w:sz w:val="24"/>
          <w:szCs w:val="24"/>
          <w:lang w:eastAsia="en-US"/>
        </w:rPr>
        <w:t xml:space="preserve">Judge </w:t>
      </w:r>
      <w:r w:rsidR="002E5922" w:rsidRPr="008E772B">
        <w:rPr>
          <w:rFonts w:asciiTheme="majorBidi" w:eastAsia="Calibri" w:hAnsiTheme="majorBidi" w:cstheme="majorBidi"/>
          <w:bCs/>
          <w:i/>
          <w:iCs/>
          <w:sz w:val="24"/>
          <w:szCs w:val="24"/>
          <w:lang w:eastAsia="en-US"/>
        </w:rPr>
        <w:t>et al</w:t>
      </w:r>
      <w:r w:rsidR="002E5922" w:rsidRPr="008E772B">
        <w:rPr>
          <w:rFonts w:asciiTheme="majorBidi" w:eastAsia="Calibri" w:hAnsiTheme="majorBidi" w:cstheme="majorBidi"/>
          <w:bCs/>
          <w:iCs/>
          <w:sz w:val="24"/>
          <w:szCs w:val="24"/>
          <w:lang w:eastAsia="en-US"/>
        </w:rPr>
        <w:t xml:space="preserve">. (2008) argue that the legitimacy of </w:t>
      </w:r>
      <w:r w:rsidR="008B1E46">
        <w:rPr>
          <w:rFonts w:asciiTheme="majorBidi" w:eastAsia="Calibri" w:hAnsiTheme="majorBidi" w:cstheme="majorBidi"/>
          <w:bCs/>
          <w:iCs/>
          <w:sz w:val="24"/>
          <w:szCs w:val="24"/>
          <w:lang w:eastAsia="en-US"/>
        </w:rPr>
        <w:t>governance</w:t>
      </w:r>
      <w:r w:rsidR="002E5922" w:rsidRPr="008E772B">
        <w:rPr>
          <w:rFonts w:asciiTheme="majorBidi" w:eastAsia="Calibri" w:hAnsiTheme="majorBidi" w:cstheme="majorBidi"/>
          <w:bCs/>
          <w:iCs/>
          <w:sz w:val="24"/>
          <w:szCs w:val="24"/>
          <w:lang w:eastAsia="en-US"/>
        </w:rPr>
        <w:t xml:space="preserve"> practices is derived from the degree of law and order in the society, the cultural view of competitiveness, and the extent to which corruption is embraced within a nation. </w:t>
      </w:r>
    </w:p>
    <w:p w14:paraId="732DFB96" w14:textId="1720AE6B" w:rsidR="002D6CF6" w:rsidRDefault="00D90104" w:rsidP="0051312E">
      <w:pPr>
        <w:spacing w:after="0" w:line="360" w:lineRule="auto"/>
        <w:ind w:firstLine="720"/>
        <w:jc w:val="lowKashida"/>
        <w:rPr>
          <w:rFonts w:asciiTheme="majorBidi" w:eastAsia="Calibri" w:hAnsiTheme="majorBidi" w:cstheme="majorBidi"/>
          <w:sz w:val="24"/>
          <w:szCs w:val="24"/>
          <w:lang w:eastAsia="en-US"/>
        </w:rPr>
      </w:pPr>
      <w:r w:rsidRPr="008E772B">
        <w:rPr>
          <w:rFonts w:asciiTheme="majorBidi" w:eastAsia="Times New Roman" w:hAnsiTheme="majorBidi" w:cstheme="majorBidi"/>
          <w:bCs/>
          <w:iCs/>
          <w:sz w:val="24"/>
          <w:szCs w:val="24"/>
        </w:rPr>
        <w:t>Countries apply legal rules and regulations</w:t>
      </w:r>
      <w:r w:rsidR="003A28B4">
        <w:rPr>
          <w:rFonts w:asciiTheme="majorBidi" w:eastAsia="Times New Roman" w:hAnsiTheme="majorBidi" w:cstheme="majorBidi"/>
          <w:bCs/>
          <w:iCs/>
          <w:sz w:val="24"/>
          <w:szCs w:val="24"/>
        </w:rPr>
        <w:t xml:space="preserve"> in order</w:t>
      </w:r>
      <w:r w:rsidRPr="008E772B">
        <w:rPr>
          <w:rFonts w:asciiTheme="majorBidi" w:eastAsia="Times New Roman" w:hAnsiTheme="majorBidi" w:cstheme="majorBidi"/>
          <w:bCs/>
          <w:iCs/>
          <w:sz w:val="24"/>
          <w:szCs w:val="24"/>
        </w:rPr>
        <w:t xml:space="preserve"> to maintain shareholders’ interests from corporate insiders undertaking activities that would benefit themselves or other stakeholders instead of the shareholders (Aguilera &amp; Jackson, 2003). Thus, in countries with high</w:t>
      </w:r>
      <w:r w:rsidR="00677BC1">
        <w:rPr>
          <w:rFonts w:asciiTheme="majorBidi" w:eastAsia="Times New Roman" w:hAnsiTheme="majorBidi" w:cstheme="majorBidi"/>
          <w:bCs/>
          <w:iCs/>
          <w:sz w:val="24"/>
          <w:szCs w:val="24"/>
        </w:rPr>
        <w:t>er</w:t>
      </w:r>
      <w:r w:rsidR="0049352A">
        <w:rPr>
          <w:rFonts w:asciiTheme="majorBidi" w:eastAsia="Times New Roman" w:hAnsiTheme="majorBidi" w:cstheme="majorBidi"/>
          <w:bCs/>
          <w:iCs/>
          <w:sz w:val="24"/>
          <w:szCs w:val="24"/>
        </w:rPr>
        <w:t>-</w:t>
      </w:r>
      <w:r w:rsidR="00677BC1">
        <w:rPr>
          <w:rFonts w:asciiTheme="majorBidi" w:eastAsia="Times New Roman" w:hAnsiTheme="majorBidi" w:cstheme="majorBidi"/>
          <w:bCs/>
          <w:iCs/>
          <w:sz w:val="24"/>
          <w:szCs w:val="24"/>
        </w:rPr>
        <w:t>quality</w:t>
      </w:r>
      <w:r w:rsidRPr="008E772B">
        <w:rPr>
          <w:rFonts w:asciiTheme="majorBidi" w:eastAsia="Times New Roman" w:hAnsiTheme="majorBidi" w:cstheme="majorBidi"/>
          <w:bCs/>
          <w:iCs/>
          <w:sz w:val="24"/>
          <w:szCs w:val="24"/>
        </w:rPr>
        <w:t xml:space="preserve"> governance</w:t>
      </w:r>
      <w:r w:rsidR="003A28B4">
        <w:rPr>
          <w:rFonts w:asciiTheme="majorBidi" w:eastAsia="Times New Roman" w:hAnsiTheme="majorBidi" w:cstheme="majorBidi"/>
          <w:bCs/>
          <w:iCs/>
          <w:sz w:val="24"/>
          <w:szCs w:val="24"/>
        </w:rPr>
        <w:t>,</w:t>
      </w:r>
      <w:r w:rsidRPr="008E772B">
        <w:rPr>
          <w:rFonts w:asciiTheme="majorBidi" w:eastAsia="Times New Roman" w:hAnsiTheme="majorBidi" w:cstheme="majorBidi"/>
          <w:bCs/>
          <w:iCs/>
          <w:sz w:val="24"/>
          <w:szCs w:val="24"/>
        </w:rPr>
        <w:t xml:space="preserve"> where laws and regulations protect shareholders’ interests effectively, company management has incentives to address the interests of shareholders (Aguilera &amp; Jackson, 2003; Ioannou &amp; Serafeim, 2012)</w:t>
      </w:r>
      <w:r w:rsidR="00F901EA" w:rsidRPr="008E772B">
        <w:rPr>
          <w:rFonts w:asciiTheme="majorBidi" w:eastAsia="Times New Roman" w:hAnsiTheme="majorBidi" w:cstheme="majorBidi"/>
          <w:bCs/>
          <w:iCs/>
          <w:sz w:val="24"/>
          <w:szCs w:val="24"/>
        </w:rPr>
        <w:t xml:space="preserve">, that may be achieved through engaging in </w:t>
      </w:r>
      <w:r w:rsidR="00B10CCF" w:rsidRPr="008E772B">
        <w:rPr>
          <w:rFonts w:asciiTheme="majorBidi" w:eastAsia="Times New Roman" w:hAnsiTheme="majorBidi" w:cstheme="majorBidi"/>
          <w:bCs/>
          <w:iCs/>
          <w:sz w:val="24"/>
          <w:szCs w:val="24"/>
        </w:rPr>
        <w:t xml:space="preserve">a </w:t>
      </w:r>
      <w:r w:rsidR="00F901EA" w:rsidRPr="008E772B">
        <w:rPr>
          <w:rFonts w:asciiTheme="majorBidi" w:eastAsia="Times New Roman" w:hAnsiTheme="majorBidi" w:cstheme="majorBidi"/>
          <w:bCs/>
          <w:iCs/>
          <w:sz w:val="24"/>
          <w:szCs w:val="24"/>
        </w:rPr>
        <w:t xml:space="preserve">better quality audit process (i.e., employ </w:t>
      </w:r>
      <w:r w:rsidR="0049352A">
        <w:rPr>
          <w:rFonts w:asciiTheme="majorBidi" w:eastAsia="Times New Roman" w:hAnsiTheme="majorBidi" w:cstheme="majorBidi"/>
          <w:bCs/>
          <w:iCs/>
          <w:sz w:val="24"/>
          <w:szCs w:val="24"/>
        </w:rPr>
        <w:t xml:space="preserve">a </w:t>
      </w:r>
      <w:r w:rsidR="0049352A" w:rsidRPr="008E772B">
        <w:rPr>
          <w:rFonts w:asciiTheme="majorBidi" w:eastAsia="Times New Roman" w:hAnsiTheme="majorBidi" w:cstheme="majorBidi"/>
          <w:bCs/>
          <w:iCs/>
          <w:sz w:val="24"/>
          <w:szCs w:val="24"/>
        </w:rPr>
        <w:t>high</w:t>
      </w:r>
      <w:r w:rsidR="0049352A">
        <w:rPr>
          <w:rFonts w:asciiTheme="majorBidi" w:eastAsia="Times New Roman" w:hAnsiTheme="majorBidi" w:cstheme="majorBidi"/>
          <w:bCs/>
          <w:iCs/>
          <w:sz w:val="24"/>
          <w:szCs w:val="24"/>
        </w:rPr>
        <w:t>er-</w:t>
      </w:r>
      <w:r w:rsidR="00F901EA" w:rsidRPr="008E772B">
        <w:rPr>
          <w:rFonts w:asciiTheme="majorBidi" w:eastAsia="Times New Roman" w:hAnsiTheme="majorBidi" w:cstheme="majorBidi"/>
          <w:bCs/>
          <w:iCs/>
          <w:sz w:val="24"/>
          <w:szCs w:val="24"/>
        </w:rPr>
        <w:t xml:space="preserve">quality auditor and pay </w:t>
      </w:r>
      <w:r w:rsidR="00672E6B">
        <w:rPr>
          <w:rFonts w:asciiTheme="majorBidi" w:eastAsia="Times New Roman" w:hAnsiTheme="majorBidi" w:cstheme="majorBidi"/>
          <w:bCs/>
          <w:iCs/>
          <w:sz w:val="24"/>
          <w:szCs w:val="24"/>
        </w:rPr>
        <w:t>higher</w:t>
      </w:r>
      <w:r w:rsidR="00672E6B" w:rsidRPr="008E772B">
        <w:rPr>
          <w:rFonts w:asciiTheme="majorBidi" w:eastAsia="Times New Roman" w:hAnsiTheme="majorBidi" w:cstheme="majorBidi"/>
          <w:bCs/>
          <w:iCs/>
          <w:sz w:val="24"/>
          <w:szCs w:val="24"/>
        </w:rPr>
        <w:t xml:space="preserve"> </w:t>
      </w:r>
      <w:r w:rsidR="00F901EA" w:rsidRPr="008E772B">
        <w:rPr>
          <w:rFonts w:asciiTheme="majorBidi" w:eastAsia="Times New Roman" w:hAnsiTheme="majorBidi" w:cstheme="majorBidi"/>
          <w:bCs/>
          <w:iCs/>
          <w:sz w:val="24"/>
          <w:szCs w:val="24"/>
        </w:rPr>
        <w:t>audit fees)</w:t>
      </w:r>
      <w:r w:rsidR="00D80C08" w:rsidRPr="008E772B">
        <w:rPr>
          <w:rFonts w:asciiTheme="majorBidi" w:eastAsia="Times New Roman" w:hAnsiTheme="majorBidi" w:cstheme="majorBidi"/>
          <w:bCs/>
          <w:iCs/>
          <w:sz w:val="24"/>
          <w:szCs w:val="24"/>
        </w:rPr>
        <w:t xml:space="preserve"> (Francis &amp; Wang, 2008;</w:t>
      </w:r>
      <w:r w:rsidR="00CE3B92" w:rsidRPr="008E772B">
        <w:rPr>
          <w:rFonts w:asciiTheme="majorBidi" w:eastAsia="Times New Roman" w:hAnsiTheme="majorBidi" w:cstheme="majorBidi"/>
          <w:bCs/>
          <w:iCs/>
          <w:sz w:val="24"/>
          <w:szCs w:val="24"/>
        </w:rPr>
        <w:t xml:space="preserve"> </w:t>
      </w:r>
      <w:r w:rsidR="00D80C08" w:rsidRPr="008E772B">
        <w:rPr>
          <w:rFonts w:asciiTheme="majorBidi" w:eastAsia="Times New Roman" w:hAnsiTheme="majorBidi" w:cstheme="majorBidi"/>
          <w:bCs/>
          <w:iCs/>
          <w:sz w:val="24"/>
          <w:szCs w:val="24"/>
        </w:rPr>
        <w:t xml:space="preserve">Gul </w:t>
      </w:r>
      <w:r w:rsidR="00D80C08" w:rsidRPr="008E772B">
        <w:rPr>
          <w:rFonts w:asciiTheme="majorBidi" w:eastAsia="Times New Roman" w:hAnsiTheme="majorBidi" w:cstheme="majorBidi"/>
          <w:bCs/>
          <w:i/>
          <w:iCs/>
          <w:sz w:val="24"/>
          <w:szCs w:val="24"/>
        </w:rPr>
        <w:t>et al</w:t>
      </w:r>
      <w:r w:rsidR="00D80C08" w:rsidRPr="008E772B">
        <w:rPr>
          <w:rFonts w:asciiTheme="majorBidi" w:eastAsia="Times New Roman" w:hAnsiTheme="majorBidi" w:cstheme="majorBidi"/>
          <w:bCs/>
          <w:iCs/>
          <w:sz w:val="24"/>
          <w:szCs w:val="24"/>
        </w:rPr>
        <w:t>., 2013)</w:t>
      </w:r>
      <w:r w:rsidRPr="008E772B">
        <w:rPr>
          <w:rFonts w:asciiTheme="majorBidi" w:eastAsia="Times New Roman" w:hAnsiTheme="majorBidi" w:cstheme="majorBidi"/>
          <w:bCs/>
          <w:iCs/>
          <w:sz w:val="24"/>
          <w:szCs w:val="24"/>
        </w:rPr>
        <w:t>. Mateescu (2015) argues that companies operating in countries with higher rule of law, government effectiveness</w:t>
      </w:r>
      <w:r w:rsidR="00155593">
        <w:rPr>
          <w:rFonts w:asciiTheme="majorBidi" w:eastAsia="Times New Roman" w:hAnsiTheme="majorBidi" w:cstheme="majorBidi"/>
          <w:bCs/>
          <w:iCs/>
          <w:sz w:val="24"/>
          <w:szCs w:val="24"/>
        </w:rPr>
        <w:t>,</w:t>
      </w:r>
      <w:r w:rsidRPr="008E772B">
        <w:rPr>
          <w:rFonts w:asciiTheme="majorBidi" w:eastAsia="Times New Roman" w:hAnsiTheme="majorBidi" w:cstheme="majorBidi"/>
          <w:bCs/>
          <w:iCs/>
          <w:sz w:val="24"/>
          <w:szCs w:val="24"/>
        </w:rPr>
        <w:t xml:space="preserve"> and regulatory quality are more </w:t>
      </w:r>
      <w:r w:rsidR="000B3E90">
        <w:rPr>
          <w:rFonts w:asciiTheme="majorBidi" w:eastAsia="Times New Roman" w:hAnsiTheme="majorBidi" w:cstheme="majorBidi"/>
          <w:bCs/>
          <w:iCs/>
          <w:sz w:val="24"/>
          <w:szCs w:val="24"/>
        </w:rPr>
        <w:t xml:space="preserve">likely to be </w:t>
      </w:r>
      <w:r w:rsidRPr="008E772B">
        <w:rPr>
          <w:rFonts w:asciiTheme="majorBidi" w:eastAsia="Times New Roman" w:hAnsiTheme="majorBidi" w:cstheme="majorBidi"/>
          <w:bCs/>
          <w:iCs/>
          <w:sz w:val="24"/>
          <w:szCs w:val="24"/>
        </w:rPr>
        <w:t xml:space="preserve">compliant with national </w:t>
      </w:r>
      <w:r w:rsidR="00C227E6" w:rsidRPr="008E772B">
        <w:rPr>
          <w:rFonts w:asciiTheme="majorBidi" w:eastAsia="Times New Roman" w:hAnsiTheme="majorBidi" w:cstheme="majorBidi"/>
          <w:bCs/>
          <w:iCs/>
          <w:sz w:val="24"/>
          <w:szCs w:val="24"/>
        </w:rPr>
        <w:t>governance</w:t>
      </w:r>
      <w:r w:rsidRPr="008E772B">
        <w:rPr>
          <w:rFonts w:asciiTheme="majorBidi" w:eastAsia="Times New Roman" w:hAnsiTheme="majorBidi" w:cstheme="majorBidi"/>
          <w:bCs/>
          <w:iCs/>
          <w:sz w:val="24"/>
          <w:szCs w:val="24"/>
        </w:rPr>
        <w:t xml:space="preserve"> codes and disclose more information. </w:t>
      </w:r>
      <w:r w:rsidR="000B3E90">
        <w:rPr>
          <w:rFonts w:asciiTheme="majorBidi" w:eastAsia="Times New Roman" w:hAnsiTheme="majorBidi" w:cstheme="majorBidi"/>
          <w:bCs/>
          <w:iCs/>
          <w:sz w:val="24"/>
          <w:szCs w:val="24"/>
        </w:rPr>
        <w:t>Also, c</w:t>
      </w:r>
      <w:r w:rsidRPr="008E772B">
        <w:rPr>
          <w:rFonts w:asciiTheme="majorBidi" w:eastAsia="Times New Roman" w:hAnsiTheme="majorBidi" w:cstheme="majorBidi"/>
          <w:bCs/>
          <w:iCs/>
          <w:sz w:val="24"/>
          <w:szCs w:val="24"/>
        </w:rPr>
        <w:t>ompanies operating in countries with high</w:t>
      </w:r>
      <w:r w:rsidR="0049352A">
        <w:rPr>
          <w:rFonts w:asciiTheme="majorBidi" w:eastAsia="Times New Roman" w:hAnsiTheme="majorBidi" w:cstheme="majorBidi"/>
          <w:bCs/>
          <w:iCs/>
          <w:sz w:val="24"/>
          <w:szCs w:val="24"/>
        </w:rPr>
        <w:t>er</w:t>
      </w:r>
      <w:r w:rsidRPr="008E772B">
        <w:rPr>
          <w:rFonts w:asciiTheme="majorBidi" w:eastAsia="Times New Roman" w:hAnsiTheme="majorBidi" w:cstheme="majorBidi"/>
          <w:bCs/>
          <w:iCs/>
          <w:sz w:val="24"/>
          <w:szCs w:val="24"/>
        </w:rPr>
        <w:t xml:space="preserve"> levels of corruption are less likely to improve corporate disclosure (Ioannou &amp; Serafeim, 2012; Baldini </w:t>
      </w:r>
      <w:r w:rsidRPr="008E772B">
        <w:rPr>
          <w:rFonts w:asciiTheme="majorBidi" w:eastAsia="Times New Roman" w:hAnsiTheme="majorBidi" w:cstheme="majorBidi"/>
          <w:bCs/>
          <w:i/>
          <w:sz w:val="24"/>
          <w:szCs w:val="24"/>
        </w:rPr>
        <w:t>et al</w:t>
      </w:r>
      <w:r w:rsidRPr="008E772B">
        <w:rPr>
          <w:rFonts w:asciiTheme="majorBidi" w:eastAsia="Times New Roman" w:hAnsiTheme="majorBidi" w:cstheme="majorBidi"/>
          <w:bCs/>
          <w:iCs/>
          <w:sz w:val="24"/>
          <w:szCs w:val="24"/>
        </w:rPr>
        <w:t xml:space="preserve">., </w:t>
      </w:r>
      <w:r w:rsidR="00EA1FDF" w:rsidRPr="008E772B">
        <w:rPr>
          <w:rFonts w:asciiTheme="majorBidi" w:eastAsia="Times New Roman" w:hAnsiTheme="majorBidi" w:cstheme="majorBidi"/>
          <w:bCs/>
          <w:iCs/>
          <w:sz w:val="24"/>
          <w:szCs w:val="24"/>
        </w:rPr>
        <w:t>201</w:t>
      </w:r>
      <w:r w:rsidR="00EA1FDF">
        <w:rPr>
          <w:rFonts w:asciiTheme="majorBidi" w:eastAsia="Times New Roman" w:hAnsiTheme="majorBidi" w:cstheme="majorBidi"/>
          <w:bCs/>
          <w:iCs/>
          <w:sz w:val="24"/>
          <w:szCs w:val="24"/>
        </w:rPr>
        <w:t>8</w:t>
      </w:r>
      <w:r w:rsidRPr="008E772B">
        <w:rPr>
          <w:rFonts w:asciiTheme="majorBidi" w:eastAsia="Times New Roman" w:hAnsiTheme="majorBidi" w:cstheme="majorBidi"/>
          <w:bCs/>
          <w:iCs/>
          <w:sz w:val="24"/>
          <w:szCs w:val="24"/>
        </w:rPr>
        <w:t>)</w:t>
      </w:r>
      <w:r w:rsidR="00F901EA" w:rsidRPr="008E772B">
        <w:rPr>
          <w:rFonts w:asciiTheme="majorBidi" w:eastAsia="Times New Roman" w:hAnsiTheme="majorBidi" w:cstheme="majorBidi"/>
          <w:bCs/>
          <w:iCs/>
          <w:sz w:val="24"/>
          <w:szCs w:val="24"/>
        </w:rPr>
        <w:t xml:space="preserve">, </w:t>
      </w:r>
      <w:r w:rsidR="00F901EA" w:rsidRPr="008E772B">
        <w:rPr>
          <w:rFonts w:asciiTheme="majorBidi" w:eastAsia="Calibri" w:hAnsiTheme="majorBidi" w:cstheme="majorBidi"/>
          <w:sz w:val="24"/>
          <w:szCs w:val="24"/>
          <w:lang w:eastAsia="en-US"/>
        </w:rPr>
        <w:t>and audit quality.</w:t>
      </w:r>
      <w:r w:rsidR="00B10CCF" w:rsidRPr="008E772B">
        <w:rPr>
          <w:rFonts w:asciiTheme="majorBidi" w:eastAsia="Calibri" w:hAnsiTheme="majorBidi" w:cstheme="majorBidi"/>
          <w:sz w:val="24"/>
          <w:szCs w:val="24"/>
          <w:lang w:eastAsia="en-US"/>
        </w:rPr>
        <w:t xml:space="preserve"> </w:t>
      </w:r>
      <w:r w:rsidR="00726C6F">
        <w:rPr>
          <w:rFonts w:asciiTheme="majorBidi" w:eastAsia="Calibri" w:hAnsiTheme="majorBidi" w:cstheme="majorBidi"/>
          <w:sz w:val="24"/>
          <w:szCs w:val="24"/>
          <w:lang w:eastAsia="en-US"/>
        </w:rPr>
        <w:t xml:space="preserve">Thus, there may be higher </w:t>
      </w:r>
      <w:r w:rsidR="00726C6F" w:rsidRPr="00726C6F">
        <w:rPr>
          <w:rFonts w:asciiTheme="majorBidi" w:eastAsia="Calibri" w:hAnsiTheme="majorBidi" w:cstheme="majorBidi"/>
          <w:sz w:val="24"/>
          <w:szCs w:val="24"/>
          <w:lang w:eastAsia="en-US"/>
        </w:rPr>
        <w:t>demand for audit services</w:t>
      </w:r>
      <w:r w:rsidR="00726C6F">
        <w:rPr>
          <w:rFonts w:asciiTheme="majorBidi" w:eastAsia="Calibri" w:hAnsiTheme="majorBidi" w:cstheme="majorBidi"/>
          <w:sz w:val="24"/>
          <w:szCs w:val="24"/>
          <w:lang w:eastAsia="en-US"/>
        </w:rPr>
        <w:t xml:space="preserve"> (e.g., Big4 and audit fees)</w:t>
      </w:r>
      <w:r w:rsidR="00726C6F" w:rsidRPr="00726C6F">
        <w:rPr>
          <w:rFonts w:asciiTheme="majorBidi" w:eastAsia="Calibri" w:hAnsiTheme="majorBidi" w:cstheme="majorBidi"/>
          <w:sz w:val="24"/>
          <w:szCs w:val="24"/>
          <w:lang w:eastAsia="en-US"/>
        </w:rPr>
        <w:t>, together with a higher litigation risk in</w:t>
      </w:r>
      <w:r w:rsidR="00726C6F">
        <w:rPr>
          <w:rFonts w:asciiTheme="majorBidi" w:eastAsia="Calibri" w:hAnsiTheme="majorBidi" w:cstheme="majorBidi"/>
          <w:sz w:val="24"/>
          <w:szCs w:val="24"/>
          <w:lang w:eastAsia="en-US"/>
        </w:rPr>
        <w:t xml:space="preserve"> countries maintaining </w:t>
      </w:r>
      <w:r w:rsidR="002D6CF6">
        <w:rPr>
          <w:rFonts w:asciiTheme="majorBidi" w:eastAsia="Calibri" w:hAnsiTheme="majorBidi" w:cstheme="majorBidi"/>
          <w:sz w:val="24"/>
          <w:szCs w:val="24"/>
          <w:lang w:eastAsia="en-US"/>
        </w:rPr>
        <w:t>high-quality</w:t>
      </w:r>
      <w:r w:rsidR="00726C6F">
        <w:rPr>
          <w:rFonts w:asciiTheme="majorBidi" w:eastAsia="Calibri" w:hAnsiTheme="majorBidi" w:cstheme="majorBidi"/>
          <w:sz w:val="24"/>
          <w:szCs w:val="24"/>
          <w:lang w:eastAsia="en-US"/>
        </w:rPr>
        <w:t xml:space="preserve"> national governance</w:t>
      </w:r>
      <w:r w:rsidR="00AC4BA5" w:rsidRPr="00AC4BA5">
        <w:rPr>
          <w:rFonts w:ascii="Times-Italic" w:hAnsi="Times-Italic" w:cs="Times-Italic"/>
          <w:i/>
          <w:iCs/>
          <w:color w:val="231F20"/>
          <w:sz w:val="20"/>
          <w:szCs w:val="20"/>
        </w:rPr>
        <w:t xml:space="preserve"> </w:t>
      </w:r>
      <w:r w:rsidR="00AC4BA5" w:rsidRPr="00AC4BA5">
        <w:rPr>
          <w:rFonts w:ascii="Times-Italic" w:hAnsi="Times-Italic" w:cs="Times-Italic"/>
          <w:iCs/>
          <w:color w:val="231F20"/>
          <w:sz w:val="20"/>
          <w:szCs w:val="20"/>
        </w:rPr>
        <w:t>(</w:t>
      </w:r>
      <w:r w:rsidR="00AC4BA5" w:rsidRPr="00AC4BA5">
        <w:rPr>
          <w:rFonts w:asciiTheme="majorBidi" w:eastAsia="Calibri" w:hAnsiTheme="majorBidi" w:cstheme="majorBidi"/>
          <w:iCs/>
          <w:sz w:val="24"/>
          <w:szCs w:val="24"/>
          <w:lang w:eastAsia="en-US"/>
        </w:rPr>
        <w:t>Barroso</w:t>
      </w:r>
      <w:r w:rsidR="00AC4BA5" w:rsidRPr="00AC4BA5">
        <w:rPr>
          <w:rFonts w:asciiTheme="majorBidi" w:eastAsia="Calibri" w:hAnsiTheme="majorBidi" w:cstheme="majorBidi"/>
          <w:i/>
          <w:iCs/>
          <w:sz w:val="24"/>
          <w:szCs w:val="24"/>
          <w:lang w:eastAsia="en-US"/>
        </w:rPr>
        <w:t xml:space="preserve"> </w:t>
      </w:r>
      <w:r w:rsidR="00AC4BA5" w:rsidRPr="002513C0">
        <w:rPr>
          <w:rFonts w:asciiTheme="majorBidi" w:eastAsia="Times New Roman" w:hAnsiTheme="majorBidi" w:cstheme="majorBidi"/>
          <w:bCs/>
          <w:i/>
          <w:iCs/>
          <w:sz w:val="24"/>
          <w:szCs w:val="24"/>
        </w:rPr>
        <w:t>et al</w:t>
      </w:r>
      <w:r w:rsidR="00AC4BA5" w:rsidRPr="00AC4BA5">
        <w:rPr>
          <w:rFonts w:asciiTheme="majorBidi" w:eastAsia="Calibri" w:hAnsiTheme="majorBidi" w:cstheme="majorBidi"/>
          <w:sz w:val="24"/>
          <w:szCs w:val="24"/>
          <w:lang w:eastAsia="en-US"/>
        </w:rPr>
        <w:t>.</w:t>
      </w:r>
      <w:r w:rsidR="00AC4BA5">
        <w:rPr>
          <w:rFonts w:asciiTheme="majorBidi" w:eastAsia="Calibri" w:hAnsiTheme="majorBidi" w:cstheme="majorBidi"/>
          <w:sz w:val="24"/>
          <w:szCs w:val="24"/>
          <w:lang w:eastAsia="en-US"/>
        </w:rPr>
        <w:t>, 2018)</w:t>
      </w:r>
      <w:r w:rsidR="00726C6F">
        <w:rPr>
          <w:rFonts w:asciiTheme="majorBidi" w:eastAsia="Calibri" w:hAnsiTheme="majorBidi" w:cstheme="majorBidi"/>
          <w:sz w:val="24"/>
          <w:szCs w:val="24"/>
          <w:lang w:eastAsia="en-US"/>
        </w:rPr>
        <w:t>.</w:t>
      </w:r>
      <w:r w:rsidR="00726C6F" w:rsidRPr="00726C6F">
        <w:rPr>
          <w:rFonts w:asciiTheme="majorBidi" w:eastAsia="Calibri" w:hAnsiTheme="majorBidi" w:cstheme="majorBidi"/>
          <w:sz w:val="24"/>
          <w:szCs w:val="24"/>
          <w:lang w:eastAsia="en-US"/>
        </w:rPr>
        <w:t xml:space="preserve"> </w:t>
      </w:r>
      <w:r w:rsidR="00B10CCF" w:rsidRPr="008E772B">
        <w:rPr>
          <w:rFonts w:asciiTheme="majorBidi" w:eastAsia="Calibri" w:hAnsiTheme="majorBidi" w:cstheme="majorBidi"/>
          <w:sz w:val="24"/>
          <w:szCs w:val="24"/>
          <w:lang w:eastAsia="en-US"/>
        </w:rPr>
        <w:t>On the other hand</w:t>
      </w:r>
      <w:r w:rsidR="004D4E73" w:rsidRPr="008E772B">
        <w:rPr>
          <w:rFonts w:asciiTheme="majorBidi" w:eastAsia="Calibri" w:hAnsiTheme="majorBidi" w:cstheme="majorBidi"/>
          <w:sz w:val="24"/>
          <w:szCs w:val="24"/>
          <w:lang w:eastAsia="en-US"/>
        </w:rPr>
        <w:t xml:space="preserve">, other scholars </w:t>
      </w:r>
      <w:r w:rsidR="000C2033">
        <w:rPr>
          <w:rFonts w:asciiTheme="majorBidi" w:eastAsia="Calibri" w:hAnsiTheme="majorBidi" w:cstheme="majorBidi"/>
          <w:sz w:val="24"/>
          <w:szCs w:val="24"/>
          <w:lang w:eastAsia="en-US"/>
        </w:rPr>
        <w:t xml:space="preserve">have </w:t>
      </w:r>
      <w:r w:rsidR="004D4E73" w:rsidRPr="008E772B">
        <w:rPr>
          <w:rFonts w:asciiTheme="majorBidi" w:eastAsia="Calibri" w:hAnsiTheme="majorBidi" w:cstheme="majorBidi"/>
          <w:sz w:val="24"/>
          <w:szCs w:val="24"/>
          <w:lang w:eastAsia="en-US"/>
        </w:rPr>
        <w:t>argue</w:t>
      </w:r>
      <w:r w:rsidR="000C2033">
        <w:rPr>
          <w:rFonts w:asciiTheme="majorBidi" w:eastAsia="Calibri" w:hAnsiTheme="majorBidi" w:cstheme="majorBidi"/>
          <w:sz w:val="24"/>
          <w:szCs w:val="24"/>
          <w:lang w:eastAsia="en-US"/>
        </w:rPr>
        <w:t>d</w:t>
      </w:r>
      <w:r w:rsidR="004D4E73" w:rsidRPr="008E772B">
        <w:rPr>
          <w:rFonts w:asciiTheme="majorBidi" w:eastAsia="Calibri" w:hAnsiTheme="majorBidi" w:cstheme="majorBidi"/>
          <w:sz w:val="24"/>
          <w:szCs w:val="24"/>
          <w:lang w:eastAsia="en-US"/>
        </w:rPr>
        <w:t xml:space="preserve"> that firms may substitute the poor governance function in weak investor protection countries by employing </w:t>
      </w:r>
      <w:r w:rsidR="0049352A" w:rsidRPr="008E772B">
        <w:rPr>
          <w:rFonts w:asciiTheme="majorBidi" w:eastAsia="Calibri" w:hAnsiTheme="majorBidi" w:cstheme="majorBidi"/>
          <w:sz w:val="24"/>
          <w:szCs w:val="24"/>
          <w:lang w:eastAsia="en-US"/>
        </w:rPr>
        <w:t>higher</w:t>
      </w:r>
      <w:r w:rsidR="0049352A">
        <w:rPr>
          <w:rFonts w:asciiTheme="majorBidi" w:eastAsia="Calibri" w:hAnsiTheme="majorBidi" w:cstheme="majorBidi"/>
          <w:sz w:val="24"/>
          <w:szCs w:val="24"/>
          <w:lang w:eastAsia="en-US"/>
        </w:rPr>
        <w:t>-</w:t>
      </w:r>
      <w:r w:rsidR="004D4E73" w:rsidRPr="008E772B">
        <w:rPr>
          <w:rFonts w:asciiTheme="majorBidi" w:eastAsia="Calibri" w:hAnsiTheme="majorBidi" w:cstheme="majorBidi"/>
          <w:sz w:val="24"/>
          <w:szCs w:val="24"/>
          <w:lang w:eastAsia="en-US"/>
        </w:rPr>
        <w:t xml:space="preserve">quality auditors (Choi </w:t>
      </w:r>
      <w:r w:rsidR="004D4E73" w:rsidRPr="008E772B">
        <w:rPr>
          <w:rFonts w:asciiTheme="majorBidi" w:eastAsia="Calibri" w:hAnsiTheme="majorBidi" w:cstheme="majorBidi"/>
          <w:i/>
          <w:iCs/>
          <w:sz w:val="24"/>
          <w:szCs w:val="24"/>
          <w:lang w:eastAsia="en-US"/>
        </w:rPr>
        <w:t>et al</w:t>
      </w:r>
      <w:r w:rsidR="004D4E73" w:rsidRPr="008E772B">
        <w:rPr>
          <w:rFonts w:asciiTheme="majorBidi" w:eastAsia="Calibri" w:hAnsiTheme="majorBidi" w:cstheme="majorBidi"/>
          <w:sz w:val="24"/>
          <w:szCs w:val="24"/>
          <w:lang w:eastAsia="en-US"/>
        </w:rPr>
        <w:t xml:space="preserve">., 2008). </w:t>
      </w:r>
    </w:p>
    <w:p w14:paraId="6AA3337C" w14:textId="4935E7B1" w:rsidR="003A6782" w:rsidRDefault="000D2C73" w:rsidP="00C81E2B">
      <w:pPr>
        <w:spacing w:after="0" w:line="360" w:lineRule="auto"/>
        <w:ind w:firstLine="720"/>
        <w:jc w:val="lowKashida"/>
        <w:rPr>
          <w:rFonts w:asciiTheme="majorBidi" w:eastAsia="Calibri" w:hAnsiTheme="majorBidi" w:cstheme="majorBidi"/>
          <w:sz w:val="24"/>
          <w:szCs w:val="24"/>
          <w:lang w:eastAsia="en-US"/>
        </w:rPr>
      </w:pPr>
      <w:r w:rsidRPr="000972D1">
        <w:rPr>
          <w:rFonts w:asciiTheme="majorBidi" w:eastAsia="Calibri" w:hAnsiTheme="majorBidi" w:cstheme="majorBidi"/>
          <w:sz w:val="24"/>
          <w:szCs w:val="24"/>
          <w:lang w:eastAsia="en-US"/>
        </w:rPr>
        <w:t>MENA countries are generally characterised by relatively weak investor protection and minority rights</w:t>
      </w:r>
      <w:r w:rsidR="00D44F28" w:rsidRPr="000972D1">
        <w:rPr>
          <w:rFonts w:asciiTheme="majorBidi" w:eastAsia="Calibri" w:hAnsiTheme="majorBidi" w:cstheme="majorBidi"/>
          <w:sz w:val="24"/>
          <w:szCs w:val="24"/>
          <w:lang w:eastAsia="en-US"/>
        </w:rPr>
        <w:t>,</w:t>
      </w:r>
      <w:r w:rsidR="00D44F28" w:rsidRPr="000972D1">
        <w:rPr>
          <w:rFonts w:ascii="AdvOT596495f2" w:hAnsi="AdvOT596495f2" w:cs="AdvOT596495f2"/>
          <w:sz w:val="16"/>
          <w:szCs w:val="16"/>
        </w:rPr>
        <w:t xml:space="preserve"> </w:t>
      </w:r>
      <w:r w:rsidR="00D44F28" w:rsidRPr="000972D1">
        <w:rPr>
          <w:rFonts w:asciiTheme="majorBidi" w:eastAsia="Calibri" w:hAnsiTheme="majorBidi" w:cstheme="majorBidi"/>
          <w:sz w:val="24"/>
          <w:szCs w:val="24"/>
          <w:lang w:eastAsia="en-US"/>
        </w:rPr>
        <w:t>weak institutional environments, inefficient judicial system, heavy bureaucracy</w:t>
      </w:r>
      <w:r w:rsidR="00B74E59">
        <w:rPr>
          <w:rFonts w:asciiTheme="majorBidi" w:eastAsia="Calibri" w:hAnsiTheme="majorBidi" w:cstheme="majorBidi"/>
          <w:sz w:val="24"/>
          <w:szCs w:val="24"/>
          <w:lang w:eastAsia="en-US"/>
        </w:rPr>
        <w:t>,</w:t>
      </w:r>
      <w:r w:rsidR="00D44F28" w:rsidRPr="000972D1">
        <w:rPr>
          <w:rFonts w:asciiTheme="majorBidi" w:eastAsia="Calibri" w:hAnsiTheme="majorBidi" w:cstheme="majorBidi"/>
          <w:sz w:val="24"/>
          <w:szCs w:val="24"/>
          <w:lang w:eastAsia="en-US"/>
        </w:rPr>
        <w:t xml:space="preserve"> </w:t>
      </w:r>
      <w:r w:rsidR="009F2A90">
        <w:rPr>
          <w:rFonts w:asciiTheme="majorBidi" w:eastAsia="Calibri" w:hAnsiTheme="majorBidi" w:cstheme="majorBidi"/>
          <w:sz w:val="24"/>
          <w:szCs w:val="24"/>
          <w:lang w:eastAsia="en-US"/>
        </w:rPr>
        <w:t>and/</w:t>
      </w:r>
      <w:r w:rsidR="00D44F28" w:rsidRPr="000972D1">
        <w:rPr>
          <w:rFonts w:asciiTheme="majorBidi" w:eastAsia="Calibri" w:hAnsiTheme="majorBidi" w:cstheme="majorBidi"/>
          <w:sz w:val="24"/>
          <w:szCs w:val="24"/>
          <w:lang w:eastAsia="en-US"/>
        </w:rPr>
        <w:t>or corrupt political institutions</w:t>
      </w:r>
      <w:r w:rsidRPr="000972D1">
        <w:rPr>
          <w:rFonts w:asciiTheme="majorBidi" w:eastAsia="Calibri" w:hAnsiTheme="majorBidi" w:cstheme="majorBidi"/>
          <w:sz w:val="24"/>
          <w:szCs w:val="24"/>
          <w:lang w:eastAsia="en-US"/>
        </w:rPr>
        <w:t xml:space="preserve"> (Ben-Hassoun </w:t>
      </w:r>
      <w:r w:rsidRPr="000972D1">
        <w:rPr>
          <w:rFonts w:asciiTheme="majorBidi" w:eastAsia="Times New Roman" w:hAnsiTheme="majorBidi" w:cstheme="majorBidi"/>
          <w:bCs/>
          <w:i/>
          <w:iCs/>
          <w:sz w:val="24"/>
          <w:szCs w:val="24"/>
        </w:rPr>
        <w:t>et al</w:t>
      </w:r>
      <w:r w:rsidRPr="000972D1">
        <w:rPr>
          <w:rFonts w:asciiTheme="majorBidi" w:eastAsia="Calibri" w:hAnsiTheme="majorBidi" w:cstheme="majorBidi"/>
          <w:sz w:val="24"/>
          <w:szCs w:val="24"/>
          <w:lang w:eastAsia="en-US"/>
        </w:rPr>
        <w:t>., 2018).</w:t>
      </w:r>
      <w:r w:rsidR="00AC4098" w:rsidRPr="000972D1">
        <w:rPr>
          <w:rFonts w:asciiTheme="majorBidi" w:eastAsia="Calibri" w:hAnsiTheme="majorBidi" w:cstheme="majorBidi"/>
          <w:sz w:val="24"/>
          <w:szCs w:val="24"/>
          <w:lang w:eastAsia="en-US"/>
        </w:rPr>
        <w:t xml:space="preserve"> </w:t>
      </w:r>
      <w:r w:rsidR="009610C8" w:rsidRPr="000972D1">
        <w:rPr>
          <w:rFonts w:asciiTheme="majorBidi" w:eastAsia="Calibri" w:hAnsiTheme="majorBidi" w:cstheme="majorBidi"/>
          <w:sz w:val="24"/>
          <w:szCs w:val="24"/>
          <w:lang w:eastAsia="en-US"/>
        </w:rPr>
        <w:t xml:space="preserve">Given the lower shareholder </w:t>
      </w:r>
      <w:r w:rsidR="009610C8" w:rsidRPr="000972D1">
        <w:rPr>
          <w:rFonts w:asciiTheme="majorBidi" w:eastAsia="Calibri" w:hAnsiTheme="majorBidi" w:cstheme="majorBidi"/>
          <w:sz w:val="24"/>
          <w:szCs w:val="24"/>
          <w:lang w:eastAsia="en-US"/>
        </w:rPr>
        <w:lastRenderedPageBreak/>
        <w:t xml:space="preserve">protection in MENA countries, the management, the board </w:t>
      </w:r>
      <w:r w:rsidR="007C1A27">
        <w:rPr>
          <w:rFonts w:asciiTheme="majorBidi" w:eastAsia="Calibri" w:hAnsiTheme="majorBidi" w:cstheme="majorBidi"/>
          <w:sz w:val="24"/>
          <w:szCs w:val="24"/>
          <w:lang w:eastAsia="en-US"/>
        </w:rPr>
        <w:t xml:space="preserve">of directors, </w:t>
      </w:r>
      <w:r w:rsidR="009610C8" w:rsidRPr="000972D1">
        <w:rPr>
          <w:rFonts w:asciiTheme="majorBidi" w:eastAsia="Calibri" w:hAnsiTheme="majorBidi" w:cstheme="majorBidi"/>
          <w:sz w:val="24"/>
          <w:szCs w:val="24"/>
          <w:lang w:eastAsia="en-US"/>
        </w:rPr>
        <w:t xml:space="preserve">and the auditors operate in a low litigation risk setting (Barroso </w:t>
      </w:r>
      <w:r w:rsidR="009610C8" w:rsidRPr="000972D1">
        <w:rPr>
          <w:rFonts w:asciiTheme="majorBidi" w:eastAsia="Times New Roman" w:hAnsiTheme="majorBidi" w:cstheme="majorBidi"/>
          <w:bCs/>
          <w:i/>
          <w:iCs/>
          <w:sz w:val="24"/>
          <w:szCs w:val="24"/>
        </w:rPr>
        <w:t>et al</w:t>
      </w:r>
      <w:r w:rsidR="009610C8" w:rsidRPr="000972D1">
        <w:rPr>
          <w:rFonts w:asciiTheme="majorBidi" w:eastAsia="Calibri" w:hAnsiTheme="majorBidi" w:cstheme="majorBidi"/>
          <w:sz w:val="24"/>
          <w:szCs w:val="24"/>
          <w:lang w:eastAsia="en-US"/>
        </w:rPr>
        <w:t>., 2018).</w:t>
      </w:r>
      <w:r w:rsidR="005075F8" w:rsidRPr="000972D1">
        <w:rPr>
          <w:rFonts w:asciiTheme="majorBidi" w:eastAsia="Calibri" w:hAnsiTheme="majorBidi" w:cstheme="majorBidi"/>
          <w:sz w:val="24"/>
          <w:szCs w:val="24"/>
          <w:lang w:eastAsia="en-US"/>
        </w:rPr>
        <w:t xml:space="preserve"> </w:t>
      </w:r>
      <w:r w:rsidR="00AC4098" w:rsidRPr="000972D1">
        <w:rPr>
          <w:rFonts w:asciiTheme="majorBidi" w:eastAsia="Calibri" w:hAnsiTheme="majorBidi" w:cstheme="majorBidi"/>
          <w:sz w:val="24"/>
          <w:szCs w:val="24"/>
          <w:lang w:eastAsia="en-US"/>
        </w:rPr>
        <w:t>However and recently, most of these countries</w:t>
      </w:r>
      <w:r w:rsidR="004B1DB6" w:rsidRPr="000972D1">
        <w:rPr>
          <w:rFonts w:asciiTheme="majorBidi" w:eastAsia="Calibri" w:hAnsiTheme="majorBidi" w:cstheme="majorBidi"/>
          <w:sz w:val="24"/>
          <w:szCs w:val="24"/>
          <w:lang w:eastAsia="en-US"/>
        </w:rPr>
        <w:t>’</w:t>
      </w:r>
      <w:r w:rsidR="00AC4098" w:rsidRPr="000972D1">
        <w:rPr>
          <w:rFonts w:asciiTheme="majorBidi" w:eastAsia="Calibri" w:hAnsiTheme="majorBidi" w:cstheme="majorBidi"/>
          <w:sz w:val="24"/>
          <w:szCs w:val="24"/>
          <w:lang w:eastAsia="en-US"/>
        </w:rPr>
        <w:t xml:space="preserve"> governments have undertaken large steps towards </w:t>
      </w:r>
      <w:r w:rsidR="00C81E2B" w:rsidRPr="000972D1">
        <w:rPr>
          <w:rFonts w:asciiTheme="majorBidi" w:eastAsia="Calibri" w:hAnsiTheme="majorBidi" w:cstheme="majorBidi"/>
          <w:sz w:val="24"/>
          <w:szCs w:val="24"/>
          <w:lang w:eastAsia="en-US"/>
        </w:rPr>
        <w:t xml:space="preserve">reforming their </w:t>
      </w:r>
      <w:r w:rsidR="00AC4098" w:rsidRPr="000972D1">
        <w:rPr>
          <w:rFonts w:asciiTheme="majorBidi" w:eastAsia="Calibri" w:hAnsiTheme="majorBidi" w:cstheme="majorBidi"/>
          <w:sz w:val="24"/>
          <w:szCs w:val="24"/>
          <w:lang w:eastAsia="en-US"/>
        </w:rPr>
        <w:t>economi</w:t>
      </w:r>
      <w:r w:rsidR="00C81E2B" w:rsidRPr="000972D1">
        <w:rPr>
          <w:rFonts w:asciiTheme="majorBidi" w:eastAsia="Calibri" w:hAnsiTheme="majorBidi" w:cstheme="majorBidi"/>
          <w:sz w:val="24"/>
          <w:szCs w:val="24"/>
          <w:lang w:eastAsia="en-US"/>
        </w:rPr>
        <w:t>es</w:t>
      </w:r>
      <w:r w:rsidR="00AC4098" w:rsidRPr="000972D1">
        <w:rPr>
          <w:rFonts w:asciiTheme="majorBidi" w:eastAsia="Calibri" w:hAnsiTheme="majorBidi" w:cstheme="majorBidi"/>
          <w:sz w:val="24"/>
          <w:szCs w:val="24"/>
          <w:lang w:eastAsia="en-US"/>
        </w:rPr>
        <w:t>s (e.g., privatisation) (</w:t>
      </w:r>
      <w:r w:rsidR="004B124F" w:rsidRPr="000972D1">
        <w:rPr>
          <w:rFonts w:asciiTheme="majorBidi" w:eastAsia="Calibri" w:hAnsiTheme="majorBidi" w:cstheme="majorBidi"/>
          <w:bCs/>
          <w:sz w:val="24"/>
          <w:szCs w:val="24"/>
          <w:lang w:eastAsia="en-US"/>
        </w:rPr>
        <w:t xml:space="preserve">Afify, 2009; </w:t>
      </w:r>
      <w:r w:rsidR="00AC4098" w:rsidRPr="000972D1">
        <w:rPr>
          <w:rFonts w:asciiTheme="majorBidi" w:eastAsia="Calibri" w:hAnsiTheme="majorBidi" w:cstheme="majorBidi"/>
          <w:sz w:val="24"/>
          <w:szCs w:val="24"/>
          <w:lang w:eastAsia="en-US"/>
        </w:rPr>
        <w:t xml:space="preserve">Ben-Hassoun </w:t>
      </w:r>
      <w:r w:rsidR="00AC4098" w:rsidRPr="000972D1">
        <w:rPr>
          <w:rFonts w:asciiTheme="majorBidi" w:eastAsia="Times New Roman" w:hAnsiTheme="majorBidi" w:cstheme="majorBidi"/>
          <w:bCs/>
          <w:i/>
          <w:iCs/>
          <w:sz w:val="24"/>
          <w:szCs w:val="24"/>
        </w:rPr>
        <w:t>et al</w:t>
      </w:r>
      <w:r w:rsidR="00AC4098" w:rsidRPr="000972D1">
        <w:rPr>
          <w:rFonts w:asciiTheme="majorBidi" w:eastAsia="Calibri" w:hAnsiTheme="majorBidi" w:cstheme="majorBidi"/>
          <w:sz w:val="24"/>
          <w:szCs w:val="24"/>
          <w:lang w:eastAsia="en-US"/>
        </w:rPr>
        <w:t>., 2018).</w:t>
      </w:r>
      <w:r w:rsidR="00677463" w:rsidRPr="000972D1">
        <w:rPr>
          <w:rFonts w:asciiTheme="majorBidi" w:eastAsia="Calibri" w:hAnsiTheme="majorBidi" w:cstheme="majorBidi"/>
          <w:sz w:val="24"/>
          <w:szCs w:val="24"/>
          <w:lang w:eastAsia="en-US"/>
        </w:rPr>
        <w:t xml:space="preserve"> </w:t>
      </w:r>
      <w:r w:rsidR="004B124F" w:rsidRPr="000972D1">
        <w:rPr>
          <w:rFonts w:asciiTheme="majorBidi" w:eastAsia="Calibri" w:hAnsiTheme="majorBidi" w:cstheme="majorBidi"/>
          <w:sz w:val="24"/>
          <w:szCs w:val="24"/>
          <w:lang w:eastAsia="en-US"/>
        </w:rPr>
        <w:t xml:space="preserve">Additionally, </w:t>
      </w:r>
      <w:r w:rsidR="00C81E2B" w:rsidRPr="000972D1">
        <w:rPr>
          <w:rFonts w:asciiTheme="majorBidi" w:eastAsia="Calibri" w:hAnsiTheme="majorBidi" w:cstheme="majorBidi"/>
          <w:sz w:val="24"/>
          <w:szCs w:val="24"/>
          <w:lang w:eastAsia="en-US"/>
        </w:rPr>
        <w:t xml:space="preserve">in </w:t>
      </w:r>
      <w:r w:rsidR="004B124F" w:rsidRPr="000972D1">
        <w:rPr>
          <w:rFonts w:asciiTheme="majorBidi" w:eastAsia="Calibri" w:hAnsiTheme="majorBidi" w:cstheme="majorBidi"/>
          <w:sz w:val="24"/>
          <w:szCs w:val="24"/>
          <w:lang w:eastAsia="en-US"/>
        </w:rPr>
        <w:t>m</w:t>
      </w:r>
      <w:r w:rsidR="00B964CD" w:rsidRPr="000972D1">
        <w:rPr>
          <w:rFonts w:asciiTheme="majorBidi" w:eastAsia="Calibri" w:hAnsiTheme="majorBidi" w:cstheme="majorBidi"/>
          <w:sz w:val="24"/>
          <w:szCs w:val="24"/>
          <w:lang w:eastAsia="en-US"/>
        </w:rPr>
        <w:t xml:space="preserve">ost of </w:t>
      </w:r>
      <w:r w:rsidR="00C81E2B" w:rsidRPr="000972D1">
        <w:rPr>
          <w:rFonts w:asciiTheme="majorBidi" w:eastAsia="Calibri" w:hAnsiTheme="majorBidi" w:cstheme="majorBidi"/>
          <w:sz w:val="24"/>
          <w:szCs w:val="24"/>
          <w:lang w:eastAsia="en-US"/>
        </w:rPr>
        <w:t xml:space="preserve">the </w:t>
      </w:r>
      <w:r w:rsidR="00B964CD" w:rsidRPr="000972D1">
        <w:rPr>
          <w:rFonts w:asciiTheme="majorBidi" w:eastAsia="Calibri" w:hAnsiTheme="majorBidi" w:cstheme="majorBidi"/>
          <w:sz w:val="24"/>
          <w:szCs w:val="24"/>
          <w:lang w:eastAsia="en-US"/>
        </w:rPr>
        <w:t xml:space="preserve">MENA region, especially </w:t>
      </w:r>
      <w:r w:rsidR="002B2E6B">
        <w:rPr>
          <w:rFonts w:asciiTheme="majorBidi" w:eastAsia="Calibri" w:hAnsiTheme="majorBidi" w:cstheme="majorBidi"/>
          <w:sz w:val="24"/>
          <w:szCs w:val="24"/>
          <w:lang w:eastAsia="en-US"/>
        </w:rPr>
        <w:t xml:space="preserve">the </w:t>
      </w:r>
      <w:r w:rsidR="007C1A27" w:rsidRPr="007C1A27">
        <w:rPr>
          <w:rFonts w:asciiTheme="majorBidi" w:eastAsia="Calibri" w:hAnsiTheme="majorBidi" w:cstheme="majorBidi"/>
          <w:sz w:val="24"/>
          <w:szCs w:val="24"/>
          <w:lang w:eastAsia="en-US"/>
        </w:rPr>
        <w:t>Gulf Cooperation Council </w:t>
      </w:r>
      <w:r w:rsidR="007C1A27">
        <w:rPr>
          <w:rFonts w:asciiTheme="majorBidi" w:eastAsia="Calibri" w:hAnsiTheme="majorBidi" w:cstheme="majorBidi"/>
          <w:sz w:val="24"/>
          <w:szCs w:val="24"/>
          <w:lang w:eastAsia="en-US"/>
        </w:rPr>
        <w:t>(</w:t>
      </w:r>
      <w:r w:rsidR="00B964CD" w:rsidRPr="000972D1">
        <w:rPr>
          <w:rFonts w:asciiTheme="majorBidi" w:eastAsia="Calibri" w:hAnsiTheme="majorBidi" w:cstheme="majorBidi"/>
          <w:sz w:val="24"/>
          <w:szCs w:val="24"/>
          <w:lang w:eastAsia="en-US"/>
        </w:rPr>
        <w:t>GCC</w:t>
      </w:r>
      <w:r w:rsidR="007C1A27">
        <w:rPr>
          <w:rFonts w:asciiTheme="majorBidi" w:eastAsia="Calibri" w:hAnsiTheme="majorBidi" w:cstheme="majorBidi"/>
          <w:sz w:val="24"/>
          <w:szCs w:val="24"/>
          <w:lang w:eastAsia="en-US"/>
        </w:rPr>
        <w:t>)</w:t>
      </w:r>
      <w:r w:rsidR="00B964CD" w:rsidRPr="000972D1">
        <w:rPr>
          <w:rFonts w:asciiTheme="majorBidi" w:eastAsia="Calibri" w:hAnsiTheme="majorBidi" w:cstheme="majorBidi"/>
          <w:sz w:val="24"/>
          <w:szCs w:val="24"/>
          <w:lang w:eastAsia="en-US"/>
        </w:rPr>
        <w:t xml:space="preserve"> countries, governments have sought international capital and ha</w:t>
      </w:r>
      <w:r w:rsidR="004B124F" w:rsidRPr="000972D1">
        <w:rPr>
          <w:rFonts w:asciiTheme="majorBidi" w:eastAsia="Calibri" w:hAnsiTheme="majorBidi" w:cstheme="majorBidi"/>
          <w:sz w:val="24"/>
          <w:szCs w:val="24"/>
          <w:lang w:eastAsia="en-US"/>
        </w:rPr>
        <w:t>ve</w:t>
      </w:r>
      <w:r w:rsidR="00B964CD" w:rsidRPr="000972D1">
        <w:rPr>
          <w:rFonts w:asciiTheme="majorBidi" w:eastAsia="Calibri" w:hAnsiTheme="majorBidi" w:cstheme="majorBidi"/>
          <w:sz w:val="24"/>
          <w:szCs w:val="24"/>
          <w:lang w:eastAsia="en-US"/>
        </w:rPr>
        <w:t xml:space="preserve"> very successfully grown the non-oil sectors of the economy. In order </w:t>
      </w:r>
      <w:r w:rsidR="004B124F" w:rsidRPr="000972D1">
        <w:rPr>
          <w:rFonts w:asciiTheme="majorBidi" w:eastAsia="Calibri" w:hAnsiTheme="majorBidi" w:cstheme="majorBidi"/>
          <w:sz w:val="24"/>
          <w:szCs w:val="24"/>
          <w:lang w:eastAsia="en-US"/>
        </w:rPr>
        <w:t xml:space="preserve">to </w:t>
      </w:r>
      <w:r w:rsidR="00884BFC" w:rsidRPr="000972D1">
        <w:rPr>
          <w:rFonts w:asciiTheme="majorBidi" w:eastAsia="Calibri" w:hAnsiTheme="majorBidi" w:cstheme="majorBidi"/>
          <w:bCs/>
          <w:iCs/>
          <w:sz w:val="24"/>
          <w:szCs w:val="24"/>
          <w:lang w:eastAsia="en-US"/>
        </w:rPr>
        <w:t>maintain shareholders’ interests</w:t>
      </w:r>
      <w:r w:rsidR="00884BFC" w:rsidRPr="000972D1">
        <w:rPr>
          <w:rFonts w:asciiTheme="majorBidi" w:eastAsia="Calibri" w:hAnsiTheme="majorBidi" w:cstheme="majorBidi"/>
          <w:sz w:val="24"/>
          <w:szCs w:val="24"/>
          <w:lang w:eastAsia="en-US"/>
        </w:rPr>
        <w:t xml:space="preserve"> </w:t>
      </w:r>
      <w:r w:rsidR="00B964CD" w:rsidRPr="000972D1">
        <w:rPr>
          <w:rFonts w:asciiTheme="majorBidi" w:eastAsia="Calibri" w:hAnsiTheme="majorBidi" w:cstheme="majorBidi"/>
          <w:sz w:val="24"/>
          <w:szCs w:val="24"/>
          <w:lang w:eastAsia="en-US"/>
        </w:rPr>
        <w:t xml:space="preserve">and </w:t>
      </w:r>
      <w:r w:rsidR="00884BFC" w:rsidRPr="000972D1">
        <w:rPr>
          <w:rFonts w:asciiTheme="majorBidi" w:eastAsia="Calibri" w:hAnsiTheme="majorBidi" w:cstheme="majorBidi"/>
          <w:sz w:val="24"/>
          <w:szCs w:val="24"/>
          <w:lang w:eastAsia="en-US"/>
        </w:rPr>
        <w:t xml:space="preserve">increase </w:t>
      </w:r>
      <w:r w:rsidR="00B964CD" w:rsidRPr="000972D1">
        <w:rPr>
          <w:rFonts w:asciiTheme="majorBidi" w:eastAsia="Calibri" w:hAnsiTheme="majorBidi" w:cstheme="majorBidi"/>
          <w:sz w:val="24"/>
          <w:szCs w:val="24"/>
          <w:lang w:eastAsia="en-US"/>
        </w:rPr>
        <w:t>the confidence of the foreign investors, these countries have allowed the Big 4 audit firms to import their global quality assurance systems, hiring mainly auditors with foreign examined qualifications</w:t>
      </w:r>
      <w:r w:rsidR="00C33A2B" w:rsidRPr="000972D1">
        <w:rPr>
          <w:rFonts w:asciiTheme="majorBidi" w:eastAsia="Calibri" w:hAnsiTheme="majorBidi" w:cstheme="majorBidi"/>
          <w:sz w:val="24"/>
          <w:szCs w:val="24"/>
          <w:lang w:eastAsia="en-US"/>
        </w:rPr>
        <w:t xml:space="preserve"> (</w:t>
      </w:r>
      <w:r w:rsidR="00C33A2B" w:rsidRPr="000972D1">
        <w:rPr>
          <w:rFonts w:asciiTheme="majorBidi" w:eastAsia="Calibri" w:hAnsiTheme="majorBidi" w:cstheme="majorBidi"/>
          <w:bCs/>
          <w:iCs/>
          <w:sz w:val="24"/>
          <w:szCs w:val="24"/>
          <w:lang w:eastAsia="en-US"/>
        </w:rPr>
        <w:t xml:space="preserve">Al-Ajmi, 2009; </w:t>
      </w:r>
      <w:r w:rsidR="00AB3B2E" w:rsidRPr="000972D1">
        <w:rPr>
          <w:rFonts w:asciiTheme="majorBidi" w:eastAsia="Calibri" w:hAnsiTheme="majorBidi" w:cstheme="majorBidi"/>
          <w:bCs/>
          <w:iCs/>
          <w:sz w:val="24"/>
          <w:szCs w:val="24"/>
          <w:lang w:eastAsia="en-US"/>
        </w:rPr>
        <w:t xml:space="preserve">Samaha &amp; Hegazy, 2010; </w:t>
      </w:r>
      <w:r w:rsidR="002513C0" w:rsidRPr="000972D1">
        <w:rPr>
          <w:rFonts w:asciiTheme="majorBidi" w:eastAsia="Calibri" w:hAnsiTheme="majorBidi" w:cstheme="majorBidi"/>
          <w:sz w:val="24"/>
          <w:szCs w:val="24"/>
          <w:lang w:eastAsia="en-US"/>
        </w:rPr>
        <w:t>Khalifa,</w:t>
      </w:r>
      <w:r w:rsidR="00C33A2B" w:rsidRPr="000972D1">
        <w:rPr>
          <w:rFonts w:asciiTheme="majorBidi" w:eastAsia="Calibri" w:hAnsiTheme="majorBidi" w:cstheme="majorBidi"/>
          <w:sz w:val="24"/>
          <w:szCs w:val="24"/>
          <w:lang w:eastAsia="en-US"/>
        </w:rPr>
        <w:t xml:space="preserve"> 2012; El-Dyasty, 2017)</w:t>
      </w:r>
      <w:r w:rsidR="00B964CD" w:rsidRPr="000972D1">
        <w:rPr>
          <w:rFonts w:asciiTheme="majorBidi" w:eastAsia="Calibri" w:hAnsiTheme="majorBidi" w:cstheme="majorBidi"/>
          <w:sz w:val="24"/>
          <w:szCs w:val="24"/>
          <w:lang w:eastAsia="en-US"/>
        </w:rPr>
        <w:t>.</w:t>
      </w:r>
      <w:r w:rsidR="00304E2B" w:rsidRPr="000972D1">
        <w:rPr>
          <w:rFonts w:asciiTheme="majorBidi" w:eastAsia="Calibri" w:hAnsiTheme="majorBidi" w:cstheme="majorBidi"/>
          <w:sz w:val="24"/>
          <w:szCs w:val="24"/>
          <w:lang w:eastAsia="en-US"/>
        </w:rPr>
        <w:t xml:space="preserve"> Additionally, </w:t>
      </w:r>
      <w:r w:rsidR="004B124F" w:rsidRPr="000972D1">
        <w:rPr>
          <w:rFonts w:asciiTheme="majorBidi" w:eastAsia="Calibri" w:hAnsiTheme="majorBidi" w:cstheme="majorBidi"/>
          <w:sz w:val="24"/>
          <w:szCs w:val="24"/>
          <w:lang w:eastAsia="en-US"/>
        </w:rPr>
        <w:t>Transparency International Survey indicates that the UAE</w:t>
      </w:r>
      <w:r w:rsidR="007E07B1" w:rsidRPr="000972D1">
        <w:rPr>
          <w:rFonts w:asciiTheme="majorBidi" w:eastAsia="Calibri" w:hAnsiTheme="majorBidi" w:cstheme="majorBidi"/>
          <w:sz w:val="24"/>
          <w:szCs w:val="24"/>
          <w:lang w:eastAsia="en-US"/>
        </w:rPr>
        <w:t>,</w:t>
      </w:r>
      <w:r w:rsidR="004B124F" w:rsidRPr="000972D1">
        <w:rPr>
          <w:rFonts w:asciiTheme="majorBidi" w:eastAsia="Calibri" w:hAnsiTheme="majorBidi" w:cstheme="majorBidi"/>
          <w:sz w:val="24"/>
          <w:szCs w:val="24"/>
          <w:lang w:eastAsia="en-US"/>
        </w:rPr>
        <w:t xml:space="preserve"> Saudi Arabia </w:t>
      </w:r>
      <w:r w:rsidR="00420BB3" w:rsidRPr="000972D1">
        <w:rPr>
          <w:rFonts w:asciiTheme="majorBidi" w:eastAsia="Calibri" w:hAnsiTheme="majorBidi" w:cstheme="majorBidi"/>
          <w:sz w:val="24"/>
          <w:szCs w:val="24"/>
          <w:lang w:eastAsia="en-US"/>
        </w:rPr>
        <w:t xml:space="preserve">and Egypt </w:t>
      </w:r>
      <w:r w:rsidR="004B124F" w:rsidRPr="000972D1">
        <w:rPr>
          <w:rFonts w:asciiTheme="majorBidi" w:eastAsia="Calibri" w:hAnsiTheme="majorBidi" w:cstheme="majorBidi"/>
          <w:sz w:val="24"/>
          <w:szCs w:val="24"/>
          <w:lang w:eastAsia="en-US"/>
        </w:rPr>
        <w:t>were ranked 25</w:t>
      </w:r>
      <w:r w:rsidR="004B124F" w:rsidRPr="000972D1">
        <w:rPr>
          <w:rFonts w:asciiTheme="majorBidi" w:eastAsia="Calibri" w:hAnsiTheme="majorBidi" w:cstheme="majorBidi"/>
          <w:sz w:val="24"/>
          <w:szCs w:val="24"/>
          <w:vertAlign w:val="superscript"/>
          <w:lang w:eastAsia="en-US"/>
        </w:rPr>
        <w:t>th</w:t>
      </w:r>
      <w:r w:rsidR="00420BB3" w:rsidRPr="000972D1">
        <w:rPr>
          <w:rFonts w:asciiTheme="majorBidi" w:eastAsia="Calibri" w:hAnsiTheme="majorBidi" w:cstheme="majorBidi"/>
          <w:sz w:val="24"/>
          <w:szCs w:val="24"/>
          <w:lang w:eastAsia="en-US"/>
        </w:rPr>
        <w:t>,</w:t>
      </w:r>
      <w:r w:rsidR="004B124F" w:rsidRPr="000972D1">
        <w:rPr>
          <w:rFonts w:asciiTheme="majorBidi" w:eastAsia="Calibri" w:hAnsiTheme="majorBidi" w:cstheme="majorBidi"/>
          <w:sz w:val="24"/>
          <w:szCs w:val="24"/>
          <w:lang w:eastAsia="en-US"/>
        </w:rPr>
        <w:t xml:space="preserve"> 55</w:t>
      </w:r>
      <w:r w:rsidR="004B124F" w:rsidRPr="000972D1">
        <w:rPr>
          <w:rFonts w:asciiTheme="majorBidi" w:eastAsia="Calibri" w:hAnsiTheme="majorBidi" w:cstheme="majorBidi"/>
          <w:sz w:val="24"/>
          <w:szCs w:val="24"/>
          <w:vertAlign w:val="superscript"/>
          <w:lang w:eastAsia="en-US"/>
        </w:rPr>
        <w:t>th</w:t>
      </w:r>
      <w:r w:rsidR="00420BB3" w:rsidRPr="000972D1">
        <w:rPr>
          <w:rFonts w:asciiTheme="majorBidi" w:eastAsia="Calibri" w:hAnsiTheme="majorBidi" w:cstheme="majorBidi"/>
          <w:sz w:val="24"/>
          <w:szCs w:val="24"/>
          <w:lang w:eastAsia="en-US"/>
        </w:rPr>
        <w:t xml:space="preserve">, and </w:t>
      </w:r>
      <w:r w:rsidR="003A6782" w:rsidRPr="000972D1">
        <w:rPr>
          <w:rFonts w:asciiTheme="majorBidi" w:eastAsia="Calibri" w:hAnsiTheme="majorBidi" w:cstheme="majorBidi"/>
          <w:sz w:val="24"/>
          <w:szCs w:val="24"/>
          <w:lang w:eastAsia="en-US"/>
        </w:rPr>
        <w:t>94</w:t>
      </w:r>
      <w:r w:rsidR="003A6782" w:rsidRPr="000972D1">
        <w:rPr>
          <w:rFonts w:asciiTheme="majorBidi" w:eastAsia="Calibri" w:hAnsiTheme="majorBidi" w:cstheme="majorBidi"/>
          <w:sz w:val="24"/>
          <w:szCs w:val="24"/>
          <w:vertAlign w:val="superscript"/>
          <w:lang w:eastAsia="en-US"/>
        </w:rPr>
        <w:t>th</w:t>
      </w:r>
      <w:r w:rsidR="003A6782" w:rsidRPr="000972D1">
        <w:rPr>
          <w:rFonts w:asciiTheme="majorBidi" w:eastAsia="Calibri" w:hAnsiTheme="majorBidi" w:cstheme="majorBidi"/>
          <w:sz w:val="24"/>
          <w:szCs w:val="24"/>
          <w:lang w:eastAsia="en-US"/>
        </w:rPr>
        <w:t xml:space="preserve"> of</w:t>
      </w:r>
      <w:r w:rsidR="004B124F" w:rsidRPr="000972D1">
        <w:rPr>
          <w:rFonts w:asciiTheme="majorBidi" w:eastAsia="Calibri" w:hAnsiTheme="majorBidi" w:cstheme="majorBidi"/>
          <w:sz w:val="24"/>
          <w:szCs w:val="24"/>
          <w:lang w:eastAsia="en-US"/>
        </w:rPr>
        <w:t xml:space="preserve"> 175 countries in the corruption perception index in 2014, and 30</w:t>
      </w:r>
      <w:r w:rsidR="004B124F" w:rsidRPr="000972D1">
        <w:rPr>
          <w:rFonts w:asciiTheme="majorBidi" w:eastAsia="Calibri" w:hAnsiTheme="majorBidi" w:cstheme="majorBidi"/>
          <w:sz w:val="24"/>
          <w:szCs w:val="24"/>
          <w:vertAlign w:val="superscript"/>
          <w:lang w:eastAsia="en-US"/>
        </w:rPr>
        <w:t>th</w:t>
      </w:r>
      <w:r w:rsidR="00420BB3" w:rsidRPr="000972D1">
        <w:rPr>
          <w:rFonts w:asciiTheme="majorBidi" w:eastAsia="Calibri" w:hAnsiTheme="majorBidi" w:cstheme="majorBidi"/>
          <w:sz w:val="24"/>
          <w:szCs w:val="24"/>
          <w:lang w:eastAsia="en-US"/>
        </w:rPr>
        <w:t>,</w:t>
      </w:r>
      <w:r w:rsidR="004B124F" w:rsidRPr="000972D1">
        <w:rPr>
          <w:rFonts w:asciiTheme="majorBidi" w:eastAsia="Calibri" w:hAnsiTheme="majorBidi" w:cstheme="majorBidi"/>
          <w:sz w:val="24"/>
          <w:szCs w:val="24"/>
          <w:lang w:eastAsia="en-US"/>
        </w:rPr>
        <w:t xml:space="preserve"> 63</w:t>
      </w:r>
      <w:r w:rsidR="004B124F" w:rsidRPr="000972D1">
        <w:rPr>
          <w:rFonts w:asciiTheme="majorBidi" w:eastAsia="Calibri" w:hAnsiTheme="majorBidi" w:cstheme="majorBidi"/>
          <w:sz w:val="24"/>
          <w:szCs w:val="24"/>
          <w:vertAlign w:val="superscript"/>
          <w:lang w:eastAsia="en-US"/>
        </w:rPr>
        <w:t>th</w:t>
      </w:r>
      <w:r w:rsidR="00420BB3" w:rsidRPr="000972D1">
        <w:rPr>
          <w:rFonts w:asciiTheme="majorBidi" w:eastAsia="Calibri" w:hAnsiTheme="majorBidi" w:cstheme="majorBidi"/>
          <w:sz w:val="24"/>
          <w:szCs w:val="24"/>
          <w:lang w:eastAsia="en-US"/>
        </w:rPr>
        <w:t xml:space="preserve">, and </w:t>
      </w:r>
      <w:r w:rsidR="003A6782" w:rsidRPr="000972D1">
        <w:rPr>
          <w:rFonts w:asciiTheme="majorBidi" w:eastAsia="Calibri" w:hAnsiTheme="majorBidi" w:cstheme="majorBidi"/>
          <w:sz w:val="24"/>
          <w:szCs w:val="24"/>
          <w:lang w:eastAsia="en-US"/>
        </w:rPr>
        <w:t>111</w:t>
      </w:r>
      <w:r w:rsidR="003A6782" w:rsidRPr="000972D1">
        <w:rPr>
          <w:rFonts w:asciiTheme="majorBidi" w:eastAsia="Calibri" w:hAnsiTheme="majorBidi" w:cstheme="majorBidi"/>
          <w:sz w:val="24"/>
          <w:szCs w:val="24"/>
          <w:vertAlign w:val="superscript"/>
          <w:lang w:eastAsia="en-US"/>
        </w:rPr>
        <w:t>th</w:t>
      </w:r>
      <w:r w:rsidR="003A6782" w:rsidRPr="000972D1">
        <w:rPr>
          <w:rFonts w:asciiTheme="majorBidi" w:eastAsia="Calibri" w:hAnsiTheme="majorBidi" w:cstheme="majorBidi"/>
          <w:sz w:val="24"/>
          <w:szCs w:val="24"/>
          <w:lang w:eastAsia="en-US"/>
        </w:rPr>
        <w:t xml:space="preserve"> of</w:t>
      </w:r>
      <w:r w:rsidR="004B124F" w:rsidRPr="000972D1">
        <w:rPr>
          <w:rFonts w:asciiTheme="majorBidi" w:eastAsia="Calibri" w:hAnsiTheme="majorBidi" w:cstheme="majorBidi"/>
          <w:sz w:val="24"/>
          <w:szCs w:val="24"/>
          <w:lang w:eastAsia="en-US"/>
        </w:rPr>
        <w:t xml:space="preserve"> 180 countries in 2009, </w:t>
      </w:r>
      <w:r w:rsidR="006574B7" w:rsidRPr="000972D1">
        <w:rPr>
          <w:rFonts w:asciiTheme="majorBidi" w:eastAsia="Calibri" w:hAnsiTheme="majorBidi" w:cstheme="majorBidi"/>
          <w:sz w:val="24"/>
          <w:szCs w:val="24"/>
          <w:lang w:eastAsia="en-US"/>
        </w:rPr>
        <w:t xml:space="preserve">respectively. </w:t>
      </w:r>
      <w:r w:rsidR="00C81E2B" w:rsidRPr="000972D1">
        <w:rPr>
          <w:rFonts w:asciiTheme="majorBidi" w:eastAsia="Calibri" w:hAnsiTheme="majorBidi" w:cstheme="majorBidi"/>
          <w:sz w:val="24"/>
          <w:szCs w:val="24"/>
          <w:lang w:eastAsia="en-US"/>
        </w:rPr>
        <w:t>Therefore, e</w:t>
      </w:r>
      <w:r w:rsidR="003C27D5" w:rsidRPr="000972D1">
        <w:rPr>
          <w:rFonts w:asciiTheme="majorBidi" w:eastAsia="Calibri" w:hAnsiTheme="majorBidi" w:cstheme="majorBidi"/>
          <w:sz w:val="24"/>
          <w:szCs w:val="24"/>
          <w:lang w:eastAsia="en-US"/>
        </w:rPr>
        <w:t xml:space="preserve">xternal auditors </w:t>
      </w:r>
      <w:r w:rsidR="00C81E2B" w:rsidRPr="000972D1">
        <w:rPr>
          <w:rFonts w:asciiTheme="majorBidi" w:eastAsia="Calibri" w:hAnsiTheme="majorBidi" w:cstheme="majorBidi"/>
          <w:sz w:val="24"/>
          <w:szCs w:val="24"/>
          <w:lang w:eastAsia="en-US"/>
        </w:rPr>
        <w:t xml:space="preserve">are expected to </w:t>
      </w:r>
      <w:r w:rsidR="003C27D5" w:rsidRPr="000972D1">
        <w:rPr>
          <w:rFonts w:asciiTheme="majorBidi" w:eastAsia="Calibri" w:hAnsiTheme="majorBidi" w:cstheme="majorBidi"/>
          <w:sz w:val="24"/>
          <w:szCs w:val="24"/>
          <w:lang w:eastAsia="en-US"/>
        </w:rPr>
        <w:t>play key role</w:t>
      </w:r>
      <w:r w:rsidR="00C81E2B" w:rsidRPr="000972D1">
        <w:rPr>
          <w:rFonts w:asciiTheme="majorBidi" w:eastAsia="Calibri" w:hAnsiTheme="majorBidi" w:cstheme="majorBidi"/>
          <w:sz w:val="24"/>
          <w:szCs w:val="24"/>
          <w:lang w:eastAsia="en-US"/>
        </w:rPr>
        <w:t>s</w:t>
      </w:r>
      <w:r w:rsidR="003C27D5" w:rsidRPr="000972D1">
        <w:rPr>
          <w:rFonts w:asciiTheme="majorBidi" w:eastAsia="Calibri" w:hAnsiTheme="majorBidi" w:cstheme="majorBidi"/>
          <w:sz w:val="24"/>
          <w:szCs w:val="24"/>
          <w:lang w:eastAsia="en-US"/>
        </w:rPr>
        <w:t xml:space="preserve"> in preventing, detecting and reporting </w:t>
      </w:r>
      <w:r w:rsidR="007B5482" w:rsidRPr="000972D1">
        <w:rPr>
          <w:rFonts w:asciiTheme="majorBidi" w:eastAsia="Calibri" w:hAnsiTheme="majorBidi" w:cstheme="majorBidi"/>
          <w:sz w:val="24"/>
          <w:szCs w:val="24"/>
          <w:lang w:eastAsia="en-US"/>
        </w:rPr>
        <w:t>fraud.</w:t>
      </w:r>
      <w:r w:rsidR="007B5482">
        <w:rPr>
          <w:rFonts w:asciiTheme="majorBidi" w:eastAsia="Calibri" w:hAnsiTheme="majorBidi" w:cstheme="majorBidi"/>
          <w:sz w:val="24"/>
          <w:szCs w:val="24"/>
          <w:lang w:eastAsia="en-US"/>
        </w:rPr>
        <w:t xml:space="preserve"> </w:t>
      </w:r>
    </w:p>
    <w:p w14:paraId="6E594855" w14:textId="20867971" w:rsidR="00B115C1" w:rsidRPr="008E772B" w:rsidRDefault="00B115C1" w:rsidP="00C81E2B">
      <w:pPr>
        <w:spacing w:after="0" w:line="360" w:lineRule="auto"/>
        <w:ind w:firstLine="720"/>
        <w:jc w:val="lowKashida"/>
        <w:rPr>
          <w:rFonts w:asciiTheme="majorBidi" w:eastAsia="Times New Roman" w:hAnsiTheme="majorBidi" w:cstheme="majorBidi"/>
          <w:bCs/>
          <w:iCs/>
          <w:sz w:val="24"/>
          <w:szCs w:val="24"/>
        </w:rPr>
      </w:pPr>
      <w:r w:rsidRPr="008E772B">
        <w:rPr>
          <w:rFonts w:asciiTheme="majorBidi" w:eastAsia="Times New Roman" w:hAnsiTheme="majorBidi" w:cstheme="majorBidi"/>
          <w:bCs/>
          <w:iCs/>
          <w:sz w:val="24"/>
          <w:szCs w:val="24"/>
        </w:rPr>
        <w:t xml:space="preserve">Most previous studies have </w:t>
      </w:r>
      <w:r w:rsidR="0018170C">
        <w:rPr>
          <w:rFonts w:asciiTheme="majorBidi" w:eastAsia="Times New Roman" w:hAnsiTheme="majorBidi" w:cstheme="majorBidi"/>
          <w:bCs/>
          <w:iCs/>
          <w:sz w:val="24"/>
          <w:szCs w:val="24"/>
        </w:rPr>
        <w:t xml:space="preserve">found a positive </w:t>
      </w:r>
      <w:r w:rsidRPr="008E772B">
        <w:rPr>
          <w:rFonts w:asciiTheme="majorBidi" w:eastAsia="Times New Roman" w:hAnsiTheme="majorBidi" w:cstheme="majorBidi"/>
          <w:bCs/>
          <w:iCs/>
          <w:sz w:val="24"/>
          <w:szCs w:val="24"/>
        </w:rPr>
        <w:t xml:space="preserve">effect of national institutional </w:t>
      </w:r>
      <w:r w:rsidR="002B2E6B">
        <w:rPr>
          <w:rFonts w:asciiTheme="majorBidi" w:eastAsia="Times New Roman" w:hAnsiTheme="majorBidi" w:cstheme="majorBidi"/>
          <w:bCs/>
          <w:iCs/>
          <w:sz w:val="24"/>
          <w:szCs w:val="24"/>
        </w:rPr>
        <w:t xml:space="preserve">governance </w:t>
      </w:r>
      <w:r w:rsidRPr="008E772B">
        <w:rPr>
          <w:rFonts w:asciiTheme="majorBidi" w:eastAsia="Times New Roman" w:hAnsiTheme="majorBidi" w:cstheme="majorBidi"/>
          <w:bCs/>
          <w:iCs/>
          <w:sz w:val="24"/>
          <w:szCs w:val="24"/>
        </w:rPr>
        <w:t>factors on corporate reporting quality</w:t>
      </w:r>
      <w:r w:rsidR="0018170C">
        <w:rPr>
          <w:rFonts w:asciiTheme="majorBidi" w:eastAsia="Times New Roman" w:hAnsiTheme="majorBidi" w:cstheme="majorBidi"/>
          <w:bCs/>
          <w:iCs/>
          <w:sz w:val="24"/>
          <w:szCs w:val="24"/>
        </w:rPr>
        <w:t xml:space="preserve"> (e.g., </w:t>
      </w:r>
      <w:r w:rsidRPr="008E772B">
        <w:rPr>
          <w:rFonts w:asciiTheme="majorBidi" w:eastAsia="Times New Roman" w:hAnsiTheme="majorBidi" w:cstheme="majorBidi"/>
          <w:bCs/>
          <w:iCs/>
          <w:sz w:val="24"/>
          <w:szCs w:val="24"/>
        </w:rPr>
        <w:t>Mateescu</w:t>
      </w:r>
      <w:r w:rsidR="0018170C">
        <w:rPr>
          <w:rFonts w:asciiTheme="majorBidi" w:eastAsia="Times New Roman" w:hAnsiTheme="majorBidi" w:cstheme="majorBidi"/>
          <w:bCs/>
          <w:iCs/>
          <w:sz w:val="24"/>
          <w:szCs w:val="24"/>
        </w:rPr>
        <w:t>,</w:t>
      </w:r>
      <w:r w:rsidRPr="008E772B">
        <w:rPr>
          <w:rFonts w:asciiTheme="majorBidi" w:eastAsia="Times New Roman" w:hAnsiTheme="majorBidi" w:cstheme="majorBidi"/>
          <w:bCs/>
          <w:iCs/>
          <w:sz w:val="24"/>
          <w:szCs w:val="24"/>
        </w:rPr>
        <w:t xml:space="preserve"> 2015</w:t>
      </w:r>
      <w:r w:rsidR="0018170C">
        <w:rPr>
          <w:rFonts w:asciiTheme="majorBidi" w:eastAsia="Times New Roman" w:hAnsiTheme="majorBidi" w:cstheme="majorBidi"/>
          <w:bCs/>
          <w:iCs/>
          <w:sz w:val="24"/>
          <w:szCs w:val="24"/>
        </w:rPr>
        <w:t>;</w:t>
      </w:r>
      <w:r w:rsidRPr="008E772B">
        <w:rPr>
          <w:rFonts w:asciiTheme="majorBidi" w:eastAsia="Times New Roman" w:hAnsiTheme="majorBidi" w:cstheme="majorBidi"/>
          <w:bCs/>
          <w:iCs/>
          <w:sz w:val="24"/>
          <w:szCs w:val="24"/>
        </w:rPr>
        <w:t xml:space="preserve"> Baldini </w:t>
      </w:r>
      <w:r w:rsidRPr="008E772B">
        <w:rPr>
          <w:rFonts w:asciiTheme="majorBidi" w:eastAsia="Times New Roman" w:hAnsiTheme="majorBidi" w:cstheme="majorBidi"/>
          <w:bCs/>
          <w:i/>
          <w:sz w:val="24"/>
          <w:szCs w:val="24"/>
        </w:rPr>
        <w:t>et al</w:t>
      </w:r>
      <w:r w:rsidR="0018170C">
        <w:rPr>
          <w:rFonts w:asciiTheme="majorBidi" w:eastAsia="Times New Roman" w:hAnsiTheme="majorBidi" w:cstheme="majorBidi"/>
          <w:bCs/>
          <w:iCs/>
          <w:sz w:val="24"/>
          <w:szCs w:val="24"/>
        </w:rPr>
        <w:t>.</w:t>
      </w:r>
      <w:r w:rsidRPr="008E772B">
        <w:rPr>
          <w:rFonts w:asciiTheme="majorBidi" w:eastAsia="Times New Roman" w:hAnsiTheme="majorBidi" w:cstheme="majorBidi"/>
          <w:bCs/>
          <w:iCs/>
          <w:sz w:val="24"/>
          <w:szCs w:val="24"/>
        </w:rPr>
        <w:t xml:space="preserve"> </w:t>
      </w:r>
      <w:r w:rsidR="00EA1FDF" w:rsidRPr="008E772B">
        <w:rPr>
          <w:rFonts w:asciiTheme="majorBidi" w:eastAsia="Times New Roman" w:hAnsiTheme="majorBidi" w:cstheme="majorBidi"/>
          <w:bCs/>
          <w:iCs/>
          <w:sz w:val="24"/>
          <w:szCs w:val="24"/>
        </w:rPr>
        <w:t>201</w:t>
      </w:r>
      <w:r w:rsidR="00EA1FDF">
        <w:rPr>
          <w:rFonts w:asciiTheme="majorBidi" w:eastAsia="Times New Roman" w:hAnsiTheme="majorBidi" w:cstheme="majorBidi"/>
          <w:bCs/>
          <w:iCs/>
          <w:sz w:val="24"/>
          <w:szCs w:val="24"/>
        </w:rPr>
        <w:t>8</w:t>
      </w:r>
      <w:r w:rsidRPr="008E772B">
        <w:rPr>
          <w:rFonts w:asciiTheme="majorBidi" w:eastAsia="Times New Roman" w:hAnsiTheme="majorBidi" w:cstheme="majorBidi"/>
          <w:bCs/>
          <w:iCs/>
          <w:sz w:val="24"/>
          <w:szCs w:val="24"/>
        </w:rPr>
        <w:t>)</w:t>
      </w:r>
      <w:r w:rsidR="0018170C">
        <w:rPr>
          <w:rFonts w:asciiTheme="majorBidi" w:eastAsia="Times New Roman" w:hAnsiTheme="majorBidi" w:cstheme="majorBidi"/>
          <w:bCs/>
          <w:iCs/>
          <w:sz w:val="24"/>
          <w:szCs w:val="24"/>
        </w:rPr>
        <w:t>.</w:t>
      </w:r>
      <w:r w:rsidRPr="008E772B">
        <w:rPr>
          <w:rFonts w:asciiTheme="majorBidi" w:eastAsia="Times New Roman" w:hAnsiTheme="majorBidi" w:cstheme="majorBidi"/>
          <w:bCs/>
          <w:iCs/>
          <w:sz w:val="24"/>
          <w:szCs w:val="24"/>
        </w:rPr>
        <w:t xml:space="preserve"> </w:t>
      </w:r>
      <w:r w:rsidR="00092DAF">
        <w:rPr>
          <w:rFonts w:asciiTheme="majorBidi" w:eastAsia="Times New Roman" w:hAnsiTheme="majorBidi" w:cstheme="majorBidi"/>
          <w:bCs/>
          <w:iCs/>
          <w:sz w:val="24"/>
          <w:szCs w:val="24"/>
        </w:rPr>
        <w:t xml:space="preserve">Further, </w:t>
      </w:r>
      <w:r w:rsidRPr="008E772B">
        <w:rPr>
          <w:rFonts w:asciiTheme="majorBidi" w:eastAsia="Times New Roman" w:hAnsiTheme="majorBidi" w:cstheme="majorBidi"/>
          <w:bCs/>
          <w:iCs/>
          <w:sz w:val="24"/>
          <w:szCs w:val="24"/>
        </w:rPr>
        <w:t xml:space="preserve">Francis </w:t>
      </w:r>
      <w:r w:rsidRPr="008E772B">
        <w:rPr>
          <w:rFonts w:asciiTheme="majorBidi" w:eastAsia="Times New Roman" w:hAnsiTheme="majorBidi" w:cstheme="majorBidi"/>
          <w:bCs/>
          <w:i/>
          <w:sz w:val="24"/>
          <w:szCs w:val="24"/>
        </w:rPr>
        <w:t>et al</w:t>
      </w:r>
      <w:r w:rsidRPr="008E772B">
        <w:rPr>
          <w:rFonts w:asciiTheme="majorBidi" w:eastAsia="Times New Roman" w:hAnsiTheme="majorBidi" w:cstheme="majorBidi"/>
          <w:bCs/>
          <w:iCs/>
          <w:sz w:val="24"/>
          <w:szCs w:val="24"/>
        </w:rPr>
        <w:t xml:space="preserve">. (2003) </w:t>
      </w:r>
      <w:r w:rsidR="00576274">
        <w:rPr>
          <w:rFonts w:asciiTheme="majorBidi" w:eastAsia="Times New Roman" w:hAnsiTheme="majorBidi" w:cstheme="majorBidi"/>
          <w:bCs/>
          <w:iCs/>
          <w:sz w:val="24"/>
          <w:szCs w:val="24"/>
        </w:rPr>
        <w:t>demonstrate</w:t>
      </w:r>
      <w:r w:rsidR="00576274" w:rsidRPr="008E772B">
        <w:rPr>
          <w:rFonts w:asciiTheme="majorBidi" w:eastAsia="Times New Roman" w:hAnsiTheme="majorBidi" w:cstheme="majorBidi"/>
          <w:bCs/>
          <w:iCs/>
          <w:sz w:val="24"/>
          <w:szCs w:val="24"/>
        </w:rPr>
        <w:t xml:space="preserve"> </w:t>
      </w:r>
      <w:r w:rsidRPr="008E772B">
        <w:rPr>
          <w:rFonts w:asciiTheme="majorBidi" w:eastAsia="Times New Roman" w:hAnsiTheme="majorBidi" w:cstheme="majorBidi"/>
          <w:bCs/>
          <w:iCs/>
          <w:sz w:val="24"/>
          <w:szCs w:val="24"/>
        </w:rPr>
        <w:t xml:space="preserve">that countries with strong investor protection legal framework are more likely </w:t>
      </w:r>
      <w:r w:rsidR="00360773">
        <w:rPr>
          <w:rFonts w:asciiTheme="majorBidi" w:eastAsia="Times New Roman" w:hAnsiTheme="majorBidi" w:cstheme="majorBidi"/>
          <w:bCs/>
          <w:iCs/>
          <w:sz w:val="24"/>
          <w:szCs w:val="24"/>
        </w:rPr>
        <w:t xml:space="preserve">to </w:t>
      </w:r>
      <w:r w:rsidRPr="008E772B">
        <w:rPr>
          <w:rFonts w:asciiTheme="majorBidi" w:eastAsia="Times New Roman" w:hAnsiTheme="majorBidi" w:cstheme="majorBidi"/>
          <w:bCs/>
          <w:iCs/>
          <w:sz w:val="24"/>
          <w:szCs w:val="24"/>
        </w:rPr>
        <w:t>demand credible accounting (more accrual based and greater transparency) and audit enforcement</w:t>
      </w:r>
      <w:r w:rsidR="00360773">
        <w:rPr>
          <w:rFonts w:asciiTheme="majorBidi" w:eastAsia="Times New Roman" w:hAnsiTheme="majorBidi" w:cstheme="majorBidi"/>
          <w:bCs/>
          <w:iCs/>
          <w:sz w:val="24"/>
          <w:szCs w:val="24"/>
        </w:rPr>
        <w:t>s</w:t>
      </w:r>
      <w:r w:rsidRPr="008E772B">
        <w:rPr>
          <w:rFonts w:asciiTheme="majorBidi" w:eastAsia="Times New Roman" w:hAnsiTheme="majorBidi" w:cstheme="majorBidi"/>
          <w:bCs/>
          <w:iCs/>
          <w:sz w:val="24"/>
          <w:szCs w:val="24"/>
        </w:rPr>
        <w:t xml:space="preserve"> (employing </w:t>
      </w:r>
      <w:r w:rsidR="00792B4D">
        <w:rPr>
          <w:rFonts w:asciiTheme="majorBidi" w:eastAsia="Times New Roman" w:hAnsiTheme="majorBidi" w:cstheme="majorBidi"/>
          <w:bCs/>
          <w:iCs/>
          <w:sz w:val="24"/>
          <w:szCs w:val="24"/>
        </w:rPr>
        <w:t xml:space="preserve">a </w:t>
      </w:r>
      <w:r w:rsidR="00740728" w:rsidRPr="008E772B">
        <w:rPr>
          <w:rFonts w:asciiTheme="majorBidi" w:eastAsia="Times New Roman" w:hAnsiTheme="majorBidi" w:cstheme="majorBidi"/>
          <w:bCs/>
          <w:iCs/>
          <w:sz w:val="24"/>
          <w:szCs w:val="24"/>
        </w:rPr>
        <w:t xml:space="preserve">Big </w:t>
      </w:r>
      <w:r w:rsidRPr="008E772B">
        <w:rPr>
          <w:rFonts w:asciiTheme="majorBidi" w:eastAsia="Times New Roman" w:hAnsiTheme="majorBidi" w:cstheme="majorBidi"/>
          <w:bCs/>
          <w:iCs/>
          <w:sz w:val="24"/>
          <w:szCs w:val="24"/>
        </w:rPr>
        <w:t xml:space="preserve">5 auditor and pay </w:t>
      </w:r>
      <w:r w:rsidR="00792B4D" w:rsidRPr="00792B4D">
        <w:rPr>
          <w:rFonts w:asciiTheme="majorBidi" w:eastAsia="Times New Roman" w:hAnsiTheme="majorBidi" w:cstheme="majorBidi"/>
          <w:bCs/>
          <w:iCs/>
          <w:sz w:val="24"/>
          <w:szCs w:val="24"/>
        </w:rPr>
        <w:t xml:space="preserve">higher </w:t>
      </w:r>
      <w:r w:rsidRPr="008E772B">
        <w:rPr>
          <w:rFonts w:asciiTheme="majorBidi" w:eastAsia="Times New Roman" w:hAnsiTheme="majorBidi" w:cstheme="majorBidi"/>
          <w:bCs/>
          <w:iCs/>
          <w:sz w:val="24"/>
          <w:szCs w:val="24"/>
        </w:rPr>
        <w:t>audit fees).</w:t>
      </w:r>
      <w:r w:rsidR="00AA7C66" w:rsidRPr="008E772B">
        <w:rPr>
          <w:rFonts w:asciiTheme="majorBidi" w:eastAsia="Calibri" w:hAnsiTheme="majorBidi" w:cstheme="majorBidi"/>
          <w:bCs/>
          <w:iCs/>
          <w:sz w:val="24"/>
          <w:szCs w:val="24"/>
        </w:rPr>
        <w:t xml:space="preserve"> </w:t>
      </w:r>
      <w:r w:rsidR="00E61AC8" w:rsidRPr="00E61AC8">
        <w:rPr>
          <w:rFonts w:asciiTheme="majorBidi" w:eastAsia="Calibri" w:hAnsiTheme="majorBidi" w:cstheme="majorBidi"/>
          <w:bCs/>
          <w:iCs/>
          <w:sz w:val="24"/>
          <w:szCs w:val="24"/>
        </w:rPr>
        <w:t xml:space="preserve">Choi </w:t>
      </w:r>
      <w:r w:rsidR="00E61AC8" w:rsidRPr="002513C0">
        <w:rPr>
          <w:rFonts w:asciiTheme="majorBidi" w:eastAsia="Times New Roman" w:hAnsiTheme="majorBidi" w:cstheme="majorBidi"/>
          <w:bCs/>
          <w:i/>
          <w:iCs/>
          <w:sz w:val="24"/>
          <w:szCs w:val="24"/>
        </w:rPr>
        <w:t>et al</w:t>
      </w:r>
      <w:r w:rsidR="00E61AC8" w:rsidRPr="00E61AC8">
        <w:rPr>
          <w:rFonts w:asciiTheme="majorBidi" w:eastAsia="Calibri" w:hAnsiTheme="majorBidi" w:cstheme="majorBidi"/>
          <w:bCs/>
          <w:iCs/>
          <w:sz w:val="24"/>
          <w:szCs w:val="24"/>
        </w:rPr>
        <w:t>. (2008)</w:t>
      </w:r>
      <w:r w:rsidR="00E61AC8">
        <w:rPr>
          <w:rFonts w:asciiTheme="majorBidi" w:eastAsia="Calibri" w:hAnsiTheme="majorBidi" w:cstheme="majorBidi"/>
          <w:bCs/>
          <w:iCs/>
          <w:sz w:val="24"/>
          <w:szCs w:val="24"/>
        </w:rPr>
        <w:t xml:space="preserve"> </w:t>
      </w:r>
      <w:r w:rsidR="00E61AC8" w:rsidRPr="00E61AC8">
        <w:rPr>
          <w:rFonts w:asciiTheme="majorBidi" w:eastAsia="Calibri" w:hAnsiTheme="majorBidi" w:cstheme="majorBidi"/>
          <w:bCs/>
          <w:iCs/>
          <w:sz w:val="24"/>
          <w:szCs w:val="24"/>
        </w:rPr>
        <w:t xml:space="preserve">find that </w:t>
      </w:r>
      <w:r w:rsidR="00E61AC8">
        <w:rPr>
          <w:rFonts w:asciiTheme="majorBidi" w:eastAsia="Calibri" w:hAnsiTheme="majorBidi" w:cstheme="majorBidi"/>
          <w:bCs/>
          <w:iCs/>
          <w:sz w:val="24"/>
          <w:szCs w:val="24"/>
        </w:rPr>
        <w:t>audit firms</w:t>
      </w:r>
      <w:r w:rsidR="00E61AC8" w:rsidRPr="00E61AC8">
        <w:rPr>
          <w:rFonts w:asciiTheme="majorBidi" w:eastAsia="Calibri" w:hAnsiTheme="majorBidi" w:cstheme="majorBidi"/>
          <w:bCs/>
          <w:iCs/>
          <w:sz w:val="24"/>
          <w:szCs w:val="24"/>
        </w:rPr>
        <w:t xml:space="preserve"> charge higher fees to firms that are cross-listed in countries with stronger legal</w:t>
      </w:r>
      <w:r w:rsidR="00E61AC8">
        <w:rPr>
          <w:rFonts w:asciiTheme="majorBidi" w:eastAsia="Calibri" w:hAnsiTheme="majorBidi" w:cstheme="majorBidi"/>
          <w:bCs/>
          <w:iCs/>
          <w:sz w:val="24"/>
          <w:szCs w:val="24"/>
        </w:rPr>
        <w:t xml:space="preserve"> </w:t>
      </w:r>
      <w:r w:rsidR="00E61AC8" w:rsidRPr="00E61AC8">
        <w:rPr>
          <w:rFonts w:asciiTheme="majorBidi" w:eastAsia="Calibri" w:hAnsiTheme="majorBidi" w:cstheme="majorBidi"/>
          <w:bCs/>
          <w:iCs/>
          <w:sz w:val="24"/>
          <w:szCs w:val="24"/>
        </w:rPr>
        <w:t>regimes.</w:t>
      </w:r>
      <w:r w:rsidR="00E61AC8">
        <w:rPr>
          <w:rFonts w:asciiTheme="majorBidi" w:eastAsia="Calibri" w:hAnsiTheme="majorBidi" w:cstheme="majorBidi"/>
          <w:bCs/>
          <w:iCs/>
          <w:sz w:val="24"/>
          <w:szCs w:val="24"/>
        </w:rPr>
        <w:t xml:space="preserve"> </w:t>
      </w:r>
      <w:r w:rsidR="00AA7C66" w:rsidRPr="008E772B">
        <w:rPr>
          <w:rFonts w:asciiTheme="majorBidi" w:eastAsia="Times New Roman" w:hAnsiTheme="majorBidi" w:cstheme="majorBidi"/>
          <w:bCs/>
          <w:iCs/>
          <w:sz w:val="24"/>
          <w:szCs w:val="24"/>
        </w:rPr>
        <w:t xml:space="preserve">Based on these arguments, the </w:t>
      </w:r>
      <w:r w:rsidR="007679F6" w:rsidRPr="008E772B">
        <w:rPr>
          <w:rFonts w:asciiTheme="majorBidi" w:eastAsia="Times New Roman" w:hAnsiTheme="majorBidi" w:cstheme="majorBidi"/>
          <w:bCs/>
          <w:iCs/>
          <w:sz w:val="24"/>
          <w:szCs w:val="24"/>
        </w:rPr>
        <w:t xml:space="preserve">final </w:t>
      </w:r>
      <w:r w:rsidR="00AA7C66" w:rsidRPr="008E772B">
        <w:rPr>
          <w:rFonts w:asciiTheme="majorBidi" w:eastAsia="Times New Roman" w:hAnsiTheme="majorBidi" w:cstheme="majorBidi"/>
          <w:bCs/>
          <w:iCs/>
          <w:sz w:val="24"/>
          <w:szCs w:val="24"/>
        </w:rPr>
        <w:t>hypothes</w:t>
      </w:r>
      <w:r w:rsidR="00C81E2B">
        <w:rPr>
          <w:rFonts w:asciiTheme="majorBidi" w:eastAsia="Times New Roman" w:hAnsiTheme="majorBidi" w:cstheme="majorBidi"/>
          <w:bCs/>
          <w:iCs/>
          <w:sz w:val="24"/>
          <w:szCs w:val="24"/>
        </w:rPr>
        <w:t>i</w:t>
      </w:r>
      <w:r w:rsidR="00AA7C66" w:rsidRPr="008E772B">
        <w:rPr>
          <w:rFonts w:asciiTheme="majorBidi" w:eastAsia="Times New Roman" w:hAnsiTheme="majorBidi" w:cstheme="majorBidi"/>
          <w:bCs/>
          <w:iCs/>
          <w:sz w:val="24"/>
          <w:szCs w:val="24"/>
        </w:rPr>
        <w:t xml:space="preserve">s </w:t>
      </w:r>
      <w:r w:rsidR="00C81E2B">
        <w:rPr>
          <w:rFonts w:asciiTheme="majorBidi" w:eastAsia="Times New Roman" w:hAnsiTheme="majorBidi" w:cstheme="majorBidi"/>
          <w:bCs/>
          <w:iCs/>
          <w:sz w:val="24"/>
          <w:szCs w:val="24"/>
        </w:rPr>
        <w:t>is</w:t>
      </w:r>
      <w:r w:rsidR="00AA7C66" w:rsidRPr="008E772B">
        <w:rPr>
          <w:rFonts w:asciiTheme="majorBidi" w:eastAsia="Times New Roman" w:hAnsiTheme="majorBidi" w:cstheme="majorBidi"/>
          <w:bCs/>
          <w:iCs/>
          <w:sz w:val="24"/>
          <w:szCs w:val="24"/>
        </w:rPr>
        <w:t>:</w:t>
      </w:r>
      <w:r w:rsidRPr="008E772B">
        <w:rPr>
          <w:rFonts w:asciiTheme="majorBidi" w:eastAsia="Times New Roman" w:hAnsiTheme="majorBidi" w:cstheme="majorBidi"/>
          <w:bCs/>
          <w:iCs/>
          <w:sz w:val="24"/>
          <w:szCs w:val="24"/>
        </w:rPr>
        <w:t xml:space="preserve"> </w:t>
      </w:r>
    </w:p>
    <w:p w14:paraId="638F8D8A" w14:textId="73288438" w:rsidR="006F46DC" w:rsidRPr="008E772B" w:rsidRDefault="00CE37CC" w:rsidP="00FE72FB">
      <w:pPr>
        <w:spacing w:after="0" w:line="360" w:lineRule="auto"/>
        <w:ind w:left="720"/>
        <w:jc w:val="lowKashida"/>
        <w:rPr>
          <w:rFonts w:asciiTheme="majorBidi" w:eastAsia="Times New Roman" w:hAnsiTheme="majorBidi" w:cstheme="majorBidi"/>
          <w:bCs/>
          <w:i/>
          <w:sz w:val="24"/>
          <w:szCs w:val="24"/>
        </w:rPr>
      </w:pPr>
      <w:r w:rsidRPr="000972D1">
        <w:rPr>
          <w:rFonts w:asciiTheme="majorBidi" w:eastAsia="Times New Roman" w:hAnsiTheme="majorBidi" w:cstheme="majorBidi"/>
          <w:b/>
          <w:i/>
          <w:sz w:val="24"/>
          <w:szCs w:val="24"/>
        </w:rPr>
        <w:t>H7</w:t>
      </w:r>
      <w:r w:rsidR="006F46DC" w:rsidRPr="000972D1">
        <w:rPr>
          <w:rFonts w:asciiTheme="majorBidi" w:eastAsia="Times New Roman" w:hAnsiTheme="majorBidi" w:cstheme="majorBidi"/>
          <w:bCs/>
          <w:i/>
          <w:sz w:val="24"/>
          <w:szCs w:val="24"/>
        </w:rPr>
        <w:t xml:space="preserve">: </w:t>
      </w:r>
      <w:r w:rsidR="00F7466B">
        <w:rPr>
          <w:rFonts w:asciiTheme="majorBidi" w:eastAsia="Times New Roman" w:hAnsiTheme="majorBidi" w:cstheme="majorBidi"/>
          <w:bCs/>
          <w:i/>
          <w:iCs/>
          <w:sz w:val="24"/>
          <w:szCs w:val="24"/>
        </w:rPr>
        <w:t>A</w:t>
      </w:r>
      <w:r w:rsidR="004B1DB6" w:rsidRPr="000972D1">
        <w:rPr>
          <w:rFonts w:asciiTheme="majorBidi" w:eastAsia="Times New Roman" w:hAnsiTheme="majorBidi" w:cstheme="majorBidi"/>
          <w:bCs/>
          <w:i/>
          <w:iCs/>
          <w:sz w:val="24"/>
          <w:szCs w:val="24"/>
        </w:rPr>
        <w:t xml:space="preserve">udit quality is significantly associated </w:t>
      </w:r>
      <w:r w:rsidR="00DD4C05">
        <w:rPr>
          <w:rFonts w:asciiTheme="majorBidi" w:eastAsia="Times New Roman" w:hAnsiTheme="majorBidi" w:cstheme="majorBidi"/>
          <w:bCs/>
          <w:i/>
          <w:iCs/>
          <w:sz w:val="24"/>
          <w:szCs w:val="24"/>
        </w:rPr>
        <w:t>with</w:t>
      </w:r>
      <w:r w:rsidR="00DD4C05" w:rsidRPr="000972D1">
        <w:rPr>
          <w:rFonts w:asciiTheme="majorBidi" w:eastAsia="Times New Roman" w:hAnsiTheme="majorBidi" w:cstheme="majorBidi"/>
          <w:bCs/>
          <w:i/>
          <w:iCs/>
          <w:sz w:val="24"/>
          <w:szCs w:val="24"/>
        </w:rPr>
        <w:t xml:space="preserve"> </w:t>
      </w:r>
      <w:r w:rsidR="004B1DB6" w:rsidRPr="000972D1">
        <w:rPr>
          <w:rFonts w:asciiTheme="majorBidi" w:eastAsia="Times New Roman" w:hAnsiTheme="majorBidi" w:cstheme="majorBidi"/>
          <w:bCs/>
          <w:i/>
          <w:sz w:val="24"/>
          <w:szCs w:val="24"/>
        </w:rPr>
        <w:t>country</w:t>
      </w:r>
      <w:r w:rsidR="007F3AE3" w:rsidRPr="000972D1">
        <w:rPr>
          <w:rFonts w:asciiTheme="majorBidi" w:eastAsia="Times New Roman" w:hAnsiTheme="majorBidi" w:cstheme="majorBidi"/>
          <w:bCs/>
          <w:i/>
          <w:sz w:val="24"/>
          <w:szCs w:val="24"/>
        </w:rPr>
        <w:t>-level governance quality</w:t>
      </w:r>
      <w:r w:rsidR="007F3AE3" w:rsidRPr="008E772B">
        <w:rPr>
          <w:rFonts w:asciiTheme="majorBidi" w:eastAsia="Times New Roman" w:hAnsiTheme="majorBidi" w:cstheme="majorBidi"/>
          <w:bCs/>
          <w:i/>
          <w:sz w:val="24"/>
          <w:szCs w:val="24"/>
        </w:rPr>
        <w:t xml:space="preserve"> </w:t>
      </w:r>
    </w:p>
    <w:p w14:paraId="04AB9A22" w14:textId="6F467828" w:rsidR="001B7173" w:rsidRPr="008E772B" w:rsidRDefault="001B7173" w:rsidP="001E3C94">
      <w:pPr>
        <w:spacing w:after="0" w:line="360" w:lineRule="auto"/>
        <w:jc w:val="lowKashida"/>
        <w:rPr>
          <w:rFonts w:asciiTheme="majorBidi" w:eastAsia="Times New Roman" w:hAnsiTheme="majorBidi" w:cstheme="majorBidi"/>
          <w:b/>
          <w:bCs/>
          <w:sz w:val="24"/>
          <w:szCs w:val="24"/>
        </w:rPr>
      </w:pPr>
    </w:p>
    <w:p w14:paraId="0EF7E64A" w14:textId="632097C1" w:rsidR="007C4420" w:rsidRPr="00157823" w:rsidRDefault="00157823" w:rsidP="001E3C94">
      <w:pPr>
        <w:spacing w:after="0" w:line="360" w:lineRule="auto"/>
        <w:jc w:val="lowKashida"/>
        <w:rPr>
          <w:rFonts w:asciiTheme="majorBidi" w:eastAsia="Times New Roman" w:hAnsiTheme="majorBidi" w:cstheme="majorBidi"/>
          <w:b/>
          <w:sz w:val="24"/>
          <w:szCs w:val="24"/>
        </w:rPr>
      </w:pPr>
      <w:r w:rsidRPr="00157823">
        <w:rPr>
          <w:rFonts w:asciiTheme="majorBidi" w:eastAsia="Times New Roman" w:hAnsiTheme="majorBidi" w:cstheme="majorBidi"/>
          <w:b/>
          <w:sz w:val="24"/>
          <w:szCs w:val="24"/>
        </w:rPr>
        <w:t xml:space="preserve">4. Research Design </w:t>
      </w:r>
    </w:p>
    <w:p w14:paraId="574A4D6B" w14:textId="3C41F592" w:rsidR="007C4420" w:rsidRPr="008E772B" w:rsidRDefault="00157823" w:rsidP="001E3C94">
      <w:pPr>
        <w:spacing w:after="0" w:line="360" w:lineRule="auto"/>
        <w:jc w:val="lowKashida"/>
        <w:rPr>
          <w:rFonts w:asciiTheme="majorBidi" w:eastAsia="Times New Roman" w:hAnsiTheme="majorBidi" w:cstheme="majorBidi"/>
          <w:b/>
          <w:bCs/>
          <w:i/>
          <w:iCs/>
          <w:sz w:val="24"/>
          <w:szCs w:val="24"/>
        </w:rPr>
      </w:pPr>
      <w:r w:rsidRPr="00157823">
        <w:rPr>
          <w:rFonts w:asciiTheme="majorBidi" w:eastAsia="Times New Roman" w:hAnsiTheme="majorBidi" w:cstheme="majorBidi"/>
          <w:b/>
          <w:bCs/>
          <w:i/>
          <w:iCs/>
          <w:sz w:val="24"/>
          <w:szCs w:val="24"/>
        </w:rPr>
        <w:t>4.</w:t>
      </w:r>
      <w:r>
        <w:rPr>
          <w:rFonts w:asciiTheme="majorBidi" w:eastAsia="Times New Roman" w:hAnsiTheme="majorBidi" w:cstheme="majorBidi"/>
          <w:b/>
          <w:bCs/>
          <w:i/>
          <w:iCs/>
          <w:sz w:val="24"/>
          <w:szCs w:val="24"/>
        </w:rPr>
        <w:t>1.</w:t>
      </w:r>
      <w:r w:rsidRPr="00157823">
        <w:rPr>
          <w:rFonts w:asciiTheme="majorBidi" w:eastAsia="Times New Roman" w:hAnsiTheme="majorBidi" w:cstheme="majorBidi"/>
          <w:b/>
          <w:bCs/>
          <w:i/>
          <w:iCs/>
          <w:sz w:val="24"/>
          <w:szCs w:val="24"/>
        </w:rPr>
        <w:t xml:space="preserve"> </w:t>
      </w:r>
      <w:r w:rsidR="007C4420" w:rsidRPr="008E772B">
        <w:rPr>
          <w:rFonts w:asciiTheme="majorBidi" w:eastAsia="Times New Roman" w:hAnsiTheme="majorBidi" w:cstheme="majorBidi"/>
          <w:b/>
          <w:bCs/>
          <w:i/>
          <w:iCs/>
          <w:sz w:val="24"/>
          <w:szCs w:val="24"/>
        </w:rPr>
        <w:t xml:space="preserve">Sample </w:t>
      </w:r>
      <w:r w:rsidR="00EB6931" w:rsidRPr="008E772B">
        <w:rPr>
          <w:rFonts w:asciiTheme="majorBidi" w:eastAsia="Times New Roman" w:hAnsiTheme="majorBidi" w:cstheme="majorBidi"/>
          <w:b/>
          <w:bCs/>
          <w:i/>
          <w:iCs/>
          <w:sz w:val="24"/>
          <w:szCs w:val="24"/>
        </w:rPr>
        <w:t xml:space="preserve">selection </w:t>
      </w:r>
      <w:r w:rsidR="007C4420" w:rsidRPr="008E772B">
        <w:rPr>
          <w:rFonts w:asciiTheme="majorBidi" w:eastAsia="Times New Roman" w:hAnsiTheme="majorBidi" w:cstheme="majorBidi"/>
          <w:b/>
          <w:bCs/>
          <w:i/>
          <w:iCs/>
          <w:sz w:val="24"/>
          <w:szCs w:val="24"/>
        </w:rPr>
        <w:t xml:space="preserve">and </w:t>
      </w:r>
      <w:r w:rsidR="00EB6931" w:rsidRPr="008E772B">
        <w:rPr>
          <w:rFonts w:asciiTheme="majorBidi" w:eastAsia="Times New Roman" w:hAnsiTheme="majorBidi" w:cstheme="majorBidi"/>
          <w:b/>
          <w:bCs/>
          <w:i/>
          <w:iCs/>
          <w:sz w:val="24"/>
          <w:szCs w:val="24"/>
        </w:rPr>
        <w:t xml:space="preserve">data sources     </w:t>
      </w:r>
    </w:p>
    <w:p w14:paraId="35CD4C1B" w14:textId="5B424632" w:rsidR="00964288" w:rsidRPr="008E772B" w:rsidRDefault="00596107" w:rsidP="00C16151">
      <w:pPr>
        <w:spacing w:after="0" w:line="360" w:lineRule="auto"/>
        <w:ind w:firstLine="720"/>
        <w:jc w:val="lowKashida"/>
        <w:rPr>
          <w:rFonts w:asciiTheme="majorBidi" w:eastAsia="Times New Roman" w:hAnsiTheme="majorBidi" w:cstheme="majorBidi"/>
          <w:bCs/>
          <w:sz w:val="24"/>
          <w:szCs w:val="24"/>
        </w:rPr>
      </w:pPr>
      <w:r w:rsidRPr="000972D1">
        <w:rPr>
          <w:rFonts w:asciiTheme="majorBidi" w:eastAsia="Times New Roman" w:hAnsiTheme="majorBidi" w:cstheme="majorBidi"/>
          <w:bCs/>
          <w:sz w:val="24"/>
          <w:szCs w:val="24"/>
        </w:rPr>
        <w:t xml:space="preserve">Our sample is based on 494 non-financial and non-utility corporations listed on the national stock exchanges of </w:t>
      </w:r>
      <w:r w:rsidRPr="000972D1">
        <w:rPr>
          <w:rFonts w:asciiTheme="majorBidi" w:eastAsia="Times New Roman" w:hAnsiTheme="majorBidi" w:cstheme="majorBidi"/>
          <w:bCs/>
          <w:sz w:val="24"/>
          <w:szCs w:val="24"/>
          <w:lang w:val="en-US"/>
        </w:rPr>
        <w:t>Egypt, Jordan, Oman, Saudi Arabia</w:t>
      </w:r>
      <w:r w:rsidR="00DC7C5F">
        <w:rPr>
          <w:rFonts w:asciiTheme="majorBidi" w:eastAsia="Times New Roman" w:hAnsiTheme="majorBidi" w:cstheme="majorBidi"/>
          <w:bCs/>
          <w:sz w:val="24"/>
          <w:szCs w:val="24"/>
          <w:lang w:val="en-US"/>
        </w:rPr>
        <w:t>,</w:t>
      </w:r>
      <w:r w:rsidRPr="000972D1">
        <w:rPr>
          <w:rFonts w:asciiTheme="majorBidi" w:eastAsia="Times New Roman" w:hAnsiTheme="majorBidi" w:cstheme="majorBidi"/>
          <w:bCs/>
          <w:sz w:val="24"/>
          <w:szCs w:val="24"/>
          <w:lang w:val="en-US"/>
        </w:rPr>
        <w:t xml:space="preserve"> and UAE </w:t>
      </w:r>
      <w:r w:rsidRPr="000972D1">
        <w:rPr>
          <w:rFonts w:asciiTheme="majorBidi" w:eastAsia="Times New Roman" w:hAnsiTheme="majorBidi" w:cstheme="majorBidi"/>
          <w:bCs/>
          <w:sz w:val="24"/>
          <w:szCs w:val="24"/>
        </w:rPr>
        <w:t>(143, 121, 71, 112, and 47, respectively)</w:t>
      </w:r>
      <w:r w:rsidRPr="000972D1">
        <w:rPr>
          <w:rFonts w:asciiTheme="majorBidi" w:eastAsia="Times New Roman" w:hAnsiTheme="majorBidi" w:cstheme="majorBidi"/>
          <w:bCs/>
          <w:sz w:val="24"/>
          <w:szCs w:val="24"/>
          <w:lang w:val="en-US"/>
        </w:rPr>
        <w:t xml:space="preserve">, with data </w:t>
      </w:r>
      <w:r w:rsidRPr="000972D1">
        <w:rPr>
          <w:rFonts w:asciiTheme="majorBidi" w:eastAsia="Times New Roman" w:hAnsiTheme="majorBidi" w:cstheme="majorBidi"/>
          <w:bCs/>
          <w:sz w:val="24"/>
          <w:szCs w:val="24"/>
        </w:rPr>
        <w:t xml:space="preserve">over the </w:t>
      </w:r>
      <w:r w:rsidRPr="000972D1">
        <w:rPr>
          <w:rFonts w:asciiTheme="majorBidi" w:eastAsia="Times New Roman" w:hAnsiTheme="majorBidi" w:cstheme="majorBidi"/>
          <w:bCs/>
          <w:sz w:val="24"/>
          <w:szCs w:val="24"/>
          <w:lang w:val="en-US"/>
        </w:rPr>
        <w:t>2009</w:t>
      </w:r>
      <w:r w:rsidR="00C16151" w:rsidRPr="000972D1">
        <w:rPr>
          <w:rFonts w:asciiTheme="majorBidi" w:eastAsia="Times New Roman" w:hAnsiTheme="majorBidi" w:cstheme="majorBidi"/>
          <w:bCs/>
          <w:sz w:val="24"/>
          <w:szCs w:val="24"/>
          <w:lang w:val="en-US"/>
        </w:rPr>
        <w:t>-</w:t>
      </w:r>
      <w:r w:rsidRPr="000972D1">
        <w:rPr>
          <w:rFonts w:asciiTheme="majorBidi" w:eastAsia="Times New Roman" w:hAnsiTheme="majorBidi" w:cstheme="majorBidi"/>
          <w:bCs/>
          <w:sz w:val="24"/>
          <w:szCs w:val="24"/>
          <w:lang w:val="en-US"/>
        </w:rPr>
        <w:t>2014</w:t>
      </w:r>
      <w:r w:rsidR="00C16151" w:rsidRPr="000972D1">
        <w:rPr>
          <w:rFonts w:asciiTheme="majorBidi" w:eastAsia="Times New Roman" w:hAnsiTheme="majorBidi" w:cstheme="majorBidi"/>
          <w:bCs/>
          <w:sz w:val="24"/>
          <w:szCs w:val="24"/>
          <w:lang w:val="en-US"/>
        </w:rPr>
        <w:t xml:space="preserve"> period</w:t>
      </w:r>
      <w:r w:rsidRPr="000972D1">
        <w:rPr>
          <w:rFonts w:asciiTheme="majorBidi" w:eastAsia="Times New Roman" w:hAnsiTheme="majorBidi" w:cstheme="majorBidi"/>
          <w:bCs/>
          <w:sz w:val="24"/>
          <w:szCs w:val="24"/>
          <w:lang w:val="en-US"/>
        </w:rPr>
        <w:t>.</w:t>
      </w:r>
      <w:r w:rsidR="00C16151" w:rsidRPr="000972D1">
        <w:rPr>
          <w:rFonts w:ascii="Times New Roman" w:eastAsia="Times New Roman" w:hAnsi="Times New Roman" w:cs="Times New Roman"/>
          <w:bCs/>
          <w:sz w:val="24"/>
          <w:szCs w:val="24"/>
          <w:lang w:val="en-US"/>
        </w:rPr>
        <w:t xml:space="preserve"> As </w:t>
      </w:r>
      <w:r w:rsidRPr="000972D1">
        <w:rPr>
          <w:rFonts w:ascii="Times New Roman" w:eastAsia="Times New Roman" w:hAnsi="Times New Roman" w:cs="Times New Roman"/>
          <w:bCs/>
          <w:sz w:val="24"/>
          <w:szCs w:val="24"/>
          <w:lang w:val="en-US"/>
        </w:rPr>
        <w:t>traditional content analysis consumes a considerable amount of time and effort, we were able to collect data on 600 firm-year observations from 100 corporations</w:t>
      </w:r>
      <w:r w:rsidRPr="000972D1">
        <w:rPr>
          <w:rFonts w:ascii="Times New Roman" w:eastAsia="Times New Roman" w:hAnsi="Times New Roman" w:cs="Times New Roman"/>
          <w:bCs/>
          <w:lang w:val="en-US"/>
        </w:rPr>
        <w:t xml:space="preserve"> </w:t>
      </w:r>
      <w:r w:rsidRPr="000972D1">
        <w:rPr>
          <w:rFonts w:ascii="Times New Roman" w:eastAsia="Times New Roman" w:hAnsi="Times New Roman" w:cs="Times New Roman"/>
          <w:bCs/>
          <w:sz w:val="24"/>
          <w:szCs w:val="24"/>
          <w:lang w:val="en-US"/>
        </w:rPr>
        <w:t>employing the widely used stratified sampling technique based on firm size and industry in each country</w:t>
      </w:r>
      <w:r w:rsidR="002B2FD8" w:rsidRPr="000972D1">
        <w:rPr>
          <w:rFonts w:ascii="Times New Roman" w:eastAsia="Times New Roman" w:hAnsi="Times New Roman" w:cs="Times New Roman"/>
          <w:bCs/>
          <w:sz w:val="24"/>
          <w:szCs w:val="24"/>
          <w:lang w:val="en-US"/>
        </w:rPr>
        <w:t xml:space="preserve"> (Barako </w:t>
      </w:r>
      <w:r w:rsidR="002B2FD8" w:rsidRPr="000972D1">
        <w:rPr>
          <w:rFonts w:ascii="Times New Roman" w:eastAsia="Times New Roman" w:hAnsi="Times New Roman" w:cs="Times New Roman"/>
          <w:bCs/>
          <w:i/>
          <w:iCs/>
          <w:sz w:val="24"/>
          <w:szCs w:val="24"/>
          <w:lang w:val="en-US"/>
        </w:rPr>
        <w:t>et al</w:t>
      </w:r>
      <w:r w:rsidR="002B2FD8" w:rsidRPr="000972D1">
        <w:rPr>
          <w:rFonts w:ascii="Times New Roman" w:eastAsia="Times New Roman" w:hAnsi="Times New Roman" w:cs="Times New Roman"/>
          <w:bCs/>
          <w:sz w:val="24"/>
          <w:szCs w:val="24"/>
          <w:lang w:val="en-US"/>
        </w:rPr>
        <w:t>., 2006)</w:t>
      </w:r>
      <w:r w:rsidRPr="000972D1">
        <w:rPr>
          <w:rFonts w:ascii="Times New Roman" w:eastAsia="Times New Roman" w:hAnsi="Times New Roman" w:cs="Times New Roman"/>
          <w:bCs/>
          <w:sz w:val="24"/>
          <w:szCs w:val="24"/>
        </w:rPr>
        <w:t>.</w:t>
      </w:r>
      <w:r w:rsidR="00ED71F5">
        <w:rPr>
          <w:rFonts w:asciiTheme="majorBidi" w:eastAsia="Times New Roman" w:hAnsiTheme="majorBidi" w:cstheme="majorBidi"/>
          <w:bCs/>
          <w:sz w:val="24"/>
          <w:szCs w:val="24"/>
          <w:vertAlign w:val="superscript"/>
        </w:rPr>
        <w:t>4</w:t>
      </w:r>
      <w:r w:rsidR="002751E4">
        <w:rPr>
          <w:rFonts w:asciiTheme="majorBidi" w:eastAsia="Times New Roman" w:hAnsiTheme="majorBidi" w:cstheme="majorBidi"/>
          <w:bCs/>
          <w:sz w:val="24"/>
          <w:szCs w:val="24"/>
        </w:rPr>
        <w:t xml:space="preserve"> </w:t>
      </w:r>
      <w:r w:rsidR="00070293">
        <w:rPr>
          <w:rFonts w:asciiTheme="majorBidi" w:eastAsia="Times New Roman" w:hAnsiTheme="majorBidi" w:cstheme="majorBidi"/>
          <w:bCs/>
          <w:sz w:val="24"/>
          <w:szCs w:val="24"/>
        </w:rPr>
        <w:t xml:space="preserve">Following past studies </w:t>
      </w:r>
      <w:r w:rsidR="00070293" w:rsidRPr="008E772B">
        <w:rPr>
          <w:rFonts w:asciiTheme="majorBidi" w:eastAsia="Times New Roman" w:hAnsiTheme="majorBidi" w:cstheme="majorBidi"/>
          <w:bCs/>
          <w:sz w:val="24"/>
          <w:szCs w:val="24"/>
        </w:rPr>
        <w:t xml:space="preserve">(e.g., O’Sullivan, 2000; Carcello </w:t>
      </w:r>
      <w:r w:rsidR="00070293" w:rsidRPr="008E772B">
        <w:rPr>
          <w:rFonts w:asciiTheme="majorBidi" w:eastAsia="Times New Roman" w:hAnsiTheme="majorBidi" w:cstheme="majorBidi"/>
          <w:bCs/>
          <w:i/>
          <w:sz w:val="24"/>
          <w:szCs w:val="24"/>
        </w:rPr>
        <w:t>et al</w:t>
      </w:r>
      <w:r w:rsidR="00070293" w:rsidRPr="008E772B">
        <w:rPr>
          <w:rFonts w:asciiTheme="majorBidi" w:eastAsia="Times New Roman" w:hAnsiTheme="majorBidi" w:cstheme="majorBidi"/>
          <w:bCs/>
          <w:sz w:val="24"/>
          <w:szCs w:val="24"/>
        </w:rPr>
        <w:t>., 2002)</w:t>
      </w:r>
      <w:r w:rsidR="00070293">
        <w:rPr>
          <w:rFonts w:asciiTheme="majorBidi" w:eastAsia="Times New Roman" w:hAnsiTheme="majorBidi" w:cstheme="majorBidi"/>
          <w:bCs/>
          <w:sz w:val="24"/>
          <w:szCs w:val="24"/>
        </w:rPr>
        <w:t>, f</w:t>
      </w:r>
      <w:r w:rsidR="007C4420" w:rsidRPr="008E772B">
        <w:rPr>
          <w:rFonts w:asciiTheme="majorBidi" w:eastAsia="Times New Roman" w:hAnsiTheme="majorBidi" w:cstheme="majorBidi"/>
          <w:bCs/>
          <w:sz w:val="24"/>
          <w:szCs w:val="24"/>
        </w:rPr>
        <w:t>inancial and utility firms are excluded from this study because their operations</w:t>
      </w:r>
      <w:r w:rsidR="00070293">
        <w:rPr>
          <w:rFonts w:asciiTheme="majorBidi" w:eastAsia="Times New Roman" w:hAnsiTheme="majorBidi" w:cstheme="majorBidi"/>
          <w:bCs/>
          <w:sz w:val="24"/>
          <w:szCs w:val="24"/>
        </w:rPr>
        <w:t>, regulations</w:t>
      </w:r>
      <w:r w:rsidR="007C4420" w:rsidRPr="008E772B">
        <w:rPr>
          <w:rFonts w:asciiTheme="majorBidi" w:eastAsia="Times New Roman" w:hAnsiTheme="majorBidi" w:cstheme="majorBidi"/>
          <w:bCs/>
          <w:sz w:val="24"/>
          <w:szCs w:val="24"/>
        </w:rPr>
        <w:t xml:space="preserve"> and governance structures are quite different from other types of firms (Lin </w:t>
      </w:r>
      <w:r w:rsidR="00E46FD6" w:rsidRPr="008E772B">
        <w:rPr>
          <w:rFonts w:asciiTheme="majorBidi" w:eastAsia="Times New Roman" w:hAnsiTheme="majorBidi" w:cstheme="majorBidi"/>
          <w:bCs/>
          <w:iCs/>
          <w:sz w:val="24"/>
          <w:szCs w:val="24"/>
        </w:rPr>
        <w:t>&amp;</w:t>
      </w:r>
      <w:r w:rsidR="007C4420" w:rsidRPr="008E772B">
        <w:rPr>
          <w:rFonts w:asciiTheme="majorBidi" w:eastAsia="Times New Roman" w:hAnsiTheme="majorBidi" w:cstheme="majorBidi"/>
          <w:bCs/>
          <w:iCs/>
          <w:sz w:val="24"/>
          <w:szCs w:val="24"/>
        </w:rPr>
        <w:t xml:space="preserve"> </w:t>
      </w:r>
      <w:r w:rsidR="007C4420" w:rsidRPr="008E772B">
        <w:rPr>
          <w:rFonts w:asciiTheme="majorBidi" w:eastAsia="Times New Roman" w:hAnsiTheme="majorBidi" w:cstheme="majorBidi"/>
          <w:bCs/>
          <w:sz w:val="24"/>
          <w:szCs w:val="24"/>
        </w:rPr>
        <w:t>Liu, 2009, 2010</w:t>
      </w:r>
      <w:r w:rsidR="006F7EB6" w:rsidRPr="008E772B">
        <w:rPr>
          <w:rFonts w:asciiTheme="majorBidi" w:eastAsia="Times New Roman" w:hAnsiTheme="majorBidi" w:cstheme="majorBidi"/>
          <w:bCs/>
          <w:sz w:val="24"/>
          <w:szCs w:val="24"/>
        </w:rPr>
        <w:t xml:space="preserve">; Elmagrhi </w:t>
      </w:r>
      <w:r w:rsidR="006F7EB6" w:rsidRPr="008E772B">
        <w:rPr>
          <w:rFonts w:asciiTheme="majorBidi" w:eastAsia="Times New Roman" w:hAnsiTheme="majorBidi" w:cstheme="majorBidi"/>
          <w:bCs/>
          <w:i/>
          <w:sz w:val="24"/>
          <w:szCs w:val="24"/>
        </w:rPr>
        <w:t>et al</w:t>
      </w:r>
      <w:r w:rsidR="006F7EB6" w:rsidRPr="008E772B">
        <w:rPr>
          <w:rFonts w:asciiTheme="majorBidi" w:eastAsia="Times New Roman" w:hAnsiTheme="majorBidi" w:cstheme="majorBidi"/>
          <w:bCs/>
          <w:sz w:val="24"/>
          <w:szCs w:val="24"/>
        </w:rPr>
        <w:t>., 2016</w:t>
      </w:r>
      <w:r w:rsidR="007C4420" w:rsidRPr="008E772B">
        <w:rPr>
          <w:rFonts w:asciiTheme="majorBidi" w:eastAsia="Times New Roman" w:hAnsiTheme="majorBidi" w:cstheme="majorBidi"/>
          <w:bCs/>
          <w:sz w:val="24"/>
          <w:szCs w:val="24"/>
        </w:rPr>
        <w:t xml:space="preserve">). Therefore, the results can be discussed in the context of existing studies. </w:t>
      </w:r>
      <w:r w:rsidR="00063606">
        <w:rPr>
          <w:rFonts w:asciiTheme="majorBidi" w:eastAsia="Times New Roman" w:hAnsiTheme="majorBidi" w:cstheme="majorBidi"/>
          <w:bCs/>
          <w:sz w:val="24"/>
          <w:szCs w:val="24"/>
        </w:rPr>
        <w:t xml:space="preserve"> </w:t>
      </w:r>
      <w:r w:rsidR="00063606">
        <w:rPr>
          <w:rFonts w:asciiTheme="majorBidi" w:eastAsia="Times New Roman" w:hAnsiTheme="majorBidi" w:cstheme="majorBidi"/>
          <w:bCs/>
          <w:sz w:val="24"/>
          <w:szCs w:val="24"/>
        </w:rPr>
        <w:lastRenderedPageBreak/>
        <w:t xml:space="preserve">It is worth noting that the </w:t>
      </w:r>
      <w:r w:rsidR="00DD2A3F">
        <w:rPr>
          <w:rFonts w:asciiTheme="majorBidi" w:eastAsia="Times New Roman" w:hAnsiTheme="majorBidi" w:cstheme="majorBidi"/>
          <w:bCs/>
          <w:sz w:val="24"/>
          <w:szCs w:val="24"/>
        </w:rPr>
        <w:t xml:space="preserve">selected </w:t>
      </w:r>
      <w:r w:rsidR="00063606">
        <w:rPr>
          <w:rFonts w:asciiTheme="majorBidi" w:eastAsia="Times New Roman" w:hAnsiTheme="majorBidi" w:cstheme="majorBidi"/>
          <w:bCs/>
          <w:sz w:val="24"/>
          <w:szCs w:val="24"/>
        </w:rPr>
        <w:t>firms in our sample have provided us with the maximum number of observations for our main variables of interest (</w:t>
      </w:r>
      <w:r w:rsidR="000028F4" w:rsidRPr="000028F4">
        <w:rPr>
          <w:rFonts w:asciiTheme="majorBidi" w:eastAsia="Times New Roman" w:hAnsiTheme="majorBidi" w:cstheme="majorBidi"/>
          <w:bCs/>
          <w:sz w:val="24"/>
          <w:szCs w:val="24"/>
        </w:rPr>
        <w:t>audit firm size</w:t>
      </w:r>
      <w:r w:rsidR="000028F4">
        <w:rPr>
          <w:rFonts w:asciiTheme="majorBidi" w:eastAsia="Times New Roman" w:hAnsiTheme="majorBidi" w:cstheme="majorBidi"/>
          <w:bCs/>
          <w:sz w:val="24"/>
          <w:szCs w:val="24"/>
        </w:rPr>
        <w:t>,</w:t>
      </w:r>
      <w:r w:rsidR="000028F4" w:rsidRPr="000028F4">
        <w:rPr>
          <w:rFonts w:asciiTheme="majorBidi" w:eastAsia="Times New Roman" w:hAnsiTheme="majorBidi" w:cstheme="majorBidi"/>
          <w:bCs/>
          <w:sz w:val="24"/>
          <w:szCs w:val="24"/>
        </w:rPr>
        <w:t xml:space="preserve"> </w:t>
      </w:r>
      <w:r w:rsidR="00063606">
        <w:rPr>
          <w:rFonts w:asciiTheme="majorBidi" w:eastAsia="Times New Roman" w:hAnsiTheme="majorBidi" w:cstheme="majorBidi"/>
          <w:bCs/>
          <w:sz w:val="24"/>
          <w:szCs w:val="24"/>
        </w:rPr>
        <w:t>audit fees</w:t>
      </w:r>
      <w:r w:rsidR="000028F4">
        <w:rPr>
          <w:rFonts w:asciiTheme="majorBidi" w:eastAsia="Times New Roman" w:hAnsiTheme="majorBidi" w:cstheme="majorBidi"/>
          <w:bCs/>
          <w:sz w:val="24"/>
          <w:szCs w:val="24"/>
        </w:rPr>
        <w:t>, and firm</w:t>
      </w:r>
      <w:r w:rsidR="00063606">
        <w:rPr>
          <w:rFonts w:asciiTheme="majorBidi" w:eastAsia="Times New Roman" w:hAnsiTheme="majorBidi" w:cstheme="majorBidi"/>
          <w:bCs/>
          <w:sz w:val="24"/>
          <w:szCs w:val="24"/>
        </w:rPr>
        <w:t>-</w:t>
      </w:r>
      <w:r w:rsidR="000028F4">
        <w:rPr>
          <w:rFonts w:asciiTheme="majorBidi" w:eastAsia="Times New Roman" w:hAnsiTheme="majorBidi" w:cstheme="majorBidi"/>
          <w:bCs/>
          <w:sz w:val="24"/>
          <w:szCs w:val="24"/>
        </w:rPr>
        <w:t xml:space="preserve"> and country-</w:t>
      </w:r>
      <w:r w:rsidR="00063606">
        <w:rPr>
          <w:rFonts w:asciiTheme="majorBidi" w:eastAsia="Times New Roman" w:hAnsiTheme="majorBidi" w:cstheme="majorBidi"/>
          <w:bCs/>
          <w:sz w:val="24"/>
          <w:szCs w:val="24"/>
        </w:rPr>
        <w:t xml:space="preserve">level </w:t>
      </w:r>
      <w:r w:rsidR="00B94810">
        <w:rPr>
          <w:rFonts w:asciiTheme="majorBidi" w:eastAsia="Times New Roman" w:hAnsiTheme="majorBidi" w:cstheme="majorBidi"/>
          <w:bCs/>
          <w:sz w:val="24"/>
          <w:szCs w:val="24"/>
        </w:rPr>
        <w:t xml:space="preserve">governance </w:t>
      </w:r>
      <w:r w:rsidR="000028F4">
        <w:rPr>
          <w:rFonts w:asciiTheme="majorBidi" w:eastAsia="Times New Roman" w:hAnsiTheme="majorBidi" w:cstheme="majorBidi"/>
          <w:bCs/>
          <w:sz w:val="24"/>
          <w:szCs w:val="24"/>
        </w:rPr>
        <w:t>mechanisms</w:t>
      </w:r>
      <w:r w:rsidR="00063606">
        <w:rPr>
          <w:rFonts w:asciiTheme="majorBidi" w:eastAsia="Times New Roman" w:hAnsiTheme="majorBidi" w:cstheme="majorBidi"/>
          <w:bCs/>
          <w:sz w:val="24"/>
          <w:szCs w:val="24"/>
        </w:rPr>
        <w:t>) and to be consistent</w:t>
      </w:r>
      <w:r w:rsidR="00576274">
        <w:rPr>
          <w:rFonts w:asciiTheme="majorBidi" w:eastAsia="Times New Roman" w:hAnsiTheme="majorBidi" w:cstheme="majorBidi"/>
          <w:bCs/>
          <w:sz w:val="24"/>
          <w:szCs w:val="24"/>
        </w:rPr>
        <w:t xml:space="preserve"> among our sampled countries, we</w:t>
      </w:r>
      <w:r w:rsidR="00063606">
        <w:rPr>
          <w:rFonts w:asciiTheme="majorBidi" w:eastAsia="Times New Roman" w:hAnsiTheme="majorBidi" w:cstheme="majorBidi"/>
          <w:bCs/>
          <w:sz w:val="24"/>
          <w:szCs w:val="24"/>
        </w:rPr>
        <w:t xml:space="preserve"> have selected similar number of fi</w:t>
      </w:r>
      <w:r w:rsidR="00BC7574">
        <w:rPr>
          <w:rFonts w:asciiTheme="majorBidi" w:eastAsia="Times New Roman" w:hAnsiTheme="majorBidi" w:cstheme="majorBidi"/>
          <w:bCs/>
          <w:sz w:val="24"/>
          <w:szCs w:val="24"/>
        </w:rPr>
        <w:t>rms</w:t>
      </w:r>
      <w:r w:rsidR="00C16151">
        <w:rPr>
          <w:rFonts w:asciiTheme="majorBidi" w:eastAsia="Times New Roman" w:hAnsiTheme="majorBidi" w:cstheme="majorBidi"/>
          <w:bCs/>
          <w:sz w:val="24"/>
          <w:szCs w:val="24"/>
        </w:rPr>
        <w:t xml:space="preserve"> (20 listed firms)</w:t>
      </w:r>
      <w:r w:rsidR="00BC7574">
        <w:rPr>
          <w:rFonts w:asciiTheme="majorBidi" w:eastAsia="Times New Roman" w:hAnsiTheme="majorBidi" w:cstheme="majorBidi"/>
          <w:bCs/>
          <w:sz w:val="24"/>
          <w:szCs w:val="24"/>
        </w:rPr>
        <w:t xml:space="preserve"> in each </w:t>
      </w:r>
      <w:r w:rsidR="00C16151">
        <w:rPr>
          <w:rFonts w:asciiTheme="majorBidi" w:eastAsia="Times New Roman" w:hAnsiTheme="majorBidi" w:cstheme="majorBidi"/>
          <w:bCs/>
          <w:sz w:val="24"/>
          <w:szCs w:val="24"/>
        </w:rPr>
        <w:t xml:space="preserve">of the five </w:t>
      </w:r>
      <w:r w:rsidR="00BC7574">
        <w:rPr>
          <w:rFonts w:asciiTheme="majorBidi" w:eastAsia="Times New Roman" w:hAnsiTheme="majorBidi" w:cstheme="majorBidi"/>
          <w:bCs/>
          <w:sz w:val="24"/>
          <w:szCs w:val="24"/>
        </w:rPr>
        <w:t>countr</w:t>
      </w:r>
      <w:r w:rsidR="00C16151">
        <w:rPr>
          <w:rFonts w:asciiTheme="majorBidi" w:eastAsia="Times New Roman" w:hAnsiTheme="majorBidi" w:cstheme="majorBidi"/>
          <w:bCs/>
          <w:sz w:val="24"/>
          <w:szCs w:val="24"/>
        </w:rPr>
        <w:t>ies investigated</w:t>
      </w:r>
      <w:r w:rsidR="00BC7574">
        <w:rPr>
          <w:rFonts w:asciiTheme="majorBidi" w:eastAsia="Times New Roman" w:hAnsiTheme="majorBidi" w:cstheme="majorBidi"/>
          <w:bCs/>
          <w:sz w:val="24"/>
          <w:szCs w:val="24"/>
        </w:rPr>
        <w:t>.</w:t>
      </w:r>
    </w:p>
    <w:p w14:paraId="54AEBF0A" w14:textId="45C1DFD4" w:rsidR="003656FC" w:rsidRPr="008E772B" w:rsidRDefault="00964288" w:rsidP="0096296A">
      <w:pPr>
        <w:spacing w:after="0" w:line="360" w:lineRule="auto"/>
        <w:ind w:firstLine="720"/>
        <w:jc w:val="lowKashida"/>
        <w:rPr>
          <w:rFonts w:asciiTheme="majorBidi" w:eastAsia="Times New Roman" w:hAnsiTheme="majorBidi" w:cstheme="majorBidi"/>
          <w:bCs/>
          <w:sz w:val="24"/>
          <w:szCs w:val="24"/>
        </w:rPr>
      </w:pPr>
      <w:r w:rsidRPr="008E772B">
        <w:rPr>
          <w:rFonts w:asciiTheme="majorBidi" w:eastAsia="Times New Roman" w:hAnsiTheme="majorBidi" w:cstheme="majorBidi"/>
          <w:bCs/>
          <w:sz w:val="24"/>
          <w:szCs w:val="24"/>
        </w:rPr>
        <w:t xml:space="preserve">The sampling period starts in 2009 because the 2007/2008 financial crisis increased debate surrounding the effectiveness of </w:t>
      </w:r>
      <w:r w:rsidR="00E61AF2" w:rsidRPr="008E772B">
        <w:rPr>
          <w:rFonts w:asciiTheme="majorBidi" w:eastAsia="Times New Roman" w:hAnsiTheme="majorBidi" w:cstheme="majorBidi"/>
          <w:bCs/>
          <w:sz w:val="24"/>
          <w:szCs w:val="24"/>
        </w:rPr>
        <w:t>governance</w:t>
      </w:r>
      <w:r w:rsidRPr="008E772B">
        <w:rPr>
          <w:rFonts w:asciiTheme="majorBidi" w:eastAsia="Times New Roman" w:hAnsiTheme="majorBidi" w:cstheme="majorBidi"/>
          <w:bCs/>
          <w:sz w:val="24"/>
          <w:szCs w:val="24"/>
        </w:rPr>
        <w:t xml:space="preserve"> and disclosure practices</w:t>
      </w:r>
      <w:r w:rsidR="00604231" w:rsidRPr="008E772B">
        <w:rPr>
          <w:rFonts w:asciiTheme="majorBidi" w:eastAsia="Times New Roman" w:hAnsiTheme="majorBidi" w:cstheme="majorBidi"/>
          <w:bCs/>
          <w:sz w:val="24"/>
          <w:szCs w:val="24"/>
        </w:rPr>
        <w:t xml:space="preserve"> (Elmagrhi </w:t>
      </w:r>
      <w:r w:rsidR="00604231" w:rsidRPr="008E772B">
        <w:rPr>
          <w:rFonts w:asciiTheme="majorBidi" w:eastAsia="Times New Roman" w:hAnsiTheme="majorBidi" w:cstheme="majorBidi"/>
          <w:bCs/>
          <w:i/>
          <w:sz w:val="24"/>
          <w:szCs w:val="24"/>
        </w:rPr>
        <w:t>et al</w:t>
      </w:r>
      <w:r w:rsidR="00604231" w:rsidRPr="008E772B">
        <w:rPr>
          <w:rFonts w:asciiTheme="majorBidi" w:eastAsia="Times New Roman" w:hAnsiTheme="majorBidi" w:cstheme="majorBidi"/>
          <w:bCs/>
          <w:sz w:val="24"/>
          <w:szCs w:val="24"/>
        </w:rPr>
        <w:t>., 2016)</w:t>
      </w:r>
      <w:r w:rsidR="00070293">
        <w:rPr>
          <w:rFonts w:asciiTheme="majorBidi" w:eastAsia="Times New Roman" w:hAnsiTheme="majorBidi" w:cstheme="majorBidi"/>
          <w:bCs/>
          <w:sz w:val="24"/>
          <w:szCs w:val="24"/>
        </w:rPr>
        <w:t xml:space="preserve">. </w:t>
      </w:r>
      <w:r w:rsidRPr="008E772B">
        <w:rPr>
          <w:rFonts w:asciiTheme="majorBidi" w:eastAsia="Times New Roman" w:hAnsiTheme="majorBidi" w:cstheme="majorBidi"/>
          <w:bCs/>
          <w:sz w:val="24"/>
          <w:szCs w:val="24"/>
        </w:rPr>
        <w:t>It ends in 2014 because this was the latest year for which the annual reports of listed corporations were published at the start of data collection</w:t>
      </w:r>
      <w:r w:rsidR="005E6BA1">
        <w:rPr>
          <w:rFonts w:asciiTheme="majorBidi" w:eastAsia="Times New Roman" w:hAnsiTheme="majorBidi" w:cstheme="majorBidi"/>
          <w:bCs/>
          <w:sz w:val="24"/>
          <w:szCs w:val="24"/>
        </w:rPr>
        <w:t xml:space="preserve">. </w:t>
      </w:r>
      <w:r w:rsidR="0096296A" w:rsidRPr="0096296A">
        <w:rPr>
          <w:rFonts w:asciiTheme="majorBidi" w:eastAsia="Times New Roman" w:hAnsiTheme="majorBidi" w:cstheme="majorBidi"/>
          <w:bCs/>
          <w:sz w:val="24"/>
          <w:szCs w:val="24"/>
        </w:rPr>
        <w:t xml:space="preserve">This design </w:t>
      </w:r>
      <w:r w:rsidR="004F7C83" w:rsidRPr="008E772B">
        <w:rPr>
          <w:rFonts w:asciiTheme="majorBidi" w:eastAsia="Times New Roman" w:hAnsiTheme="majorBidi" w:cstheme="majorBidi"/>
          <w:bCs/>
          <w:sz w:val="24"/>
          <w:szCs w:val="24"/>
        </w:rPr>
        <w:t>help</w:t>
      </w:r>
      <w:r w:rsidR="0096296A">
        <w:rPr>
          <w:rFonts w:asciiTheme="majorBidi" w:eastAsia="Times New Roman" w:hAnsiTheme="majorBidi" w:cstheme="majorBidi"/>
          <w:bCs/>
          <w:sz w:val="24"/>
          <w:szCs w:val="24"/>
        </w:rPr>
        <w:t>s</w:t>
      </w:r>
      <w:r w:rsidR="004F7C83" w:rsidRPr="008E772B">
        <w:rPr>
          <w:rFonts w:asciiTheme="majorBidi" w:eastAsia="Times New Roman" w:hAnsiTheme="majorBidi" w:cstheme="majorBidi"/>
          <w:bCs/>
          <w:sz w:val="24"/>
          <w:szCs w:val="24"/>
        </w:rPr>
        <w:t xml:space="preserve"> to obtain a balanced panel data analysis </w:t>
      </w:r>
      <w:r w:rsidR="00D9514D">
        <w:rPr>
          <w:rFonts w:asciiTheme="majorBidi" w:eastAsia="Times New Roman" w:hAnsiTheme="majorBidi" w:cstheme="majorBidi"/>
          <w:bCs/>
          <w:sz w:val="24"/>
          <w:szCs w:val="24"/>
        </w:rPr>
        <w:t>with the advantages of</w:t>
      </w:r>
      <w:r w:rsidR="004F7C83" w:rsidRPr="008E772B">
        <w:rPr>
          <w:rFonts w:asciiTheme="majorBidi" w:eastAsia="Times New Roman" w:hAnsiTheme="majorBidi" w:cstheme="majorBidi"/>
          <w:bCs/>
          <w:sz w:val="24"/>
          <w:szCs w:val="24"/>
        </w:rPr>
        <w:t xml:space="preserve"> increas</w:t>
      </w:r>
      <w:r w:rsidR="00D9514D">
        <w:rPr>
          <w:rFonts w:asciiTheme="majorBidi" w:eastAsia="Times New Roman" w:hAnsiTheme="majorBidi" w:cstheme="majorBidi"/>
          <w:bCs/>
          <w:sz w:val="24"/>
          <w:szCs w:val="24"/>
        </w:rPr>
        <w:t>ing the</w:t>
      </w:r>
      <w:r w:rsidR="004F7C83" w:rsidRPr="008E772B">
        <w:rPr>
          <w:rFonts w:asciiTheme="majorBidi" w:eastAsia="Times New Roman" w:hAnsiTheme="majorBidi" w:cstheme="majorBidi"/>
          <w:bCs/>
          <w:sz w:val="24"/>
          <w:szCs w:val="24"/>
        </w:rPr>
        <w:t xml:space="preserve"> degrees of freedom and </w:t>
      </w:r>
      <w:r w:rsidR="00D9514D">
        <w:rPr>
          <w:rFonts w:asciiTheme="majorBidi" w:eastAsia="Times New Roman" w:hAnsiTheme="majorBidi" w:cstheme="majorBidi"/>
          <w:bCs/>
          <w:sz w:val="24"/>
          <w:szCs w:val="24"/>
        </w:rPr>
        <w:t>reducing the likelihood of</w:t>
      </w:r>
      <w:r w:rsidR="00D9514D" w:rsidRPr="008E772B">
        <w:rPr>
          <w:rFonts w:asciiTheme="majorBidi" w:eastAsia="Times New Roman" w:hAnsiTheme="majorBidi" w:cstheme="majorBidi"/>
          <w:bCs/>
          <w:sz w:val="24"/>
          <w:szCs w:val="24"/>
        </w:rPr>
        <w:t xml:space="preserve"> </w:t>
      </w:r>
      <w:r w:rsidR="004F7C83" w:rsidRPr="008E772B">
        <w:rPr>
          <w:rFonts w:asciiTheme="majorBidi" w:eastAsia="Times New Roman" w:hAnsiTheme="majorBidi" w:cstheme="majorBidi"/>
          <w:bCs/>
          <w:sz w:val="24"/>
          <w:szCs w:val="24"/>
        </w:rPr>
        <w:t xml:space="preserve">multicollinearity among </w:t>
      </w:r>
      <w:r w:rsidR="00D9514D">
        <w:rPr>
          <w:rFonts w:asciiTheme="majorBidi" w:eastAsia="Times New Roman" w:hAnsiTheme="majorBidi" w:cstheme="majorBidi"/>
          <w:bCs/>
          <w:sz w:val="24"/>
          <w:szCs w:val="24"/>
        </w:rPr>
        <w:t xml:space="preserve">the </w:t>
      </w:r>
      <w:r w:rsidR="004F7C83" w:rsidRPr="008E772B">
        <w:rPr>
          <w:rFonts w:asciiTheme="majorBidi" w:eastAsia="Times New Roman" w:hAnsiTheme="majorBidi" w:cstheme="majorBidi"/>
          <w:bCs/>
          <w:sz w:val="24"/>
          <w:szCs w:val="24"/>
        </w:rPr>
        <w:t xml:space="preserve">examined variables (Wooldridge, 2010). This design also provides us with the opportunity to compare the current findings with </w:t>
      </w:r>
      <w:r w:rsidR="00D9514D">
        <w:rPr>
          <w:rFonts w:asciiTheme="majorBidi" w:eastAsia="Times New Roman" w:hAnsiTheme="majorBidi" w:cstheme="majorBidi"/>
          <w:bCs/>
          <w:sz w:val="24"/>
          <w:szCs w:val="24"/>
        </w:rPr>
        <w:t xml:space="preserve">the </w:t>
      </w:r>
      <w:r w:rsidR="004F7C83" w:rsidRPr="008E772B">
        <w:rPr>
          <w:rFonts w:asciiTheme="majorBidi" w:eastAsia="Times New Roman" w:hAnsiTheme="majorBidi" w:cstheme="majorBidi"/>
          <w:bCs/>
          <w:sz w:val="24"/>
          <w:szCs w:val="24"/>
        </w:rPr>
        <w:t>results of previous studies (</w:t>
      </w:r>
      <w:r w:rsidR="004F7C83" w:rsidRPr="008E772B">
        <w:rPr>
          <w:rFonts w:asciiTheme="majorBidi" w:eastAsia="Times New Roman" w:hAnsiTheme="majorBidi" w:cstheme="majorBidi"/>
          <w:bCs/>
          <w:iCs/>
          <w:sz w:val="24"/>
          <w:szCs w:val="24"/>
        </w:rPr>
        <w:t xml:space="preserve">Lin &amp; Liu, 2009, 2010; </w:t>
      </w:r>
      <w:r w:rsidR="004F7C83" w:rsidRPr="008E772B">
        <w:rPr>
          <w:rFonts w:asciiTheme="majorBidi" w:eastAsia="Times New Roman" w:hAnsiTheme="majorBidi" w:cstheme="majorBidi"/>
          <w:bCs/>
          <w:sz w:val="24"/>
          <w:szCs w:val="24"/>
        </w:rPr>
        <w:t xml:space="preserve">Johansen </w:t>
      </w:r>
      <w:r w:rsidR="004F7C83" w:rsidRPr="008E772B">
        <w:rPr>
          <w:rFonts w:asciiTheme="majorBidi" w:eastAsia="Times New Roman" w:hAnsiTheme="majorBidi" w:cstheme="majorBidi"/>
          <w:bCs/>
          <w:iCs/>
          <w:sz w:val="24"/>
          <w:szCs w:val="24"/>
        </w:rPr>
        <w:t>&amp;</w:t>
      </w:r>
      <w:r w:rsidR="004F7C83" w:rsidRPr="008E772B">
        <w:rPr>
          <w:rFonts w:asciiTheme="majorBidi" w:eastAsia="Times New Roman" w:hAnsiTheme="majorBidi" w:cstheme="majorBidi"/>
          <w:bCs/>
          <w:sz w:val="24"/>
          <w:szCs w:val="24"/>
        </w:rPr>
        <w:t xml:space="preserve"> Pettersson, 2013).</w:t>
      </w:r>
      <w:r w:rsidR="0064125A" w:rsidRPr="008E772B">
        <w:rPr>
          <w:rFonts w:asciiTheme="majorBidi" w:eastAsia="Times New Roman" w:hAnsiTheme="majorBidi" w:cstheme="majorBidi"/>
          <w:bCs/>
          <w:sz w:val="24"/>
          <w:szCs w:val="24"/>
        </w:rPr>
        <w:t xml:space="preserve"> </w:t>
      </w:r>
    </w:p>
    <w:p w14:paraId="5F58A1EF" w14:textId="24725191" w:rsidR="007C4420" w:rsidRPr="008E772B" w:rsidRDefault="007C4420" w:rsidP="00BB7F17">
      <w:pPr>
        <w:spacing w:after="0" w:line="360" w:lineRule="auto"/>
        <w:ind w:firstLine="720"/>
        <w:jc w:val="lowKashida"/>
        <w:rPr>
          <w:rFonts w:asciiTheme="majorBidi" w:eastAsia="Times New Roman" w:hAnsiTheme="majorBidi" w:cstheme="majorBidi"/>
          <w:bCs/>
          <w:sz w:val="24"/>
          <w:szCs w:val="24"/>
        </w:rPr>
      </w:pPr>
      <w:r w:rsidRPr="008E772B">
        <w:rPr>
          <w:rFonts w:asciiTheme="majorBidi" w:eastAsia="Times New Roman" w:hAnsiTheme="majorBidi" w:cstheme="majorBidi"/>
          <w:bCs/>
          <w:sz w:val="24"/>
          <w:szCs w:val="24"/>
        </w:rPr>
        <w:t xml:space="preserve">In order to examine the impact of </w:t>
      </w:r>
      <w:r w:rsidR="00BB7F17">
        <w:rPr>
          <w:rFonts w:asciiTheme="majorBidi" w:eastAsia="Times New Roman" w:hAnsiTheme="majorBidi" w:cstheme="majorBidi"/>
          <w:bCs/>
          <w:sz w:val="24"/>
          <w:szCs w:val="24"/>
        </w:rPr>
        <w:t>firm- and country-level</w:t>
      </w:r>
      <w:r w:rsidR="00BB7F17" w:rsidRPr="008E772B">
        <w:rPr>
          <w:rFonts w:asciiTheme="majorBidi" w:eastAsia="Times New Roman" w:hAnsiTheme="majorBidi" w:cstheme="majorBidi"/>
          <w:bCs/>
          <w:sz w:val="24"/>
          <w:szCs w:val="24"/>
        </w:rPr>
        <w:t xml:space="preserve"> </w:t>
      </w:r>
      <w:r w:rsidR="006716AD" w:rsidRPr="008E772B">
        <w:rPr>
          <w:rFonts w:asciiTheme="majorBidi" w:eastAsia="Times New Roman" w:hAnsiTheme="majorBidi" w:cstheme="majorBidi"/>
          <w:bCs/>
          <w:sz w:val="24"/>
          <w:szCs w:val="24"/>
        </w:rPr>
        <w:t>governance</w:t>
      </w:r>
      <w:r w:rsidRPr="008E772B">
        <w:rPr>
          <w:rFonts w:asciiTheme="majorBidi" w:eastAsia="Times New Roman" w:hAnsiTheme="majorBidi" w:cstheme="majorBidi"/>
          <w:bCs/>
          <w:sz w:val="24"/>
          <w:szCs w:val="24"/>
        </w:rPr>
        <w:t xml:space="preserve"> on </w:t>
      </w:r>
      <w:r w:rsidR="0048469C" w:rsidRPr="008E772B">
        <w:rPr>
          <w:rFonts w:asciiTheme="majorBidi" w:eastAsia="Times New Roman" w:hAnsiTheme="majorBidi" w:cstheme="majorBidi"/>
          <w:bCs/>
          <w:sz w:val="24"/>
          <w:szCs w:val="24"/>
        </w:rPr>
        <w:t xml:space="preserve">audit </w:t>
      </w:r>
      <w:r w:rsidR="000E2E58">
        <w:rPr>
          <w:rFonts w:asciiTheme="majorBidi" w:eastAsia="Times New Roman" w:hAnsiTheme="majorBidi" w:cstheme="majorBidi"/>
          <w:bCs/>
          <w:sz w:val="24"/>
          <w:szCs w:val="24"/>
        </w:rPr>
        <w:t>quality</w:t>
      </w:r>
      <w:r w:rsidRPr="008E772B">
        <w:rPr>
          <w:rFonts w:asciiTheme="majorBidi" w:eastAsia="Times New Roman" w:hAnsiTheme="majorBidi" w:cstheme="majorBidi"/>
          <w:bCs/>
          <w:sz w:val="24"/>
          <w:szCs w:val="24"/>
        </w:rPr>
        <w:t xml:space="preserve">, </w:t>
      </w:r>
      <w:r w:rsidR="006716AD" w:rsidRPr="008E772B">
        <w:rPr>
          <w:rFonts w:asciiTheme="majorBidi" w:eastAsia="Times New Roman" w:hAnsiTheme="majorBidi" w:cstheme="majorBidi"/>
          <w:bCs/>
          <w:sz w:val="24"/>
          <w:szCs w:val="24"/>
        </w:rPr>
        <w:t>firm-level governance</w:t>
      </w:r>
      <w:r w:rsidRPr="008E772B">
        <w:rPr>
          <w:rFonts w:asciiTheme="majorBidi" w:eastAsia="Times New Roman" w:hAnsiTheme="majorBidi" w:cstheme="majorBidi"/>
          <w:bCs/>
          <w:sz w:val="24"/>
          <w:szCs w:val="24"/>
        </w:rPr>
        <w:t xml:space="preserve"> variables (i.e., board characteristics and </w:t>
      </w:r>
      <w:r w:rsidR="00C81356" w:rsidRPr="008E772B">
        <w:rPr>
          <w:rFonts w:asciiTheme="majorBidi" w:eastAsia="Times New Roman" w:hAnsiTheme="majorBidi" w:cstheme="majorBidi"/>
          <w:bCs/>
          <w:iCs/>
          <w:sz w:val="24"/>
          <w:szCs w:val="24"/>
        </w:rPr>
        <w:t>shareholding</w:t>
      </w:r>
      <w:r w:rsidRPr="008E772B">
        <w:rPr>
          <w:rFonts w:asciiTheme="majorBidi" w:eastAsia="Times New Roman" w:hAnsiTheme="majorBidi" w:cstheme="majorBidi"/>
          <w:bCs/>
          <w:iCs/>
          <w:sz w:val="24"/>
          <w:szCs w:val="24"/>
        </w:rPr>
        <w:t xml:space="preserve"> structure</w:t>
      </w:r>
      <w:r w:rsidRPr="008E772B">
        <w:rPr>
          <w:rFonts w:asciiTheme="majorBidi" w:eastAsia="Times New Roman" w:hAnsiTheme="majorBidi" w:cstheme="majorBidi"/>
          <w:bCs/>
          <w:sz w:val="24"/>
          <w:szCs w:val="24"/>
        </w:rPr>
        <w:t xml:space="preserve">) were </w:t>
      </w:r>
      <w:r w:rsidR="00576274" w:rsidRPr="008E772B">
        <w:rPr>
          <w:rFonts w:asciiTheme="majorBidi" w:eastAsia="Times New Roman" w:hAnsiTheme="majorBidi" w:cstheme="majorBidi"/>
          <w:bCs/>
          <w:sz w:val="24"/>
          <w:szCs w:val="24"/>
        </w:rPr>
        <w:t xml:space="preserve">hand </w:t>
      </w:r>
      <w:r w:rsidR="00576274">
        <w:rPr>
          <w:rFonts w:asciiTheme="majorBidi" w:eastAsia="Times New Roman" w:hAnsiTheme="majorBidi" w:cstheme="majorBidi"/>
          <w:bCs/>
          <w:sz w:val="24"/>
          <w:szCs w:val="24"/>
        </w:rPr>
        <w:t xml:space="preserve">collected </w:t>
      </w:r>
      <w:r w:rsidRPr="008E772B">
        <w:rPr>
          <w:rFonts w:asciiTheme="majorBidi" w:eastAsia="Times New Roman" w:hAnsiTheme="majorBidi" w:cstheme="majorBidi"/>
          <w:bCs/>
          <w:sz w:val="24"/>
          <w:szCs w:val="24"/>
        </w:rPr>
        <w:t xml:space="preserve">from the sampled </w:t>
      </w:r>
      <w:r w:rsidRPr="008E772B">
        <w:rPr>
          <w:rFonts w:asciiTheme="majorBidi" w:eastAsia="Times New Roman" w:hAnsiTheme="majorBidi" w:cstheme="majorBidi"/>
          <w:bCs/>
          <w:sz w:val="24"/>
          <w:szCs w:val="24"/>
          <w:lang w:val="en-US"/>
        </w:rPr>
        <w:t xml:space="preserve">firms’ annual reports, their websites </w:t>
      </w:r>
      <w:r w:rsidR="00E66EAC" w:rsidRPr="00E66EAC">
        <w:rPr>
          <w:rFonts w:asciiTheme="majorBidi" w:eastAsia="Times New Roman" w:hAnsiTheme="majorBidi" w:cstheme="majorBidi"/>
          <w:bCs/>
          <w:sz w:val="24"/>
          <w:szCs w:val="24"/>
          <w:lang w:val="en-US"/>
        </w:rPr>
        <w:t xml:space="preserve">and </w:t>
      </w:r>
      <w:r w:rsidRPr="008E772B">
        <w:rPr>
          <w:rFonts w:asciiTheme="majorBidi" w:eastAsia="Times New Roman" w:hAnsiTheme="majorBidi" w:cstheme="majorBidi"/>
          <w:bCs/>
          <w:sz w:val="24"/>
          <w:szCs w:val="24"/>
          <w:lang w:val="en-US"/>
        </w:rPr>
        <w:t>capital markets</w:t>
      </w:r>
      <w:r w:rsidR="00BF4E0B">
        <w:rPr>
          <w:rFonts w:asciiTheme="majorBidi" w:eastAsia="Times New Roman" w:hAnsiTheme="majorBidi" w:cstheme="majorBidi"/>
          <w:bCs/>
          <w:sz w:val="24"/>
          <w:szCs w:val="24"/>
          <w:lang w:val="en-US"/>
        </w:rPr>
        <w:t>’</w:t>
      </w:r>
      <w:r w:rsidRPr="008E772B">
        <w:rPr>
          <w:rFonts w:asciiTheme="majorBidi" w:eastAsia="Times New Roman" w:hAnsiTheme="majorBidi" w:cstheme="majorBidi"/>
          <w:bCs/>
          <w:sz w:val="24"/>
          <w:szCs w:val="24"/>
          <w:lang w:val="en-US"/>
        </w:rPr>
        <w:t xml:space="preserve"> websites. Country-level </w:t>
      </w:r>
      <w:r w:rsidR="006716AD" w:rsidRPr="008E772B">
        <w:rPr>
          <w:rFonts w:asciiTheme="majorBidi" w:eastAsia="Times New Roman" w:hAnsiTheme="majorBidi" w:cstheme="majorBidi"/>
          <w:bCs/>
          <w:sz w:val="24"/>
          <w:szCs w:val="24"/>
          <w:lang w:val="en-US"/>
        </w:rPr>
        <w:t xml:space="preserve">governance </w:t>
      </w:r>
      <w:r w:rsidRPr="008E772B">
        <w:rPr>
          <w:rFonts w:asciiTheme="majorBidi" w:eastAsia="Times New Roman" w:hAnsiTheme="majorBidi" w:cstheme="majorBidi"/>
          <w:bCs/>
          <w:sz w:val="24"/>
          <w:szCs w:val="24"/>
          <w:lang w:val="en-US"/>
        </w:rPr>
        <w:t>data, including</w:t>
      </w:r>
      <w:r w:rsidR="005C511E">
        <w:rPr>
          <w:rFonts w:asciiTheme="majorBidi" w:eastAsia="Times New Roman" w:hAnsiTheme="majorBidi" w:cstheme="majorBidi"/>
          <w:bCs/>
          <w:sz w:val="24"/>
          <w:szCs w:val="24"/>
          <w:lang w:val="en-US"/>
        </w:rPr>
        <w:t>:</w:t>
      </w:r>
      <w:r w:rsidRPr="008E772B">
        <w:rPr>
          <w:rFonts w:asciiTheme="majorBidi" w:eastAsia="Times New Roman" w:hAnsiTheme="majorBidi" w:cstheme="majorBidi"/>
          <w:bCs/>
          <w:sz w:val="24"/>
          <w:szCs w:val="24"/>
          <w:lang w:val="en-US"/>
        </w:rPr>
        <w:t xml:space="preserve"> </w:t>
      </w:r>
      <w:r w:rsidR="005C511E">
        <w:rPr>
          <w:rFonts w:asciiTheme="majorBidi" w:eastAsia="Times New Roman" w:hAnsiTheme="majorBidi" w:cstheme="majorBidi"/>
          <w:bCs/>
          <w:sz w:val="24"/>
          <w:szCs w:val="24"/>
          <w:lang w:val="en-US"/>
        </w:rPr>
        <w:t xml:space="preserve">(i) </w:t>
      </w:r>
      <w:r w:rsidR="00E33B54" w:rsidRPr="008E772B">
        <w:rPr>
          <w:rFonts w:asciiTheme="majorBidi" w:eastAsia="Times New Roman" w:hAnsiTheme="majorBidi" w:cstheme="majorBidi"/>
          <w:bCs/>
          <w:sz w:val="24"/>
          <w:szCs w:val="24"/>
        </w:rPr>
        <w:t>voice and accountability</w:t>
      </w:r>
      <w:r w:rsidR="005C511E">
        <w:rPr>
          <w:rFonts w:asciiTheme="majorBidi" w:eastAsia="Times New Roman" w:hAnsiTheme="majorBidi" w:cstheme="majorBidi"/>
          <w:bCs/>
          <w:sz w:val="24"/>
          <w:szCs w:val="24"/>
        </w:rPr>
        <w:t>;</w:t>
      </w:r>
      <w:r w:rsidR="00E33B54" w:rsidRPr="008E772B">
        <w:rPr>
          <w:rFonts w:asciiTheme="majorBidi" w:eastAsia="Times New Roman" w:hAnsiTheme="majorBidi" w:cstheme="majorBidi"/>
          <w:bCs/>
          <w:sz w:val="24"/>
          <w:szCs w:val="24"/>
        </w:rPr>
        <w:t xml:space="preserve"> </w:t>
      </w:r>
      <w:r w:rsidR="005C511E">
        <w:rPr>
          <w:rFonts w:asciiTheme="majorBidi" w:eastAsia="Times New Roman" w:hAnsiTheme="majorBidi" w:cstheme="majorBidi"/>
          <w:bCs/>
          <w:sz w:val="24"/>
          <w:szCs w:val="24"/>
        </w:rPr>
        <w:t xml:space="preserve">(ii) </w:t>
      </w:r>
      <w:r w:rsidR="00E33B54" w:rsidRPr="008E772B">
        <w:rPr>
          <w:rFonts w:asciiTheme="majorBidi" w:eastAsia="Times New Roman" w:hAnsiTheme="majorBidi" w:cstheme="majorBidi"/>
          <w:bCs/>
          <w:sz w:val="24"/>
          <w:szCs w:val="24"/>
        </w:rPr>
        <w:t>political stability and absence of violence/terrorism</w:t>
      </w:r>
      <w:r w:rsidR="005C511E">
        <w:rPr>
          <w:rFonts w:asciiTheme="majorBidi" w:eastAsia="Times New Roman" w:hAnsiTheme="majorBidi" w:cstheme="majorBidi"/>
          <w:bCs/>
          <w:sz w:val="24"/>
          <w:szCs w:val="24"/>
        </w:rPr>
        <w:t>;</w:t>
      </w:r>
      <w:r w:rsidR="00E33B54" w:rsidRPr="008E772B">
        <w:rPr>
          <w:rFonts w:asciiTheme="majorBidi" w:eastAsia="Times New Roman" w:hAnsiTheme="majorBidi" w:cstheme="majorBidi"/>
          <w:bCs/>
          <w:sz w:val="24"/>
          <w:szCs w:val="24"/>
        </w:rPr>
        <w:t xml:space="preserve"> </w:t>
      </w:r>
      <w:r w:rsidR="005C511E">
        <w:rPr>
          <w:rFonts w:asciiTheme="majorBidi" w:eastAsia="Times New Roman" w:hAnsiTheme="majorBidi" w:cstheme="majorBidi"/>
          <w:bCs/>
          <w:sz w:val="24"/>
          <w:szCs w:val="24"/>
        </w:rPr>
        <w:t xml:space="preserve">(iii) </w:t>
      </w:r>
      <w:r w:rsidR="00E33B54" w:rsidRPr="008E772B">
        <w:rPr>
          <w:rFonts w:asciiTheme="majorBidi" w:eastAsia="Times New Roman" w:hAnsiTheme="majorBidi" w:cstheme="majorBidi"/>
          <w:bCs/>
          <w:sz w:val="24"/>
          <w:szCs w:val="24"/>
        </w:rPr>
        <w:t>government effectiveness</w:t>
      </w:r>
      <w:r w:rsidR="005C511E">
        <w:rPr>
          <w:rFonts w:asciiTheme="majorBidi" w:eastAsia="Times New Roman" w:hAnsiTheme="majorBidi" w:cstheme="majorBidi"/>
          <w:bCs/>
          <w:sz w:val="24"/>
          <w:szCs w:val="24"/>
        </w:rPr>
        <w:t>;</w:t>
      </w:r>
      <w:r w:rsidR="00E33B54" w:rsidRPr="008E772B">
        <w:rPr>
          <w:rFonts w:asciiTheme="majorBidi" w:eastAsia="Times New Roman" w:hAnsiTheme="majorBidi" w:cstheme="majorBidi"/>
          <w:bCs/>
          <w:sz w:val="24"/>
          <w:szCs w:val="24"/>
        </w:rPr>
        <w:t xml:space="preserve"> </w:t>
      </w:r>
      <w:r w:rsidR="005C511E">
        <w:rPr>
          <w:rFonts w:asciiTheme="majorBidi" w:eastAsia="Times New Roman" w:hAnsiTheme="majorBidi" w:cstheme="majorBidi"/>
          <w:bCs/>
          <w:sz w:val="24"/>
          <w:szCs w:val="24"/>
        </w:rPr>
        <w:t xml:space="preserve">(iv) </w:t>
      </w:r>
      <w:r w:rsidR="00E33B54" w:rsidRPr="008E772B">
        <w:rPr>
          <w:rFonts w:asciiTheme="majorBidi" w:eastAsia="Times New Roman" w:hAnsiTheme="majorBidi" w:cstheme="majorBidi"/>
          <w:bCs/>
          <w:sz w:val="24"/>
          <w:szCs w:val="24"/>
        </w:rPr>
        <w:t>regulatory quality</w:t>
      </w:r>
      <w:r w:rsidR="005C511E">
        <w:rPr>
          <w:rFonts w:asciiTheme="majorBidi" w:eastAsia="Times New Roman" w:hAnsiTheme="majorBidi" w:cstheme="majorBidi"/>
          <w:bCs/>
          <w:sz w:val="24"/>
          <w:szCs w:val="24"/>
        </w:rPr>
        <w:t>;</w:t>
      </w:r>
      <w:r w:rsidR="00E33B54" w:rsidRPr="008E772B">
        <w:rPr>
          <w:rFonts w:asciiTheme="majorBidi" w:eastAsia="Times New Roman" w:hAnsiTheme="majorBidi" w:cstheme="majorBidi"/>
          <w:bCs/>
          <w:sz w:val="24"/>
          <w:szCs w:val="24"/>
        </w:rPr>
        <w:t xml:space="preserve"> </w:t>
      </w:r>
      <w:r w:rsidR="005C511E">
        <w:rPr>
          <w:rFonts w:asciiTheme="majorBidi" w:eastAsia="Times New Roman" w:hAnsiTheme="majorBidi" w:cstheme="majorBidi"/>
          <w:bCs/>
          <w:sz w:val="24"/>
          <w:szCs w:val="24"/>
        </w:rPr>
        <w:t xml:space="preserve">(v) </w:t>
      </w:r>
      <w:r w:rsidR="00E33B54" w:rsidRPr="008E772B">
        <w:rPr>
          <w:rFonts w:asciiTheme="majorBidi" w:eastAsia="Times New Roman" w:hAnsiTheme="majorBidi" w:cstheme="majorBidi"/>
          <w:bCs/>
          <w:sz w:val="24"/>
          <w:szCs w:val="24"/>
        </w:rPr>
        <w:t>rule of law</w:t>
      </w:r>
      <w:r w:rsidR="005C511E">
        <w:rPr>
          <w:rFonts w:asciiTheme="majorBidi" w:eastAsia="Times New Roman" w:hAnsiTheme="majorBidi" w:cstheme="majorBidi"/>
          <w:bCs/>
          <w:sz w:val="24"/>
          <w:szCs w:val="24"/>
        </w:rPr>
        <w:t>;</w:t>
      </w:r>
      <w:r w:rsidR="00E33B54" w:rsidRPr="008E772B">
        <w:rPr>
          <w:rFonts w:asciiTheme="majorBidi" w:eastAsia="Times New Roman" w:hAnsiTheme="majorBidi" w:cstheme="majorBidi"/>
          <w:bCs/>
          <w:sz w:val="24"/>
          <w:szCs w:val="24"/>
        </w:rPr>
        <w:t xml:space="preserve"> and </w:t>
      </w:r>
      <w:r w:rsidR="005C511E">
        <w:rPr>
          <w:rFonts w:asciiTheme="majorBidi" w:eastAsia="Times New Roman" w:hAnsiTheme="majorBidi" w:cstheme="majorBidi"/>
          <w:bCs/>
          <w:sz w:val="24"/>
          <w:szCs w:val="24"/>
        </w:rPr>
        <w:t xml:space="preserve">(vi) </w:t>
      </w:r>
      <w:r w:rsidR="00E33B54" w:rsidRPr="008E772B">
        <w:rPr>
          <w:rFonts w:asciiTheme="majorBidi" w:eastAsia="Times New Roman" w:hAnsiTheme="majorBidi" w:cstheme="majorBidi"/>
          <w:bCs/>
          <w:sz w:val="24"/>
          <w:szCs w:val="24"/>
        </w:rPr>
        <w:t>control of corruption</w:t>
      </w:r>
      <w:r w:rsidR="00E33B54" w:rsidRPr="008E772B" w:rsidDel="00E33B54">
        <w:rPr>
          <w:rFonts w:asciiTheme="majorBidi" w:eastAsia="Times New Roman" w:hAnsiTheme="majorBidi" w:cstheme="majorBidi"/>
          <w:bCs/>
          <w:sz w:val="24"/>
          <w:szCs w:val="24"/>
        </w:rPr>
        <w:t xml:space="preserve"> </w:t>
      </w:r>
      <w:r w:rsidR="0064125A" w:rsidRPr="008E772B">
        <w:rPr>
          <w:rFonts w:asciiTheme="majorBidi" w:eastAsia="Times New Roman" w:hAnsiTheme="majorBidi" w:cstheme="majorBidi"/>
          <w:bCs/>
          <w:sz w:val="24"/>
          <w:szCs w:val="24"/>
          <w:lang w:val="en-US"/>
        </w:rPr>
        <w:t xml:space="preserve">indices </w:t>
      </w:r>
      <w:r w:rsidRPr="008E772B">
        <w:rPr>
          <w:rFonts w:asciiTheme="majorBidi" w:eastAsia="Times New Roman" w:hAnsiTheme="majorBidi" w:cstheme="majorBidi"/>
          <w:bCs/>
          <w:sz w:val="24"/>
          <w:szCs w:val="24"/>
          <w:lang w:val="en-US"/>
        </w:rPr>
        <w:t>were collected from the website of the World Bank</w:t>
      </w:r>
      <w:r w:rsidR="0064125A" w:rsidRPr="008E772B">
        <w:rPr>
          <w:rFonts w:asciiTheme="majorBidi" w:eastAsia="Times New Roman" w:hAnsiTheme="majorBidi" w:cstheme="majorBidi"/>
          <w:bCs/>
          <w:sz w:val="24"/>
          <w:szCs w:val="24"/>
          <w:lang w:val="en-US"/>
        </w:rPr>
        <w:t>.</w:t>
      </w:r>
      <w:r w:rsidR="00342FC3" w:rsidRPr="008E772B">
        <w:rPr>
          <w:rFonts w:asciiTheme="majorBidi" w:eastAsia="Times New Roman" w:hAnsiTheme="majorBidi" w:cstheme="majorBidi"/>
          <w:bCs/>
          <w:sz w:val="24"/>
          <w:szCs w:val="24"/>
          <w:lang w:val="en-US"/>
        </w:rPr>
        <w:t xml:space="preserve"> </w:t>
      </w:r>
      <w:r w:rsidR="003F5373" w:rsidRPr="008E772B">
        <w:rPr>
          <w:rFonts w:asciiTheme="majorBidi" w:eastAsia="Times New Roman" w:hAnsiTheme="majorBidi" w:cstheme="majorBidi"/>
          <w:bCs/>
          <w:sz w:val="24"/>
          <w:szCs w:val="24"/>
          <w:lang w:val="en-US"/>
        </w:rPr>
        <w:t xml:space="preserve">Financial and accounting variables were collected from the </w:t>
      </w:r>
      <w:r w:rsidR="003F5373" w:rsidRPr="008E772B">
        <w:rPr>
          <w:rFonts w:asciiTheme="majorBidi" w:eastAsia="Times New Roman" w:hAnsiTheme="majorBidi" w:cstheme="majorBidi"/>
          <w:bCs/>
          <w:i/>
          <w:sz w:val="24"/>
          <w:szCs w:val="24"/>
          <w:lang w:val="en-US"/>
        </w:rPr>
        <w:t xml:space="preserve">Datastream </w:t>
      </w:r>
      <w:r w:rsidR="003F5373" w:rsidRPr="008E772B">
        <w:rPr>
          <w:rFonts w:asciiTheme="majorBidi" w:eastAsia="Times New Roman" w:hAnsiTheme="majorBidi" w:cstheme="majorBidi"/>
          <w:bCs/>
          <w:sz w:val="24"/>
          <w:szCs w:val="24"/>
          <w:lang w:val="en-US"/>
        </w:rPr>
        <w:t>database.</w:t>
      </w:r>
      <w:r w:rsidR="003F5373" w:rsidRPr="008E772B">
        <w:rPr>
          <w:rFonts w:asciiTheme="majorBidi" w:eastAsia="Times New Roman" w:hAnsiTheme="majorBidi" w:cstheme="majorBidi"/>
          <w:bCs/>
          <w:sz w:val="24"/>
          <w:szCs w:val="24"/>
        </w:rPr>
        <w:t xml:space="preserve"> </w:t>
      </w:r>
      <w:r w:rsidR="005C511E">
        <w:rPr>
          <w:rFonts w:asciiTheme="majorBidi" w:eastAsia="Times New Roman" w:hAnsiTheme="majorBidi" w:cstheme="majorBidi"/>
          <w:bCs/>
          <w:sz w:val="24"/>
          <w:szCs w:val="24"/>
        </w:rPr>
        <w:t>Not all firms provided data relating to audit fees, and therefore, f</w:t>
      </w:r>
      <w:r w:rsidR="001D13BE">
        <w:rPr>
          <w:rFonts w:asciiTheme="majorBidi" w:eastAsia="Times New Roman" w:hAnsiTheme="majorBidi" w:cstheme="majorBidi"/>
          <w:bCs/>
          <w:sz w:val="24"/>
          <w:szCs w:val="24"/>
        </w:rPr>
        <w:t xml:space="preserve">irms </w:t>
      </w:r>
      <w:r w:rsidR="005C511E">
        <w:rPr>
          <w:rFonts w:asciiTheme="majorBidi" w:eastAsia="Times New Roman" w:hAnsiTheme="majorBidi" w:cstheme="majorBidi"/>
          <w:bCs/>
          <w:sz w:val="24"/>
          <w:szCs w:val="24"/>
        </w:rPr>
        <w:t xml:space="preserve">that </w:t>
      </w:r>
      <w:r w:rsidR="001D13BE">
        <w:rPr>
          <w:rFonts w:asciiTheme="majorBidi" w:eastAsia="Times New Roman" w:hAnsiTheme="majorBidi" w:cstheme="majorBidi"/>
          <w:bCs/>
          <w:sz w:val="24"/>
          <w:szCs w:val="24"/>
        </w:rPr>
        <w:t xml:space="preserve">provided </w:t>
      </w:r>
      <w:r w:rsidR="00FF55C1">
        <w:rPr>
          <w:rFonts w:asciiTheme="majorBidi" w:eastAsia="Times New Roman" w:hAnsiTheme="majorBidi" w:cstheme="majorBidi"/>
          <w:bCs/>
          <w:sz w:val="24"/>
          <w:szCs w:val="24"/>
        </w:rPr>
        <w:t xml:space="preserve">audit fees </w:t>
      </w:r>
      <w:r w:rsidR="001D13BE">
        <w:rPr>
          <w:rFonts w:asciiTheme="majorBidi" w:eastAsia="Times New Roman" w:hAnsiTheme="majorBidi" w:cstheme="majorBidi"/>
          <w:bCs/>
          <w:sz w:val="24"/>
          <w:szCs w:val="24"/>
        </w:rPr>
        <w:t xml:space="preserve">information across the </w:t>
      </w:r>
      <w:r w:rsidR="00DD2D9D">
        <w:rPr>
          <w:rFonts w:asciiTheme="majorBidi" w:eastAsia="Times New Roman" w:hAnsiTheme="majorBidi" w:cstheme="majorBidi"/>
          <w:bCs/>
          <w:sz w:val="24"/>
          <w:szCs w:val="24"/>
        </w:rPr>
        <w:t xml:space="preserve">sampled </w:t>
      </w:r>
      <w:r w:rsidR="001D13BE">
        <w:rPr>
          <w:rFonts w:asciiTheme="majorBidi" w:eastAsia="Times New Roman" w:hAnsiTheme="majorBidi" w:cstheme="majorBidi"/>
          <w:bCs/>
          <w:sz w:val="24"/>
          <w:szCs w:val="24"/>
        </w:rPr>
        <w:t>countries were selected</w:t>
      </w:r>
      <w:r w:rsidR="005C511E">
        <w:rPr>
          <w:rFonts w:asciiTheme="majorBidi" w:eastAsia="Times New Roman" w:hAnsiTheme="majorBidi" w:cstheme="majorBidi"/>
          <w:bCs/>
          <w:sz w:val="24"/>
          <w:szCs w:val="24"/>
        </w:rPr>
        <w:t xml:space="preserve"> to form an</w:t>
      </w:r>
      <w:r w:rsidR="001D13BE">
        <w:rPr>
          <w:rFonts w:asciiTheme="majorBidi" w:eastAsia="Times New Roman" w:hAnsiTheme="majorBidi" w:cstheme="majorBidi"/>
          <w:bCs/>
          <w:sz w:val="24"/>
          <w:szCs w:val="24"/>
        </w:rPr>
        <w:t xml:space="preserve"> audit fee sub-sample</w:t>
      </w:r>
      <w:r w:rsidR="005C511E">
        <w:rPr>
          <w:rFonts w:asciiTheme="majorBidi" w:eastAsia="Times New Roman" w:hAnsiTheme="majorBidi" w:cstheme="majorBidi"/>
          <w:bCs/>
          <w:sz w:val="24"/>
          <w:szCs w:val="24"/>
        </w:rPr>
        <w:t>. A total of</w:t>
      </w:r>
      <w:r w:rsidR="001D13BE">
        <w:rPr>
          <w:rFonts w:asciiTheme="majorBidi" w:eastAsia="Times New Roman" w:hAnsiTheme="majorBidi" w:cstheme="majorBidi"/>
          <w:bCs/>
          <w:sz w:val="24"/>
          <w:szCs w:val="24"/>
        </w:rPr>
        <w:t xml:space="preserve"> 470 firm-</w:t>
      </w:r>
      <w:r w:rsidRPr="008E772B">
        <w:rPr>
          <w:rFonts w:asciiTheme="majorBidi" w:eastAsia="Times New Roman" w:hAnsiTheme="majorBidi" w:cstheme="majorBidi"/>
          <w:bCs/>
          <w:sz w:val="24"/>
          <w:szCs w:val="24"/>
        </w:rPr>
        <w:t>year observations</w:t>
      </w:r>
      <w:r w:rsidR="005C511E">
        <w:rPr>
          <w:rFonts w:asciiTheme="majorBidi" w:eastAsia="Times New Roman" w:hAnsiTheme="majorBidi" w:cstheme="majorBidi"/>
          <w:bCs/>
          <w:sz w:val="24"/>
          <w:szCs w:val="24"/>
        </w:rPr>
        <w:t xml:space="preserve"> were obtained and finally used for the audit fee sub-sample analysis</w:t>
      </w:r>
      <w:r w:rsidR="001D13BE">
        <w:rPr>
          <w:rFonts w:asciiTheme="majorBidi" w:eastAsia="Times New Roman" w:hAnsiTheme="majorBidi" w:cstheme="majorBidi"/>
          <w:bCs/>
          <w:sz w:val="24"/>
          <w:szCs w:val="24"/>
        </w:rPr>
        <w:t>.</w:t>
      </w:r>
      <w:r w:rsidRPr="008E772B">
        <w:rPr>
          <w:rFonts w:asciiTheme="majorBidi" w:eastAsia="Times New Roman" w:hAnsiTheme="majorBidi" w:cstheme="majorBidi"/>
          <w:bCs/>
          <w:sz w:val="24"/>
          <w:szCs w:val="24"/>
        </w:rPr>
        <w:t xml:space="preserve"> </w:t>
      </w:r>
    </w:p>
    <w:p w14:paraId="664929D6" w14:textId="77777777" w:rsidR="007C4420" w:rsidRPr="008E772B" w:rsidRDefault="007C4420" w:rsidP="001E3C94">
      <w:pPr>
        <w:spacing w:after="0" w:line="360" w:lineRule="auto"/>
        <w:jc w:val="lowKashida"/>
        <w:rPr>
          <w:rFonts w:asciiTheme="majorBidi" w:eastAsia="Times New Roman" w:hAnsiTheme="majorBidi" w:cstheme="majorBidi"/>
          <w:b/>
          <w:bCs/>
          <w:sz w:val="24"/>
          <w:szCs w:val="24"/>
        </w:rPr>
      </w:pPr>
    </w:p>
    <w:p w14:paraId="1FD6D2AE" w14:textId="65CAD16F" w:rsidR="007C4420" w:rsidRPr="008E772B" w:rsidRDefault="00157823" w:rsidP="001E3C94">
      <w:pPr>
        <w:spacing w:after="0" w:line="360" w:lineRule="auto"/>
        <w:jc w:val="lowKashida"/>
        <w:rPr>
          <w:rFonts w:asciiTheme="majorBidi" w:eastAsia="Times New Roman" w:hAnsiTheme="majorBidi" w:cstheme="majorBidi"/>
          <w:b/>
          <w:bCs/>
          <w:i/>
          <w:sz w:val="24"/>
          <w:szCs w:val="24"/>
        </w:rPr>
      </w:pPr>
      <w:r w:rsidRPr="00157823">
        <w:rPr>
          <w:rFonts w:asciiTheme="majorBidi" w:eastAsia="Times New Roman" w:hAnsiTheme="majorBidi" w:cstheme="majorBidi"/>
          <w:b/>
          <w:bCs/>
          <w:i/>
          <w:iCs/>
          <w:sz w:val="24"/>
          <w:szCs w:val="24"/>
        </w:rPr>
        <w:t>4.</w:t>
      </w:r>
      <w:r>
        <w:rPr>
          <w:rFonts w:asciiTheme="majorBidi" w:eastAsia="Times New Roman" w:hAnsiTheme="majorBidi" w:cstheme="majorBidi"/>
          <w:b/>
          <w:bCs/>
          <w:i/>
          <w:iCs/>
          <w:sz w:val="24"/>
          <w:szCs w:val="24"/>
        </w:rPr>
        <w:t>2</w:t>
      </w:r>
      <w:r w:rsidRPr="00157823">
        <w:rPr>
          <w:rFonts w:asciiTheme="majorBidi" w:eastAsia="Times New Roman" w:hAnsiTheme="majorBidi" w:cstheme="majorBidi"/>
          <w:b/>
          <w:bCs/>
          <w:i/>
          <w:iCs/>
          <w:sz w:val="24"/>
          <w:szCs w:val="24"/>
        </w:rPr>
        <w:t xml:space="preserve">. </w:t>
      </w:r>
      <w:r w:rsidR="007C4420" w:rsidRPr="008E772B">
        <w:rPr>
          <w:rFonts w:asciiTheme="majorBidi" w:eastAsia="Times New Roman" w:hAnsiTheme="majorBidi" w:cstheme="majorBidi"/>
          <w:b/>
          <w:bCs/>
          <w:i/>
          <w:sz w:val="24"/>
          <w:szCs w:val="24"/>
        </w:rPr>
        <w:t xml:space="preserve">Measurement of </w:t>
      </w:r>
      <w:r w:rsidR="001E4B25" w:rsidRPr="008E772B">
        <w:rPr>
          <w:rFonts w:asciiTheme="majorBidi" w:eastAsia="Times New Roman" w:hAnsiTheme="majorBidi" w:cstheme="majorBidi"/>
          <w:b/>
          <w:bCs/>
          <w:i/>
          <w:sz w:val="24"/>
          <w:szCs w:val="24"/>
        </w:rPr>
        <w:t>variables</w:t>
      </w:r>
      <w:r w:rsidR="001E4B25" w:rsidRPr="008E772B">
        <w:rPr>
          <w:rFonts w:asciiTheme="majorBidi" w:hAnsiTheme="majorBidi" w:cstheme="majorBidi"/>
          <w:b/>
          <w:bCs/>
          <w:i/>
          <w:sz w:val="24"/>
          <w:szCs w:val="24"/>
        </w:rPr>
        <w:t xml:space="preserve"> </w:t>
      </w:r>
      <w:r w:rsidR="001E4B25" w:rsidRPr="008E772B">
        <w:rPr>
          <w:rFonts w:asciiTheme="majorBidi" w:eastAsia="Times New Roman" w:hAnsiTheme="majorBidi" w:cstheme="majorBidi"/>
          <w:b/>
          <w:bCs/>
          <w:i/>
          <w:sz w:val="24"/>
          <w:szCs w:val="24"/>
        </w:rPr>
        <w:t>and model specification</w:t>
      </w:r>
      <w:r w:rsidR="006D6FC0" w:rsidRPr="008E772B">
        <w:rPr>
          <w:rFonts w:asciiTheme="majorBidi" w:eastAsia="Times New Roman" w:hAnsiTheme="majorBidi" w:cstheme="majorBidi"/>
          <w:b/>
          <w:bCs/>
          <w:i/>
          <w:sz w:val="24"/>
          <w:szCs w:val="24"/>
        </w:rPr>
        <w:t xml:space="preserve"> </w:t>
      </w:r>
    </w:p>
    <w:p w14:paraId="3F1809EB" w14:textId="0A5BA72A" w:rsidR="0002743E" w:rsidRDefault="006716AD" w:rsidP="005173BF">
      <w:pPr>
        <w:spacing w:after="0" w:line="360" w:lineRule="auto"/>
        <w:ind w:firstLine="720"/>
        <w:jc w:val="lowKashida"/>
        <w:rPr>
          <w:rFonts w:asciiTheme="majorBidi" w:eastAsia="Times New Roman" w:hAnsiTheme="majorBidi" w:cstheme="majorBidi"/>
          <w:bCs/>
          <w:sz w:val="24"/>
          <w:szCs w:val="24"/>
        </w:rPr>
      </w:pPr>
      <w:r w:rsidRPr="008E772B">
        <w:rPr>
          <w:rFonts w:asciiTheme="majorBidi" w:eastAsia="Times New Roman" w:hAnsiTheme="majorBidi" w:cstheme="majorBidi"/>
          <w:bCs/>
          <w:sz w:val="24"/>
          <w:szCs w:val="24"/>
        </w:rPr>
        <w:t>The variables used in testing our hypotheses are classified as follows. First, and f</w:t>
      </w:r>
      <w:r w:rsidR="007C4420" w:rsidRPr="008E772B">
        <w:rPr>
          <w:rFonts w:asciiTheme="majorBidi" w:eastAsia="Times New Roman" w:hAnsiTheme="majorBidi" w:cstheme="majorBidi"/>
          <w:bCs/>
          <w:sz w:val="24"/>
          <w:szCs w:val="24"/>
        </w:rPr>
        <w:t xml:space="preserve">ollowing previous studies, </w:t>
      </w:r>
      <w:r w:rsidR="00F055CA" w:rsidRPr="008E772B">
        <w:rPr>
          <w:rFonts w:asciiTheme="majorBidi" w:eastAsia="Times New Roman" w:hAnsiTheme="majorBidi" w:cstheme="majorBidi"/>
          <w:bCs/>
          <w:sz w:val="24"/>
          <w:szCs w:val="24"/>
        </w:rPr>
        <w:t>a dummy variable was employed to divide audit firms in MENA countries into two categories: the Big</w:t>
      </w:r>
      <w:r w:rsidR="00F055CA" w:rsidRPr="008E772B">
        <w:rPr>
          <w:rFonts w:asciiTheme="majorBidi" w:eastAsia="Times New Roman" w:hAnsiTheme="majorBidi" w:cstheme="majorBidi"/>
          <w:bCs/>
          <w:i/>
          <w:sz w:val="24"/>
          <w:szCs w:val="24"/>
        </w:rPr>
        <w:t xml:space="preserve"> </w:t>
      </w:r>
      <w:r w:rsidR="00F055CA" w:rsidRPr="008E772B">
        <w:rPr>
          <w:rFonts w:asciiTheme="majorBidi" w:eastAsia="Times New Roman" w:hAnsiTheme="majorBidi" w:cstheme="majorBidi"/>
          <w:bCs/>
          <w:sz w:val="24"/>
          <w:szCs w:val="24"/>
        </w:rPr>
        <w:t>4 audit firms to proxy for high</w:t>
      </w:r>
      <w:r w:rsidR="00184C7B">
        <w:rPr>
          <w:rFonts w:asciiTheme="majorBidi" w:eastAsia="Times New Roman" w:hAnsiTheme="majorBidi" w:cstheme="majorBidi"/>
          <w:bCs/>
          <w:sz w:val="24"/>
          <w:szCs w:val="24"/>
        </w:rPr>
        <w:t>er</w:t>
      </w:r>
      <w:r w:rsidR="00F055CA" w:rsidRPr="008E772B">
        <w:rPr>
          <w:rFonts w:asciiTheme="majorBidi" w:eastAsia="Times New Roman" w:hAnsiTheme="majorBidi" w:cstheme="majorBidi"/>
          <w:bCs/>
          <w:sz w:val="24"/>
          <w:szCs w:val="24"/>
        </w:rPr>
        <w:t>-quality auditors and non-Big 4 audit firms to proxy for low</w:t>
      </w:r>
      <w:r w:rsidR="00184C7B">
        <w:rPr>
          <w:rFonts w:asciiTheme="majorBidi" w:eastAsia="Times New Roman" w:hAnsiTheme="majorBidi" w:cstheme="majorBidi"/>
          <w:bCs/>
          <w:sz w:val="24"/>
          <w:szCs w:val="24"/>
        </w:rPr>
        <w:t>er</w:t>
      </w:r>
      <w:r w:rsidR="00F055CA" w:rsidRPr="008E772B">
        <w:rPr>
          <w:rFonts w:asciiTheme="majorBidi" w:eastAsia="Times New Roman" w:hAnsiTheme="majorBidi" w:cstheme="majorBidi"/>
          <w:bCs/>
          <w:sz w:val="24"/>
          <w:szCs w:val="24"/>
        </w:rPr>
        <w:t xml:space="preserve">-quality ones, </w:t>
      </w:r>
      <w:r w:rsidR="006D6FC0" w:rsidRPr="008E772B">
        <w:rPr>
          <w:rFonts w:asciiTheme="majorBidi" w:eastAsia="Times New Roman" w:hAnsiTheme="majorBidi" w:cstheme="majorBidi"/>
          <w:bCs/>
          <w:sz w:val="24"/>
          <w:szCs w:val="24"/>
        </w:rPr>
        <w:t>is our first</w:t>
      </w:r>
      <w:r w:rsidRPr="008E772B">
        <w:rPr>
          <w:rFonts w:asciiTheme="majorBidi" w:eastAsia="Times New Roman" w:hAnsiTheme="majorBidi" w:cstheme="majorBidi"/>
          <w:bCs/>
          <w:sz w:val="24"/>
          <w:szCs w:val="24"/>
        </w:rPr>
        <w:t xml:space="preserve"> dependent variable</w:t>
      </w:r>
      <w:r w:rsidR="007C4420" w:rsidRPr="008E772B">
        <w:rPr>
          <w:rFonts w:asciiTheme="majorBidi" w:eastAsia="Times New Roman" w:hAnsiTheme="majorBidi" w:cstheme="majorBidi"/>
          <w:bCs/>
          <w:sz w:val="24"/>
          <w:szCs w:val="24"/>
        </w:rPr>
        <w:t xml:space="preserve">. Audit firm size has been used effectively and commonly as a surrogate for audit quality in many previous studies (e.g., DeAngelo, 1981; Lin </w:t>
      </w:r>
      <w:r w:rsidR="001114CA" w:rsidRPr="008E772B">
        <w:rPr>
          <w:rFonts w:asciiTheme="majorBidi" w:eastAsia="Times New Roman" w:hAnsiTheme="majorBidi" w:cstheme="majorBidi"/>
          <w:bCs/>
          <w:iCs/>
          <w:sz w:val="24"/>
          <w:szCs w:val="24"/>
        </w:rPr>
        <w:t>&amp;</w:t>
      </w:r>
      <w:r w:rsidR="007C4420" w:rsidRPr="008E772B">
        <w:rPr>
          <w:rFonts w:asciiTheme="majorBidi" w:eastAsia="Times New Roman" w:hAnsiTheme="majorBidi" w:cstheme="majorBidi"/>
          <w:bCs/>
          <w:iCs/>
          <w:sz w:val="24"/>
          <w:szCs w:val="24"/>
        </w:rPr>
        <w:t xml:space="preserve"> </w:t>
      </w:r>
      <w:r w:rsidR="007C4420" w:rsidRPr="008E772B">
        <w:rPr>
          <w:rFonts w:asciiTheme="majorBidi" w:eastAsia="Times New Roman" w:hAnsiTheme="majorBidi" w:cstheme="majorBidi"/>
          <w:bCs/>
          <w:sz w:val="24"/>
          <w:szCs w:val="24"/>
        </w:rPr>
        <w:t xml:space="preserve">Liu, 2009, 2010; Eshleman </w:t>
      </w:r>
      <w:r w:rsidR="001114CA" w:rsidRPr="008E772B">
        <w:rPr>
          <w:rFonts w:asciiTheme="majorBidi" w:eastAsia="Times New Roman" w:hAnsiTheme="majorBidi" w:cstheme="majorBidi"/>
          <w:bCs/>
          <w:iCs/>
          <w:sz w:val="24"/>
          <w:szCs w:val="24"/>
        </w:rPr>
        <w:t>&amp;</w:t>
      </w:r>
      <w:r w:rsidR="007C4420" w:rsidRPr="008E772B">
        <w:rPr>
          <w:rFonts w:asciiTheme="majorBidi" w:eastAsia="Times New Roman" w:hAnsiTheme="majorBidi" w:cstheme="majorBidi"/>
          <w:bCs/>
          <w:sz w:val="24"/>
          <w:szCs w:val="24"/>
        </w:rPr>
        <w:t xml:space="preserve"> Guo, 2014</w:t>
      </w:r>
      <w:r w:rsidR="00813244" w:rsidRPr="008E772B">
        <w:rPr>
          <w:rFonts w:asciiTheme="majorBidi" w:eastAsia="Times New Roman" w:hAnsiTheme="majorBidi" w:cstheme="majorBidi"/>
          <w:bCs/>
          <w:sz w:val="24"/>
          <w:szCs w:val="24"/>
        </w:rPr>
        <w:t xml:space="preserve">; Habbash </w:t>
      </w:r>
      <w:r w:rsidR="001114CA" w:rsidRPr="008E772B">
        <w:rPr>
          <w:rFonts w:asciiTheme="majorBidi" w:eastAsia="Times New Roman" w:hAnsiTheme="majorBidi" w:cstheme="majorBidi"/>
          <w:bCs/>
          <w:sz w:val="24"/>
          <w:szCs w:val="24"/>
        </w:rPr>
        <w:t>&amp;</w:t>
      </w:r>
      <w:r w:rsidR="00813244" w:rsidRPr="008E772B">
        <w:rPr>
          <w:rFonts w:asciiTheme="majorBidi" w:eastAsia="Times New Roman" w:hAnsiTheme="majorBidi" w:cstheme="majorBidi"/>
          <w:bCs/>
          <w:sz w:val="24"/>
          <w:szCs w:val="24"/>
        </w:rPr>
        <w:t xml:space="preserve"> Alghamdi, </w:t>
      </w:r>
      <w:r w:rsidR="00255825" w:rsidRPr="008E772B">
        <w:rPr>
          <w:rFonts w:asciiTheme="majorBidi" w:eastAsia="Times New Roman" w:hAnsiTheme="majorBidi" w:cstheme="majorBidi"/>
          <w:bCs/>
          <w:sz w:val="24"/>
          <w:szCs w:val="24"/>
        </w:rPr>
        <w:t>2017</w:t>
      </w:r>
      <w:r w:rsidR="00BF4E0B">
        <w:rPr>
          <w:rFonts w:asciiTheme="majorBidi" w:eastAsia="Times New Roman" w:hAnsiTheme="majorBidi" w:cstheme="majorBidi"/>
          <w:bCs/>
          <w:sz w:val="24"/>
          <w:szCs w:val="24"/>
        </w:rPr>
        <w:t>;</w:t>
      </w:r>
      <w:r w:rsidR="00BF4E0B" w:rsidRPr="00BF4E0B">
        <w:rPr>
          <w:rFonts w:asciiTheme="majorBidi" w:eastAsia="Times New Roman" w:hAnsiTheme="majorBidi" w:cstheme="majorBidi"/>
          <w:bCs/>
          <w:iCs/>
          <w:sz w:val="24"/>
          <w:szCs w:val="24"/>
        </w:rPr>
        <w:t xml:space="preserve"> Ben-Hassoun </w:t>
      </w:r>
      <w:r w:rsidR="00BF4E0B" w:rsidRPr="00BF4E0B">
        <w:rPr>
          <w:rFonts w:asciiTheme="majorBidi" w:eastAsia="Times New Roman" w:hAnsiTheme="majorBidi" w:cstheme="majorBidi"/>
          <w:bCs/>
          <w:i/>
          <w:iCs/>
          <w:sz w:val="24"/>
          <w:szCs w:val="24"/>
        </w:rPr>
        <w:t>et al</w:t>
      </w:r>
      <w:r w:rsidR="00BF4E0B" w:rsidRPr="00BF4E0B">
        <w:rPr>
          <w:rFonts w:asciiTheme="majorBidi" w:eastAsia="Times New Roman" w:hAnsiTheme="majorBidi" w:cstheme="majorBidi"/>
          <w:bCs/>
          <w:iCs/>
          <w:sz w:val="24"/>
          <w:szCs w:val="24"/>
        </w:rPr>
        <w:t>., 2018</w:t>
      </w:r>
      <w:r w:rsidR="007C4420" w:rsidRPr="008E772B">
        <w:rPr>
          <w:rFonts w:asciiTheme="majorBidi" w:eastAsia="Times New Roman" w:hAnsiTheme="majorBidi" w:cstheme="majorBidi"/>
          <w:bCs/>
          <w:sz w:val="24"/>
          <w:szCs w:val="24"/>
        </w:rPr>
        <w:t xml:space="preserve">). The constructed model examines whether firms’ auditor choice is associated with their </w:t>
      </w:r>
      <w:r w:rsidR="008E2821" w:rsidRPr="008E772B">
        <w:rPr>
          <w:rFonts w:asciiTheme="majorBidi" w:eastAsia="Times New Roman" w:hAnsiTheme="majorBidi" w:cstheme="majorBidi"/>
          <w:bCs/>
          <w:sz w:val="24"/>
          <w:szCs w:val="24"/>
        </w:rPr>
        <w:t>firm</w:t>
      </w:r>
      <w:r w:rsidR="00E55051" w:rsidRPr="008E772B">
        <w:rPr>
          <w:rFonts w:asciiTheme="majorBidi" w:eastAsia="Times New Roman" w:hAnsiTheme="majorBidi" w:cstheme="majorBidi"/>
          <w:bCs/>
          <w:sz w:val="24"/>
          <w:szCs w:val="24"/>
        </w:rPr>
        <w:t>-</w:t>
      </w:r>
      <w:r w:rsidR="007C4420" w:rsidRPr="008E772B">
        <w:rPr>
          <w:rFonts w:asciiTheme="majorBidi" w:eastAsia="Times New Roman" w:hAnsiTheme="majorBidi" w:cstheme="majorBidi"/>
          <w:bCs/>
          <w:sz w:val="24"/>
          <w:szCs w:val="24"/>
        </w:rPr>
        <w:t xml:space="preserve"> </w:t>
      </w:r>
      <w:r w:rsidR="00E55051" w:rsidRPr="008E772B">
        <w:rPr>
          <w:rFonts w:asciiTheme="majorBidi" w:eastAsia="Times New Roman" w:hAnsiTheme="majorBidi" w:cstheme="majorBidi"/>
          <w:bCs/>
          <w:sz w:val="24"/>
          <w:szCs w:val="24"/>
        </w:rPr>
        <w:t>and country- level governance</w:t>
      </w:r>
      <w:r w:rsidR="0087137B">
        <w:rPr>
          <w:rFonts w:asciiTheme="majorBidi" w:eastAsia="Times New Roman" w:hAnsiTheme="majorBidi" w:cstheme="majorBidi"/>
          <w:bCs/>
          <w:sz w:val="24"/>
          <w:szCs w:val="24"/>
        </w:rPr>
        <w:t xml:space="preserve"> quality</w:t>
      </w:r>
      <w:r w:rsidR="007C4420" w:rsidRPr="008E772B">
        <w:rPr>
          <w:rFonts w:asciiTheme="majorBidi" w:eastAsia="Times New Roman" w:hAnsiTheme="majorBidi" w:cstheme="majorBidi"/>
          <w:bCs/>
          <w:sz w:val="24"/>
          <w:szCs w:val="24"/>
        </w:rPr>
        <w:t xml:space="preserve">. Firms will randomly select auditors if the two types of auditors (Big 4 and non-Big 4) do not differ in providing their monitoring service, suggesting that </w:t>
      </w:r>
      <w:r w:rsidR="00E55051" w:rsidRPr="008E772B">
        <w:rPr>
          <w:rFonts w:asciiTheme="majorBidi" w:eastAsia="Times New Roman" w:hAnsiTheme="majorBidi" w:cstheme="majorBidi"/>
          <w:bCs/>
          <w:sz w:val="24"/>
          <w:szCs w:val="24"/>
        </w:rPr>
        <w:t xml:space="preserve">firm- and </w:t>
      </w:r>
      <w:r w:rsidR="00E55051" w:rsidRPr="008E772B">
        <w:rPr>
          <w:rFonts w:asciiTheme="majorBidi" w:eastAsia="Times New Roman" w:hAnsiTheme="majorBidi" w:cstheme="majorBidi"/>
          <w:bCs/>
          <w:sz w:val="24"/>
          <w:szCs w:val="24"/>
        </w:rPr>
        <w:lastRenderedPageBreak/>
        <w:t>country-level</w:t>
      </w:r>
      <w:r w:rsidR="007C4420" w:rsidRPr="008E772B">
        <w:rPr>
          <w:rFonts w:asciiTheme="majorBidi" w:eastAsia="Times New Roman" w:hAnsiTheme="majorBidi" w:cstheme="majorBidi"/>
          <w:bCs/>
          <w:sz w:val="24"/>
          <w:szCs w:val="24"/>
        </w:rPr>
        <w:t xml:space="preserve"> </w:t>
      </w:r>
      <w:r w:rsidR="00E55051" w:rsidRPr="008E772B">
        <w:rPr>
          <w:rFonts w:asciiTheme="majorBidi" w:eastAsia="Times New Roman" w:hAnsiTheme="majorBidi" w:cstheme="majorBidi"/>
          <w:bCs/>
          <w:sz w:val="24"/>
          <w:szCs w:val="24"/>
        </w:rPr>
        <w:t>governance</w:t>
      </w:r>
      <w:r w:rsidR="0087137B">
        <w:rPr>
          <w:rFonts w:asciiTheme="majorBidi" w:eastAsia="Times New Roman" w:hAnsiTheme="majorBidi" w:cstheme="majorBidi"/>
          <w:bCs/>
          <w:sz w:val="24"/>
          <w:szCs w:val="24"/>
        </w:rPr>
        <w:t xml:space="preserve"> quality</w:t>
      </w:r>
      <w:r w:rsidR="00E55051" w:rsidRPr="008E772B">
        <w:rPr>
          <w:rFonts w:asciiTheme="majorBidi" w:eastAsia="Times New Roman" w:hAnsiTheme="majorBidi" w:cstheme="majorBidi"/>
          <w:bCs/>
          <w:sz w:val="24"/>
          <w:szCs w:val="24"/>
        </w:rPr>
        <w:t xml:space="preserve"> </w:t>
      </w:r>
      <w:r w:rsidR="007C4420" w:rsidRPr="008E772B">
        <w:rPr>
          <w:rFonts w:asciiTheme="majorBidi" w:eastAsia="Times New Roman" w:hAnsiTheme="majorBidi" w:cstheme="majorBidi"/>
          <w:bCs/>
          <w:sz w:val="24"/>
          <w:szCs w:val="24"/>
        </w:rPr>
        <w:t>ha</w:t>
      </w:r>
      <w:r w:rsidR="0087137B">
        <w:rPr>
          <w:rFonts w:asciiTheme="majorBidi" w:eastAsia="Times New Roman" w:hAnsiTheme="majorBidi" w:cstheme="majorBidi"/>
          <w:bCs/>
          <w:sz w:val="24"/>
          <w:szCs w:val="24"/>
        </w:rPr>
        <w:t>s</w:t>
      </w:r>
      <w:r w:rsidR="007C4420" w:rsidRPr="008E772B">
        <w:rPr>
          <w:rFonts w:asciiTheme="majorBidi" w:eastAsia="Times New Roman" w:hAnsiTheme="majorBidi" w:cstheme="majorBidi"/>
          <w:bCs/>
          <w:sz w:val="24"/>
          <w:szCs w:val="24"/>
        </w:rPr>
        <w:t xml:space="preserve"> no impact on the choice of auditors. Otherwise, the</w:t>
      </w:r>
      <w:r w:rsidR="0087137B">
        <w:rPr>
          <w:rFonts w:asciiTheme="majorBidi" w:eastAsia="Times New Roman" w:hAnsiTheme="majorBidi" w:cstheme="majorBidi"/>
          <w:bCs/>
          <w:sz w:val="24"/>
          <w:szCs w:val="24"/>
        </w:rPr>
        <w:t xml:space="preserve"> assumption is that the</w:t>
      </w:r>
      <w:r w:rsidR="007C4420" w:rsidRPr="008E772B">
        <w:rPr>
          <w:rFonts w:asciiTheme="majorBidi" w:eastAsia="Times New Roman" w:hAnsiTheme="majorBidi" w:cstheme="majorBidi"/>
          <w:bCs/>
          <w:sz w:val="24"/>
          <w:szCs w:val="24"/>
        </w:rPr>
        <w:t xml:space="preserve"> two groups of auditors offer monitoring services with varied levels of quality, suggesting that </w:t>
      </w:r>
      <w:r w:rsidR="005173BF" w:rsidRPr="005173BF">
        <w:rPr>
          <w:rFonts w:asciiTheme="majorBidi" w:eastAsia="Times New Roman" w:hAnsiTheme="majorBidi" w:cstheme="majorBidi"/>
          <w:bCs/>
          <w:sz w:val="24"/>
          <w:szCs w:val="24"/>
        </w:rPr>
        <w:t xml:space="preserve">firm- and country-level </w:t>
      </w:r>
      <w:r w:rsidR="002D17FE" w:rsidRPr="008E772B">
        <w:rPr>
          <w:rFonts w:asciiTheme="majorBidi" w:eastAsia="Times New Roman" w:hAnsiTheme="majorBidi" w:cstheme="majorBidi"/>
          <w:bCs/>
          <w:sz w:val="24"/>
          <w:szCs w:val="24"/>
        </w:rPr>
        <w:t>governance</w:t>
      </w:r>
      <w:r w:rsidR="007C4420" w:rsidRPr="008E772B">
        <w:rPr>
          <w:rFonts w:asciiTheme="majorBidi" w:eastAsia="Times New Roman" w:hAnsiTheme="majorBidi" w:cstheme="majorBidi"/>
          <w:bCs/>
          <w:sz w:val="24"/>
          <w:szCs w:val="24"/>
        </w:rPr>
        <w:t xml:space="preserve"> mechanism</w:t>
      </w:r>
      <w:r w:rsidR="00A8604F" w:rsidRPr="008E772B">
        <w:rPr>
          <w:rFonts w:asciiTheme="majorBidi" w:eastAsia="Times New Roman" w:hAnsiTheme="majorBidi" w:cstheme="majorBidi"/>
          <w:bCs/>
          <w:sz w:val="24"/>
          <w:szCs w:val="24"/>
        </w:rPr>
        <w:t>s</w:t>
      </w:r>
      <w:r w:rsidR="007C4420" w:rsidRPr="008E772B">
        <w:rPr>
          <w:rFonts w:asciiTheme="majorBidi" w:eastAsia="Times New Roman" w:hAnsiTheme="majorBidi" w:cstheme="majorBidi"/>
          <w:bCs/>
          <w:sz w:val="24"/>
          <w:szCs w:val="24"/>
        </w:rPr>
        <w:t xml:space="preserve"> should impact their choice of auditors, based on the expected benefits and costs of needed level of audit quality.</w:t>
      </w:r>
      <w:r w:rsidR="00E55051" w:rsidRPr="008E772B">
        <w:rPr>
          <w:rFonts w:asciiTheme="majorBidi" w:eastAsia="Times New Roman" w:hAnsiTheme="majorBidi" w:cstheme="majorBidi"/>
          <w:bCs/>
          <w:sz w:val="24"/>
          <w:szCs w:val="24"/>
        </w:rPr>
        <w:t xml:space="preserve"> A natural log of audit fee (</w:t>
      </w:r>
      <w:r w:rsidR="00E55051" w:rsidRPr="008E772B">
        <w:rPr>
          <w:rFonts w:asciiTheme="majorBidi" w:eastAsia="Times New Roman" w:hAnsiTheme="majorBidi" w:cstheme="majorBidi"/>
          <w:bCs/>
          <w:i/>
          <w:iCs/>
          <w:sz w:val="24"/>
          <w:szCs w:val="24"/>
        </w:rPr>
        <w:t>LNFE</w:t>
      </w:r>
      <w:r w:rsidR="00E55051" w:rsidRPr="008E772B">
        <w:rPr>
          <w:rFonts w:asciiTheme="majorBidi" w:eastAsia="Times New Roman" w:hAnsiTheme="majorBidi" w:cstheme="majorBidi"/>
          <w:bCs/>
          <w:sz w:val="24"/>
          <w:szCs w:val="24"/>
        </w:rPr>
        <w:t xml:space="preserve">) in thousands of </w:t>
      </w:r>
      <w:r w:rsidR="0067289E" w:rsidRPr="008E772B">
        <w:rPr>
          <w:rFonts w:asciiTheme="majorBidi" w:eastAsia="Times New Roman" w:hAnsiTheme="majorBidi" w:cstheme="majorBidi"/>
          <w:bCs/>
          <w:sz w:val="24"/>
          <w:szCs w:val="24"/>
        </w:rPr>
        <w:t xml:space="preserve">US </w:t>
      </w:r>
      <w:r w:rsidR="00E55051" w:rsidRPr="008E772B">
        <w:rPr>
          <w:rFonts w:asciiTheme="majorBidi" w:eastAsia="Times New Roman" w:hAnsiTheme="majorBidi" w:cstheme="majorBidi"/>
          <w:bCs/>
          <w:sz w:val="24"/>
          <w:szCs w:val="24"/>
        </w:rPr>
        <w:t xml:space="preserve">dollars was used to measure audit </w:t>
      </w:r>
      <w:r w:rsidR="00D726BC" w:rsidRPr="008E772B">
        <w:rPr>
          <w:rFonts w:asciiTheme="majorBidi" w:eastAsia="Times New Roman" w:hAnsiTheme="majorBidi" w:cstheme="majorBidi"/>
          <w:bCs/>
          <w:sz w:val="24"/>
          <w:szCs w:val="24"/>
        </w:rPr>
        <w:t xml:space="preserve">fees </w:t>
      </w:r>
      <w:r w:rsidR="00E55051" w:rsidRPr="008E772B">
        <w:rPr>
          <w:rFonts w:asciiTheme="majorBidi" w:eastAsia="Times New Roman" w:hAnsiTheme="majorBidi" w:cstheme="majorBidi"/>
          <w:bCs/>
          <w:sz w:val="24"/>
          <w:szCs w:val="24"/>
        </w:rPr>
        <w:t xml:space="preserve">(e.g., O’Sullivan, 2000; Carcello </w:t>
      </w:r>
      <w:r w:rsidR="00E55051" w:rsidRPr="008E772B">
        <w:rPr>
          <w:rFonts w:asciiTheme="majorBidi" w:eastAsia="Times New Roman" w:hAnsiTheme="majorBidi" w:cstheme="majorBidi"/>
          <w:bCs/>
          <w:i/>
          <w:sz w:val="24"/>
          <w:szCs w:val="24"/>
        </w:rPr>
        <w:t>et al</w:t>
      </w:r>
      <w:r w:rsidR="00E55051" w:rsidRPr="008E772B">
        <w:rPr>
          <w:rFonts w:asciiTheme="majorBidi" w:eastAsia="Times New Roman" w:hAnsiTheme="majorBidi" w:cstheme="majorBidi"/>
          <w:bCs/>
          <w:sz w:val="24"/>
          <w:szCs w:val="24"/>
        </w:rPr>
        <w:t xml:space="preserve">., 2002; O’Sullivan </w:t>
      </w:r>
      <w:r w:rsidR="00E55051" w:rsidRPr="008E772B">
        <w:rPr>
          <w:rFonts w:asciiTheme="majorBidi" w:eastAsia="Times New Roman" w:hAnsiTheme="majorBidi" w:cstheme="majorBidi"/>
          <w:bCs/>
          <w:iCs/>
          <w:sz w:val="24"/>
          <w:szCs w:val="24"/>
        </w:rPr>
        <w:t>&amp;</w:t>
      </w:r>
      <w:r w:rsidR="00E55051" w:rsidRPr="008E772B">
        <w:rPr>
          <w:rFonts w:asciiTheme="majorBidi" w:eastAsia="Times New Roman" w:hAnsiTheme="majorBidi" w:cstheme="majorBidi"/>
          <w:bCs/>
          <w:sz w:val="24"/>
          <w:szCs w:val="24"/>
        </w:rPr>
        <w:t xml:space="preserve"> Diacon, 2002; </w:t>
      </w:r>
      <w:r w:rsidR="00921462" w:rsidRPr="00921462">
        <w:rPr>
          <w:rFonts w:asciiTheme="majorBidi" w:eastAsia="Times New Roman" w:hAnsiTheme="majorBidi" w:cstheme="majorBidi"/>
          <w:bCs/>
          <w:iCs/>
          <w:sz w:val="24"/>
          <w:szCs w:val="24"/>
        </w:rPr>
        <w:t xml:space="preserve">Choi </w:t>
      </w:r>
      <w:r w:rsidR="00921462" w:rsidRPr="000E2E58">
        <w:rPr>
          <w:rFonts w:asciiTheme="majorBidi" w:eastAsia="Times New Roman" w:hAnsiTheme="majorBidi" w:cstheme="majorBidi"/>
          <w:bCs/>
          <w:i/>
          <w:iCs/>
          <w:sz w:val="24"/>
          <w:szCs w:val="24"/>
        </w:rPr>
        <w:t>et al</w:t>
      </w:r>
      <w:r w:rsidR="00921462" w:rsidRPr="00921462">
        <w:rPr>
          <w:rFonts w:asciiTheme="majorBidi" w:eastAsia="Times New Roman" w:hAnsiTheme="majorBidi" w:cstheme="majorBidi"/>
          <w:bCs/>
          <w:iCs/>
          <w:sz w:val="24"/>
          <w:szCs w:val="24"/>
        </w:rPr>
        <w:t>.</w:t>
      </w:r>
      <w:r w:rsidR="000E2E58">
        <w:rPr>
          <w:rFonts w:asciiTheme="majorBidi" w:eastAsia="Times New Roman" w:hAnsiTheme="majorBidi" w:cstheme="majorBidi"/>
          <w:bCs/>
          <w:iCs/>
          <w:sz w:val="24"/>
          <w:szCs w:val="24"/>
        </w:rPr>
        <w:t>,</w:t>
      </w:r>
      <w:r w:rsidR="00921462" w:rsidRPr="00921462">
        <w:rPr>
          <w:rFonts w:asciiTheme="majorBidi" w:eastAsia="Times New Roman" w:hAnsiTheme="majorBidi" w:cstheme="majorBidi"/>
          <w:bCs/>
          <w:iCs/>
          <w:sz w:val="24"/>
          <w:szCs w:val="24"/>
        </w:rPr>
        <w:t xml:space="preserve"> 2010; </w:t>
      </w:r>
      <w:r w:rsidR="00E55051" w:rsidRPr="008E772B">
        <w:rPr>
          <w:rFonts w:asciiTheme="majorBidi" w:eastAsia="Times New Roman" w:hAnsiTheme="majorBidi" w:cstheme="majorBidi"/>
          <w:bCs/>
          <w:sz w:val="24"/>
          <w:szCs w:val="24"/>
        </w:rPr>
        <w:t xml:space="preserve">Johansen </w:t>
      </w:r>
      <w:r w:rsidR="00E55051" w:rsidRPr="008E772B">
        <w:rPr>
          <w:rFonts w:asciiTheme="majorBidi" w:eastAsia="Times New Roman" w:hAnsiTheme="majorBidi" w:cstheme="majorBidi"/>
          <w:bCs/>
          <w:iCs/>
          <w:sz w:val="24"/>
          <w:szCs w:val="24"/>
        </w:rPr>
        <w:t>&amp;</w:t>
      </w:r>
      <w:r w:rsidR="00E55051" w:rsidRPr="008E772B">
        <w:rPr>
          <w:rFonts w:asciiTheme="majorBidi" w:eastAsia="Times New Roman" w:hAnsiTheme="majorBidi" w:cstheme="majorBidi"/>
          <w:bCs/>
          <w:sz w:val="24"/>
          <w:szCs w:val="24"/>
        </w:rPr>
        <w:t xml:space="preserve"> Pettersson, 2013</w:t>
      </w:r>
      <w:r w:rsidR="00921462">
        <w:rPr>
          <w:rFonts w:asciiTheme="majorBidi" w:eastAsia="Times New Roman" w:hAnsiTheme="majorBidi" w:cstheme="majorBidi"/>
          <w:bCs/>
          <w:sz w:val="24"/>
          <w:szCs w:val="24"/>
        </w:rPr>
        <w:t xml:space="preserve">; </w:t>
      </w:r>
      <w:r w:rsidR="00921462" w:rsidRPr="00044014">
        <w:rPr>
          <w:rFonts w:ascii="Times New Roman" w:hAnsi="Times New Roman" w:cs="Times New Roman"/>
          <w:bCs/>
          <w:iCs/>
          <w:sz w:val="24"/>
          <w:szCs w:val="24"/>
        </w:rPr>
        <w:t>Barroso et al., 2018</w:t>
      </w:r>
      <w:r w:rsidR="00E55051" w:rsidRPr="008E772B">
        <w:rPr>
          <w:rFonts w:asciiTheme="majorBidi" w:eastAsia="Times New Roman" w:hAnsiTheme="majorBidi" w:cstheme="majorBidi"/>
          <w:bCs/>
          <w:sz w:val="24"/>
          <w:szCs w:val="24"/>
        </w:rPr>
        <w:t>), as our second dependent variable.</w:t>
      </w:r>
      <w:r w:rsidR="00AC18A0" w:rsidRPr="008E772B">
        <w:rPr>
          <w:rFonts w:asciiTheme="majorBidi" w:eastAsia="Times New Roman" w:hAnsiTheme="majorBidi" w:cstheme="majorBidi"/>
          <w:bCs/>
          <w:sz w:val="24"/>
          <w:szCs w:val="24"/>
        </w:rPr>
        <w:t xml:space="preserve"> </w:t>
      </w:r>
    </w:p>
    <w:p w14:paraId="2DE5B6BE" w14:textId="721AFA85" w:rsidR="00513294" w:rsidRPr="000972D1" w:rsidRDefault="00513294" w:rsidP="00513294">
      <w:pPr>
        <w:spacing w:after="0" w:line="360" w:lineRule="auto"/>
        <w:ind w:firstLine="720"/>
        <w:jc w:val="lowKashida"/>
        <w:rPr>
          <w:rFonts w:asciiTheme="majorBidi" w:eastAsia="Times New Roman" w:hAnsiTheme="majorBidi" w:cstheme="majorBidi"/>
          <w:bCs/>
          <w:iCs/>
          <w:sz w:val="24"/>
          <w:szCs w:val="24"/>
        </w:rPr>
      </w:pPr>
      <w:r w:rsidRPr="000972D1">
        <w:rPr>
          <w:rFonts w:asciiTheme="majorBidi" w:eastAsia="Times New Roman" w:hAnsiTheme="majorBidi" w:cstheme="majorBidi"/>
          <w:bCs/>
          <w:sz w:val="24"/>
          <w:szCs w:val="24"/>
        </w:rPr>
        <w:t>We use Big 4 auditor choice (</w:t>
      </w:r>
      <w:r w:rsidRPr="000972D1">
        <w:rPr>
          <w:rFonts w:asciiTheme="majorBidi" w:eastAsia="Times New Roman" w:hAnsiTheme="majorBidi" w:cstheme="majorBidi"/>
          <w:bCs/>
          <w:iCs/>
          <w:sz w:val="24"/>
          <w:szCs w:val="24"/>
        </w:rPr>
        <w:t xml:space="preserve">DeAngelo, 1981; </w:t>
      </w:r>
      <w:r w:rsidRPr="000972D1">
        <w:rPr>
          <w:rFonts w:asciiTheme="majorBidi" w:eastAsia="Times New Roman" w:hAnsiTheme="majorBidi" w:cstheme="majorBidi"/>
          <w:bCs/>
          <w:sz w:val="24"/>
          <w:szCs w:val="24"/>
        </w:rPr>
        <w:t xml:space="preserve">Eshleman </w:t>
      </w:r>
      <w:r w:rsidRPr="000972D1">
        <w:rPr>
          <w:rFonts w:asciiTheme="majorBidi" w:eastAsia="Times New Roman" w:hAnsiTheme="majorBidi" w:cstheme="majorBidi"/>
          <w:bCs/>
          <w:iCs/>
          <w:sz w:val="24"/>
          <w:szCs w:val="24"/>
        </w:rPr>
        <w:t>&amp;</w:t>
      </w:r>
      <w:r w:rsidRPr="000972D1">
        <w:rPr>
          <w:rFonts w:asciiTheme="majorBidi" w:eastAsia="Times New Roman" w:hAnsiTheme="majorBidi" w:cstheme="majorBidi"/>
          <w:bCs/>
          <w:sz w:val="24"/>
          <w:szCs w:val="24"/>
        </w:rPr>
        <w:t xml:space="preserve"> Guo, 2014; Khalil &amp; Ozkan, 2016; </w:t>
      </w:r>
      <w:r w:rsidRPr="000972D1">
        <w:rPr>
          <w:rFonts w:asciiTheme="majorBidi" w:eastAsia="Times New Roman" w:hAnsiTheme="majorBidi" w:cstheme="majorBidi"/>
          <w:bCs/>
          <w:iCs/>
          <w:sz w:val="24"/>
          <w:szCs w:val="24"/>
        </w:rPr>
        <w:t xml:space="preserve">Ben-Hassoun </w:t>
      </w:r>
      <w:r w:rsidRPr="000972D1">
        <w:rPr>
          <w:rFonts w:asciiTheme="majorBidi" w:eastAsia="Times New Roman" w:hAnsiTheme="majorBidi" w:cstheme="majorBidi"/>
          <w:bCs/>
          <w:i/>
          <w:iCs/>
          <w:sz w:val="24"/>
          <w:szCs w:val="24"/>
        </w:rPr>
        <w:t>et al</w:t>
      </w:r>
      <w:r w:rsidRPr="000972D1">
        <w:rPr>
          <w:rFonts w:asciiTheme="majorBidi" w:eastAsia="Times New Roman" w:hAnsiTheme="majorBidi" w:cstheme="majorBidi"/>
          <w:bCs/>
          <w:iCs/>
          <w:sz w:val="24"/>
          <w:szCs w:val="24"/>
        </w:rPr>
        <w:t>., 2018</w:t>
      </w:r>
      <w:r w:rsidRPr="000972D1">
        <w:rPr>
          <w:rFonts w:asciiTheme="majorBidi" w:eastAsia="Times New Roman" w:hAnsiTheme="majorBidi" w:cstheme="majorBidi"/>
          <w:bCs/>
          <w:sz w:val="24"/>
          <w:szCs w:val="24"/>
        </w:rPr>
        <w:t>) and audit fees (</w:t>
      </w:r>
      <w:r w:rsidRPr="000972D1">
        <w:rPr>
          <w:rFonts w:asciiTheme="majorBidi" w:eastAsia="Times New Roman" w:hAnsiTheme="majorBidi" w:cstheme="majorBidi"/>
          <w:bCs/>
          <w:iCs/>
          <w:sz w:val="24"/>
          <w:szCs w:val="24"/>
        </w:rPr>
        <w:t xml:space="preserve">Choi </w:t>
      </w:r>
      <w:r w:rsidRPr="000972D1">
        <w:rPr>
          <w:rFonts w:asciiTheme="majorBidi" w:eastAsia="Times New Roman" w:hAnsiTheme="majorBidi" w:cstheme="majorBidi"/>
          <w:bCs/>
          <w:i/>
          <w:iCs/>
          <w:sz w:val="24"/>
          <w:szCs w:val="24"/>
        </w:rPr>
        <w:t>et al</w:t>
      </w:r>
      <w:r w:rsidRPr="000972D1">
        <w:rPr>
          <w:rFonts w:asciiTheme="majorBidi" w:eastAsia="Times New Roman" w:hAnsiTheme="majorBidi" w:cstheme="majorBidi"/>
          <w:bCs/>
          <w:iCs/>
          <w:sz w:val="24"/>
          <w:szCs w:val="24"/>
        </w:rPr>
        <w:t xml:space="preserve">., 2010; </w:t>
      </w:r>
      <w:r w:rsidRPr="000972D1">
        <w:rPr>
          <w:rFonts w:asciiTheme="majorBidi" w:eastAsia="Times New Roman" w:hAnsiTheme="majorBidi" w:cstheme="majorBidi"/>
          <w:bCs/>
          <w:sz w:val="24"/>
          <w:szCs w:val="24"/>
        </w:rPr>
        <w:t xml:space="preserve">Chen </w:t>
      </w:r>
      <w:r w:rsidRPr="000972D1">
        <w:rPr>
          <w:rFonts w:asciiTheme="majorBidi" w:eastAsia="Times New Roman" w:hAnsiTheme="majorBidi" w:cstheme="majorBidi"/>
          <w:bCs/>
          <w:i/>
          <w:sz w:val="24"/>
          <w:szCs w:val="24"/>
        </w:rPr>
        <w:t>et al</w:t>
      </w:r>
      <w:r w:rsidRPr="000972D1">
        <w:rPr>
          <w:rFonts w:asciiTheme="majorBidi" w:eastAsia="Times New Roman" w:hAnsiTheme="majorBidi" w:cstheme="majorBidi"/>
          <w:bCs/>
          <w:sz w:val="24"/>
          <w:szCs w:val="24"/>
        </w:rPr>
        <w:t xml:space="preserve">., 2016), as proxies for audit quality. Unlike their non-Big 4 counterparts, </w:t>
      </w:r>
      <w:r w:rsidRPr="000972D1">
        <w:rPr>
          <w:rFonts w:asciiTheme="majorBidi" w:eastAsia="Times New Roman" w:hAnsiTheme="majorBidi" w:cstheme="majorBidi"/>
          <w:bCs/>
          <w:iCs/>
          <w:sz w:val="24"/>
          <w:szCs w:val="24"/>
        </w:rPr>
        <w:t>Big 4 audit firms have greater resources, technical knowledge and global reach, allowing them to deal with clients more objectively without fear or favour (DeAngelo, 1981;</w:t>
      </w:r>
      <w:r w:rsidRPr="000972D1">
        <w:rPr>
          <w:rFonts w:asciiTheme="majorBidi" w:eastAsia="Times New Roman" w:hAnsiTheme="majorBidi" w:cstheme="majorBidi"/>
          <w:bCs/>
          <w:sz w:val="24"/>
          <w:szCs w:val="24"/>
        </w:rPr>
        <w:t xml:space="preserve"> </w:t>
      </w:r>
      <w:r w:rsidRPr="000972D1">
        <w:rPr>
          <w:rFonts w:asciiTheme="majorBidi" w:eastAsia="Times New Roman" w:hAnsiTheme="majorBidi" w:cstheme="majorBidi"/>
          <w:bCs/>
          <w:iCs/>
          <w:sz w:val="24"/>
          <w:szCs w:val="24"/>
        </w:rPr>
        <w:t xml:space="preserve">Al-Ajmi, 2009; Choi </w:t>
      </w:r>
      <w:r w:rsidRPr="000972D1">
        <w:rPr>
          <w:rFonts w:asciiTheme="majorBidi" w:eastAsia="Times New Roman" w:hAnsiTheme="majorBidi" w:cstheme="majorBidi"/>
          <w:bCs/>
          <w:i/>
          <w:iCs/>
          <w:sz w:val="24"/>
          <w:szCs w:val="24"/>
        </w:rPr>
        <w:t>et al</w:t>
      </w:r>
      <w:r w:rsidRPr="000972D1">
        <w:rPr>
          <w:rFonts w:asciiTheme="majorBidi" w:eastAsia="Times New Roman" w:hAnsiTheme="majorBidi" w:cstheme="majorBidi"/>
          <w:bCs/>
          <w:iCs/>
          <w:sz w:val="24"/>
          <w:szCs w:val="24"/>
        </w:rPr>
        <w:t xml:space="preserve">., 2010; Khalil &amp; Ozkan, 2016). In addition, the key factors, which can enhance the credibility of an audit report provided by a Big 4 auditor include better professional audit expertise, a wider range of skills, higher reputation, greater accounting and auditing knowledge, and higher ethical standards than their non-Big 4 counterparts (Al-Ajmi, 2009; Choi </w:t>
      </w:r>
      <w:r w:rsidRPr="000972D1">
        <w:rPr>
          <w:rFonts w:asciiTheme="majorBidi" w:eastAsia="Times New Roman" w:hAnsiTheme="majorBidi" w:cstheme="majorBidi"/>
          <w:bCs/>
          <w:i/>
          <w:iCs/>
          <w:sz w:val="24"/>
          <w:szCs w:val="24"/>
        </w:rPr>
        <w:t>et al</w:t>
      </w:r>
      <w:r w:rsidRPr="000972D1">
        <w:rPr>
          <w:rFonts w:asciiTheme="majorBidi" w:eastAsia="Times New Roman" w:hAnsiTheme="majorBidi" w:cstheme="majorBidi"/>
          <w:bCs/>
          <w:iCs/>
          <w:sz w:val="24"/>
          <w:szCs w:val="24"/>
        </w:rPr>
        <w:t>., 2010; Samaha &amp; Hegazy, 2010;</w:t>
      </w:r>
      <w:r w:rsidRPr="000972D1">
        <w:rPr>
          <w:rFonts w:asciiTheme="majorBidi" w:eastAsia="Times New Roman" w:hAnsiTheme="majorBidi" w:cstheme="majorBidi"/>
          <w:bCs/>
          <w:sz w:val="24"/>
          <w:szCs w:val="24"/>
        </w:rPr>
        <w:t xml:space="preserve"> </w:t>
      </w:r>
      <w:r w:rsidRPr="000972D1">
        <w:rPr>
          <w:rFonts w:asciiTheme="majorBidi" w:eastAsia="Times New Roman" w:hAnsiTheme="majorBidi" w:cstheme="majorBidi"/>
          <w:bCs/>
          <w:iCs/>
          <w:sz w:val="24"/>
          <w:szCs w:val="24"/>
        </w:rPr>
        <w:t xml:space="preserve">Eshleman &amp; Guo, 2014). Therefore, Big4 auditors provide high-quality audit services than small audit firms (Choi et al., 2010; Samaha &amp; Hegazy, 2010). </w:t>
      </w:r>
      <w:r w:rsidR="005D289D">
        <w:rPr>
          <w:rFonts w:asciiTheme="majorBidi" w:eastAsia="Times New Roman" w:hAnsiTheme="majorBidi" w:cstheme="majorBidi"/>
          <w:bCs/>
          <w:iCs/>
          <w:sz w:val="24"/>
          <w:szCs w:val="24"/>
        </w:rPr>
        <w:t>Generally, i</w:t>
      </w:r>
      <w:r w:rsidRPr="000972D1">
        <w:rPr>
          <w:rFonts w:asciiTheme="majorBidi" w:eastAsia="Times New Roman" w:hAnsiTheme="majorBidi" w:cstheme="majorBidi"/>
          <w:bCs/>
          <w:iCs/>
          <w:sz w:val="24"/>
          <w:szCs w:val="24"/>
        </w:rPr>
        <w:t>n developing countries</w:t>
      </w:r>
      <w:r w:rsidR="00585CE8">
        <w:rPr>
          <w:rFonts w:asciiTheme="majorBidi" w:eastAsia="Times New Roman" w:hAnsiTheme="majorBidi" w:cstheme="majorBidi"/>
          <w:bCs/>
          <w:iCs/>
          <w:sz w:val="24"/>
          <w:szCs w:val="24"/>
        </w:rPr>
        <w:t>,</w:t>
      </w:r>
      <w:r w:rsidRPr="000972D1">
        <w:rPr>
          <w:rFonts w:asciiTheme="majorBidi" w:eastAsia="Times New Roman" w:hAnsiTheme="majorBidi" w:cstheme="majorBidi"/>
          <w:bCs/>
          <w:iCs/>
          <w:sz w:val="24"/>
          <w:szCs w:val="24"/>
        </w:rPr>
        <w:t xml:space="preserve"> </w:t>
      </w:r>
      <w:r w:rsidR="005D289D">
        <w:rPr>
          <w:rFonts w:asciiTheme="majorBidi" w:eastAsia="Times New Roman" w:hAnsiTheme="majorBidi" w:cstheme="majorBidi"/>
          <w:bCs/>
          <w:iCs/>
          <w:sz w:val="24"/>
          <w:szCs w:val="24"/>
        </w:rPr>
        <w:t>but</w:t>
      </w:r>
      <w:r w:rsidRPr="000972D1">
        <w:rPr>
          <w:rFonts w:asciiTheme="majorBidi" w:eastAsia="Times New Roman" w:hAnsiTheme="majorBidi" w:cstheme="majorBidi"/>
          <w:bCs/>
          <w:iCs/>
          <w:sz w:val="24"/>
          <w:szCs w:val="24"/>
        </w:rPr>
        <w:t xml:space="preserve"> </w:t>
      </w:r>
      <w:r w:rsidR="005D289D">
        <w:rPr>
          <w:rFonts w:asciiTheme="majorBidi" w:eastAsia="Times New Roman" w:hAnsiTheme="majorBidi" w:cstheme="majorBidi"/>
          <w:bCs/>
          <w:iCs/>
          <w:sz w:val="24"/>
          <w:szCs w:val="24"/>
        </w:rPr>
        <w:t xml:space="preserve">particularly in the </w:t>
      </w:r>
      <w:r w:rsidRPr="000972D1">
        <w:rPr>
          <w:rFonts w:asciiTheme="majorBidi" w:eastAsia="Times New Roman" w:hAnsiTheme="majorBidi" w:cstheme="majorBidi"/>
          <w:bCs/>
          <w:iCs/>
          <w:sz w:val="24"/>
          <w:szCs w:val="24"/>
        </w:rPr>
        <w:t>MENA region, firms have more incentive</w:t>
      </w:r>
      <w:r w:rsidR="007B61F1">
        <w:rPr>
          <w:rFonts w:asciiTheme="majorBidi" w:eastAsia="Times New Roman" w:hAnsiTheme="majorBidi" w:cstheme="majorBidi"/>
          <w:bCs/>
          <w:iCs/>
          <w:sz w:val="24"/>
          <w:szCs w:val="24"/>
        </w:rPr>
        <w:t>s</w:t>
      </w:r>
      <w:r w:rsidRPr="000972D1">
        <w:rPr>
          <w:rFonts w:asciiTheme="majorBidi" w:eastAsia="Times New Roman" w:hAnsiTheme="majorBidi" w:cstheme="majorBidi"/>
          <w:bCs/>
          <w:iCs/>
          <w:sz w:val="24"/>
          <w:szCs w:val="24"/>
        </w:rPr>
        <w:t xml:space="preserve"> to engage Big 4 auditors</w:t>
      </w:r>
      <w:r w:rsidR="00451BC1" w:rsidRPr="000972D1">
        <w:rPr>
          <w:rFonts w:asciiTheme="majorBidi" w:eastAsia="Times New Roman" w:hAnsiTheme="majorBidi" w:cstheme="majorBidi"/>
          <w:bCs/>
          <w:iCs/>
          <w:sz w:val="24"/>
          <w:szCs w:val="24"/>
        </w:rPr>
        <w:t xml:space="preserve"> in order</w:t>
      </w:r>
      <w:r w:rsidRPr="000972D1">
        <w:rPr>
          <w:rFonts w:asciiTheme="majorBidi" w:eastAsia="Times New Roman" w:hAnsiTheme="majorBidi" w:cstheme="majorBidi"/>
          <w:bCs/>
          <w:iCs/>
          <w:sz w:val="24"/>
          <w:szCs w:val="24"/>
        </w:rPr>
        <w:t xml:space="preserve"> to improve firm-level governance </w:t>
      </w:r>
      <w:r w:rsidR="00585CE8">
        <w:rPr>
          <w:rFonts w:asciiTheme="majorBidi" w:eastAsia="Times New Roman" w:hAnsiTheme="majorBidi" w:cstheme="majorBidi"/>
          <w:bCs/>
          <w:iCs/>
          <w:sz w:val="24"/>
          <w:szCs w:val="24"/>
        </w:rPr>
        <w:t xml:space="preserve">structures in order </w:t>
      </w:r>
      <w:r w:rsidRPr="000972D1">
        <w:rPr>
          <w:rFonts w:asciiTheme="majorBidi" w:eastAsia="Times New Roman" w:hAnsiTheme="majorBidi" w:cstheme="majorBidi"/>
          <w:bCs/>
          <w:iCs/>
          <w:sz w:val="24"/>
          <w:szCs w:val="24"/>
        </w:rPr>
        <w:t>to substitute for the relatively weak countr</w:t>
      </w:r>
      <w:r w:rsidR="003059B6" w:rsidRPr="000972D1">
        <w:rPr>
          <w:rFonts w:asciiTheme="majorBidi" w:eastAsia="Times New Roman" w:hAnsiTheme="majorBidi" w:cstheme="majorBidi"/>
          <w:bCs/>
          <w:iCs/>
          <w:sz w:val="24"/>
          <w:szCs w:val="24"/>
        </w:rPr>
        <w:t>y</w:t>
      </w:r>
      <w:r w:rsidRPr="000972D1">
        <w:rPr>
          <w:rFonts w:asciiTheme="majorBidi" w:eastAsia="Times New Roman" w:hAnsiTheme="majorBidi" w:cstheme="majorBidi"/>
          <w:bCs/>
          <w:iCs/>
          <w:sz w:val="24"/>
          <w:szCs w:val="24"/>
        </w:rPr>
        <w:t xml:space="preserve">-level institutions (Al-Ajmi, 2009; Ben-Hassoun </w:t>
      </w:r>
      <w:r w:rsidRPr="000972D1">
        <w:rPr>
          <w:rFonts w:asciiTheme="majorBidi" w:eastAsia="Times New Roman" w:hAnsiTheme="majorBidi" w:cstheme="majorBidi"/>
          <w:bCs/>
          <w:i/>
          <w:iCs/>
          <w:sz w:val="24"/>
          <w:szCs w:val="24"/>
        </w:rPr>
        <w:t>et al</w:t>
      </w:r>
      <w:r w:rsidRPr="000972D1">
        <w:rPr>
          <w:rFonts w:asciiTheme="majorBidi" w:eastAsia="Times New Roman" w:hAnsiTheme="majorBidi" w:cstheme="majorBidi"/>
          <w:bCs/>
          <w:iCs/>
          <w:sz w:val="24"/>
          <w:szCs w:val="24"/>
        </w:rPr>
        <w:t>., 2018)</w:t>
      </w:r>
      <w:r w:rsidR="003059B6" w:rsidRPr="000972D1">
        <w:rPr>
          <w:rFonts w:asciiTheme="majorBidi" w:eastAsia="Times New Roman" w:hAnsiTheme="majorBidi" w:cstheme="majorBidi"/>
          <w:bCs/>
          <w:iCs/>
          <w:sz w:val="24"/>
          <w:szCs w:val="24"/>
        </w:rPr>
        <w:t>.</w:t>
      </w:r>
      <w:r w:rsidRPr="000972D1">
        <w:rPr>
          <w:rFonts w:asciiTheme="majorBidi" w:eastAsia="Times New Roman" w:hAnsiTheme="majorBidi" w:cstheme="majorBidi"/>
          <w:bCs/>
          <w:iCs/>
          <w:sz w:val="24"/>
          <w:szCs w:val="24"/>
        </w:rPr>
        <w:t xml:space="preserve"> Samaha and Hegazy (2010) and Khalifa (2012) argue that the fragmented regulatory context of accounting and auditing in the MENA countries has allowed the Big</w:t>
      </w:r>
      <w:r w:rsidR="007B61F1">
        <w:rPr>
          <w:rFonts w:asciiTheme="majorBidi" w:eastAsia="Times New Roman" w:hAnsiTheme="majorBidi" w:cstheme="majorBidi"/>
          <w:bCs/>
          <w:iCs/>
          <w:sz w:val="24"/>
          <w:szCs w:val="24"/>
        </w:rPr>
        <w:t xml:space="preserve"> </w:t>
      </w:r>
      <w:r w:rsidRPr="000972D1">
        <w:rPr>
          <w:rFonts w:asciiTheme="majorBidi" w:eastAsia="Times New Roman" w:hAnsiTheme="majorBidi" w:cstheme="majorBidi"/>
          <w:bCs/>
          <w:iCs/>
          <w:sz w:val="24"/>
          <w:szCs w:val="24"/>
        </w:rPr>
        <w:t>4 audit firms to import their global quality assurance systems into the local MENA context, hiring mainly auditors with foreign examined qualifications. Additionally, Big 4 audit firms are perceived by financial statement users and scholars in MENA countries</w:t>
      </w:r>
      <w:r w:rsidR="006715BF" w:rsidRPr="000972D1">
        <w:rPr>
          <w:rFonts w:asciiTheme="majorBidi" w:eastAsia="Times New Roman" w:hAnsiTheme="majorBidi" w:cstheme="majorBidi"/>
          <w:bCs/>
          <w:iCs/>
          <w:sz w:val="24"/>
          <w:szCs w:val="24"/>
        </w:rPr>
        <w:t xml:space="preserve"> to be associated</w:t>
      </w:r>
      <w:r w:rsidRPr="000972D1">
        <w:rPr>
          <w:rFonts w:asciiTheme="majorBidi" w:eastAsia="Times New Roman" w:hAnsiTheme="majorBidi" w:cstheme="majorBidi"/>
          <w:bCs/>
          <w:iCs/>
          <w:sz w:val="24"/>
          <w:szCs w:val="24"/>
        </w:rPr>
        <w:t xml:space="preserve"> with </w:t>
      </w:r>
      <w:r w:rsidR="00AC4F10">
        <w:rPr>
          <w:rFonts w:asciiTheme="majorBidi" w:eastAsia="Times New Roman" w:hAnsiTheme="majorBidi" w:cstheme="majorBidi"/>
          <w:bCs/>
          <w:iCs/>
          <w:sz w:val="24"/>
          <w:szCs w:val="24"/>
        </w:rPr>
        <w:t xml:space="preserve">higher </w:t>
      </w:r>
      <w:r w:rsidRPr="000972D1">
        <w:rPr>
          <w:rFonts w:asciiTheme="majorBidi" w:eastAsia="Times New Roman" w:hAnsiTheme="majorBidi" w:cstheme="majorBidi"/>
          <w:bCs/>
          <w:iCs/>
          <w:sz w:val="24"/>
          <w:szCs w:val="24"/>
        </w:rPr>
        <w:t xml:space="preserve">audit quality </w:t>
      </w:r>
      <w:r w:rsidR="00AC4F10">
        <w:rPr>
          <w:rFonts w:asciiTheme="majorBidi" w:eastAsia="Times New Roman" w:hAnsiTheme="majorBidi" w:cstheme="majorBidi"/>
          <w:bCs/>
          <w:iCs/>
          <w:sz w:val="24"/>
          <w:szCs w:val="24"/>
        </w:rPr>
        <w:t xml:space="preserve">than their non-Big 4 </w:t>
      </w:r>
      <w:r w:rsidR="00AF796D">
        <w:rPr>
          <w:rFonts w:asciiTheme="majorBidi" w:eastAsia="Times New Roman" w:hAnsiTheme="majorBidi" w:cstheme="majorBidi"/>
          <w:bCs/>
          <w:iCs/>
          <w:sz w:val="24"/>
          <w:szCs w:val="24"/>
        </w:rPr>
        <w:t xml:space="preserve">counterparts </w:t>
      </w:r>
      <w:r w:rsidRPr="000972D1">
        <w:rPr>
          <w:rFonts w:asciiTheme="majorBidi" w:eastAsia="Times New Roman" w:hAnsiTheme="majorBidi" w:cstheme="majorBidi"/>
          <w:bCs/>
          <w:iCs/>
          <w:sz w:val="24"/>
          <w:szCs w:val="24"/>
        </w:rPr>
        <w:t xml:space="preserve">(Al-Ajmi, 2009; Samaha &amp; Hegazy, 2010; Ben-Hassoun </w:t>
      </w:r>
      <w:r w:rsidRPr="000972D1">
        <w:rPr>
          <w:rFonts w:asciiTheme="majorBidi" w:eastAsia="Times New Roman" w:hAnsiTheme="majorBidi" w:cstheme="majorBidi"/>
          <w:bCs/>
          <w:i/>
          <w:iCs/>
          <w:sz w:val="24"/>
          <w:szCs w:val="24"/>
        </w:rPr>
        <w:t>et al</w:t>
      </w:r>
      <w:r w:rsidRPr="000972D1">
        <w:rPr>
          <w:rFonts w:asciiTheme="majorBidi" w:eastAsia="Times New Roman" w:hAnsiTheme="majorBidi" w:cstheme="majorBidi"/>
          <w:bCs/>
          <w:iCs/>
          <w:sz w:val="24"/>
          <w:szCs w:val="24"/>
        </w:rPr>
        <w:t xml:space="preserve">., 2018).     </w:t>
      </w:r>
    </w:p>
    <w:p w14:paraId="60A06878" w14:textId="1A3CB2BE" w:rsidR="00513294" w:rsidRPr="00513294" w:rsidRDefault="00513294" w:rsidP="00513294">
      <w:pPr>
        <w:spacing w:after="0" w:line="360" w:lineRule="auto"/>
        <w:ind w:firstLine="720"/>
        <w:jc w:val="lowKashida"/>
        <w:rPr>
          <w:rFonts w:asciiTheme="majorBidi" w:eastAsia="Times New Roman" w:hAnsiTheme="majorBidi" w:cstheme="majorBidi"/>
          <w:bCs/>
          <w:sz w:val="24"/>
          <w:szCs w:val="24"/>
        </w:rPr>
      </w:pPr>
      <w:r w:rsidRPr="000972D1">
        <w:rPr>
          <w:rFonts w:asciiTheme="majorBidi" w:eastAsia="Times New Roman" w:hAnsiTheme="majorBidi" w:cstheme="majorBidi"/>
          <w:bCs/>
          <w:sz w:val="24"/>
          <w:szCs w:val="24"/>
        </w:rPr>
        <w:t xml:space="preserve">Audit fees are normally determined according to the economic cost of the audit and reputation of the auditor (Carcello </w:t>
      </w:r>
      <w:r w:rsidRPr="000972D1">
        <w:rPr>
          <w:rFonts w:asciiTheme="majorBidi" w:eastAsia="Times New Roman" w:hAnsiTheme="majorBidi" w:cstheme="majorBidi"/>
          <w:bCs/>
          <w:i/>
          <w:sz w:val="24"/>
          <w:szCs w:val="24"/>
        </w:rPr>
        <w:t>et al</w:t>
      </w:r>
      <w:r w:rsidRPr="000972D1">
        <w:rPr>
          <w:rFonts w:asciiTheme="majorBidi" w:eastAsia="Times New Roman" w:hAnsiTheme="majorBidi" w:cstheme="majorBidi"/>
          <w:bCs/>
          <w:sz w:val="24"/>
          <w:szCs w:val="24"/>
        </w:rPr>
        <w:t xml:space="preserve">., 2002). These costs vary with the size, complexity, risk and other characteristics of the auditee and auditor (Kalelkar &amp; Khan, 2016; Barroso </w:t>
      </w:r>
      <w:r w:rsidRPr="000972D1">
        <w:rPr>
          <w:rFonts w:asciiTheme="majorBidi" w:eastAsia="Times New Roman" w:hAnsiTheme="majorBidi" w:cstheme="majorBidi"/>
          <w:bCs/>
          <w:i/>
          <w:iCs/>
          <w:sz w:val="24"/>
          <w:szCs w:val="24"/>
        </w:rPr>
        <w:t>et al</w:t>
      </w:r>
      <w:r w:rsidRPr="000972D1">
        <w:rPr>
          <w:rFonts w:asciiTheme="majorBidi" w:eastAsia="Times New Roman" w:hAnsiTheme="majorBidi" w:cstheme="majorBidi"/>
          <w:bCs/>
          <w:sz w:val="24"/>
          <w:szCs w:val="24"/>
        </w:rPr>
        <w:t xml:space="preserve">., 2018). Auditors seek to minimise total costs by reducing the amount of additional audit work, whilst at the same time, attempting to avoid potential reputational damage and future losses arising from litigation (Choi </w:t>
      </w:r>
      <w:r w:rsidRPr="000972D1">
        <w:rPr>
          <w:rFonts w:asciiTheme="majorBidi" w:eastAsia="Times New Roman" w:hAnsiTheme="majorBidi" w:cstheme="majorBidi"/>
          <w:bCs/>
          <w:i/>
          <w:iCs/>
          <w:sz w:val="24"/>
          <w:szCs w:val="24"/>
        </w:rPr>
        <w:t>et al</w:t>
      </w:r>
      <w:r w:rsidRPr="000972D1">
        <w:rPr>
          <w:rFonts w:asciiTheme="majorBidi" w:eastAsia="Times New Roman" w:hAnsiTheme="majorBidi" w:cstheme="majorBidi"/>
          <w:bCs/>
          <w:sz w:val="24"/>
          <w:szCs w:val="24"/>
        </w:rPr>
        <w:t xml:space="preserve">. 2010; Kalelkar &amp; Khan, 2016). Larger audit investigations require more audit hours and/or use of more specialised audit staff, resulting in higher audit fees (O’Sullivan, 2000; Barroso et al., 2018). </w:t>
      </w:r>
      <w:r w:rsidRPr="000972D1">
        <w:rPr>
          <w:rFonts w:asciiTheme="majorBidi" w:eastAsia="Times New Roman" w:hAnsiTheme="majorBidi" w:cstheme="majorBidi"/>
          <w:bCs/>
          <w:sz w:val="24"/>
          <w:szCs w:val="24"/>
        </w:rPr>
        <w:lastRenderedPageBreak/>
        <w:t>Francis (2004) also argue</w:t>
      </w:r>
      <w:r w:rsidR="001345EB" w:rsidRPr="000972D1">
        <w:rPr>
          <w:rFonts w:asciiTheme="majorBidi" w:eastAsia="Times New Roman" w:hAnsiTheme="majorBidi" w:cstheme="majorBidi"/>
          <w:bCs/>
          <w:sz w:val="24"/>
          <w:szCs w:val="24"/>
        </w:rPr>
        <w:t>s</w:t>
      </w:r>
      <w:r w:rsidRPr="000972D1">
        <w:rPr>
          <w:rFonts w:asciiTheme="majorBidi" w:eastAsia="Times New Roman" w:hAnsiTheme="majorBidi" w:cstheme="majorBidi"/>
          <w:bCs/>
          <w:sz w:val="24"/>
          <w:szCs w:val="24"/>
        </w:rPr>
        <w:t xml:space="preserve"> that large audit fees possibly means that large investment is being made in audit quality. Extent literature also shows that audit quality is priced in the market (Choi </w:t>
      </w:r>
      <w:r w:rsidRPr="000972D1">
        <w:rPr>
          <w:rFonts w:asciiTheme="majorBidi" w:eastAsia="Times New Roman" w:hAnsiTheme="majorBidi" w:cstheme="majorBidi"/>
          <w:bCs/>
          <w:i/>
          <w:iCs/>
          <w:sz w:val="24"/>
          <w:szCs w:val="24"/>
        </w:rPr>
        <w:t>et al</w:t>
      </w:r>
      <w:r w:rsidRPr="000972D1">
        <w:rPr>
          <w:rFonts w:asciiTheme="majorBidi" w:eastAsia="Times New Roman" w:hAnsiTheme="majorBidi" w:cstheme="majorBidi"/>
          <w:bCs/>
          <w:sz w:val="24"/>
          <w:szCs w:val="24"/>
        </w:rPr>
        <w:t>. 2008</w:t>
      </w:r>
      <w:r w:rsidR="007B61F1">
        <w:rPr>
          <w:rFonts w:asciiTheme="majorBidi" w:eastAsia="Times New Roman" w:hAnsiTheme="majorBidi" w:cstheme="majorBidi"/>
          <w:bCs/>
          <w:sz w:val="24"/>
          <w:szCs w:val="24"/>
        </w:rPr>
        <w:t>,</w:t>
      </w:r>
      <w:r w:rsidRPr="000972D1">
        <w:rPr>
          <w:rFonts w:asciiTheme="majorBidi" w:eastAsia="Times New Roman" w:hAnsiTheme="majorBidi" w:cstheme="majorBidi"/>
          <w:bCs/>
          <w:sz w:val="24"/>
          <w:szCs w:val="24"/>
        </w:rPr>
        <w:t xml:space="preserve"> 2010). Consequently, the use of Big 4 auditors and audit fees, have understandably been widely perceived as reasonable indicators of monitoring through </w:t>
      </w:r>
      <w:r w:rsidR="001345EB" w:rsidRPr="000972D1">
        <w:rPr>
          <w:rFonts w:asciiTheme="majorBidi" w:eastAsia="Times New Roman" w:hAnsiTheme="majorBidi" w:cstheme="majorBidi"/>
          <w:bCs/>
          <w:sz w:val="24"/>
          <w:szCs w:val="24"/>
        </w:rPr>
        <w:t>the provision of high</w:t>
      </w:r>
      <w:r w:rsidRPr="000972D1">
        <w:rPr>
          <w:rFonts w:asciiTheme="majorBidi" w:eastAsia="Times New Roman" w:hAnsiTheme="majorBidi" w:cstheme="majorBidi"/>
          <w:bCs/>
          <w:sz w:val="24"/>
          <w:szCs w:val="24"/>
        </w:rPr>
        <w:t xml:space="preserve"> quality</w:t>
      </w:r>
      <w:r w:rsidR="001345EB" w:rsidRPr="000972D1">
        <w:rPr>
          <w:rFonts w:asciiTheme="majorBidi" w:eastAsia="Times New Roman" w:hAnsiTheme="majorBidi" w:cstheme="majorBidi"/>
          <w:bCs/>
          <w:sz w:val="24"/>
          <w:szCs w:val="24"/>
        </w:rPr>
        <w:t xml:space="preserve"> audit</w:t>
      </w:r>
      <w:r w:rsidRPr="000972D1">
        <w:rPr>
          <w:rFonts w:asciiTheme="majorBidi" w:eastAsia="Times New Roman" w:hAnsiTheme="majorBidi" w:cstheme="majorBidi"/>
          <w:bCs/>
          <w:sz w:val="24"/>
          <w:szCs w:val="24"/>
        </w:rPr>
        <w:t>.</w:t>
      </w:r>
    </w:p>
    <w:p w14:paraId="46523D80" w14:textId="25A1E317" w:rsidR="008C3F3E" w:rsidRPr="008E772B" w:rsidRDefault="00D84844" w:rsidP="004F47B7">
      <w:pPr>
        <w:spacing w:after="0" w:line="360" w:lineRule="auto"/>
        <w:ind w:firstLine="720"/>
        <w:jc w:val="lowKashida"/>
        <w:rPr>
          <w:rFonts w:asciiTheme="majorBidi" w:eastAsia="Times New Roman" w:hAnsiTheme="majorBidi" w:cstheme="majorBidi"/>
          <w:bCs/>
          <w:sz w:val="24"/>
          <w:szCs w:val="24"/>
        </w:rPr>
      </w:pPr>
      <w:r w:rsidRPr="008E772B">
        <w:rPr>
          <w:rFonts w:asciiTheme="majorBidi" w:eastAsia="Times New Roman" w:hAnsiTheme="majorBidi" w:cstheme="majorBidi"/>
          <w:bCs/>
          <w:sz w:val="24"/>
          <w:szCs w:val="24"/>
        </w:rPr>
        <w:t xml:space="preserve">To test </w:t>
      </w:r>
      <w:r w:rsidR="00576274">
        <w:rPr>
          <w:rFonts w:asciiTheme="majorBidi" w:eastAsia="Times New Roman" w:hAnsiTheme="majorBidi" w:cstheme="majorBidi"/>
          <w:bCs/>
          <w:sz w:val="24"/>
          <w:szCs w:val="24"/>
        </w:rPr>
        <w:t xml:space="preserve">our </w:t>
      </w:r>
      <w:r w:rsidRPr="008E772B">
        <w:rPr>
          <w:rFonts w:asciiTheme="majorBidi" w:eastAsia="Times New Roman" w:hAnsiTheme="majorBidi" w:cstheme="majorBidi"/>
          <w:bCs/>
          <w:sz w:val="24"/>
          <w:szCs w:val="24"/>
        </w:rPr>
        <w:t xml:space="preserve">hypotheses, we categorise our explanatory variables into two </w:t>
      </w:r>
      <w:r w:rsidR="008C3F3E" w:rsidRPr="008E772B">
        <w:rPr>
          <w:rFonts w:asciiTheme="majorBidi" w:eastAsia="Times New Roman" w:hAnsiTheme="majorBidi" w:cstheme="majorBidi"/>
          <w:bCs/>
          <w:sz w:val="24"/>
          <w:szCs w:val="24"/>
        </w:rPr>
        <w:t>sets</w:t>
      </w:r>
      <w:r w:rsidRPr="008E772B">
        <w:rPr>
          <w:rFonts w:asciiTheme="majorBidi" w:eastAsia="Times New Roman" w:hAnsiTheme="majorBidi" w:cstheme="majorBidi"/>
          <w:bCs/>
          <w:sz w:val="24"/>
          <w:szCs w:val="24"/>
        </w:rPr>
        <w:t xml:space="preserve"> (firm- and country-level governance variables). </w:t>
      </w:r>
      <w:r w:rsidR="008C3F3E" w:rsidRPr="008E772B">
        <w:rPr>
          <w:rFonts w:asciiTheme="majorBidi" w:eastAsia="Times New Roman" w:hAnsiTheme="majorBidi" w:cstheme="majorBidi"/>
          <w:bCs/>
          <w:sz w:val="24"/>
          <w:szCs w:val="24"/>
        </w:rPr>
        <w:t>The first set is</w:t>
      </w:r>
      <w:r w:rsidRPr="008E772B">
        <w:rPr>
          <w:rFonts w:asciiTheme="majorBidi" w:eastAsia="Times New Roman" w:hAnsiTheme="majorBidi" w:cstheme="majorBidi"/>
          <w:bCs/>
          <w:sz w:val="24"/>
          <w:szCs w:val="24"/>
        </w:rPr>
        <w:t xml:space="preserve"> firm-level governance variables</w:t>
      </w:r>
      <w:r w:rsidR="00FC7BD9" w:rsidRPr="008E772B">
        <w:rPr>
          <w:rFonts w:asciiTheme="majorBidi" w:eastAsia="Times New Roman" w:hAnsiTheme="majorBidi" w:cstheme="majorBidi"/>
          <w:bCs/>
          <w:sz w:val="24"/>
          <w:szCs w:val="24"/>
        </w:rPr>
        <w:t>, including</w:t>
      </w:r>
      <w:r w:rsidRPr="008E772B">
        <w:rPr>
          <w:rFonts w:asciiTheme="majorBidi" w:eastAsia="Times New Roman" w:hAnsiTheme="majorBidi" w:cstheme="majorBidi"/>
          <w:bCs/>
          <w:sz w:val="24"/>
          <w:szCs w:val="24"/>
        </w:rPr>
        <w:t xml:space="preserve"> </w:t>
      </w:r>
      <w:r w:rsidR="00C943B3" w:rsidRPr="008E772B">
        <w:rPr>
          <w:rFonts w:asciiTheme="majorBidi" w:eastAsia="Times New Roman" w:hAnsiTheme="majorBidi" w:cstheme="majorBidi"/>
          <w:bCs/>
          <w:sz w:val="24"/>
          <w:szCs w:val="24"/>
        </w:rPr>
        <w:t xml:space="preserve">board characteristics measuring </w:t>
      </w:r>
      <w:r w:rsidRPr="008E772B">
        <w:rPr>
          <w:rFonts w:asciiTheme="majorBidi" w:eastAsia="Times New Roman" w:hAnsiTheme="majorBidi" w:cstheme="majorBidi"/>
          <w:bCs/>
          <w:sz w:val="24"/>
          <w:szCs w:val="24"/>
        </w:rPr>
        <w:t>board size (</w:t>
      </w:r>
      <w:r w:rsidR="00CD0B52" w:rsidRPr="008E772B">
        <w:rPr>
          <w:rFonts w:asciiTheme="majorBidi" w:eastAsia="Times New Roman" w:hAnsiTheme="majorBidi" w:cstheme="majorBidi"/>
          <w:bCs/>
          <w:i/>
          <w:iCs/>
          <w:sz w:val="24"/>
          <w:szCs w:val="24"/>
          <w:lang w:val="en-US"/>
        </w:rPr>
        <w:t>BRDS</w:t>
      </w:r>
      <w:r w:rsidRPr="008E772B">
        <w:rPr>
          <w:rFonts w:asciiTheme="majorBidi" w:eastAsia="Times New Roman" w:hAnsiTheme="majorBidi" w:cstheme="majorBidi"/>
          <w:bCs/>
          <w:sz w:val="24"/>
          <w:szCs w:val="24"/>
        </w:rPr>
        <w:t>), board independence (</w:t>
      </w:r>
      <w:r w:rsidRPr="008E772B">
        <w:rPr>
          <w:rFonts w:asciiTheme="majorBidi" w:eastAsia="Times New Roman" w:hAnsiTheme="majorBidi" w:cstheme="majorBidi"/>
          <w:bCs/>
          <w:i/>
          <w:iCs/>
          <w:sz w:val="24"/>
          <w:szCs w:val="24"/>
        </w:rPr>
        <w:t>IND</w:t>
      </w:r>
      <w:r w:rsidRPr="008E772B">
        <w:rPr>
          <w:rFonts w:asciiTheme="majorBidi" w:eastAsia="Times New Roman" w:hAnsiTheme="majorBidi" w:cstheme="majorBidi"/>
          <w:bCs/>
          <w:sz w:val="24"/>
          <w:szCs w:val="24"/>
        </w:rPr>
        <w:t xml:space="preserve">) and </w:t>
      </w:r>
      <w:r w:rsidR="004F47B7">
        <w:rPr>
          <w:rFonts w:asciiTheme="majorBidi" w:eastAsia="Times New Roman" w:hAnsiTheme="majorBidi" w:cstheme="majorBidi"/>
          <w:bCs/>
          <w:sz w:val="24"/>
          <w:szCs w:val="24"/>
        </w:rPr>
        <w:t xml:space="preserve">unitary </w:t>
      </w:r>
      <w:r w:rsidRPr="008E772B">
        <w:rPr>
          <w:rFonts w:asciiTheme="majorBidi" w:eastAsia="Times New Roman" w:hAnsiTheme="majorBidi" w:cstheme="majorBidi"/>
          <w:bCs/>
          <w:sz w:val="24"/>
          <w:szCs w:val="24"/>
        </w:rPr>
        <w:t>board leadership (</w:t>
      </w:r>
      <w:r w:rsidR="00CD0B52" w:rsidRPr="008E772B">
        <w:rPr>
          <w:rFonts w:asciiTheme="majorBidi" w:eastAsia="Times New Roman" w:hAnsiTheme="majorBidi" w:cstheme="majorBidi"/>
          <w:bCs/>
          <w:i/>
          <w:iCs/>
          <w:sz w:val="24"/>
          <w:szCs w:val="24"/>
          <w:lang w:val="en-US"/>
        </w:rPr>
        <w:t>UBL</w:t>
      </w:r>
      <w:r w:rsidRPr="008E772B">
        <w:rPr>
          <w:rFonts w:asciiTheme="majorBidi" w:eastAsia="Times New Roman" w:hAnsiTheme="majorBidi" w:cstheme="majorBidi"/>
          <w:bCs/>
          <w:sz w:val="24"/>
          <w:szCs w:val="24"/>
        </w:rPr>
        <w:t>)</w:t>
      </w:r>
      <w:r w:rsidR="006C3A0F" w:rsidRPr="008E772B">
        <w:rPr>
          <w:rFonts w:asciiTheme="majorBidi" w:eastAsia="Times New Roman" w:hAnsiTheme="majorBidi" w:cstheme="majorBidi"/>
          <w:bCs/>
          <w:sz w:val="24"/>
          <w:szCs w:val="24"/>
        </w:rPr>
        <w:t xml:space="preserve">, and </w:t>
      </w:r>
      <w:r w:rsidRPr="008E772B">
        <w:rPr>
          <w:rFonts w:asciiTheme="majorBidi" w:eastAsia="Times New Roman" w:hAnsiTheme="majorBidi" w:cstheme="majorBidi"/>
          <w:bCs/>
          <w:sz w:val="24"/>
          <w:szCs w:val="24"/>
        </w:rPr>
        <w:t>corporate shareholdings relating to government shareholding (</w:t>
      </w:r>
      <w:r w:rsidR="004039E0" w:rsidRPr="008E772B">
        <w:rPr>
          <w:rFonts w:asciiTheme="majorBidi" w:eastAsia="Times New Roman" w:hAnsiTheme="majorBidi" w:cstheme="majorBidi"/>
          <w:bCs/>
          <w:i/>
          <w:iCs/>
          <w:sz w:val="24"/>
          <w:szCs w:val="24"/>
          <w:lang w:val="en-US"/>
        </w:rPr>
        <w:t>GOSH</w:t>
      </w:r>
      <w:r w:rsidRPr="008E772B">
        <w:rPr>
          <w:rFonts w:asciiTheme="majorBidi" w:eastAsia="Times New Roman" w:hAnsiTheme="majorBidi" w:cstheme="majorBidi"/>
          <w:bCs/>
          <w:sz w:val="24"/>
          <w:szCs w:val="24"/>
        </w:rPr>
        <w:t xml:space="preserve">), </w:t>
      </w:r>
      <w:r w:rsidR="006C3A0F" w:rsidRPr="008E772B">
        <w:rPr>
          <w:rFonts w:asciiTheme="majorBidi" w:eastAsia="Times New Roman" w:hAnsiTheme="majorBidi" w:cstheme="majorBidi"/>
          <w:bCs/>
          <w:sz w:val="24"/>
          <w:szCs w:val="24"/>
        </w:rPr>
        <w:t>director</w:t>
      </w:r>
      <w:r w:rsidRPr="008E772B">
        <w:rPr>
          <w:rFonts w:asciiTheme="majorBidi" w:eastAsia="Times New Roman" w:hAnsiTheme="majorBidi" w:cstheme="majorBidi"/>
          <w:bCs/>
          <w:sz w:val="24"/>
          <w:szCs w:val="24"/>
        </w:rPr>
        <w:t xml:space="preserve"> shareholding</w:t>
      </w:r>
      <w:r w:rsidR="006C3A0F" w:rsidRPr="008E772B">
        <w:rPr>
          <w:rFonts w:asciiTheme="majorBidi" w:eastAsia="Times New Roman" w:hAnsiTheme="majorBidi" w:cstheme="majorBidi"/>
          <w:bCs/>
          <w:sz w:val="24"/>
          <w:szCs w:val="24"/>
        </w:rPr>
        <w:t xml:space="preserve"> </w:t>
      </w:r>
      <w:r w:rsidRPr="008E772B">
        <w:rPr>
          <w:rFonts w:asciiTheme="majorBidi" w:eastAsia="Times New Roman" w:hAnsiTheme="majorBidi" w:cstheme="majorBidi"/>
          <w:bCs/>
          <w:sz w:val="24"/>
          <w:szCs w:val="24"/>
        </w:rPr>
        <w:t>(</w:t>
      </w:r>
      <w:r w:rsidR="00203345" w:rsidRPr="008E772B">
        <w:rPr>
          <w:rFonts w:asciiTheme="majorBidi" w:eastAsia="Times New Roman" w:hAnsiTheme="majorBidi" w:cstheme="majorBidi"/>
          <w:bCs/>
          <w:i/>
          <w:iCs/>
          <w:sz w:val="24"/>
          <w:szCs w:val="24"/>
          <w:lang w:val="en-US"/>
        </w:rPr>
        <w:t>DISH</w:t>
      </w:r>
      <w:r w:rsidRPr="008E772B">
        <w:rPr>
          <w:rFonts w:asciiTheme="majorBidi" w:eastAsia="Times New Roman" w:hAnsiTheme="majorBidi" w:cstheme="majorBidi"/>
          <w:bCs/>
          <w:sz w:val="24"/>
          <w:szCs w:val="24"/>
        </w:rPr>
        <w:t xml:space="preserve">) and </w:t>
      </w:r>
      <w:r w:rsidR="00A9580B">
        <w:rPr>
          <w:rFonts w:asciiTheme="majorBidi" w:eastAsia="Times New Roman" w:hAnsiTheme="majorBidi" w:cstheme="majorBidi"/>
          <w:bCs/>
          <w:sz w:val="24"/>
          <w:szCs w:val="24"/>
        </w:rPr>
        <w:t>family</w:t>
      </w:r>
      <w:r w:rsidR="00A9580B" w:rsidRPr="008E772B">
        <w:rPr>
          <w:rFonts w:asciiTheme="majorBidi" w:eastAsia="Times New Roman" w:hAnsiTheme="majorBidi" w:cstheme="majorBidi"/>
          <w:bCs/>
          <w:sz w:val="24"/>
          <w:szCs w:val="24"/>
        </w:rPr>
        <w:t xml:space="preserve"> </w:t>
      </w:r>
      <w:r w:rsidR="006C3A0F" w:rsidRPr="008E772B">
        <w:rPr>
          <w:rFonts w:asciiTheme="majorBidi" w:eastAsia="Times New Roman" w:hAnsiTheme="majorBidi" w:cstheme="majorBidi"/>
          <w:bCs/>
          <w:sz w:val="24"/>
          <w:szCs w:val="24"/>
        </w:rPr>
        <w:t>shareholding (</w:t>
      </w:r>
      <w:r w:rsidR="00A9580B">
        <w:rPr>
          <w:rFonts w:asciiTheme="majorBidi" w:eastAsia="Times New Roman" w:hAnsiTheme="majorBidi" w:cstheme="majorBidi"/>
          <w:bCs/>
          <w:i/>
          <w:iCs/>
          <w:sz w:val="24"/>
          <w:szCs w:val="24"/>
          <w:lang w:val="en-US"/>
        </w:rPr>
        <w:t>F</w:t>
      </w:r>
      <w:r w:rsidR="00A9580B" w:rsidRPr="008E772B">
        <w:rPr>
          <w:rFonts w:asciiTheme="majorBidi" w:eastAsia="Times New Roman" w:hAnsiTheme="majorBidi" w:cstheme="majorBidi"/>
          <w:bCs/>
          <w:i/>
          <w:iCs/>
          <w:sz w:val="24"/>
          <w:szCs w:val="24"/>
          <w:lang w:val="en-US"/>
        </w:rPr>
        <w:t>LSH</w:t>
      </w:r>
      <w:r w:rsidR="006C3A0F" w:rsidRPr="008E772B">
        <w:rPr>
          <w:rFonts w:asciiTheme="majorBidi" w:eastAsia="Times New Roman" w:hAnsiTheme="majorBidi" w:cstheme="majorBidi"/>
          <w:bCs/>
          <w:sz w:val="24"/>
          <w:szCs w:val="24"/>
        </w:rPr>
        <w:t>)</w:t>
      </w:r>
      <w:r w:rsidR="008C3F3E" w:rsidRPr="008E772B">
        <w:rPr>
          <w:rFonts w:asciiTheme="majorBidi" w:eastAsia="Times New Roman" w:hAnsiTheme="majorBidi" w:cstheme="majorBidi"/>
          <w:bCs/>
          <w:sz w:val="24"/>
          <w:szCs w:val="24"/>
        </w:rPr>
        <w:t xml:space="preserve">. </w:t>
      </w:r>
    </w:p>
    <w:p w14:paraId="327E3FA9" w14:textId="3A4A9E9B" w:rsidR="005D6D12" w:rsidRPr="008E772B" w:rsidRDefault="008C3F3E" w:rsidP="00F41ED7">
      <w:pPr>
        <w:spacing w:after="0" w:line="360" w:lineRule="auto"/>
        <w:ind w:firstLine="720"/>
        <w:jc w:val="lowKashida"/>
        <w:rPr>
          <w:rFonts w:asciiTheme="majorBidi" w:eastAsia="Times New Roman" w:hAnsiTheme="majorBidi" w:cstheme="majorBidi"/>
          <w:bCs/>
          <w:sz w:val="24"/>
          <w:szCs w:val="24"/>
        </w:rPr>
      </w:pPr>
      <w:r w:rsidRPr="008E772B">
        <w:rPr>
          <w:rFonts w:asciiTheme="majorBidi" w:eastAsia="Times New Roman" w:hAnsiTheme="majorBidi" w:cstheme="majorBidi"/>
          <w:bCs/>
          <w:sz w:val="24"/>
          <w:szCs w:val="24"/>
        </w:rPr>
        <w:t>Second type of explanatory variables is country-related variables.</w:t>
      </w:r>
      <w:r w:rsidR="00BC4E59" w:rsidRPr="008E772B">
        <w:rPr>
          <w:rFonts w:asciiTheme="majorBidi" w:eastAsia="Calibri" w:hAnsiTheme="majorBidi" w:cstheme="majorBidi"/>
          <w:sz w:val="24"/>
          <w:szCs w:val="24"/>
          <w:lang w:eastAsia="en-US"/>
        </w:rPr>
        <w:t xml:space="preserve"> </w:t>
      </w:r>
      <w:r w:rsidR="00513294" w:rsidRPr="00513294">
        <w:rPr>
          <w:rFonts w:asciiTheme="majorBidi" w:eastAsia="Calibri" w:hAnsiTheme="majorBidi" w:cstheme="majorBidi"/>
          <w:bCs/>
          <w:sz w:val="24"/>
          <w:szCs w:val="24"/>
          <w:lang w:eastAsia="en-US"/>
        </w:rPr>
        <w:t xml:space="preserve">We operationalise country-level governance </w:t>
      </w:r>
      <w:r w:rsidR="00DC571A">
        <w:rPr>
          <w:rFonts w:asciiTheme="majorBidi" w:eastAsia="Calibri" w:hAnsiTheme="majorBidi" w:cstheme="majorBidi"/>
          <w:bCs/>
          <w:sz w:val="24"/>
          <w:szCs w:val="24"/>
          <w:lang w:eastAsia="en-US"/>
        </w:rPr>
        <w:t xml:space="preserve">quality </w:t>
      </w:r>
      <w:r w:rsidR="00513294" w:rsidRPr="00513294">
        <w:rPr>
          <w:rFonts w:asciiTheme="majorBidi" w:eastAsia="Calibri" w:hAnsiTheme="majorBidi" w:cstheme="majorBidi"/>
          <w:bCs/>
          <w:sz w:val="24"/>
          <w:szCs w:val="24"/>
          <w:lang w:eastAsia="en-US"/>
        </w:rPr>
        <w:t xml:space="preserve">by employing country-level data compiled by Kaufmann </w:t>
      </w:r>
      <w:r w:rsidR="00513294" w:rsidRPr="00513294">
        <w:rPr>
          <w:rFonts w:asciiTheme="majorBidi" w:eastAsia="Calibri" w:hAnsiTheme="majorBidi" w:cstheme="majorBidi"/>
          <w:bCs/>
          <w:i/>
          <w:iCs/>
          <w:sz w:val="24"/>
          <w:szCs w:val="24"/>
          <w:lang w:eastAsia="en-US"/>
        </w:rPr>
        <w:t>et al</w:t>
      </w:r>
      <w:r w:rsidR="00513294" w:rsidRPr="00513294">
        <w:rPr>
          <w:rFonts w:asciiTheme="majorBidi" w:eastAsia="Calibri" w:hAnsiTheme="majorBidi" w:cstheme="majorBidi"/>
          <w:bCs/>
          <w:sz w:val="24"/>
          <w:szCs w:val="24"/>
          <w:lang w:eastAsia="en-US"/>
        </w:rPr>
        <w:t>. (2014).</w:t>
      </w:r>
      <w:r w:rsidR="00513294">
        <w:rPr>
          <w:rFonts w:asciiTheme="majorBidi" w:eastAsia="Calibri" w:hAnsiTheme="majorBidi" w:cstheme="majorBidi"/>
          <w:bCs/>
          <w:sz w:val="24"/>
          <w:szCs w:val="24"/>
          <w:lang w:eastAsia="en-US"/>
        </w:rPr>
        <w:t xml:space="preserve"> </w:t>
      </w:r>
      <w:r w:rsidR="00BC4E59" w:rsidRPr="008E772B">
        <w:rPr>
          <w:rFonts w:asciiTheme="majorBidi" w:eastAsia="Times New Roman" w:hAnsiTheme="majorBidi" w:cstheme="majorBidi"/>
          <w:bCs/>
          <w:sz w:val="24"/>
          <w:szCs w:val="24"/>
        </w:rPr>
        <w:t xml:space="preserve">There are six governance indicators measuring the extent of governance quality </w:t>
      </w:r>
      <w:r w:rsidR="00F41ED7">
        <w:rPr>
          <w:rFonts w:asciiTheme="majorBidi" w:eastAsia="Times New Roman" w:hAnsiTheme="majorBidi" w:cstheme="majorBidi"/>
          <w:bCs/>
          <w:sz w:val="24"/>
          <w:szCs w:val="24"/>
        </w:rPr>
        <w:t>at</w:t>
      </w:r>
      <w:r w:rsidR="00F41ED7" w:rsidRPr="008E772B">
        <w:rPr>
          <w:rFonts w:asciiTheme="majorBidi" w:eastAsia="Times New Roman" w:hAnsiTheme="majorBidi" w:cstheme="majorBidi"/>
          <w:bCs/>
          <w:sz w:val="24"/>
          <w:szCs w:val="24"/>
        </w:rPr>
        <w:t xml:space="preserve"> </w:t>
      </w:r>
      <w:r w:rsidR="00BC4E59" w:rsidRPr="008E772B">
        <w:rPr>
          <w:rFonts w:asciiTheme="majorBidi" w:eastAsia="Times New Roman" w:hAnsiTheme="majorBidi" w:cstheme="majorBidi"/>
          <w:bCs/>
          <w:sz w:val="24"/>
          <w:szCs w:val="24"/>
        </w:rPr>
        <w:t xml:space="preserve">the national level (i.e., </w:t>
      </w:r>
      <w:r w:rsidR="004A5310" w:rsidRPr="008E772B">
        <w:rPr>
          <w:rFonts w:asciiTheme="majorBidi" w:eastAsia="Times New Roman" w:hAnsiTheme="majorBidi" w:cstheme="majorBidi"/>
          <w:bCs/>
          <w:sz w:val="24"/>
          <w:szCs w:val="24"/>
        </w:rPr>
        <w:t>r</w:t>
      </w:r>
      <w:r w:rsidR="00BC4E59" w:rsidRPr="008E772B">
        <w:rPr>
          <w:rFonts w:asciiTheme="majorBidi" w:eastAsia="Times New Roman" w:hAnsiTheme="majorBidi" w:cstheme="majorBidi"/>
          <w:bCs/>
          <w:sz w:val="24"/>
          <w:szCs w:val="24"/>
        </w:rPr>
        <w:t>ule of law, government effectiveness, control of corruption, voice and accountability, political stability</w:t>
      </w:r>
      <w:r w:rsidR="00055D9A">
        <w:rPr>
          <w:rFonts w:asciiTheme="majorBidi" w:eastAsia="Times New Roman" w:hAnsiTheme="majorBidi" w:cstheme="majorBidi"/>
          <w:bCs/>
          <w:sz w:val="24"/>
          <w:szCs w:val="24"/>
        </w:rPr>
        <w:t>,</w:t>
      </w:r>
      <w:r w:rsidR="00BC4E59" w:rsidRPr="008E772B">
        <w:rPr>
          <w:rFonts w:asciiTheme="majorBidi" w:eastAsia="Times New Roman" w:hAnsiTheme="majorBidi" w:cstheme="majorBidi"/>
          <w:bCs/>
          <w:sz w:val="24"/>
          <w:szCs w:val="24"/>
        </w:rPr>
        <w:t xml:space="preserve"> </w:t>
      </w:r>
      <w:r w:rsidR="004F2DA3" w:rsidRPr="008E772B">
        <w:rPr>
          <w:rFonts w:asciiTheme="majorBidi" w:eastAsia="Times New Roman" w:hAnsiTheme="majorBidi" w:cstheme="majorBidi"/>
          <w:bCs/>
          <w:sz w:val="24"/>
          <w:szCs w:val="24"/>
        </w:rPr>
        <w:t xml:space="preserve">and </w:t>
      </w:r>
      <w:r w:rsidR="00BC4E59" w:rsidRPr="008E772B">
        <w:rPr>
          <w:rFonts w:asciiTheme="majorBidi" w:eastAsia="Times New Roman" w:hAnsiTheme="majorBidi" w:cstheme="majorBidi"/>
          <w:bCs/>
          <w:sz w:val="24"/>
          <w:szCs w:val="24"/>
        </w:rPr>
        <w:t>regulatory quality). Because</w:t>
      </w:r>
      <w:r w:rsidR="00BC4E59" w:rsidRPr="008E772B">
        <w:rPr>
          <w:rFonts w:asciiTheme="majorBidi" w:eastAsia="Calibri" w:hAnsiTheme="majorBidi" w:cstheme="majorBidi"/>
          <w:sz w:val="24"/>
          <w:szCs w:val="24"/>
          <w:lang w:eastAsia="en-US"/>
        </w:rPr>
        <w:t xml:space="preserve"> </w:t>
      </w:r>
      <w:r w:rsidR="00BC4E59" w:rsidRPr="008E772B">
        <w:rPr>
          <w:rFonts w:asciiTheme="majorBidi" w:eastAsia="Times New Roman" w:hAnsiTheme="majorBidi" w:cstheme="majorBidi"/>
          <w:bCs/>
          <w:sz w:val="24"/>
          <w:szCs w:val="24"/>
        </w:rPr>
        <w:t>the six governance indicators are strongly correlated, it is difficult to claim that they are genuinely measuring different dimensions of governance within each country (Al</w:t>
      </w:r>
      <w:r w:rsidR="00BC4E59" w:rsidRPr="008E772B">
        <w:rPr>
          <w:rFonts w:ascii="Cambria Math" w:eastAsia="Times New Roman" w:hAnsi="Cambria Math" w:cs="Cambria Math"/>
          <w:bCs/>
          <w:sz w:val="24"/>
          <w:szCs w:val="24"/>
        </w:rPr>
        <w:t>‐</w:t>
      </w:r>
      <w:r w:rsidR="00BC4E59" w:rsidRPr="008E772B">
        <w:rPr>
          <w:rFonts w:asciiTheme="majorBidi" w:eastAsia="Times New Roman" w:hAnsiTheme="majorBidi" w:cstheme="majorBidi"/>
          <w:bCs/>
          <w:sz w:val="24"/>
          <w:szCs w:val="24"/>
        </w:rPr>
        <w:t>Marhubi, 2004).</w:t>
      </w:r>
      <w:r w:rsidRPr="008E772B">
        <w:rPr>
          <w:rFonts w:asciiTheme="majorBidi" w:eastAsia="Times New Roman" w:hAnsiTheme="majorBidi" w:cstheme="majorBidi"/>
          <w:bCs/>
          <w:sz w:val="24"/>
          <w:szCs w:val="24"/>
        </w:rPr>
        <w:t xml:space="preserve"> </w:t>
      </w:r>
      <w:r w:rsidR="00882E57" w:rsidRPr="008E772B">
        <w:rPr>
          <w:rFonts w:asciiTheme="majorBidi" w:eastAsia="Times New Roman" w:hAnsiTheme="majorBidi" w:cstheme="majorBidi"/>
          <w:bCs/>
          <w:sz w:val="24"/>
          <w:szCs w:val="24"/>
        </w:rPr>
        <w:t>Therefore</w:t>
      </w:r>
      <w:r w:rsidR="00BC4E59" w:rsidRPr="008E772B">
        <w:rPr>
          <w:rFonts w:asciiTheme="majorBidi" w:eastAsia="Times New Roman" w:hAnsiTheme="majorBidi" w:cstheme="majorBidi"/>
          <w:bCs/>
          <w:sz w:val="24"/>
          <w:szCs w:val="24"/>
        </w:rPr>
        <w:t xml:space="preserve">, </w:t>
      </w:r>
      <w:r w:rsidR="00882E57">
        <w:rPr>
          <w:rFonts w:asciiTheme="majorBidi" w:eastAsia="Times New Roman" w:hAnsiTheme="majorBidi" w:cstheme="majorBidi"/>
          <w:bCs/>
          <w:sz w:val="24"/>
          <w:szCs w:val="24"/>
        </w:rPr>
        <w:t xml:space="preserve">we use the six governance indicators separately and </w:t>
      </w:r>
      <w:r w:rsidR="001345EB">
        <w:rPr>
          <w:rFonts w:asciiTheme="majorBidi" w:eastAsia="Times New Roman" w:hAnsiTheme="majorBidi" w:cstheme="majorBidi"/>
          <w:bCs/>
          <w:sz w:val="24"/>
          <w:szCs w:val="24"/>
        </w:rPr>
        <w:t>subsequently,</w:t>
      </w:r>
      <w:r w:rsidR="00882E57">
        <w:rPr>
          <w:rFonts w:asciiTheme="majorBidi" w:eastAsia="Times New Roman" w:hAnsiTheme="majorBidi" w:cstheme="majorBidi"/>
          <w:bCs/>
          <w:sz w:val="24"/>
          <w:szCs w:val="24"/>
        </w:rPr>
        <w:t xml:space="preserve"> </w:t>
      </w:r>
      <w:r w:rsidR="00BC4E59" w:rsidRPr="008E772B">
        <w:rPr>
          <w:rFonts w:asciiTheme="majorBidi" w:eastAsia="Times New Roman" w:hAnsiTheme="majorBidi" w:cstheme="majorBidi"/>
          <w:bCs/>
          <w:sz w:val="24"/>
          <w:szCs w:val="24"/>
        </w:rPr>
        <w:t xml:space="preserve">we </w:t>
      </w:r>
      <w:r w:rsidR="00EE0007" w:rsidRPr="008E772B">
        <w:rPr>
          <w:rFonts w:asciiTheme="majorBidi" w:eastAsia="Times New Roman" w:hAnsiTheme="majorBidi" w:cstheme="majorBidi"/>
          <w:bCs/>
          <w:sz w:val="24"/>
          <w:szCs w:val="24"/>
        </w:rPr>
        <w:t>combine the six indices measured based on percentile rank terms ranging from 0 (lowest) to 100 (highest)</w:t>
      </w:r>
      <w:r w:rsidR="00BC4E59" w:rsidRPr="008E772B">
        <w:rPr>
          <w:rFonts w:asciiTheme="majorBidi" w:eastAsia="Times New Roman" w:hAnsiTheme="majorBidi" w:cstheme="majorBidi"/>
          <w:bCs/>
          <w:sz w:val="24"/>
          <w:szCs w:val="24"/>
        </w:rPr>
        <w:t xml:space="preserve"> into a composite indicator</w:t>
      </w:r>
      <w:r w:rsidR="005D6D12" w:rsidRPr="008E772B">
        <w:rPr>
          <w:rFonts w:asciiTheme="majorBidi" w:eastAsia="Times New Roman" w:hAnsiTheme="majorBidi" w:cstheme="majorBidi"/>
          <w:bCs/>
          <w:sz w:val="24"/>
          <w:szCs w:val="24"/>
          <w:lang w:val="en-US"/>
        </w:rPr>
        <w:t xml:space="preserve"> </w:t>
      </w:r>
      <w:r w:rsidR="00792FA3">
        <w:rPr>
          <w:rFonts w:asciiTheme="majorBidi" w:eastAsia="Times New Roman" w:hAnsiTheme="majorBidi" w:cstheme="majorBidi"/>
          <w:bCs/>
          <w:sz w:val="24"/>
          <w:szCs w:val="24"/>
          <w:lang w:val="en-US"/>
        </w:rPr>
        <w:t>(</w:t>
      </w:r>
      <w:r w:rsidR="005D6D12" w:rsidRPr="008E772B">
        <w:rPr>
          <w:rFonts w:asciiTheme="majorBidi" w:eastAsia="Times New Roman" w:hAnsiTheme="majorBidi" w:cstheme="majorBidi"/>
          <w:bCs/>
          <w:sz w:val="24"/>
          <w:szCs w:val="24"/>
          <w:lang w:val="en-US"/>
        </w:rPr>
        <w:t xml:space="preserve">(National Governance </w:t>
      </w:r>
      <w:r w:rsidR="005D6D12" w:rsidRPr="008E772B">
        <w:rPr>
          <w:rFonts w:asciiTheme="majorBidi" w:eastAsia="Times New Roman" w:hAnsiTheme="majorBidi" w:cstheme="majorBidi"/>
          <w:bCs/>
          <w:sz w:val="24"/>
          <w:szCs w:val="24"/>
        </w:rPr>
        <w:t>Index</w:t>
      </w:r>
      <w:r w:rsidR="00277CA2">
        <w:rPr>
          <w:rFonts w:asciiTheme="majorBidi" w:eastAsia="Times New Roman" w:hAnsiTheme="majorBidi" w:cstheme="majorBidi"/>
          <w:bCs/>
          <w:sz w:val="24"/>
          <w:szCs w:val="24"/>
        </w:rPr>
        <w:t xml:space="preserve"> </w:t>
      </w:r>
      <w:r w:rsidR="00277CA2" w:rsidRPr="00277CA2">
        <w:rPr>
          <w:rFonts w:asciiTheme="majorBidi" w:eastAsia="Times New Roman" w:hAnsiTheme="majorBidi" w:cstheme="majorBidi"/>
          <w:bCs/>
          <w:i/>
          <w:iCs/>
          <w:sz w:val="24"/>
          <w:szCs w:val="24"/>
        </w:rPr>
        <w:t>(NGI)</w:t>
      </w:r>
      <w:r w:rsidR="005D6D12" w:rsidRPr="008E772B">
        <w:rPr>
          <w:rFonts w:asciiTheme="majorBidi" w:eastAsia="Times New Roman" w:hAnsiTheme="majorBidi" w:cstheme="majorBidi"/>
          <w:bCs/>
          <w:sz w:val="24"/>
          <w:szCs w:val="24"/>
        </w:rPr>
        <w:t>)</w:t>
      </w:r>
      <w:r w:rsidR="00F41ED7">
        <w:rPr>
          <w:rFonts w:asciiTheme="majorBidi" w:eastAsia="Times New Roman" w:hAnsiTheme="majorBidi" w:cstheme="majorBidi"/>
          <w:bCs/>
          <w:sz w:val="24"/>
          <w:szCs w:val="24"/>
        </w:rPr>
        <w:t>,</w:t>
      </w:r>
      <w:r w:rsidR="00BC4E59" w:rsidRPr="008E772B">
        <w:rPr>
          <w:rFonts w:asciiTheme="majorBidi" w:eastAsia="Calibri" w:hAnsiTheme="majorBidi" w:cstheme="majorBidi"/>
          <w:sz w:val="24"/>
          <w:szCs w:val="24"/>
          <w:lang w:eastAsia="en-US"/>
        </w:rPr>
        <w:t xml:space="preserve"> </w:t>
      </w:r>
      <w:r w:rsidR="00E0528B" w:rsidRPr="008E772B">
        <w:rPr>
          <w:rFonts w:asciiTheme="majorBidi" w:eastAsia="Calibri" w:hAnsiTheme="majorBidi" w:cstheme="majorBidi"/>
          <w:sz w:val="24"/>
          <w:szCs w:val="24"/>
          <w:lang w:eastAsia="en-US"/>
        </w:rPr>
        <w:t xml:space="preserve">using </w:t>
      </w:r>
      <w:r w:rsidR="00882E57">
        <w:rPr>
          <w:rFonts w:asciiTheme="majorBidi" w:eastAsia="Calibri" w:hAnsiTheme="majorBidi" w:cstheme="majorBidi"/>
          <w:sz w:val="24"/>
          <w:szCs w:val="24"/>
          <w:lang w:eastAsia="en-US"/>
        </w:rPr>
        <w:t xml:space="preserve">the </w:t>
      </w:r>
      <w:r w:rsidR="00882E57" w:rsidRPr="00882E57">
        <w:rPr>
          <w:rFonts w:asciiTheme="majorBidi" w:eastAsia="Calibri" w:hAnsiTheme="majorBidi" w:cstheme="majorBidi"/>
          <w:bCs/>
          <w:sz w:val="24"/>
          <w:szCs w:val="24"/>
          <w:lang w:eastAsia="en-US"/>
        </w:rPr>
        <w:t>simple averaging of the six national governance indicators</w:t>
      </w:r>
      <w:r w:rsidR="00882E57">
        <w:rPr>
          <w:rFonts w:asciiTheme="majorBidi" w:eastAsia="Calibri" w:hAnsiTheme="majorBidi" w:cstheme="majorBidi"/>
          <w:bCs/>
          <w:sz w:val="24"/>
          <w:szCs w:val="24"/>
          <w:lang w:eastAsia="en-US"/>
        </w:rPr>
        <w:t xml:space="preserve"> </w:t>
      </w:r>
      <w:r w:rsidR="00882E57" w:rsidRPr="00882E57">
        <w:rPr>
          <w:rFonts w:asciiTheme="majorBidi" w:eastAsia="Calibri" w:hAnsiTheme="majorBidi" w:cstheme="majorBidi"/>
          <w:bCs/>
          <w:sz w:val="24"/>
          <w:szCs w:val="24"/>
          <w:lang w:eastAsia="en-US"/>
        </w:rPr>
        <w:t xml:space="preserve">in line with </w:t>
      </w:r>
      <w:r w:rsidR="001D73BA">
        <w:rPr>
          <w:rFonts w:asciiTheme="majorBidi" w:eastAsia="Calibri" w:hAnsiTheme="majorBidi" w:cstheme="majorBidi"/>
          <w:bCs/>
          <w:sz w:val="24"/>
          <w:szCs w:val="24"/>
          <w:lang w:eastAsia="en-US"/>
        </w:rPr>
        <w:t xml:space="preserve">previous studies (e.g., </w:t>
      </w:r>
      <w:r w:rsidR="00882E57" w:rsidRPr="00882E57">
        <w:rPr>
          <w:rFonts w:asciiTheme="majorBidi" w:eastAsia="Calibri" w:hAnsiTheme="majorBidi" w:cstheme="majorBidi"/>
          <w:bCs/>
          <w:sz w:val="24"/>
          <w:szCs w:val="24"/>
          <w:lang w:eastAsia="en-US"/>
        </w:rPr>
        <w:t>Al</w:t>
      </w:r>
      <w:r w:rsidR="00882E57" w:rsidRPr="00882E57">
        <w:rPr>
          <w:rFonts w:ascii="Cambria Math" w:eastAsia="Calibri" w:hAnsi="Cambria Math" w:cs="Cambria Math"/>
          <w:bCs/>
          <w:sz w:val="24"/>
          <w:szCs w:val="24"/>
          <w:lang w:eastAsia="en-US"/>
        </w:rPr>
        <w:t>‐</w:t>
      </w:r>
      <w:r w:rsidR="00882E57" w:rsidRPr="00882E57">
        <w:rPr>
          <w:rFonts w:asciiTheme="majorBidi" w:eastAsia="Calibri" w:hAnsiTheme="majorBidi" w:cstheme="majorBidi"/>
          <w:bCs/>
          <w:sz w:val="24"/>
          <w:szCs w:val="24"/>
          <w:lang w:eastAsia="en-US"/>
        </w:rPr>
        <w:t>Marhubi</w:t>
      </w:r>
      <w:r w:rsidR="001D73BA">
        <w:rPr>
          <w:rFonts w:asciiTheme="majorBidi" w:eastAsia="Calibri" w:hAnsiTheme="majorBidi" w:cstheme="majorBidi"/>
          <w:bCs/>
          <w:sz w:val="24"/>
          <w:szCs w:val="24"/>
          <w:lang w:eastAsia="en-US"/>
        </w:rPr>
        <w:t>,</w:t>
      </w:r>
      <w:r w:rsidR="00882E57" w:rsidRPr="00882E57">
        <w:rPr>
          <w:rFonts w:asciiTheme="majorBidi" w:eastAsia="Calibri" w:hAnsiTheme="majorBidi" w:cstheme="majorBidi"/>
          <w:bCs/>
          <w:sz w:val="24"/>
          <w:szCs w:val="24"/>
          <w:lang w:eastAsia="en-US"/>
        </w:rPr>
        <w:t xml:space="preserve"> 2004)</w:t>
      </w:r>
      <w:r w:rsidR="00BC4E59" w:rsidRPr="008E772B">
        <w:rPr>
          <w:rFonts w:asciiTheme="majorBidi" w:eastAsia="Times New Roman" w:hAnsiTheme="majorBidi" w:cstheme="majorBidi"/>
          <w:bCs/>
          <w:sz w:val="24"/>
          <w:szCs w:val="24"/>
        </w:rPr>
        <w:t>.</w:t>
      </w:r>
    </w:p>
    <w:p w14:paraId="0825E0A8" w14:textId="0D09F492" w:rsidR="001046C6" w:rsidRPr="008E772B" w:rsidRDefault="00342FC3" w:rsidP="006015C4">
      <w:pPr>
        <w:spacing w:after="0" w:line="360" w:lineRule="auto"/>
        <w:ind w:firstLine="720"/>
        <w:jc w:val="lowKashida"/>
        <w:rPr>
          <w:rFonts w:asciiTheme="majorBidi" w:eastAsia="Times New Roman" w:hAnsiTheme="majorBidi" w:cstheme="majorBidi"/>
          <w:bCs/>
          <w:iCs/>
          <w:sz w:val="24"/>
          <w:szCs w:val="24"/>
        </w:rPr>
      </w:pPr>
      <w:r w:rsidRPr="008E772B">
        <w:rPr>
          <w:rFonts w:asciiTheme="majorBidi" w:eastAsia="Times New Roman" w:hAnsiTheme="majorBidi" w:cstheme="majorBidi"/>
          <w:bCs/>
          <w:sz w:val="24"/>
          <w:szCs w:val="24"/>
        </w:rPr>
        <w:t xml:space="preserve">Consistent </w:t>
      </w:r>
      <w:r w:rsidR="007C4420" w:rsidRPr="008E772B">
        <w:rPr>
          <w:rFonts w:asciiTheme="majorBidi" w:eastAsia="Times New Roman" w:hAnsiTheme="majorBidi" w:cstheme="majorBidi"/>
          <w:bCs/>
          <w:sz w:val="24"/>
          <w:szCs w:val="24"/>
        </w:rPr>
        <w:t xml:space="preserve">with previous studies (e.g., </w:t>
      </w:r>
      <w:r w:rsidR="007C4420" w:rsidRPr="008E772B">
        <w:rPr>
          <w:rFonts w:asciiTheme="majorBidi" w:eastAsia="Times New Roman" w:hAnsiTheme="majorBidi" w:cstheme="majorBidi"/>
          <w:bCs/>
          <w:iCs/>
          <w:sz w:val="24"/>
          <w:szCs w:val="24"/>
        </w:rPr>
        <w:t xml:space="preserve">O’Sullivan, 2000; </w:t>
      </w:r>
      <w:r w:rsidR="007C4420" w:rsidRPr="008E772B">
        <w:rPr>
          <w:rFonts w:asciiTheme="majorBidi" w:eastAsia="Calibri" w:hAnsiTheme="majorBidi" w:cstheme="majorBidi"/>
          <w:sz w:val="24"/>
          <w:szCs w:val="24"/>
        </w:rPr>
        <w:t xml:space="preserve">Carcello </w:t>
      </w:r>
      <w:r w:rsidR="007C4420" w:rsidRPr="008E772B">
        <w:rPr>
          <w:rFonts w:asciiTheme="majorBidi" w:eastAsia="Calibri" w:hAnsiTheme="majorBidi" w:cstheme="majorBidi"/>
          <w:i/>
          <w:sz w:val="24"/>
          <w:szCs w:val="24"/>
        </w:rPr>
        <w:t>et al</w:t>
      </w:r>
      <w:r w:rsidR="007C4420" w:rsidRPr="008E772B">
        <w:rPr>
          <w:rFonts w:asciiTheme="majorBidi" w:eastAsia="Calibri" w:hAnsiTheme="majorBidi" w:cstheme="majorBidi"/>
          <w:sz w:val="24"/>
          <w:szCs w:val="24"/>
        </w:rPr>
        <w:t xml:space="preserve">., 2002; </w:t>
      </w:r>
      <w:r w:rsidR="007C4420" w:rsidRPr="008E772B">
        <w:rPr>
          <w:rFonts w:asciiTheme="majorBidi" w:eastAsia="Times New Roman" w:hAnsiTheme="majorBidi" w:cstheme="majorBidi"/>
          <w:bCs/>
          <w:iCs/>
          <w:sz w:val="24"/>
          <w:szCs w:val="24"/>
        </w:rPr>
        <w:t xml:space="preserve">O’Sullivan </w:t>
      </w:r>
      <w:r w:rsidR="001114CA" w:rsidRPr="008E772B">
        <w:rPr>
          <w:rFonts w:asciiTheme="majorBidi" w:eastAsia="Times New Roman" w:hAnsiTheme="majorBidi" w:cstheme="majorBidi"/>
          <w:bCs/>
          <w:iCs/>
          <w:sz w:val="24"/>
          <w:szCs w:val="24"/>
        </w:rPr>
        <w:t>&amp;</w:t>
      </w:r>
      <w:r w:rsidR="007C4420" w:rsidRPr="008E772B">
        <w:rPr>
          <w:rFonts w:asciiTheme="majorBidi" w:eastAsia="Times New Roman" w:hAnsiTheme="majorBidi" w:cstheme="majorBidi"/>
          <w:bCs/>
          <w:iCs/>
          <w:sz w:val="24"/>
          <w:szCs w:val="24"/>
        </w:rPr>
        <w:t xml:space="preserve"> Diacon, 2002; Lin </w:t>
      </w:r>
      <w:r w:rsidR="001114CA" w:rsidRPr="008E772B">
        <w:rPr>
          <w:rFonts w:asciiTheme="majorBidi" w:eastAsia="Times New Roman" w:hAnsiTheme="majorBidi" w:cstheme="majorBidi"/>
          <w:bCs/>
          <w:iCs/>
          <w:sz w:val="24"/>
          <w:szCs w:val="24"/>
        </w:rPr>
        <w:t>&amp;</w:t>
      </w:r>
      <w:r w:rsidR="007C4420" w:rsidRPr="008E772B">
        <w:rPr>
          <w:rFonts w:asciiTheme="majorBidi" w:eastAsia="Times New Roman" w:hAnsiTheme="majorBidi" w:cstheme="majorBidi"/>
          <w:bCs/>
          <w:iCs/>
          <w:sz w:val="24"/>
          <w:szCs w:val="24"/>
        </w:rPr>
        <w:t xml:space="preserve"> Liu, 2009, 2010; Asthana </w:t>
      </w:r>
      <w:r w:rsidR="007C4420" w:rsidRPr="008E772B">
        <w:rPr>
          <w:rFonts w:asciiTheme="majorBidi" w:eastAsia="Times New Roman" w:hAnsiTheme="majorBidi" w:cstheme="majorBidi"/>
          <w:bCs/>
          <w:i/>
          <w:iCs/>
          <w:sz w:val="24"/>
          <w:szCs w:val="24"/>
        </w:rPr>
        <w:t>et al</w:t>
      </w:r>
      <w:r w:rsidR="007C4420" w:rsidRPr="008E772B">
        <w:rPr>
          <w:rFonts w:asciiTheme="majorBidi" w:eastAsia="Times New Roman" w:hAnsiTheme="majorBidi" w:cstheme="majorBidi"/>
          <w:bCs/>
          <w:iCs/>
          <w:sz w:val="24"/>
          <w:szCs w:val="24"/>
        </w:rPr>
        <w:t>., 2010</w:t>
      </w:r>
      <w:r w:rsidR="003323A7">
        <w:rPr>
          <w:rFonts w:asciiTheme="majorBidi" w:eastAsia="Times New Roman" w:hAnsiTheme="majorBidi" w:cstheme="majorBidi"/>
          <w:bCs/>
          <w:iCs/>
          <w:sz w:val="24"/>
          <w:szCs w:val="24"/>
        </w:rPr>
        <w:t>;</w:t>
      </w:r>
      <w:r w:rsidR="003323A7" w:rsidRPr="003323A7">
        <w:rPr>
          <w:rFonts w:asciiTheme="majorBidi" w:eastAsia="Times New Roman" w:hAnsiTheme="majorBidi" w:cstheme="majorBidi"/>
          <w:bCs/>
          <w:iCs/>
          <w:sz w:val="24"/>
          <w:szCs w:val="24"/>
        </w:rPr>
        <w:t xml:space="preserve"> Barroso et al., 2018</w:t>
      </w:r>
      <w:r w:rsidR="003323A7">
        <w:rPr>
          <w:rFonts w:asciiTheme="majorBidi" w:eastAsia="Times New Roman" w:hAnsiTheme="majorBidi" w:cstheme="majorBidi"/>
          <w:bCs/>
          <w:iCs/>
          <w:sz w:val="24"/>
          <w:szCs w:val="24"/>
        </w:rPr>
        <w:t xml:space="preserve">; </w:t>
      </w:r>
      <w:r w:rsidR="003323A7" w:rsidRPr="003323A7">
        <w:rPr>
          <w:rFonts w:asciiTheme="majorBidi" w:eastAsia="Times New Roman" w:hAnsiTheme="majorBidi" w:cstheme="majorBidi"/>
          <w:bCs/>
          <w:iCs/>
          <w:sz w:val="24"/>
          <w:szCs w:val="24"/>
        </w:rPr>
        <w:t xml:space="preserve">Ben-Hassoun </w:t>
      </w:r>
      <w:r w:rsidR="003323A7" w:rsidRPr="003323A7">
        <w:rPr>
          <w:rFonts w:asciiTheme="majorBidi" w:eastAsia="Times New Roman" w:hAnsiTheme="majorBidi" w:cstheme="majorBidi"/>
          <w:bCs/>
          <w:i/>
          <w:iCs/>
          <w:sz w:val="24"/>
          <w:szCs w:val="24"/>
        </w:rPr>
        <w:t>et al</w:t>
      </w:r>
      <w:r w:rsidR="003323A7" w:rsidRPr="003323A7">
        <w:rPr>
          <w:rFonts w:asciiTheme="majorBidi" w:eastAsia="Times New Roman" w:hAnsiTheme="majorBidi" w:cstheme="majorBidi"/>
          <w:bCs/>
          <w:iCs/>
          <w:sz w:val="24"/>
          <w:szCs w:val="24"/>
        </w:rPr>
        <w:t>., 2018</w:t>
      </w:r>
      <w:r w:rsidR="007C4420" w:rsidRPr="008E772B">
        <w:rPr>
          <w:rFonts w:asciiTheme="majorBidi" w:eastAsia="Times New Roman" w:hAnsiTheme="majorBidi" w:cstheme="majorBidi"/>
          <w:bCs/>
          <w:iCs/>
          <w:sz w:val="24"/>
          <w:szCs w:val="24"/>
        </w:rPr>
        <w:t>)</w:t>
      </w:r>
      <w:r w:rsidR="007C4420" w:rsidRPr="008E772B">
        <w:rPr>
          <w:rFonts w:asciiTheme="majorBidi" w:eastAsia="Times New Roman" w:hAnsiTheme="majorBidi" w:cstheme="majorBidi"/>
          <w:bCs/>
          <w:sz w:val="24"/>
          <w:szCs w:val="24"/>
        </w:rPr>
        <w:t>, the current study controls for possible omitted variables bias by including a number of control variables</w:t>
      </w:r>
      <w:r w:rsidRPr="008E772B">
        <w:rPr>
          <w:rFonts w:asciiTheme="majorBidi" w:eastAsia="Times New Roman" w:hAnsiTheme="majorBidi" w:cstheme="majorBidi"/>
          <w:bCs/>
          <w:sz w:val="24"/>
          <w:szCs w:val="24"/>
        </w:rPr>
        <w:t xml:space="preserve"> that have been found to have </w:t>
      </w:r>
      <w:r w:rsidR="00CE2087" w:rsidRPr="008E772B">
        <w:rPr>
          <w:rFonts w:asciiTheme="majorBidi" w:eastAsia="Times New Roman" w:hAnsiTheme="majorBidi" w:cstheme="majorBidi"/>
          <w:bCs/>
          <w:sz w:val="24"/>
          <w:szCs w:val="24"/>
        </w:rPr>
        <w:t xml:space="preserve">an </w:t>
      </w:r>
      <w:r w:rsidRPr="008E772B">
        <w:rPr>
          <w:rFonts w:asciiTheme="majorBidi" w:eastAsia="Times New Roman" w:hAnsiTheme="majorBidi" w:cstheme="majorBidi"/>
          <w:bCs/>
          <w:sz w:val="24"/>
          <w:szCs w:val="24"/>
        </w:rPr>
        <w:t xml:space="preserve">effect on auditor choice and </w:t>
      </w:r>
      <w:r w:rsidR="008F1B39">
        <w:rPr>
          <w:rFonts w:asciiTheme="majorBidi" w:eastAsia="Times New Roman" w:hAnsiTheme="majorBidi" w:cstheme="majorBidi"/>
          <w:bCs/>
          <w:sz w:val="24"/>
          <w:szCs w:val="24"/>
        </w:rPr>
        <w:t xml:space="preserve">audit </w:t>
      </w:r>
      <w:r w:rsidRPr="008E772B">
        <w:rPr>
          <w:rFonts w:asciiTheme="majorBidi" w:eastAsia="Times New Roman" w:hAnsiTheme="majorBidi" w:cstheme="majorBidi"/>
          <w:bCs/>
          <w:sz w:val="24"/>
          <w:szCs w:val="24"/>
        </w:rPr>
        <w:t>fees</w:t>
      </w:r>
      <w:r w:rsidR="00B05B42" w:rsidRPr="008E772B">
        <w:rPr>
          <w:rFonts w:asciiTheme="majorBidi" w:eastAsia="Times New Roman" w:hAnsiTheme="majorBidi" w:cstheme="majorBidi"/>
          <w:bCs/>
          <w:sz w:val="24"/>
          <w:szCs w:val="24"/>
        </w:rPr>
        <w:t xml:space="preserve">, namely </w:t>
      </w:r>
      <w:r w:rsidR="00B05B42" w:rsidRPr="008E772B">
        <w:rPr>
          <w:rFonts w:asciiTheme="majorBidi" w:eastAsia="Times New Roman" w:hAnsiTheme="majorBidi" w:cstheme="majorBidi"/>
          <w:bCs/>
          <w:iCs/>
          <w:sz w:val="24"/>
          <w:szCs w:val="24"/>
        </w:rPr>
        <w:t>firm size</w:t>
      </w:r>
      <w:r w:rsidR="00197091" w:rsidRPr="008E772B">
        <w:rPr>
          <w:rFonts w:asciiTheme="majorBidi" w:eastAsia="Times New Roman" w:hAnsiTheme="majorBidi" w:cstheme="majorBidi"/>
          <w:bCs/>
          <w:iCs/>
          <w:sz w:val="24"/>
          <w:szCs w:val="24"/>
        </w:rPr>
        <w:t xml:space="preserve"> (</w:t>
      </w:r>
      <w:r w:rsidR="00197091" w:rsidRPr="008E772B">
        <w:rPr>
          <w:rFonts w:asciiTheme="majorBidi" w:eastAsia="Times New Roman" w:hAnsiTheme="majorBidi" w:cstheme="majorBidi"/>
          <w:bCs/>
          <w:i/>
          <w:iCs/>
          <w:sz w:val="24"/>
          <w:szCs w:val="24"/>
        </w:rPr>
        <w:t>LNTA</w:t>
      </w:r>
      <w:r w:rsidR="00197091" w:rsidRPr="008E772B">
        <w:rPr>
          <w:rFonts w:asciiTheme="majorBidi" w:eastAsia="Times New Roman" w:hAnsiTheme="majorBidi" w:cstheme="majorBidi"/>
          <w:bCs/>
          <w:iCs/>
          <w:sz w:val="24"/>
          <w:szCs w:val="24"/>
        </w:rPr>
        <w:t>)</w:t>
      </w:r>
      <w:r w:rsidR="00B05B42" w:rsidRPr="008E772B">
        <w:rPr>
          <w:rFonts w:asciiTheme="majorBidi" w:eastAsia="Times New Roman" w:hAnsiTheme="majorBidi" w:cstheme="majorBidi"/>
          <w:bCs/>
          <w:iCs/>
          <w:sz w:val="24"/>
          <w:szCs w:val="24"/>
        </w:rPr>
        <w:t xml:space="preserve">, </w:t>
      </w:r>
      <w:r w:rsidR="00197091" w:rsidRPr="008E772B">
        <w:rPr>
          <w:rFonts w:asciiTheme="majorBidi" w:eastAsia="Times New Roman" w:hAnsiTheme="majorBidi" w:cstheme="majorBidi"/>
          <w:bCs/>
          <w:iCs/>
          <w:sz w:val="24"/>
          <w:szCs w:val="24"/>
        </w:rPr>
        <w:t>busy season</w:t>
      </w:r>
      <w:r w:rsidR="00197091" w:rsidRPr="008E772B">
        <w:rPr>
          <w:rFonts w:asciiTheme="majorBidi" w:eastAsia="Times New Roman" w:hAnsiTheme="majorBidi" w:cstheme="majorBidi"/>
          <w:bCs/>
          <w:i/>
          <w:iCs/>
          <w:sz w:val="24"/>
          <w:szCs w:val="24"/>
        </w:rPr>
        <w:t xml:space="preserve"> (</w:t>
      </w:r>
      <w:r w:rsidR="00B05B42" w:rsidRPr="008E772B">
        <w:rPr>
          <w:rFonts w:asciiTheme="majorBidi" w:eastAsia="Times New Roman" w:hAnsiTheme="majorBidi" w:cstheme="majorBidi"/>
          <w:bCs/>
          <w:i/>
          <w:sz w:val="24"/>
          <w:szCs w:val="24"/>
        </w:rPr>
        <w:t>BUSY</w:t>
      </w:r>
      <w:r w:rsidR="00197091" w:rsidRPr="008E772B">
        <w:rPr>
          <w:rFonts w:asciiTheme="majorBidi" w:eastAsia="Times New Roman" w:hAnsiTheme="majorBidi" w:cstheme="majorBidi"/>
          <w:bCs/>
          <w:i/>
          <w:sz w:val="24"/>
          <w:szCs w:val="24"/>
        </w:rPr>
        <w:t>)</w:t>
      </w:r>
      <w:r w:rsidR="00B05B42" w:rsidRPr="008E772B">
        <w:rPr>
          <w:rFonts w:asciiTheme="majorBidi" w:eastAsia="Times New Roman" w:hAnsiTheme="majorBidi" w:cstheme="majorBidi"/>
          <w:bCs/>
          <w:iCs/>
          <w:sz w:val="24"/>
          <w:szCs w:val="24"/>
        </w:rPr>
        <w:t>, quick ratio</w:t>
      </w:r>
      <w:r w:rsidR="00197091" w:rsidRPr="008E772B">
        <w:rPr>
          <w:rFonts w:asciiTheme="majorBidi" w:eastAsia="Times New Roman" w:hAnsiTheme="majorBidi" w:cstheme="majorBidi"/>
          <w:bCs/>
          <w:iCs/>
          <w:sz w:val="24"/>
          <w:szCs w:val="24"/>
        </w:rPr>
        <w:t xml:space="preserve"> (</w:t>
      </w:r>
      <w:r w:rsidR="00197091" w:rsidRPr="008E772B">
        <w:rPr>
          <w:rFonts w:asciiTheme="majorBidi" w:eastAsia="Times New Roman" w:hAnsiTheme="majorBidi" w:cstheme="majorBidi"/>
          <w:bCs/>
          <w:i/>
          <w:iCs/>
          <w:sz w:val="24"/>
          <w:szCs w:val="24"/>
        </w:rPr>
        <w:t>QU</w:t>
      </w:r>
      <w:r w:rsidR="00DC18ED" w:rsidRPr="008E772B">
        <w:rPr>
          <w:rFonts w:asciiTheme="majorBidi" w:eastAsia="Times New Roman" w:hAnsiTheme="majorBidi" w:cstheme="majorBidi"/>
          <w:bCs/>
          <w:i/>
          <w:iCs/>
          <w:sz w:val="24"/>
          <w:szCs w:val="24"/>
        </w:rPr>
        <w:t>I</w:t>
      </w:r>
      <w:r w:rsidR="00197091" w:rsidRPr="008E772B">
        <w:rPr>
          <w:rFonts w:asciiTheme="majorBidi" w:eastAsia="Times New Roman" w:hAnsiTheme="majorBidi" w:cstheme="majorBidi"/>
          <w:bCs/>
          <w:i/>
          <w:iCs/>
          <w:sz w:val="24"/>
          <w:szCs w:val="24"/>
        </w:rPr>
        <w:t>K)</w:t>
      </w:r>
      <w:r w:rsidR="00B05B42" w:rsidRPr="008E772B">
        <w:rPr>
          <w:rFonts w:asciiTheme="majorBidi" w:eastAsia="Times New Roman" w:hAnsiTheme="majorBidi" w:cstheme="majorBidi"/>
          <w:bCs/>
          <w:iCs/>
          <w:sz w:val="24"/>
          <w:szCs w:val="24"/>
        </w:rPr>
        <w:t>, firm loss</w:t>
      </w:r>
      <w:r w:rsidR="00197091" w:rsidRPr="008E772B">
        <w:rPr>
          <w:rFonts w:asciiTheme="majorBidi" w:eastAsia="Times New Roman" w:hAnsiTheme="majorBidi" w:cstheme="majorBidi"/>
          <w:bCs/>
          <w:iCs/>
          <w:sz w:val="24"/>
          <w:szCs w:val="24"/>
        </w:rPr>
        <w:t xml:space="preserve"> (</w:t>
      </w:r>
      <w:r w:rsidR="00E94B46" w:rsidRPr="008E772B">
        <w:rPr>
          <w:rFonts w:asciiTheme="majorBidi" w:eastAsia="Times New Roman" w:hAnsiTheme="majorBidi" w:cstheme="majorBidi"/>
          <w:bCs/>
          <w:i/>
          <w:sz w:val="24"/>
          <w:szCs w:val="24"/>
        </w:rPr>
        <w:t>LO</w:t>
      </w:r>
      <w:r w:rsidR="00197091" w:rsidRPr="008E772B">
        <w:rPr>
          <w:rFonts w:asciiTheme="majorBidi" w:eastAsia="Times New Roman" w:hAnsiTheme="majorBidi" w:cstheme="majorBidi"/>
          <w:bCs/>
          <w:i/>
          <w:sz w:val="24"/>
          <w:szCs w:val="24"/>
        </w:rPr>
        <w:t>S</w:t>
      </w:r>
      <w:r w:rsidR="00197091" w:rsidRPr="008E772B">
        <w:rPr>
          <w:rFonts w:asciiTheme="majorBidi" w:eastAsia="Times New Roman" w:hAnsiTheme="majorBidi" w:cstheme="majorBidi"/>
          <w:bCs/>
          <w:iCs/>
          <w:sz w:val="24"/>
          <w:szCs w:val="24"/>
        </w:rPr>
        <w:t>),</w:t>
      </w:r>
      <w:r w:rsidR="00B05B42" w:rsidRPr="008E772B">
        <w:rPr>
          <w:rFonts w:asciiTheme="majorBidi" w:eastAsia="Times New Roman" w:hAnsiTheme="majorBidi" w:cstheme="majorBidi"/>
          <w:bCs/>
          <w:iCs/>
          <w:sz w:val="24"/>
          <w:szCs w:val="24"/>
        </w:rPr>
        <w:t xml:space="preserve"> leverage</w:t>
      </w:r>
      <w:r w:rsidR="00197091" w:rsidRPr="008E772B">
        <w:rPr>
          <w:rFonts w:asciiTheme="majorBidi" w:eastAsia="Times New Roman" w:hAnsiTheme="majorBidi" w:cstheme="majorBidi"/>
          <w:bCs/>
          <w:iCs/>
          <w:sz w:val="24"/>
          <w:szCs w:val="24"/>
        </w:rPr>
        <w:t xml:space="preserve"> (</w:t>
      </w:r>
      <w:r w:rsidR="00B31397" w:rsidRPr="008E772B">
        <w:rPr>
          <w:rFonts w:asciiTheme="majorBidi" w:eastAsia="Times New Roman" w:hAnsiTheme="majorBidi" w:cstheme="majorBidi"/>
          <w:bCs/>
          <w:i/>
          <w:sz w:val="24"/>
          <w:szCs w:val="24"/>
        </w:rPr>
        <w:t>L</w:t>
      </w:r>
      <w:r w:rsidR="00197091" w:rsidRPr="008E772B">
        <w:rPr>
          <w:rFonts w:asciiTheme="majorBidi" w:eastAsia="Times New Roman" w:hAnsiTheme="majorBidi" w:cstheme="majorBidi"/>
          <w:bCs/>
          <w:i/>
          <w:sz w:val="24"/>
          <w:szCs w:val="24"/>
        </w:rPr>
        <w:t>V</w:t>
      </w:r>
      <w:r w:rsidR="00197091" w:rsidRPr="008E772B">
        <w:rPr>
          <w:rFonts w:asciiTheme="majorBidi" w:eastAsia="Times New Roman" w:hAnsiTheme="majorBidi" w:cstheme="majorBidi"/>
          <w:bCs/>
          <w:iCs/>
          <w:sz w:val="24"/>
          <w:szCs w:val="24"/>
        </w:rPr>
        <w:t>)</w:t>
      </w:r>
      <w:r w:rsidR="00B05B42" w:rsidRPr="008E772B">
        <w:rPr>
          <w:rFonts w:asciiTheme="majorBidi" w:eastAsia="Times New Roman" w:hAnsiTheme="majorBidi" w:cstheme="majorBidi"/>
          <w:bCs/>
          <w:iCs/>
          <w:sz w:val="24"/>
          <w:szCs w:val="24"/>
        </w:rPr>
        <w:t>, growth opportunity</w:t>
      </w:r>
      <w:r w:rsidR="00197091" w:rsidRPr="008E772B">
        <w:rPr>
          <w:rFonts w:asciiTheme="majorBidi" w:eastAsia="Times New Roman" w:hAnsiTheme="majorBidi" w:cstheme="majorBidi"/>
          <w:bCs/>
          <w:iCs/>
          <w:sz w:val="24"/>
          <w:szCs w:val="24"/>
        </w:rPr>
        <w:t xml:space="preserve"> (</w:t>
      </w:r>
      <w:r w:rsidR="00197091" w:rsidRPr="008E772B">
        <w:rPr>
          <w:rFonts w:asciiTheme="majorBidi" w:eastAsia="Times New Roman" w:hAnsiTheme="majorBidi" w:cstheme="majorBidi"/>
          <w:bCs/>
          <w:i/>
          <w:sz w:val="24"/>
          <w:szCs w:val="24"/>
        </w:rPr>
        <w:t>SGR</w:t>
      </w:r>
      <w:r w:rsidR="00197091" w:rsidRPr="008E772B">
        <w:rPr>
          <w:rFonts w:asciiTheme="majorBidi" w:eastAsia="Times New Roman" w:hAnsiTheme="majorBidi" w:cstheme="majorBidi"/>
          <w:bCs/>
          <w:iCs/>
          <w:sz w:val="24"/>
          <w:szCs w:val="24"/>
        </w:rPr>
        <w:t>)</w:t>
      </w:r>
      <w:r w:rsidR="00B05B42" w:rsidRPr="008E772B">
        <w:rPr>
          <w:rFonts w:asciiTheme="majorBidi" w:eastAsia="Times New Roman" w:hAnsiTheme="majorBidi" w:cstheme="majorBidi"/>
          <w:bCs/>
          <w:iCs/>
          <w:sz w:val="24"/>
          <w:szCs w:val="24"/>
        </w:rPr>
        <w:t>, return on assets</w:t>
      </w:r>
      <w:r w:rsidR="00197091" w:rsidRPr="008E772B">
        <w:rPr>
          <w:rFonts w:asciiTheme="majorBidi" w:eastAsia="Times New Roman" w:hAnsiTheme="majorBidi" w:cstheme="majorBidi"/>
          <w:bCs/>
          <w:iCs/>
          <w:sz w:val="24"/>
          <w:szCs w:val="24"/>
        </w:rPr>
        <w:t xml:space="preserve"> (</w:t>
      </w:r>
      <w:r w:rsidR="00197091" w:rsidRPr="008E772B">
        <w:rPr>
          <w:rFonts w:asciiTheme="majorBidi" w:eastAsia="Times New Roman" w:hAnsiTheme="majorBidi" w:cstheme="majorBidi"/>
          <w:bCs/>
          <w:i/>
          <w:sz w:val="24"/>
          <w:szCs w:val="24"/>
        </w:rPr>
        <w:t>ROA</w:t>
      </w:r>
      <w:r w:rsidR="00197091" w:rsidRPr="008E772B">
        <w:rPr>
          <w:rFonts w:asciiTheme="majorBidi" w:eastAsia="Times New Roman" w:hAnsiTheme="majorBidi" w:cstheme="majorBidi"/>
          <w:bCs/>
          <w:iCs/>
          <w:sz w:val="24"/>
          <w:szCs w:val="24"/>
        </w:rPr>
        <w:t>)</w:t>
      </w:r>
      <w:r w:rsidR="00B05B42" w:rsidRPr="008E772B">
        <w:rPr>
          <w:rFonts w:asciiTheme="majorBidi" w:eastAsia="Times New Roman" w:hAnsiTheme="majorBidi" w:cstheme="majorBidi"/>
          <w:bCs/>
          <w:iCs/>
          <w:sz w:val="24"/>
          <w:szCs w:val="24"/>
        </w:rPr>
        <w:t>, year dummies for the study period 2009–2014</w:t>
      </w:r>
      <w:r w:rsidR="00197091" w:rsidRPr="008E772B">
        <w:rPr>
          <w:rFonts w:asciiTheme="majorBidi" w:eastAsia="Times New Roman" w:hAnsiTheme="majorBidi" w:cstheme="majorBidi"/>
          <w:bCs/>
          <w:iCs/>
          <w:sz w:val="24"/>
          <w:szCs w:val="24"/>
        </w:rPr>
        <w:t xml:space="preserve"> (</w:t>
      </w:r>
      <w:r w:rsidR="00197091" w:rsidRPr="008E772B">
        <w:rPr>
          <w:rFonts w:asciiTheme="majorBidi" w:eastAsia="Times New Roman" w:hAnsiTheme="majorBidi" w:cstheme="majorBidi"/>
          <w:bCs/>
          <w:i/>
          <w:sz w:val="24"/>
          <w:szCs w:val="24"/>
        </w:rPr>
        <w:t>YDU</w:t>
      </w:r>
      <w:r w:rsidR="00197091" w:rsidRPr="008E772B">
        <w:rPr>
          <w:rFonts w:asciiTheme="majorBidi" w:eastAsia="Times New Roman" w:hAnsiTheme="majorBidi" w:cstheme="majorBidi"/>
          <w:bCs/>
          <w:iCs/>
          <w:sz w:val="24"/>
          <w:szCs w:val="24"/>
        </w:rPr>
        <w:t>)</w:t>
      </w:r>
      <w:r w:rsidR="00B05B42" w:rsidRPr="008E772B">
        <w:rPr>
          <w:rFonts w:asciiTheme="majorBidi" w:eastAsia="Times New Roman" w:hAnsiTheme="majorBidi" w:cstheme="majorBidi"/>
          <w:bCs/>
          <w:iCs/>
          <w:sz w:val="24"/>
          <w:szCs w:val="24"/>
        </w:rPr>
        <w:t xml:space="preserve"> </w:t>
      </w:r>
      <w:r w:rsidR="00197091" w:rsidRPr="008E772B">
        <w:rPr>
          <w:rFonts w:asciiTheme="majorBidi" w:eastAsia="Times New Roman" w:hAnsiTheme="majorBidi" w:cstheme="majorBidi"/>
          <w:bCs/>
          <w:iCs/>
          <w:sz w:val="24"/>
          <w:szCs w:val="24"/>
        </w:rPr>
        <w:t xml:space="preserve">and </w:t>
      </w:r>
      <w:r w:rsidR="00B05B42" w:rsidRPr="008E772B">
        <w:rPr>
          <w:rFonts w:asciiTheme="majorBidi" w:eastAsia="Times New Roman" w:hAnsiTheme="majorBidi" w:cstheme="majorBidi"/>
          <w:bCs/>
          <w:iCs/>
          <w:sz w:val="24"/>
          <w:szCs w:val="24"/>
        </w:rPr>
        <w:t>industry dummies</w:t>
      </w:r>
      <w:r w:rsidR="00197091" w:rsidRPr="008E772B">
        <w:rPr>
          <w:rFonts w:asciiTheme="majorBidi" w:eastAsia="Times New Roman" w:hAnsiTheme="majorBidi" w:cstheme="majorBidi"/>
          <w:bCs/>
          <w:iCs/>
          <w:sz w:val="24"/>
          <w:szCs w:val="24"/>
        </w:rPr>
        <w:t xml:space="preserve"> (</w:t>
      </w:r>
      <w:r w:rsidR="00AD37B5" w:rsidRPr="008E772B">
        <w:rPr>
          <w:rFonts w:asciiTheme="majorBidi" w:eastAsia="Times New Roman" w:hAnsiTheme="majorBidi" w:cstheme="majorBidi"/>
          <w:bCs/>
          <w:i/>
          <w:sz w:val="24"/>
          <w:szCs w:val="24"/>
          <w:lang w:val="en-US"/>
        </w:rPr>
        <w:t>IRY</w:t>
      </w:r>
      <w:r w:rsidR="00197091" w:rsidRPr="008E772B">
        <w:rPr>
          <w:rFonts w:asciiTheme="majorBidi" w:eastAsia="Times New Roman" w:hAnsiTheme="majorBidi" w:cstheme="majorBidi"/>
          <w:bCs/>
          <w:iCs/>
          <w:sz w:val="24"/>
          <w:szCs w:val="24"/>
        </w:rPr>
        <w:t>)</w:t>
      </w:r>
      <w:r w:rsidR="00B05B42" w:rsidRPr="008E772B">
        <w:rPr>
          <w:rFonts w:asciiTheme="majorBidi" w:eastAsia="Times New Roman" w:hAnsiTheme="majorBidi" w:cstheme="majorBidi"/>
          <w:bCs/>
          <w:sz w:val="24"/>
          <w:szCs w:val="24"/>
        </w:rPr>
        <w:t xml:space="preserve">. </w:t>
      </w:r>
    </w:p>
    <w:p w14:paraId="3FF51E26" w14:textId="414AB5AC" w:rsidR="00D05D96" w:rsidRPr="008E772B" w:rsidRDefault="00D05D96" w:rsidP="0002743E">
      <w:pPr>
        <w:spacing w:after="0" w:line="360" w:lineRule="auto"/>
        <w:jc w:val="center"/>
        <w:rPr>
          <w:rFonts w:asciiTheme="majorBidi" w:eastAsia="Times New Roman" w:hAnsiTheme="majorBidi" w:cstheme="majorBidi"/>
          <w:b/>
          <w:bCs/>
          <w:sz w:val="24"/>
          <w:szCs w:val="24"/>
        </w:rPr>
      </w:pPr>
      <w:r w:rsidRPr="008E772B">
        <w:rPr>
          <w:rFonts w:asciiTheme="majorBidi" w:eastAsia="Times New Roman" w:hAnsiTheme="majorBidi" w:cstheme="majorBidi"/>
          <w:b/>
          <w:bCs/>
          <w:sz w:val="24"/>
          <w:szCs w:val="24"/>
        </w:rPr>
        <w:t xml:space="preserve">[Insert table </w:t>
      </w:r>
      <w:r w:rsidR="00315498">
        <w:rPr>
          <w:rFonts w:asciiTheme="majorBidi" w:eastAsia="Times New Roman" w:hAnsiTheme="majorBidi" w:cstheme="majorBidi"/>
          <w:b/>
          <w:bCs/>
          <w:sz w:val="24"/>
          <w:szCs w:val="24"/>
        </w:rPr>
        <w:t>1</w:t>
      </w:r>
      <w:r w:rsidRPr="008E772B">
        <w:rPr>
          <w:rFonts w:asciiTheme="majorBidi" w:eastAsia="Times New Roman" w:hAnsiTheme="majorBidi" w:cstheme="majorBidi"/>
          <w:b/>
          <w:bCs/>
          <w:sz w:val="24"/>
          <w:szCs w:val="24"/>
        </w:rPr>
        <w:t xml:space="preserve"> about here]</w:t>
      </w:r>
    </w:p>
    <w:p w14:paraId="5938BC7B" w14:textId="73D5A815" w:rsidR="007C4420" w:rsidRPr="008E772B" w:rsidRDefault="00157823" w:rsidP="001E3C94">
      <w:pPr>
        <w:spacing w:after="0" w:line="360" w:lineRule="auto"/>
        <w:jc w:val="lowKashida"/>
        <w:rPr>
          <w:rFonts w:asciiTheme="majorBidi" w:eastAsia="Times New Roman" w:hAnsiTheme="majorBidi" w:cstheme="majorBidi"/>
          <w:b/>
          <w:bCs/>
          <w:i/>
          <w:iCs/>
          <w:sz w:val="24"/>
          <w:szCs w:val="24"/>
        </w:rPr>
      </w:pPr>
      <w:r w:rsidRPr="00157823">
        <w:rPr>
          <w:rFonts w:asciiTheme="majorBidi" w:eastAsia="Times New Roman" w:hAnsiTheme="majorBidi" w:cstheme="majorBidi"/>
          <w:b/>
          <w:bCs/>
          <w:i/>
          <w:iCs/>
          <w:sz w:val="24"/>
          <w:szCs w:val="24"/>
        </w:rPr>
        <w:t>4.</w:t>
      </w:r>
      <w:r>
        <w:rPr>
          <w:rFonts w:asciiTheme="majorBidi" w:eastAsia="Times New Roman" w:hAnsiTheme="majorBidi" w:cstheme="majorBidi"/>
          <w:b/>
          <w:bCs/>
          <w:i/>
          <w:iCs/>
          <w:sz w:val="24"/>
          <w:szCs w:val="24"/>
        </w:rPr>
        <w:t>3</w:t>
      </w:r>
      <w:r w:rsidRPr="00157823">
        <w:rPr>
          <w:rFonts w:asciiTheme="majorBidi" w:eastAsia="Times New Roman" w:hAnsiTheme="majorBidi" w:cstheme="majorBidi"/>
          <w:b/>
          <w:bCs/>
          <w:i/>
          <w:iCs/>
          <w:sz w:val="24"/>
          <w:szCs w:val="24"/>
        </w:rPr>
        <w:t xml:space="preserve">. </w:t>
      </w:r>
      <w:r w:rsidR="007C4420" w:rsidRPr="008E772B">
        <w:rPr>
          <w:rFonts w:asciiTheme="majorBidi" w:eastAsia="Times New Roman" w:hAnsiTheme="majorBidi" w:cstheme="majorBidi"/>
          <w:b/>
          <w:bCs/>
          <w:i/>
          <w:iCs/>
          <w:sz w:val="24"/>
          <w:szCs w:val="24"/>
        </w:rPr>
        <w:t xml:space="preserve">Models </w:t>
      </w:r>
      <w:r w:rsidR="001E4B25" w:rsidRPr="008E772B">
        <w:rPr>
          <w:rFonts w:asciiTheme="majorBidi" w:eastAsia="Times New Roman" w:hAnsiTheme="majorBidi" w:cstheme="majorBidi"/>
          <w:b/>
          <w:bCs/>
          <w:i/>
          <w:iCs/>
          <w:sz w:val="24"/>
          <w:szCs w:val="24"/>
        </w:rPr>
        <w:t>specification</w:t>
      </w:r>
    </w:p>
    <w:p w14:paraId="3D6CEC59" w14:textId="37721C62" w:rsidR="001F50EC" w:rsidRPr="008E772B" w:rsidRDefault="001F50EC" w:rsidP="008E2821">
      <w:pPr>
        <w:spacing w:after="0" w:line="360" w:lineRule="auto"/>
        <w:ind w:firstLine="720"/>
        <w:jc w:val="lowKashida"/>
        <w:rPr>
          <w:rFonts w:asciiTheme="majorBidi" w:eastAsia="Times New Roman" w:hAnsiTheme="majorBidi" w:cstheme="majorBidi"/>
          <w:bCs/>
          <w:iCs/>
          <w:sz w:val="24"/>
          <w:szCs w:val="24"/>
        </w:rPr>
      </w:pPr>
      <w:r w:rsidRPr="008E772B">
        <w:rPr>
          <w:rFonts w:asciiTheme="majorBidi" w:eastAsia="Times New Roman" w:hAnsiTheme="majorBidi" w:cstheme="majorBidi"/>
          <w:bCs/>
          <w:iCs/>
          <w:sz w:val="24"/>
          <w:szCs w:val="24"/>
        </w:rPr>
        <w:t>This study develops a logit regression m</w:t>
      </w:r>
      <w:r w:rsidR="004F2DA3" w:rsidRPr="008E772B">
        <w:rPr>
          <w:rFonts w:asciiTheme="majorBidi" w:eastAsia="Times New Roman" w:hAnsiTheme="majorBidi" w:cstheme="majorBidi"/>
          <w:bCs/>
          <w:iCs/>
          <w:sz w:val="24"/>
          <w:szCs w:val="24"/>
        </w:rPr>
        <w:t>odel to test the impact of firm</w:t>
      </w:r>
      <w:r w:rsidR="007607E3" w:rsidRPr="008E772B">
        <w:rPr>
          <w:rFonts w:asciiTheme="majorBidi" w:eastAsia="Times New Roman" w:hAnsiTheme="majorBidi" w:cstheme="majorBidi"/>
          <w:bCs/>
          <w:iCs/>
          <w:sz w:val="24"/>
          <w:szCs w:val="24"/>
        </w:rPr>
        <w:t xml:space="preserve">- and country-level governance </w:t>
      </w:r>
      <w:r w:rsidR="003E1D61">
        <w:rPr>
          <w:rFonts w:asciiTheme="majorBidi" w:eastAsia="Times New Roman" w:hAnsiTheme="majorBidi" w:cstheme="majorBidi"/>
          <w:bCs/>
          <w:iCs/>
          <w:sz w:val="24"/>
          <w:szCs w:val="24"/>
        </w:rPr>
        <w:t xml:space="preserve">quality </w:t>
      </w:r>
      <w:r w:rsidRPr="008E772B">
        <w:rPr>
          <w:rFonts w:asciiTheme="majorBidi" w:eastAsia="Times New Roman" w:hAnsiTheme="majorBidi" w:cstheme="majorBidi"/>
          <w:bCs/>
          <w:iCs/>
          <w:sz w:val="24"/>
          <w:szCs w:val="24"/>
        </w:rPr>
        <w:t xml:space="preserve">on auditor choice for 600 firm-year observations during the period 2009 to 2014. Model 1 specification is of the following general form: </w:t>
      </w:r>
    </w:p>
    <w:p w14:paraId="16B3E967" w14:textId="18D44F5D" w:rsidR="001F50EC" w:rsidRPr="008E772B" w:rsidRDefault="00A9580B" w:rsidP="00E01ADC">
      <w:pPr>
        <w:tabs>
          <w:tab w:val="left" w:pos="567"/>
          <w:tab w:val="left" w:pos="709"/>
        </w:tabs>
        <w:spacing w:after="0" w:line="360" w:lineRule="auto"/>
        <w:ind w:hanging="142"/>
        <w:jc w:val="right"/>
        <w:rPr>
          <w:rFonts w:asciiTheme="majorBidi" w:eastAsia="Times New Roman" w:hAnsiTheme="majorBidi" w:cstheme="majorBidi"/>
          <w:bCs/>
          <w:iCs/>
          <w:sz w:val="24"/>
          <w:szCs w:val="24"/>
        </w:rPr>
      </w:pPr>
      <w:r w:rsidRPr="008E772B">
        <w:rPr>
          <w:rFonts w:asciiTheme="majorBidi" w:eastAsia="Times New Roman" w:hAnsiTheme="majorBidi" w:cstheme="majorBidi"/>
          <w:bCs/>
          <w:iCs/>
          <w:position w:val="-28"/>
          <w:sz w:val="24"/>
          <w:szCs w:val="24"/>
        </w:rPr>
        <w:object w:dxaOrig="12180" w:dyaOrig="680" w14:anchorId="23F9B3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28.45pt" o:ole="">
            <v:imagedata r:id="rId11" o:title=""/>
          </v:shape>
          <o:OLEObject Type="Embed" ProgID="Equation.3" ShapeID="_x0000_i1025" DrawAspect="Content" ObjectID="_1615764199" r:id="rId12"/>
        </w:object>
      </w:r>
    </w:p>
    <w:p w14:paraId="70A39B6A" w14:textId="35989C4E" w:rsidR="007C4420" w:rsidRPr="008E772B" w:rsidRDefault="007C4420" w:rsidP="008E2821">
      <w:pPr>
        <w:spacing w:after="0" w:line="360" w:lineRule="auto"/>
        <w:ind w:firstLine="720"/>
        <w:jc w:val="lowKashida"/>
        <w:rPr>
          <w:rFonts w:asciiTheme="majorBidi" w:eastAsia="Times New Roman" w:hAnsiTheme="majorBidi" w:cstheme="majorBidi"/>
          <w:bCs/>
          <w:iCs/>
          <w:sz w:val="24"/>
          <w:szCs w:val="24"/>
        </w:rPr>
      </w:pPr>
      <w:r w:rsidRPr="008E772B">
        <w:rPr>
          <w:rFonts w:asciiTheme="majorBidi" w:eastAsia="Times New Roman" w:hAnsiTheme="majorBidi" w:cstheme="majorBidi"/>
          <w:bCs/>
          <w:iCs/>
          <w:sz w:val="24"/>
          <w:szCs w:val="24"/>
        </w:rPr>
        <w:t xml:space="preserve">Consistent with previous studies investigating determinants of audit fees, the current study </w:t>
      </w:r>
      <w:r w:rsidR="001F50EC" w:rsidRPr="008E772B">
        <w:rPr>
          <w:rFonts w:asciiTheme="majorBidi" w:eastAsia="Times New Roman" w:hAnsiTheme="majorBidi" w:cstheme="majorBidi"/>
          <w:bCs/>
          <w:iCs/>
          <w:sz w:val="24"/>
          <w:szCs w:val="24"/>
        </w:rPr>
        <w:t xml:space="preserve">also </w:t>
      </w:r>
      <w:r w:rsidRPr="008E772B">
        <w:rPr>
          <w:rFonts w:asciiTheme="majorBidi" w:eastAsia="Times New Roman" w:hAnsiTheme="majorBidi" w:cstheme="majorBidi"/>
          <w:bCs/>
          <w:iCs/>
          <w:sz w:val="24"/>
          <w:szCs w:val="24"/>
        </w:rPr>
        <w:t>uses OLS regression model</w:t>
      </w:r>
      <w:r w:rsidR="00580518" w:rsidRPr="008E772B">
        <w:rPr>
          <w:rFonts w:asciiTheme="majorBidi" w:eastAsia="Times New Roman" w:hAnsiTheme="majorBidi" w:cstheme="majorBidi"/>
          <w:bCs/>
          <w:iCs/>
          <w:sz w:val="24"/>
          <w:szCs w:val="24"/>
        </w:rPr>
        <w:t xml:space="preserve"> </w:t>
      </w:r>
      <w:r w:rsidRPr="008E772B">
        <w:rPr>
          <w:rFonts w:asciiTheme="majorBidi" w:eastAsia="Times New Roman" w:hAnsiTheme="majorBidi" w:cstheme="majorBidi"/>
          <w:bCs/>
          <w:iCs/>
          <w:sz w:val="24"/>
          <w:szCs w:val="24"/>
        </w:rPr>
        <w:t xml:space="preserve">to explain the determinants of audit fees (e.g., O’Sullivan, 2000; O’Sullivan </w:t>
      </w:r>
      <w:r w:rsidR="001114CA" w:rsidRPr="008E772B">
        <w:rPr>
          <w:rFonts w:asciiTheme="majorBidi" w:eastAsia="Times New Roman" w:hAnsiTheme="majorBidi" w:cstheme="majorBidi"/>
          <w:bCs/>
          <w:iCs/>
          <w:sz w:val="24"/>
          <w:szCs w:val="24"/>
        </w:rPr>
        <w:t>&amp;</w:t>
      </w:r>
      <w:r w:rsidRPr="008E772B">
        <w:rPr>
          <w:rFonts w:asciiTheme="majorBidi" w:eastAsia="Times New Roman" w:hAnsiTheme="majorBidi" w:cstheme="majorBidi"/>
          <w:bCs/>
          <w:iCs/>
          <w:sz w:val="24"/>
          <w:szCs w:val="24"/>
        </w:rPr>
        <w:t xml:space="preserve"> Diacon, 2002; Carcello </w:t>
      </w:r>
      <w:r w:rsidRPr="008E772B">
        <w:rPr>
          <w:rFonts w:asciiTheme="majorBidi" w:eastAsia="Times New Roman" w:hAnsiTheme="majorBidi" w:cstheme="majorBidi"/>
          <w:bCs/>
          <w:i/>
          <w:iCs/>
          <w:sz w:val="24"/>
          <w:szCs w:val="24"/>
        </w:rPr>
        <w:t>et al</w:t>
      </w:r>
      <w:r w:rsidRPr="008E772B">
        <w:rPr>
          <w:rFonts w:asciiTheme="majorBidi" w:eastAsia="Times New Roman" w:hAnsiTheme="majorBidi" w:cstheme="majorBidi"/>
          <w:bCs/>
          <w:iCs/>
          <w:sz w:val="24"/>
          <w:szCs w:val="24"/>
        </w:rPr>
        <w:t>., 2002;</w:t>
      </w:r>
      <w:r w:rsidRPr="008E772B">
        <w:rPr>
          <w:rFonts w:asciiTheme="majorBidi" w:hAnsiTheme="majorBidi" w:cstheme="majorBidi"/>
          <w:sz w:val="24"/>
          <w:szCs w:val="24"/>
        </w:rPr>
        <w:t xml:space="preserve"> </w:t>
      </w:r>
      <w:r w:rsidRPr="008E772B">
        <w:rPr>
          <w:rFonts w:asciiTheme="majorBidi" w:eastAsia="Times New Roman" w:hAnsiTheme="majorBidi" w:cstheme="majorBidi"/>
          <w:bCs/>
          <w:iCs/>
          <w:sz w:val="24"/>
          <w:szCs w:val="24"/>
        </w:rPr>
        <w:t xml:space="preserve">Fan </w:t>
      </w:r>
      <w:r w:rsidR="001114CA" w:rsidRPr="008E772B">
        <w:rPr>
          <w:rFonts w:asciiTheme="majorBidi" w:eastAsia="Times New Roman" w:hAnsiTheme="majorBidi" w:cstheme="majorBidi"/>
          <w:bCs/>
          <w:iCs/>
          <w:sz w:val="24"/>
          <w:szCs w:val="24"/>
        </w:rPr>
        <w:t>&amp;</w:t>
      </w:r>
      <w:r w:rsidRPr="008E772B">
        <w:rPr>
          <w:rFonts w:asciiTheme="majorBidi" w:eastAsia="Times New Roman" w:hAnsiTheme="majorBidi" w:cstheme="majorBidi"/>
          <w:bCs/>
          <w:iCs/>
          <w:sz w:val="24"/>
          <w:szCs w:val="24"/>
        </w:rPr>
        <w:t xml:space="preserve"> Wong, 2005;</w:t>
      </w:r>
      <w:r w:rsidR="00C94126">
        <w:rPr>
          <w:rFonts w:asciiTheme="majorBidi" w:eastAsia="Times New Roman" w:hAnsiTheme="majorBidi" w:cstheme="majorBidi"/>
          <w:bCs/>
          <w:iCs/>
          <w:sz w:val="24"/>
          <w:szCs w:val="24"/>
        </w:rPr>
        <w:t xml:space="preserve"> </w:t>
      </w:r>
      <w:r w:rsidR="00C94126" w:rsidRPr="009610C8">
        <w:rPr>
          <w:rFonts w:asciiTheme="majorBidi" w:eastAsia="Calibri" w:hAnsiTheme="majorBidi" w:cstheme="majorBidi"/>
          <w:bCs/>
          <w:sz w:val="24"/>
          <w:szCs w:val="24"/>
          <w:lang w:eastAsia="en-US"/>
        </w:rPr>
        <w:t xml:space="preserve">Barroso </w:t>
      </w:r>
      <w:r w:rsidR="00C94126" w:rsidRPr="002513C0">
        <w:rPr>
          <w:rFonts w:asciiTheme="majorBidi" w:eastAsia="Times New Roman" w:hAnsiTheme="majorBidi" w:cstheme="majorBidi"/>
          <w:bCs/>
          <w:i/>
          <w:iCs/>
          <w:sz w:val="24"/>
          <w:szCs w:val="24"/>
        </w:rPr>
        <w:t>et al</w:t>
      </w:r>
      <w:r w:rsidR="00C94126" w:rsidRPr="009610C8">
        <w:rPr>
          <w:rFonts w:asciiTheme="majorBidi" w:eastAsia="Calibri" w:hAnsiTheme="majorBidi" w:cstheme="majorBidi"/>
          <w:bCs/>
          <w:sz w:val="24"/>
          <w:szCs w:val="24"/>
          <w:lang w:eastAsia="en-US"/>
        </w:rPr>
        <w:t>., 2018</w:t>
      </w:r>
      <w:r w:rsidRPr="008E772B">
        <w:rPr>
          <w:rFonts w:asciiTheme="majorBidi" w:eastAsia="Times New Roman" w:hAnsiTheme="majorBidi" w:cstheme="majorBidi"/>
          <w:bCs/>
          <w:iCs/>
          <w:sz w:val="24"/>
          <w:szCs w:val="24"/>
        </w:rPr>
        <w:t xml:space="preserve">). Model </w:t>
      </w:r>
      <w:r w:rsidR="001F50EC" w:rsidRPr="008E772B">
        <w:rPr>
          <w:rFonts w:asciiTheme="majorBidi" w:eastAsia="Times New Roman" w:hAnsiTheme="majorBidi" w:cstheme="majorBidi"/>
          <w:bCs/>
          <w:iCs/>
          <w:sz w:val="24"/>
          <w:szCs w:val="24"/>
        </w:rPr>
        <w:t>2</w:t>
      </w:r>
      <w:r w:rsidRPr="008E772B">
        <w:rPr>
          <w:rFonts w:asciiTheme="majorBidi" w:eastAsia="Times New Roman" w:hAnsiTheme="majorBidi" w:cstheme="majorBidi"/>
          <w:bCs/>
          <w:iCs/>
          <w:sz w:val="24"/>
          <w:szCs w:val="24"/>
        </w:rPr>
        <w:t xml:space="preserve"> regresses </w:t>
      </w:r>
      <w:r w:rsidR="007607E3" w:rsidRPr="008E772B">
        <w:rPr>
          <w:rFonts w:asciiTheme="majorBidi" w:eastAsia="Times New Roman" w:hAnsiTheme="majorBidi" w:cstheme="majorBidi"/>
          <w:bCs/>
          <w:iCs/>
          <w:sz w:val="24"/>
          <w:szCs w:val="24"/>
        </w:rPr>
        <w:t xml:space="preserve">governance </w:t>
      </w:r>
      <w:r w:rsidRPr="008E772B">
        <w:rPr>
          <w:rFonts w:asciiTheme="majorBidi" w:eastAsia="Times New Roman" w:hAnsiTheme="majorBidi" w:cstheme="majorBidi"/>
          <w:bCs/>
          <w:iCs/>
          <w:sz w:val="24"/>
          <w:szCs w:val="24"/>
        </w:rPr>
        <w:t xml:space="preserve">and control variables on the log of the audit fee for 470 firm-year observations, as </w:t>
      </w:r>
      <w:r w:rsidR="00D726BC" w:rsidRPr="008E772B">
        <w:rPr>
          <w:rFonts w:asciiTheme="majorBidi" w:eastAsia="Times New Roman" w:hAnsiTheme="majorBidi" w:cstheme="majorBidi"/>
          <w:bCs/>
          <w:iCs/>
          <w:sz w:val="24"/>
          <w:szCs w:val="24"/>
        </w:rPr>
        <w:t>follows</w:t>
      </w:r>
      <w:r w:rsidRPr="008E772B">
        <w:rPr>
          <w:rFonts w:asciiTheme="majorBidi" w:eastAsia="Times New Roman" w:hAnsiTheme="majorBidi" w:cstheme="majorBidi"/>
          <w:bCs/>
          <w:iCs/>
          <w:sz w:val="24"/>
          <w:szCs w:val="24"/>
        </w:rPr>
        <w:t>:</w:t>
      </w:r>
    </w:p>
    <w:p w14:paraId="5E5E5268" w14:textId="3AB1301B" w:rsidR="007C4420" w:rsidRPr="00AD6783" w:rsidRDefault="00E155F1" w:rsidP="00224F93">
      <w:pPr>
        <w:spacing w:after="0" w:line="360" w:lineRule="auto"/>
        <w:jc w:val="both"/>
        <w:rPr>
          <w:rFonts w:asciiTheme="majorBidi" w:eastAsia="Times New Roman" w:hAnsiTheme="majorBidi" w:cstheme="majorBidi"/>
          <w:bCs/>
          <w:iCs/>
          <w:sz w:val="24"/>
          <w:szCs w:val="24"/>
        </w:rPr>
      </w:pPr>
      <w:r w:rsidRPr="008E772B">
        <w:rPr>
          <w:rFonts w:asciiTheme="majorBidi" w:eastAsia="Times New Roman" w:hAnsiTheme="majorBidi" w:cstheme="majorBidi"/>
          <w:bCs/>
          <w:iCs/>
          <w:position w:val="-28"/>
          <w:sz w:val="24"/>
          <w:szCs w:val="24"/>
        </w:rPr>
        <w:object w:dxaOrig="12120" w:dyaOrig="680" w14:anchorId="316D1285">
          <v:shape id="_x0000_i1026" type="#_x0000_t75" style="width:489.75pt;height:28.45pt" o:ole="">
            <v:imagedata r:id="rId13" o:title=""/>
          </v:shape>
          <o:OLEObject Type="Embed" ProgID="Equation.3" ShapeID="_x0000_i1026" DrawAspect="Content" ObjectID="_1615764200" r:id="rId14"/>
        </w:object>
      </w:r>
      <w:r w:rsidR="001268B3">
        <w:rPr>
          <w:rFonts w:asciiTheme="majorBidi" w:eastAsia="Times New Roman" w:hAnsiTheme="majorBidi" w:cstheme="majorBidi"/>
          <w:bCs/>
          <w:iCs/>
          <w:sz w:val="24"/>
          <w:szCs w:val="24"/>
        </w:rPr>
        <w:tab/>
      </w:r>
      <w:r w:rsidR="007C4420" w:rsidRPr="008E772B">
        <w:rPr>
          <w:rFonts w:asciiTheme="majorBidi" w:eastAsia="Times New Roman" w:hAnsiTheme="majorBidi" w:cstheme="majorBidi"/>
          <w:bCs/>
          <w:iCs/>
          <w:sz w:val="24"/>
          <w:szCs w:val="24"/>
        </w:rPr>
        <w:t xml:space="preserve">Where </w:t>
      </w:r>
      <w:r w:rsidR="000D11D8" w:rsidRPr="008E772B">
        <w:rPr>
          <w:rFonts w:asciiTheme="majorBidi" w:eastAsia="Times New Roman" w:hAnsiTheme="majorBidi" w:cstheme="majorBidi"/>
          <w:bCs/>
          <w:i/>
          <w:iCs/>
          <w:sz w:val="24"/>
          <w:szCs w:val="24"/>
        </w:rPr>
        <w:t>BIG4</w:t>
      </w:r>
      <w:r w:rsidR="000D11D8" w:rsidRPr="008E772B">
        <w:rPr>
          <w:rFonts w:asciiTheme="majorBidi" w:eastAsia="Times New Roman" w:hAnsiTheme="majorBidi" w:cstheme="majorBidi"/>
          <w:bCs/>
          <w:iCs/>
          <w:sz w:val="24"/>
          <w:szCs w:val="24"/>
        </w:rPr>
        <w:t xml:space="preserve"> is audit firm size, </w:t>
      </w:r>
      <w:r w:rsidR="00CD0B52" w:rsidRPr="008E772B">
        <w:rPr>
          <w:rFonts w:asciiTheme="majorBidi" w:eastAsia="Times New Roman" w:hAnsiTheme="majorBidi" w:cstheme="majorBidi"/>
          <w:bCs/>
          <w:i/>
          <w:sz w:val="24"/>
          <w:szCs w:val="24"/>
        </w:rPr>
        <w:t>LNFE</w:t>
      </w:r>
      <w:r w:rsidR="007C4420" w:rsidRPr="008E772B">
        <w:rPr>
          <w:rFonts w:asciiTheme="majorBidi" w:eastAsia="Times New Roman" w:hAnsiTheme="majorBidi" w:cstheme="majorBidi"/>
          <w:bCs/>
          <w:iCs/>
          <w:sz w:val="24"/>
          <w:szCs w:val="24"/>
        </w:rPr>
        <w:t xml:space="preserve"> is </w:t>
      </w:r>
      <w:r w:rsidR="007C4420" w:rsidRPr="008E772B">
        <w:rPr>
          <w:rFonts w:asciiTheme="majorBidi" w:eastAsia="Times New Roman" w:hAnsiTheme="majorBidi" w:cstheme="majorBidi"/>
          <w:sz w:val="24"/>
          <w:szCs w:val="24"/>
        </w:rPr>
        <w:t>natural log of audit fee</w:t>
      </w:r>
      <w:r w:rsidR="007C4420" w:rsidRPr="008E772B">
        <w:rPr>
          <w:rFonts w:asciiTheme="majorBidi" w:eastAsia="Times New Roman" w:hAnsiTheme="majorBidi" w:cstheme="majorBidi"/>
          <w:bCs/>
          <w:iCs/>
          <w:sz w:val="24"/>
          <w:szCs w:val="24"/>
        </w:rPr>
        <w:t xml:space="preserve">, </w:t>
      </w:r>
      <w:r w:rsidR="00CD0B52" w:rsidRPr="008E772B">
        <w:rPr>
          <w:rFonts w:asciiTheme="majorBidi" w:eastAsia="Times New Roman" w:hAnsiTheme="majorBidi" w:cstheme="majorBidi"/>
          <w:bCs/>
          <w:i/>
          <w:iCs/>
          <w:sz w:val="24"/>
          <w:szCs w:val="24"/>
          <w:lang w:val="en-US"/>
        </w:rPr>
        <w:t>BRDS</w:t>
      </w:r>
      <w:r w:rsidR="007C4420" w:rsidRPr="008E772B">
        <w:rPr>
          <w:rFonts w:asciiTheme="majorBidi" w:eastAsia="Times New Roman" w:hAnsiTheme="majorBidi" w:cstheme="majorBidi"/>
          <w:bCs/>
          <w:iCs/>
          <w:sz w:val="24"/>
          <w:szCs w:val="24"/>
        </w:rPr>
        <w:t xml:space="preserve"> is board size,</w:t>
      </w:r>
      <w:r w:rsidR="007C4420" w:rsidRPr="008E772B">
        <w:rPr>
          <w:rFonts w:asciiTheme="majorBidi" w:eastAsia="Times New Roman" w:hAnsiTheme="majorBidi" w:cstheme="majorBidi"/>
          <w:bCs/>
          <w:i/>
          <w:iCs/>
          <w:sz w:val="24"/>
          <w:szCs w:val="24"/>
        </w:rPr>
        <w:t xml:space="preserve"> </w:t>
      </w:r>
      <w:r w:rsidR="00E80B25" w:rsidRPr="008E772B">
        <w:rPr>
          <w:rFonts w:asciiTheme="majorBidi" w:eastAsia="Times New Roman" w:hAnsiTheme="majorBidi" w:cstheme="majorBidi"/>
          <w:bCs/>
          <w:i/>
          <w:iCs/>
          <w:sz w:val="24"/>
          <w:szCs w:val="24"/>
        </w:rPr>
        <w:t xml:space="preserve">IND </w:t>
      </w:r>
      <w:r w:rsidR="007C4420" w:rsidRPr="008E772B">
        <w:rPr>
          <w:rFonts w:asciiTheme="majorBidi" w:eastAsia="Times New Roman" w:hAnsiTheme="majorBidi" w:cstheme="majorBidi"/>
          <w:bCs/>
          <w:iCs/>
          <w:sz w:val="24"/>
          <w:szCs w:val="24"/>
        </w:rPr>
        <w:t xml:space="preserve">is the percent of </w:t>
      </w:r>
      <w:r w:rsidR="00522BA1" w:rsidRPr="008E772B">
        <w:rPr>
          <w:rFonts w:asciiTheme="majorBidi" w:eastAsia="Times New Roman" w:hAnsiTheme="majorBidi" w:cstheme="majorBidi"/>
          <w:bCs/>
          <w:iCs/>
          <w:sz w:val="24"/>
          <w:szCs w:val="24"/>
        </w:rPr>
        <w:t>non</w:t>
      </w:r>
      <w:r w:rsidR="005522A6">
        <w:rPr>
          <w:rFonts w:asciiTheme="majorBidi" w:eastAsia="Times New Roman" w:hAnsiTheme="majorBidi" w:cstheme="majorBidi"/>
          <w:bCs/>
          <w:iCs/>
          <w:sz w:val="24"/>
          <w:szCs w:val="24"/>
        </w:rPr>
        <w:t>-</w:t>
      </w:r>
      <w:r w:rsidR="00522BA1" w:rsidRPr="008E772B">
        <w:rPr>
          <w:rFonts w:asciiTheme="majorBidi" w:eastAsia="Times New Roman" w:hAnsiTheme="majorBidi" w:cstheme="majorBidi"/>
          <w:bCs/>
          <w:iCs/>
          <w:sz w:val="24"/>
          <w:szCs w:val="24"/>
        </w:rPr>
        <w:t>executive directors (</w:t>
      </w:r>
      <w:r w:rsidR="007C4420" w:rsidRPr="008E772B">
        <w:rPr>
          <w:rFonts w:asciiTheme="majorBidi" w:eastAsia="Times New Roman" w:hAnsiTheme="majorBidi" w:cstheme="majorBidi"/>
          <w:bCs/>
          <w:iCs/>
          <w:sz w:val="24"/>
          <w:szCs w:val="24"/>
        </w:rPr>
        <w:t>NEDs</w:t>
      </w:r>
      <w:r w:rsidR="00522BA1" w:rsidRPr="008E772B">
        <w:rPr>
          <w:rFonts w:asciiTheme="majorBidi" w:eastAsia="Times New Roman" w:hAnsiTheme="majorBidi" w:cstheme="majorBidi"/>
          <w:bCs/>
          <w:iCs/>
          <w:sz w:val="24"/>
          <w:szCs w:val="24"/>
        </w:rPr>
        <w:t>)</w:t>
      </w:r>
      <w:r w:rsidR="007C4420" w:rsidRPr="008E772B">
        <w:rPr>
          <w:rFonts w:asciiTheme="majorBidi" w:eastAsia="Times New Roman" w:hAnsiTheme="majorBidi" w:cstheme="majorBidi"/>
          <w:bCs/>
          <w:iCs/>
          <w:sz w:val="24"/>
          <w:szCs w:val="24"/>
        </w:rPr>
        <w:t xml:space="preserve"> on the board, </w:t>
      </w:r>
      <w:r w:rsidR="00522BA1" w:rsidRPr="008E772B">
        <w:rPr>
          <w:rFonts w:asciiTheme="majorBidi" w:eastAsia="Times New Roman" w:hAnsiTheme="majorBidi" w:cstheme="majorBidi"/>
          <w:bCs/>
          <w:i/>
          <w:iCs/>
          <w:sz w:val="24"/>
          <w:szCs w:val="24"/>
        </w:rPr>
        <w:t>U</w:t>
      </w:r>
      <w:r w:rsidR="007C4420" w:rsidRPr="008E772B">
        <w:rPr>
          <w:rFonts w:asciiTheme="majorBidi" w:eastAsia="Times New Roman" w:hAnsiTheme="majorBidi" w:cstheme="majorBidi"/>
          <w:bCs/>
          <w:i/>
          <w:iCs/>
          <w:sz w:val="24"/>
          <w:szCs w:val="24"/>
        </w:rPr>
        <w:t>BL</w:t>
      </w:r>
      <w:r w:rsidR="007C4420" w:rsidRPr="008E772B">
        <w:rPr>
          <w:rFonts w:asciiTheme="majorBidi" w:eastAsia="Times New Roman" w:hAnsiTheme="majorBidi" w:cstheme="majorBidi"/>
          <w:bCs/>
          <w:iCs/>
          <w:sz w:val="24"/>
          <w:szCs w:val="24"/>
        </w:rPr>
        <w:t xml:space="preserve"> is the </w:t>
      </w:r>
      <w:r w:rsidR="00B0591F" w:rsidRPr="00B0591F">
        <w:rPr>
          <w:rFonts w:asciiTheme="majorBidi" w:eastAsia="Times New Roman" w:hAnsiTheme="majorBidi" w:cstheme="majorBidi"/>
          <w:bCs/>
          <w:iCs/>
          <w:sz w:val="24"/>
          <w:szCs w:val="24"/>
        </w:rPr>
        <w:t>unitary board leadership</w:t>
      </w:r>
      <w:r w:rsidR="007C4420" w:rsidRPr="008E772B">
        <w:rPr>
          <w:rFonts w:asciiTheme="majorBidi" w:eastAsia="Times New Roman" w:hAnsiTheme="majorBidi" w:cstheme="majorBidi"/>
          <w:bCs/>
          <w:iCs/>
          <w:sz w:val="24"/>
          <w:szCs w:val="24"/>
        </w:rPr>
        <w:t xml:space="preserve">, </w:t>
      </w:r>
      <w:r w:rsidR="004039E0" w:rsidRPr="008E772B">
        <w:rPr>
          <w:rFonts w:asciiTheme="majorBidi" w:eastAsia="Times New Roman" w:hAnsiTheme="majorBidi" w:cstheme="majorBidi"/>
          <w:bCs/>
          <w:i/>
          <w:iCs/>
          <w:sz w:val="24"/>
          <w:szCs w:val="24"/>
          <w:lang w:val="en-US"/>
        </w:rPr>
        <w:t>GOSH</w:t>
      </w:r>
      <w:r w:rsidR="007C4420" w:rsidRPr="008E772B">
        <w:rPr>
          <w:rFonts w:asciiTheme="majorBidi" w:eastAsia="Times New Roman" w:hAnsiTheme="majorBidi" w:cstheme="majorBidi"/>
          <w:bCs/>
          <w:iCs/>
          <w:sz w:val="24"/>
          <w:szCs w:val="24"/>
        </w:rPr>
        <w:t xml:space="preserve"> is government </w:t>
      </w:r>
      <w:r w:rsidR="00C81356" w:rsidRPr="008E772B">
        <w:rPr>
          <w:rFonts w:asciiTheme="majorBidi" w:eastAsia="Times New Roman" w:hAnsiTheme="majorBidi" w:cstheme="majorBidi"/>
          <w:bCs/>
          <w:iCs/>
          <w:sz w:val="24"/>
          <w:szCs w:val="24"/>
        </w:rPr>
        <w:t>shareholding</w:t>
      </w:r>
      <w:r w:rsidR="007C4420" w:rsidRPr="008E772B">
        <w:rPr>
          <w:rFonts w:asciiTheme="majorBidi" w:eastAsia="Times New Roman" w:hAnsiTheme="majorBidi" w:cstheme="majorBidi"/>
          <w:bCs/>
          <w:iCs/>
          <w:sz w:val="24"/>
          <w:szCs w:val="24"/>
        </w:rPr>
        <w:t xml:space="preserve">, </w:t>
      </w:r>
      <w:r w:rsidR="00203345" w:rsidRPr="008E772B">
        <w:rPr>
          <w:rFonts w:asciiTheme="majorBidi" w:eastAsia="Times New Roman" w:hAnsiTheme="majorBidi" w:cstheme="majorBidi"/>
          <w:bCs/>
          <w:i/>
          <w:iCs/>
          <w:sz w:val="24"/>
          <w:szCs w:val="24"/>
          <w:lang w:val="en-US"/>
        </w:rPr>
        <w:t>DISH</w:t>
      </w:r>
      <w:r w:rsidR="007C4420" w:rsidRPr="008E772B">
        <w:rPr>
          <w:rFonts w:asciiTheme="majorBidi" w:eastAsia="Times New Roman" w:hAnsiTheme="majorBidi" w:cstheme="majorBidi"/>
          <w:bCs/>
          <w:iCs/>
          <w:sz w:val="24"/>
          <w:szCs w:val="24"/>
        </w:rPr>
        <w:t xml:space="preserve"> is director </w:t>
      </w:r>
      <w:r w:rsidR="00C81356" w:rsidRPr="008E772B">
        <w:rPr>
          <w:rFonts w:asciiTheme="majorBidi" w:eastAsia="Times New Roman" w:hAnsiTheme="majorBidi" w:cstheme="majorBidi"/>
          <w:bCs/>
          <w:iCs/>
          <w:sz w:val="24"/>
          <w:szCs w:val="24"/>
        </w:rPr>
        <w:t>shareholding</w:t>
      </w:r>
      <w:r w:rsidR="007C4420" w:rsidRPr="008E772B">
        <w:rPr>
          <w:rFonts w:asciiTheme="majorBidi" w:eastAsia="Times New Roman" w:hAnsiTheme="majorBidi" w:cstheme="majorBidi"/>
          <w:bCs/>
          <w:iCs/>
          <w:sz w:val="24"/>
          <w:szCs w:val="24"/>
        </w:rPr>
        <w:t xml:space="preserve">, </w:t>
      </w:r>
      <w:r>
        <w:rPr>
          <w:rFonts w:asciiTheme="majorBidi" w:eastAsia="Times New Roman" w:hAnsiTheme="majorBidi" w:cstheme="majorBidi"/>
          <w:bCs/>
          <w:i/>
          <w:sz w:val="24"/>
          <w:szCs w:val="24"/>
          <w:lang w:val="en-US"/>
        </w:rPr>
        <w:t>F</w:t>
      </w:r>
      <w:r w:rsidRPr="008E772B">
        <w:rPr>
          <w:rFonts w:asciiTheme="majorBidi" w:eastAsia="Times New Roman" w:hAnsiTheme="majorBidi" w:cstheme="majorBidi"/>
          <w:bCs/>
          <w:i/>
          <w:sz w:val="24"/>
          <w:szCs w:val="24"/>
          <w:lang w:val="en-US"/>
        </w:rPr>
        <w:t>LSH</w:t>
      </w:r>
      <w:r w:rsidRPr="008E772B">
        <w:rPr>
          <w:rFonts w:asciiTheme="majorBidi" w:eastAsia="Times New Roman" w:hAnsiTheme="majorBidi" w:cstheme="majorBidi"/>
          <w:bCs/>
          <w:iCs/>
          <w:sz w:val="24"/>
          <w:szCs w:val="24"/>
        </w:rPr>
        <w:t xml:space="preserve"> </w:t>
      </w:r>
      <w:r w:rsidR="007C4420" w:rsidRPr="008E772B">
        <w:rPr>
          <w:rFonts w:asciiTheme="majorBidi" w:eastAsia="Times New Roman" w:hAnsiTheme="majorBidi" w:cstheme="majorBidi"/>
          <w:bCs/>
          <w:iCs/>
          <w:sz w:val="24"/>
          <w:szCs w:val="24"/>
        </w:rPr>
        <w:t xml:space="preserve">is </w:t>
      </w:r>
      <w:r>
        <w:rPr>
          <w:rFonts w:asciiTheme="majorBidi" w:eastAsia="Times New Roman" w:hAnsiTheme="majorBidi" w:cstheme="majorBidi"/>
          <w:bCs/>
          <w:iCs/>
          <w:sz w:val="24"/>
          <w:szCs w:val="24"/>
        </w:rPr>
        <w:t>family</w:t>
      </w:r>
      <w:r w:rsidRPr="008E772B">
        <w:rPr>
          <w:rFonts w:asciiTheme="majorBidi" w:eastAsia="Times New Roman" w:hAnsiTheme="majorBidi" w:cstheme="majorBidi"/>
          <w:bCs/>
          <w:iCs/>
          <w:sz w:val="24"/>
          <w:szCs w:val="24"/>
        </w:rPr>
        <w:t xml:space="preserve"> </w:t>
      </w:r>
      <w:r w:rsidR="00C81356" w:rsidRPr="008E772B">
        <w:rPr>
          <w:rFonts w:asciiTheme="majorBidi" w:eastAsia="Times New Roman" w:hAnsiTheme="majorBidi" w:cstheme="majorBidi"/>
          <w:bCs/>
          <w:iCs/>
          <w:sz w:val="24"/>
          <w:szCs w:val="24"/>
        </w:rPr>
        <w:t>shareholding</w:t>
      </w:r>
      <w:r w:rsidR="007C4420" w:rsidRPr="008E772B">
        <w:rPr>
          <w:rFonts w:asciiTheme="majorBidi" w:eastAsia="Times New Roman" w:hAnsiTheme="majorBidi" w:cstheme="majorBidi"/>
          <w:bCs/>
          <w:iCs/>
          <w:sz w:val="24"/>
          <w:szCs w:val="24"/>
        </w:rPr>
        <w:t xml:space="preserve">, </w:t>
      </w:r>
      <w:r w:rsidR="000D11D8" w:rsidRPr="008E772B">
        <w:rPr>
          <w:rFonts w:asciiTheme="majorBidi" w:eastAsia="Times New Roman" w:hAnsiTheme="majorBidi" w:cstheme="majorBidi"/>
          <w:bCs/>
          <w:i/>
          <w:sz w:val="24"/>
          <w:szCs w:val="24"/>
        </w:rPr>
        <w:t>NGI</w:t>
      </w:r>
      <w:r w:rsidR="000D11D8" w:rsidRPr="008E772B">
        <w:rPr>
          <w:rFonts w:asciiTheme="majorBidi" w:eastAsia="Times New Roman" w:hAnsiTheme="majorBidi" w:cstheme="majorBidi"/>
          <w:bCs/>
          <w:iCs/>
          <w:sz w:val="24"/>
          <w:szCs w:val="24"/>
        </w:rPr>
        <w:t xml:space="preserve"> is national governance index</w:t>
      </w:r>
      <w:r w:rsidR="00A11779">
        <w:rPr>
          <w:rFonts w:asciiTheme="majorBidi" w:eastAsia="Times New Roman" w:hAnsiTheme="majorBidi" w:cstheme="majorBidi"/>
          <w:bCs/>
          <w:iCs/>
          <w:sz w:val="24"/>
          <w:szCs w:val="24"/>
        </w:rPr>
        <w:t>,</w:t>
      </w:r>
      <w:r w:rsidR="000D11D8" w:rsidRPr="008E772B">
        <w:rPr>
          <w:rFonts w:asciiTheme="majorBidi" w:eastAsia="Times New Roman" w:hAnsiTheme="majorBidi" w:cstheme="majorBidi"/>
          <w:bCs/>
          <w:iCs/>
          <w:sz w:val="24"/>
          <w:szCs w:val="24"/>
        </w:rPr>
        <w:t xml:space="preserve"> </w:t>
      </w:r>
      <w:r w:rsidR="007C4420" w:rsidRPr="008E772B">
        <w:rPr>
          <w:rFonts w:asciiTheme="majorBidi" w:eastAsia="Times New Roman" w:hAnsiTheme="majorBidi" w:cstheme="majorBidi"/>
          <w:bCs/>
          <w:iCs/>
          <w:sz w:val="24"/>
          <w:szCs w:val="24"/>
        </w:rPr>
        <w:t xml:space="preserve">and </w:t>
      </w:r>
      <w:r w:rsidR="007C4420" w:rsidRPr="008E772B">
        <w:rPr>
          <w:rFonts w:asciiTheme="majorBidi" w:eastAsia="Times New Roman" w:hAnsiTheme="majorBidi" w:cstheme="majorBidi"/>
          <w:bCs/>
          <w:i/>
          <w:iCs/>
          <w:sz w:val="24"/>
          <w:szCs w:val="24"/>
        </w:rPr>
        <w:t>CONTROLS</w:t>
      </w:r>
      <w:r w:rsidR="007C4420" w:rsidRPr="008E772B">
        <w:rPr>
          <w:rFonts w:asciiTheme="majorBidi" w:eastAsia="Times New Roman" w:hAnsiTheme="majorBidi" w:cstheme="majorBidi"/>
          <w:bCs/>
          <w:iCs/>
          <w:sz w:val="24"/>
          <w:szCs w:val="24"/>
        </w:rPr>
        <w:t xml:space="preserve"> refers to a number of control variables</w:t>
      </w:r>
      <w:r w:rsidR="005522A6">
        <w:rPr>
          <w:rFonts w:asciiTheme="majorBidi" w:eastAsia="Times New Roman" w:hAnsiTheme="majorBidi" w:cstheme="majorBidi"/>
          <w:bCs/>
          <w:iCs/>
          <w:sz w:val="24"/>
          <w:szCs w:val="24"/>
        </w:rPr>
        <w:t>,</w:t>
      </w:r>
      <w:r w:rsidR="007C4420" w:rsidRPr="008E772B">
        <w:rPr>
          <w:rFonts w:asciiTheme="majorBidi" w:eastAsia="Times New Roman" w:hAnsiTheme="majorBidi" w:cstheme="majorBidi"/>
          <w:bCs/>
          <w:iCs/>
          <w:sz w:val="24"/>
          <w:szCs w:val="24"/>
        </w:rPr>
        <w:t xml:space="preserve"> including</w:t>
      </w:r>
      <w:r w:rsidR="005522A6">
        <w:rPr>
          <w:rFonts w:asciiTheme="majorBidi" w:eastAsia="Times New Roman" w:hAnsiTheme="majorBidi" w:cstheme="majorBidi"/>
          <w:bCs/>
          <w:iCs/>
          <w:sz w:val="24"/>
          <w:szCs w:val="24"/>
        </w:rPr>
        <w:t>,</w:t>
      </w:r>
      <w:r w:rsidR="007C4420" w:rsidRPr="008E772B">
        <w:rPr>
          <w:rFonts w:asciiTheme="majorBidi" w:eastAsia="Times New Roman" w:hAnsiTheme="majorBidi" w:cstheme="majorBidi"/>
          <w:bCs/>
          <w:iCs/>
          <w:sz w:val="24"/>
          <w:szCs w:val="24"/>
        </w:rPr>
        <w:t xml:space="preserve"> </w:t>
      </w:r>
      <w:r w:rsidR="007C4420" w:rsidRPr="008E772B">
        <w:rPr>
          <w:rFonts w:asciiTheme="majorBidi" w:eastAsia="Times New Roman" w:hAnsiTheme="majorBidi" w:cstheme="majorBidi"/>
          <w:bCs/>
          <w:i/>
          <w:sz w:val="24"/>
          <w:szCs w:val="24"/>
        </w:rPr>
        <w:t>LNTA</w:t>
      </w:r>
      <w:r w:rsidR="007C4420" w:rsidRPr="008E772B">
        <w:rPr>
          <w:rFonts w:asciiTheme="majorBidi" w:eastAsia="Times New Roman" w:hAnsiTheme="majorBidi" w:cstheme="majorBidi"/>
          <w:bCs/>
          <w:iCs/>
          <w:sz w:val="24"/>
          <w:szCs w:val="24"/>
        </w:rPr>
        <w:t xml:space="preserve"> is firm size, </w:t>
      </w:r>
      <w:r w:rsidR="007C4420" w:rsidRPr="008E772B">
        <w:rPr>
          <w:rFonts w:asciiTheme="majorBidi" w:eastAsia="Times New Roman" w:hAnsiTheme="majorBidi" w:cstheme="majorBidi"/>
          <w:bCs/>
          <w:i/>
          <w:sz w:val="24"/>
          <w:szCs w:val="24"/>
        </w:rPr>
        <w:t>BUSY</w:t>
      </w:r>
      <w:r w:rsidR="007C4420" w:rsidRPr="008E772B">
        <w:rPr>
          <w:rFonts w:asciiTheme="majorBidi" w:eastAsia="Times New Roman" w:hAnsiTheme="majorBidi" w:cstheme="majorBidi"/>
          <w:bCs/>
          <w:iCs/>
          <w:sz w:val="24"/>
          <w:szCs w:val="24"/>
        </w:rPr>
        <w:t xml:space="preserve"> is busy season, </w:t>
      </w:r>
      <w:r w:rsidR="00DC18ED" w:rsidRPr="008E772B">
        <w:rPr>
          <w:rFonts w:asciiTheme="majorBidi" w:eastAsia="Times New Roman" w:hAnsiTheme="majorBidi" w:cstheme="majorBidi"/>
          <w:bCs/>
          <w:i/>
          <w:iCs/>
          <w:sz w:val="24"/>
          <w:szCs w:val="24"/>
        </w:rPr>
        <w:t>QUI</w:t>
      </w:r>
      <w:r w:rsidR="007C4420" w:rsidRPr="008E772B">
        <w:rPr>
          <w:rFonts w:asciiTheme="majorBidi" w:eastAsia="Times New Roman" w:hAnsiTheme="majorBidi" w:cstheme="majorBidi"/>
          <w:bCs/>
          <w:i/>
          <w:iCs/>
          <w:sz w:val="24"/>
          <w:szCs w:val="24"/>
        </w:rPr>
        <w:t>K</w:t>
      </w:r>
      <w:r w:rsidR="007C4420" w:rsidRPr="008E772B">
        <w:rPr>
          <w:rFonts w:asciiTheme="majorBidi" w:eastAsia="Times New Roman" w:hAnsiTheme="majorBidi" w:cstheme="majorBidi"/>
          <w:bCs/>
          <w:iCs/>
          <w:sz w:val="24"/>
          <w:szCs w:val="24"/>
        </w:rPr>
        <w:t xml:space="preserve"> is quick ratio, </w:t>
      </w:r>
      <w:r w:rsidR="007C4420" w:rsidRPr="008E772B">
        <w:rPr>
          <w:rFonts w:asciiTheme="majorBidi" w:eastAsia="Times New Roman" w:hAnsiTheme="majorBidi" w:cstheme="majorBidi"/>
          <w:bCs/>
          <w:i/>
          <w:sz w:val="24"/>
          <w:szCs w:val="24"/>
        </w:rPr>
        <w:t>LOS</w:t>
      </w:r>
      <w:r w:rsidR="007C4420" w:rsidRPr="008E772B">
        <w:rPr>
          <w:rFonts w:asciiTheme="majorBidi" w:eastAsia="Times New Roman" w:hAnsiTheme="majorBidi" w:cstheme="majorBidi"/>
          <w:bCs/>
          <w:iCs/>
          <w:sz w:val="24"/>
          <w:szCs w:val="24"/>
        </w:rPr>
        <w:t xml:space="preserve"> is firm loss, </w:t>
      </w:r>
      <w:r w:rsidR="007C4420" w:rsidRPr="008E772B">
        <w:rPr>
          <w:rFonts w:asciiTheme="majorBidi" w:eastAsia="Times New Roman" w:hAnsiTheme="majorBidi" w:cstheme="majorBidi"/>
          <w:bCs/>
          <w:i/>
          <w:sz w:val="24"/>
          <w:szCs w:val="24"/>
        </w:rPr>
        <w:t>LV</w:t>
      </w:r>
      <w:r w:rsidR="007C4420" w:rsidRPr="008E772B">
        <w:rPr>
          <w:rFonts w:asciiTheme="majorBidi" w:eastAsia="Times New Roman" w:hAnsiTheme="majorBidi" w:cstheme="majorBidi"/>
          <w:bCs/>
          <w:iCs/>
          <w:sz w:val="24"/>
          <w:szCs w:val="24"/>
        </w:rPr>
        <w:t xml:space="preserve"> is leverage, </w:t>
      </w:r>
      <w:r w:rsidR="007C4420" w:rsidRPr="008E772B">
        <w:rPr>
          <w:rFonts w:asciiTheme="majorBidi" w:eastAsia="Times New Roman" w:hAnsiTheme="majorBidi" w:cstheme="majorBidi"/>
          <w:bCs/>
          <w:i/>
          <w:sz w:val="24"/>
          <w:szCs w:val="24"/>
        </w:rPr>
        <w:t>SGR</w:t>
      </w:r>
      <w:r w:rsidR="007C4420" w:rsidRPr="008E772B">
        <w:rPr>
          <w:rFonts w:asciiTheme="majorBidi" w:eastAsia="Times New Roman" w:hAnsiTheme="majorBidi" w:cstheme="majorBidi"/>
          <w:bCs/>
          <w:iCs/>
          <w:sz w:val="24"/>
          <w:szCs w:val="24"/>
        </w:rPr>
        <w:t xml:space="preserve"> is growth opportunity, </w:t>
      </w:r>
      <w:r w:rsidR="007C4420" w:rsidRPr="008E772B">
        <w:rPr>
          <w:rFonts w:asciiTheme="majorBidi" w:eastAsia="Times New Roman" w:hAnsiTheme="majorBidi" w:cstheme="majorBidi"/>
          <w:bCs/>
          <w:i/>
          <w:sz w:val="24"/>
          <w:szCs w:val="24"/>
        </w:rPr>
        <w:t>ROA</w:t>
      </w:r>
      <w:r w:rsidR="007C4420" w:rsidRPr="008E772B">
        <w:rPr>
          <w:rFonts w:asciiTheme="majorBidi" w:eastAsia="Times New Roman" w:hAnsiTheme="majorBidi" w:cstheme="majorBidi"/>
          <w:bCs/>
          <w:iCs/>
          <w:sz w:val="24"/>
          <w:szCs w:val="24"/>
        </w:rPr>
        <w:t xml:space="preserve"> is return on assets, </w:t>
      </w:r>
      <w:r w:rsidR="007C4420" w:rsidRPr="008E772B">
        <w:rPr>
          <w:rFonts w:asciiTheme="majorBidi" w:eastAsia="Times New Roman" w:hAnsiTheme="majorBidi" w:cstheme="majorBidi"/>
          <w:bCs/>
          <w:i/>
          <w:sz w:val="24"/>
          <w:szCs w:val="24"/>
        </w:rPr>
        <w:t>YDU</w:t>
      </w:r>
      <w:r w:rsidR="007C4420" w:rsidRPr="008E772B">
        <w:rPr>
          <w:rFonts w:asciiTheme="majorBidi" w:eastAsia="Times New Roman" w:hAnsiTheme="majorBidi" w:cstheme="majorBidi"/>
          <w:bCs/>
          <w:iCs/>
          <w:sz w:val="24"/>
          <w:szCs w:val="24"/>
        </w:rPr>
        <w:t xml:space="preserve"> is year dummies for the study period 2009–2014,</w:t>
      </w:r>
      <w:r w:rsidR="00464F8D">
        <w:rPr>
          <w:rFonts w:asciiTheme="majorBidi" w:eastAsia="Times New Roman" w:hAnsiTheme="majorBidi" w:cstheme="majorBidi"/>
          <w:bCs/>
          <w:iCs/>
          <w:sz w:val="24"/>
          <w:szCs w:val="24"/>
        </w:rPr>
        <w:t xml:space="preserve"> and</w:t>
      </w:r>
      <w:r w:rsidR="007C4420" w:rsidRPr="008E772B">
        <w:rPr>
          <w:rFonts w:asciiTheme="majorBidi" w:eastAsia="Times New Roman" w:hAnsiTheme="majorBidi" w:cstheme="majorBidi"/>
          <w:bCs/>
          <w:iCs/>
          <w:sz w:val="24"/>
          <w:szCs w:val="24"/>
        </w:rPr>
        <w:t xml:space="preserve"> </w:t>
      </w:r>
      <w:r w:rsidR="00AD37B5" w:rsidRPr="008E772B">
        <w:rPr>
          <w:rFonts w:asciiTheme="majorBidi" w:eastAsia="Times New Roman" w:hAnsiTheme="majorBidi" w:cstheme="majorBidi"/>
          <w:bCs/>
          <w:i/>
          <w:sz w:val="24"/>
          <w:szCs w:val="24"/>
          <w:lang w:val="en-US"/>
        </w:rPr>
        <w:t>IRY</w:t>
      </w:r>
      <w:r w:rsidR="00AD37B5" w:rsidRPr="008E772B">
        <w:rPr>
          <w:rFonts w:asciiTheme="majorBidi" w:eastAsia="Times New Roman" w:hAnsiTheme="majorBidi" w:cstheme="majorBidi"/>
          <w:bCs/>
          <w:i/>
          <w:iCs/>
          <w:sz w:val="24"/>
          <w:szCs w:val="24"/>
          <w:lang w:val="en-US"/>
        </w:rPr>
        <w:t xml:space="preserve"> </w:t>
      </w:r>
      <w:r w:rsidR="00CE2087" w:rsidRPr="008E772B">
        <w:rPr>
          <w:rFonts w:asciiTheme="majorBidi" w:eastAsia="Times New Roman" w:hAnsiTheme="majorBidi" w:cstheme="majorBidi"/>
          <w:bCs/>
          <w:iCs/>
          <w:sz w:val="24"/>
          <w:szCs w:val="24"/>
          <w:lang w:val="en-US"/>
        </w:rPr>
        <w:t xml:space="preserve">is </w:t>
      </w:r>
      <w:r w:rsidR="007C4420" w:rsidRPr="008E772B">
        <w:rPr>
          <w:rFonts w:asciiTheme="majorBidi" w:eastAsia="Times New Roman" w:hAnsiTheme="majorBidi" w:cstheme="majorBidi"/>
          <w:bCs/>
          <w:iCs/>
          <w:sz w:val="24"/>
          <w:szCs w:val="24"/>
        </w:rPr>
        <w:t>industry dummies</w:t>
      </w:r>
      <w:r w:rsidR="0088087B" w:rsidRPr="008E772B">
        <w:rPr>
          <w:rFonts w:asciiTheme="majorBidi" w:eastAsia="Times New Roman" w:hAnsiTheme="majorBidi" w:cstheme="majorBidi"/>
          <w:bCs/>
          <w:i/>
          <w:iCs/>
          <w:sz w:val="24"/>
          <w:szCs w:val="24"/>
          <w:lang w:val="en-US"/>
        </w:rPr>
        <w:t>.</w:t>
      </w:r>
      <w:r w:rsidR="00786520" w:rsidRPr="00786520">
        <w:rPr>
          <w:rFonts w:ascii="Arial" w:hAnsi="Arial" w:cs="Arial"/>
        </w:rPr>
        <w:t xml:space="preserve"> </w:t>
      </w:r>
      <w:r w:rsidR="00786520" w:rsidRPr="00AD6783">
        <w:rPr>
          <w:rFonts w:asciiTheme="majorBidi" w:eastAsia="Times New Roman" w:hAnsiTheme="majorBidi" w:cstheme="majorBidi"/>
          <w:bCs/>
          <w:iCs/>
          <w:sz w:val="24"/>
          <w:szCs w:val="24"/>
        </w:rPr>
        <w:t xml:space="preserve">We use time dummies to control for possible variation over time in audit </w:t>
      </w:r>
      <w:r w:rsidR="00224F93">
        <w:rPr>
          <w:rFonts w:asciiTheme="majorBidi" w:eastAsia="Times New Roman" w:hAnsiTheme="majorBidi" w:cstheme="majorBidi"/>
          <w:bCs/>
          <w:iCs/>
          <w:sz w:val="24"/>
          <w:szCs w:val="24"/>
        </w:rPr>
        <w:t>quality</w:t>
      </w:r>
      <w:r w:rsidR="00224F93" w:rsidRPr="00AD6783">
        <w:rPr>
          <w:rFonts w:asciiTheme="majorBidi" w:eastAsia="Times New Roman" w:hAnsiTheme="majorBidi" w:cstheme="majorBidi"/>
          <w:bCs/>
          <w:iCs/>
          <w:sz w:val="24"/>
          <w:szCs w:val="24"/>
        </w:rPr>
        <w:t xml:space="preserve"> </w:t>
      </w:r>
      <w:r w:rsidR="00786520" w:rsidRPr="00AD6783">
        <w:rPr>
          <w:rFonts w:asciiTheme="majorBidi" w:eastAsia="Times New Roman" w:hAnsiTheme="majorBidi" w:cstheme="majorBidi"/>
          <w:bCs/>
          <w:iCs/>
          <w:sz w:val="24"/>
          <w:szCs w:val="24"/>
        </w:rPr>
        <w:t>measures due to unobserved time-related factors.</w:t>
      </w:r>
    </w:p>
    <w:p w14:paraId="5DE056FD" w14:textId="77777777" w:rsidR="007C4420" w:rsidRPr="00C257D6" w:rsidRDefault="007C4420" w:rsidP="001E3C94">
      <w:pPr>
        <w:spacing w:after="0" w:line="360" w:lineRule="auto"/>
        <w:ind w:firstLine="720"/>
        <w:jc w:val="lowKashida"/>
        <w:rPr>
          <w:rFonts w:asciiTheme="majorBidi" w:eastAsia="Times New Roman" w:hAnsiTheme="majorBidi" w:cstheme="majorBidi"/>
          <w:sz w:val="24"/>
          <w:szCs w:val="24"/>
        </w:rPr>
      </w:pPr>
    </w:p>
    <w:p w14:paraId="027615FC" w14:textId="3A0B29F2" w:rsidR="007C4420" w:rsidRPr="00C257D6" w:rsidRDefault="00157823" w:rsidP="001E3C94">
      <w:pPr>
        <w:spacing w:after="0" w:line="360" w:lineRule="auto"/>
        <w:jc w:val="lowKashida"/>
        <w:rPr>
          <w:rFonts w:asciiTheme="majorBidi" w:eastAsia="Times New Roman" w:hAnsiTheme="majorBidi" w:cstheme="majorBidi"/>
          <w:sz w:val="24"/>
          <w:szCs w:val="24"/>
        </w:rPr>
      </w:pPr>
      <w:r w:rsidRPr="00157823">
        <w:rPr>
          <w:rFonts w:asciiTheme="majorBidi" w:eastAsia="Times New Roman" w:hAnsiTheme="majorBidi" w:cstheme="majorBidi"/>
          <w:b/>
          <w:bCs/>
          <w:iCs/>
          <w:sz w:val="24"/>
          <w:szCs w:val="24"/>
        </w:rPr>
        <w:t>5.</w:t>
      </w:r>
      <w:r w:rsidRPr="00157823">
        <w:rPr>
          <w:rFonts w:asciiTheme="majorBidi" w:eastAsia="Times New Roman" w:hAnsiTheme="majorBidi" w:cstheme="majorBidi"/>
          <w:b/>
          <w:bCs/>
          <w:i/>
          <w:iCs/>
          <w:sz w:val="24"/>
          <w:szCs w:val="24"/>
        </w:rPr>
        <w:t xml:space="preserve"> </w:t>
      </w:r>
      <w:r w:rsidRPr="00157823">
        <w:rPr>
          <w:rFonts w:asciiTheme="majorBidi" w:eastAsia="Times New Roman" w:hAnsiTheme="majorBidi" w:cstheme="majorBidi"/>
          <w:b/>
          <w:sz w:val="24"/>
          <w:szCs w:val="24"/>
        </w:rPr>
        <w:t>Empirical Results and Discussion</w:t>
      </w:r>
      <w:r w:rsidRPr="00C257D6">
        <w:rPr>
          <w:rFonts w:asciiTheme="majorBidi" w:eastAsia="Times New Roman" w:hAnsiTheme="majorBidi" w:cstheme="majorBidi"/>
          <w:sz w:val="24"/>
          <w:szCs w:val="24"/>
        </w:rPr>
        <w:t xml:space="preserve"> </w:t>
      </w:r>
    </w:p>
    <w:p w14:paraId="17369FC2" w14:textId="4DCC6574" w:rsidR="008E1FCC" w:rsidRPr="008E772B" w:rsidRDefault="00157823" w:rsidP="008E1FCC">
      <w:pPr>
        <w:spacing w:after="0" w:line="360" w:lineRule="auto"/>
        <w:jc w:val="lowKashida"/>
        <w:rPr>
          <w:rFonts w:asciiTheme="majorBidi" w:eastAsia="Times New Roman" w:hAnsiTheme="majorBidi" w:cstheme="majorBidi"/>
          <w:b/>
          <w:bCs/>
          <w:i/>
          <w:iCs/>
          <w:sz w:val="24"/>
          <w:szCs w:val="24"/>
        </w:rPr>
      </w:pPr>
      <w:r>
        <w:rPr>
          <w:rFonts w:asciiTheme="majorBidi" w:eastAsia="Times New Roman" w:hAnsiTheme="majorBidi" w:cstheme="majorBidi"/>
          <w:b/>
          <w:bCs/>
          <w:i/>
          <w:iCs/>
          <w:sz w:val="24"/>
          <w:szCs w:val="24"/>
        </w:rPr>
        <w:t>5</w:t>
      </w:r>
      <w:r w:rsidRPr="00157823">
        <w:rPr>
          <w:rFonts w:asciiTheme="majorBidi" w:eastAsia="Times New Roman" w:hAnsiTheme="majorBidi" w:cstheme="majorBidi"/>
          <w:b/>
          <w:bCs/>
          <w:i/>
          <w:iCs/>
          <w:sz w:val="24"/>
          <w:szCs w:val="24"/>
        </w:rPr>
        <w:t xml:space="preserve">.1. </w:t>
      </w:r>
      <w:r w:rsidR="008E1FCC" w:rsidRPr="008E772B">
        <w:rPr>
          <w:rFonts w:asciiTheme="majorBidi" w:eastAsia="Times New Roman" w:hAnsiTheme="majorBidi" w:cstheme="majorBidi"/>
          <w:b/>
          <w:bCs/>
          <w:i/>
          <w:iCs/>
          <w:sz w:val="24"/>
          <w:szCs w:val="24"/>
        </w:rPr>
        <w:t>Univariate statistics</w:t>
      </w:r>
    </w:p>
    <w:p w14:paraId="404A5B1B" w14:textId="53097F8C" w:rsidR="007C4420" w:rsidRPr="008E772B" w:rsidRDefault="007C4420" w:rsidP="00AF3361">
      <w:pPr>
        <w:spacing w:after="0" w:line="360" w:lineRule="auto"/>
        <w:jc w:val="lowKashida"/>
        <w:rPr>
          <w:rFonts w:asciiTheme="majorBidi" w:eastAsia="Times New Roman" w:hAnsiTheme="majorBidi" w:cstheme="majorBidi"/>
          <w:bCs/>
          <w:sz w:val="24"/>
          <w:szCs w:val="24"/>
        </w:rPr>
      </w:pPr>
      <w:r w:rsidRPr="008E772B">
        <w:rPr>
          <w:rFonts w:asciiTheme="majorBidi" w:eastAsia="Times New Roman" w:hAnsiTheme="majorBidi" w:cstheme="majorBidi"/>
          <w:b/>
          <w:bCs/>
          <w:sz w:val="24"/>
          <w:szCs w:val="24"/>
        </w:rPr>
        <w:t xml:space="preserve"> </w:t>
      </w:r>
      <w:r w:rsidR="00757584" w:rsidRPr="008E772B">
        <w:rPr>
          <w:rFonts w:asciiTheme="majorBidi" w:eastAsia="Times New Roman" w:hAnsiTheme="majorBidi" w:cstheme="majorBidi"/>
          <w:b/>
          <w:bCs/>
          <w:sz w:val="24"/>
          <w:szCs w:val="24"/>
        </w:rPr>
        <w:tab/>
      </w:r>
      <w:r w:rsidRPr="008E772B">
        <w:rPr>
          <w:rFonts w:asciiTheme="majorBidi" w:eastAsia="Times New Roman" w:hAnsiTheme="majorBidi" w:cstheme="majorBidi"/>
          <w:bCs/>
          <w:sz w:val="24"/>
          <w:szCs w:val="24"/>
        </w:rPr>
        <w:t xml:space="preserve">Table </w:t>
      </w:r>
      <w:r w:rsidR="00315498">
        <w:rPr>
          <w:rFonts w:asciiTheme="majorBidi" w:eastAsia="Times New Roman" w:hAnsiTheme="majorBidi" w:cstheme="majorBidi"/>
          <w:bCs/>
          <w:sz w:val="24"/>
          <w:szCs w:val="24"/>
        </w:rPr>
        <w:t>2</w:t>
      </w:r>
      <w:r w:rsidRPr="008E772B">
        <w:rPr>
          <w:rFonts w:asciiTheme="majorBidi" w:eastAsia="Times New Roman" w:hAnsiTheme="majorBidi" w:cstheme="majorBidi"/>
          <w:bCs/>
          <w:sz w:val="24"/>
          <w:szCs w:val="24"/>
        </w:rPr>
        <w:t xml:space="preserve"> summarises the descriptive analysis of the dependent, independent and control variables over the study period. Panel </w:t>
      </w:r>
      <w:r w:rsidRPr="008E772B">
        <w:rPr>
          <w:rFonts w:asciiTheme="majorBidi" w:eastAsia="Times New Roman" w:hAnsiTheme="majorBidi" w:cstheme="majorBidi"/>
          <w:bCs/>
          <w:i/>
          <w:sz w:val="24"/>
          <w:szCs w:val="24"/>
        </w:rPr>
        <w:t>A</w:t>
      </w:r>
      <w:r w:rsidRPr="008E772B">
        <w:rPr>
          <w:rFonts w:asciiTheme="majorBidi" w:eastAsia="Times New Roman" w:hAnsiTheme="majorBidi" w:cstheme="majorBidi"/>
          <w:bCs/>
          <w:sz w:val="24"/>
          <w:szCs w:val="24"/>
        </w:rPr>
        <w:t xml:space="preserve"> presents descriptive statistics for the two main dependent variables. </w:t>
      </w:r>
      <w:r w:rsidR="00562304" w:rsidRPr="008E772B">
        <w:rPr>
          <w:rFonts w:asciiTheme="majorBidi" w:eastAsia="Times New Roman" w:hAnsiTheme="majorBidi" w:cstheme="majorBidi"/>
          <w:bCs/>
          <w:sz w:val="24"/>
          <w:szCs w:val="24"/>
        </w:rPr>
        <w:t xml:space="preserve">The Big 4 audit firms dominate the audit market in MENA countries as they audit most of the sampled firms with the mean of 59% (354/600), </w:t>
      </w:r>
      <w:r w:rsidR="00231319" w:rsidRPr="008E772B">
        <w:rPr>
          <w:rFonts w:asciiTheme="majorBidi" w:eastAsia="Times New Roman" w:hAnsiTheme="majorBidi" w:cstheme="majorBidi"/>
          <w:bCs/>
          <w:sz w:val="24"/>
          <w:szCs w:val="24"/>
        </w:rPr>
        <w:t xml:space="preserve">supporting </w:t>
      </w:r>
      <w:r w:rsidR="00562304" w:rsidRPr="008E772B">
        <w:rPr>
          <w:rFonts w:asciiTheme="majorBidi" w:eastAsia="Times New Roman" w:hAnsiTheme="majorBidi" w:cstheme="majorBidi"/>
          <w:bCs/>
          <w:sz w:val="24"/>
          <w:szCs w:val="24"/>
        </w:rPr>
        <w:t xml:space="preserve">the argument that </w:t>
      </w:r>
      <w:r w:rsidR="00562304" w:rsidRPr="008E772B">
        <w:rPr>
          <w:rFonts w:asciiTheme="majorBidi" w:eastAsia="Times New Roman" w:hAnsiTheme="majorBidi" w:cstheme="majorBidi"/>
          <w:bCs/>
          <w:iCs/>
          <w:sz w:val="24"/>
          <w:szCs w:val="24"/>
        </w:rPr>
        <w:t xml:space="preserve">the audit profession and audit market of the </w:t>
      </w:r>
      <w:r w:rsidR="00562304" w:rsidRPr="008E772B">
        <w:rPr>
          <w:rFonts w:asciiTheme="majorBidi" w:eastAsia="Times New Roman" w:hAnsiTheme="majorBidi" w:cstheme="majorBidi"/>
          <w:bCs/>
          <w:sz w:val="24"/>
          <w:szCs w:val="24"/>
        </w:rPr>
        <w:t xml:space="preserve">MENA region is </w:t>
      </w:r>
      <w:r w:rsidR="00562304" w:rsidRPr="008E772B">
        <w:rPr>
          <w:rFonts w:asciiTheme="majorBidi" w:eastAsia="Times New Roman" w:hAnsiTheme="majorBidi" w:cstheme="majorBidi"/>
          <w:bCs/>
          <w:iCs/>
          <w:sz w:val="24"/>
          <w:szCs w:val="24"/>
        </w:rPr>
        <w:t xml:space="preserve">undeveloped (Wahdan </w:t>
      </w:r>
      <w:r w:rsidR="00562304" w:rsidRPr="008E772B">
        <w:rPr>
          <w:rFonts w:asciiTheme="majorBidi" w:eastAsia="Times New Roman" w:hAnsiTheme="majorBidi" w:cstheme="majorBidi"/>
          <w:bCs/>
          <w:i/>
          <w:iCs/>
          <w:sz w:val="24"/>
          <w:szCs w:val="24"/>
        </w:rPr>
        <w:t>et al</w:t>
      </w:r>
      <w:r w:rsidR="00562304" w:rsidRPr="008E772B">
        <w:rPr>
          <w:rFonts w:asciiTheme="majorBidi" w:eastAsia="Times New Roman" w:hAnsiTheme="majorBidi" w:cstheme="majorBidi"/>
          <w:bCs/>
          <w:iCs/>
          <w:sz w:val="24"/>
          <w:szCs w:val="24"/>
        </w:rPr>
        <w:t xml:space="preserve">., 2005; Al-Ajmi, 2009; Samaha &amp; Hegazy, 2010; Mohamed </w:t>
      </w:r>
      <w:r w:rsidR="00562304" w:rsidRPr="008E772B">
        <w:rPr>
          <w:rFonts w:asciiTheme="majorBidi" w:eastAsia="Times New Roman" w:hAnsiTheme="majorBidi" w:cstheme="majorBidi"/>
          <w:bCs/>
          <w:sz w:val="24"/>
          <w:szCs w:val="24"/>
        </w:rPr>
        <w:t>&amp;</w:t>
      </w:r>
      <w:r w:rsidR="00562304" w:rsidRPr="008E772B">
        <w:rPr>
          <w:rFonts w:asciiTheme="majorBidi" w:eastAsia="Times New Roman" w:hAnsiTheme="majorBidi" w:cstheme="majorBidi"/>
          <w:bCs/>
          <w:iCs/>
          <w:sz w:val="24"/>
          <w:szCs w:val="24"/>
        </w:rPr>
        <w:t xml:space="preserve"> Habib, 2013), and the </w:t>
      </w:r>
      <w:r w:rsidR="00562304" w:rsidRPr="008E772B">
        <w:rPr>
          <w:rFonts w:asciiTheme="majorBidi" w:eastAsia="Times New Roman" w:hAnsiTheme="majorBidi" w:cstheme="majorBidi"/>
          <w:bCs/>
          <w:sz w:val="24"/>
          <w:szCs w:val="24"/>
        </w:rPr>
        <w:t>Big 4 audit firms provide a superior and trustful audit service that qualify them to dominate most of the MENA region’s accounting and auditing markets (Al</w:t>
      </w:r>
      <w:r w:rsidR="00562304" w:rsidRPr="008E772B">
        <w:rPr>
          <w:rFonts w:asciiTheme="majorBidi" w:eastAsia="Times New Roman" w:hAnsiTheme="majorBidi" w:cstheme="majorBidi"/>
          <w:bCs/>
          <w:iCs/>
          <w:sz w:val="24"/>
          <w:szCs w:val="24"/>
        </w:rPr>
        <w:t>-Ajmi, 2009</w:t>
      </w:r>
      <w:r w:rsidR="007A1627">
        <w:rPr>
          <w:rFonts w:asciiTheme="majorBidi" w:eastAsia="Times New Roman" w:hAnsiTheme="majorBidi" w:cstheme="majorBidi"/>
          <w:bCs/>
          <w:iCs/>
          <w:sz w:val="24"/>
          <w:szCs w:val="24"/>
        </w:rPr>
        <w:t xml:space="preserve">; </w:t>
      </w:r>
      <w:r w:rsidR="007A1627" w:rsidRPr="007A1627">
        <w:rPr>
          <w:rFonts w:asciiTheme="majorBidi" w:eastAsia="Times New Roman" w:hAnsiTheme="majorBidi" w:cstheme="majorBidi"/>
          <w:bCs/>
          <w:iCs/>
          <w:sz w:val="24"/>
          <w:szCs w:val="24"/>
        </w:rPr>
        <w:t>Samaha &amp; Hegazy, 2010; El-Dyasty, 2017</w:t>
      </w:r>
      <w:r w:rsidR="00562304" w:rsidRPr="008E772B">
        <w:rPr>
          <w:rFonts w:asciiTheme="majorBidi" w:eastAsia="Times New Roman" w:hAnsiTheme="majorBidi" w:cstheme="majorBidi"/>
          <w:bCs/>
          <w:iCs/>
          <w:sz w:val="24"/>
          <w:szCs w:val="24"/>
        </w:rPr>
        <w:t>)</w:t>
      </w:r>
      <w:r w:rsidR="00562304" w:rsidRPr="008E772B">
        <w:rPr>
          <w:rFonts w:asciiTheme="majorBidi" w:eastAsia="Times New Roman" w:hAnsiTheme="majorBidi" w:cstheme="majorBidi"/>
          <w:bCs/>
          <w:sz w:val="24"/>
          <w:szCs w:val="24"/>
        </w:rPr>
        <w:t xml:space="preserve">. </w:t>
      </w:r>
      <w:r w:rsidR="00231319" w:rsidRPr="008E772B">
        <w:rPr>
          <w:rFonts w:asciiTheme="majorBidi" w:eastAsia="Times New Roman" w:hAnsiTheme="majorBidi" w:cstheme="majorBidi"/>
          <w:bCs/>
          <w:sz w:val="24"/>
          <w:szCs w:val="24"/>
        </w:rPr>
        <w:t xml:space="preserve">Our findings are consistent with </w:t>
      </w:r>
      <w:r w:rsidR="00E50AF6" w:rsidRPr="008E772B">
        <w:rPr>
          <w:rFonts w:asciiTheme="majorBidi" w:eastAsia="Times New Roman" w:hAnsiTheme="majorBidi" w:cstheme="majorBidi"/>
          <w:bCs/>
          <w:sz w:val="24"/>
          <w:szCs w:val="24"/>
        </w:rPr>
        <w:t xml:space="preserve">those of </w:t>
      </w:r>
      <w:r w:rsidR="00231319" w:rsidRPr="008E772B">
        <w:rPr>
          <w:rFonts w:asciiTheme="majorBidi" w:eastAsia="Times New Roman" w:hAnsiTheme="majorBidi" w:cstheme="majorBidi"/>
          <w:bCs/>
          <w:sz w:val="24"/>
          <w:szCs w:val="24"/>
        </w:rPr>
        <w:t>other previous studies</w:t>
      </w:r>
      <w:r w:rsidR="00CA3C5B">
        <w:rPr>
          <w:rFonts w:asciiTheme="majorBidi" w:eastAsia="Times New Roman" w:hAnsiTheme="majorBidi" w:cstheme="majorBidi"/>
          <w:bCs/>
          <w:sz w:val="24"/>
          <w:szCs w:val="24"/>
        </w:rPr>
        <w:t>,</w:t>
      </w:r>
      <w:r w:rsidR="00231319" w:rsidRPr="008E772B">
        <w:rPr>
          <w:rFonts w:asciiTheme="majorBidi" w:eastAsia="Times New Roman" w:hAnsiTheme="majorBidi" w:cstheme="majorBidi"/>
          <w:bCs/>
          <w:sz w:val="24"/>
          <w:szCs w:val="24"/>
        </w:rPr>
        <w:t xml:space="preserve"> </w:t>
      </w:r>
      <w:r w:rsidR="00CA3C5B">
        <w:rPr>
          <w:rFonts w:asciiTheme="majorBidi" w:eastAsia="Times New Roman" w:hAnsiTheme="majorBidi" w:cstheme="majorBidi"/>
          <w:bCs/>
          <w:sz w:val="24"/>
          <w:szCs w:val="24"/>
        </w:rPr>
        <w:t>which</w:t>
      </w:r>
      <w:r w:rsidR="00CA3C5B" w:rsidRPr="008E772B">
        <w:rPr>
          <w:rFonts w:asciiTheme="majorBidi" w:eastAsia="Times New Roman" w:hAnsiTheme="majorBidi" w:cstheme="majorBidi"/>
          <w:bCs/>
          <w:sz w:val="24"/>
          <w:szCs w:val="24"/>
        </w:rPr>
        <w:t xml:space="preserve"> </w:t>
      </w:r>
      <w:r w:rsidR="00231319" w:rsidRPr="008E772B">
        <w:rPr>
          <w:rFonts w:asciiTheme="majorBidi" w:eastAsia="Times New Roman" w:hAnsiTheme="majorBidi" w:cstheme="majorBidi"/>
          <w:bCs/>
          <w:sz w:val="24"/>
          <w:szCs w:val="24"/>
        </w:rPr>
        <w:t xml:space="preserve">show that the mean of </w:t>
      </w:r>
      <w:r w:rsidR="00AF3361">
        <w:rPr>
          <w:rFonts w:asciiTheme="majorBidi" w:eastAsia="Times New Roman" w:hAnsiTheme="majorBidi" w:cstheme="majorBidi"/>
          <w:bCs/>
          <w:sz w:val="24"/>
          <w:szCs w:val="24"/>
        </w:rPr>
        <w:t xml:space="preserve">a </w:t>
      </w:r>
      <w:r w:rsidR="00AF3361" w:rsidRPr="00AF3361">
        <w:rPr>
          <w:rFonts w:asciiTheme="majorBidi" w:eastAsia="Times New Roman" w:hAnsiTheme="majorBidi" w:cstheme="majorBidi"/>
          <w:bCs/>
          <w:sz w:val="24"/>
          <w:szCs w:val="24"/>
        </w:rPr>
        <w:t>Big 4</w:t>
      </w:r>
      <w:r w:rsidR="00AF3361" w:rsidRPr="008E772B">
        <w:rPr>
          <w:rFonts w:asciiTheme="majorBidi" w:eastAsia="Times New Roman" w:hAnsiTheme="majorBidi" w:cstheme="majorBidi"/>
          <w:bCs/>
          <w:sz w:val="24"/>
          <w:szCs w:val="24"/>
        </w:rPr>
        <w:t xml:space="preserve"> </w:t>
      </w:r>
      <w:r w:rsidR="00AF3361">
        <w:rPr>
          <w:rFonts w:asciiTheme="majorBidi" w:eastAsia="Times New Roman" w:hAnsiTheme="majorBidi" w:cstheme="majorBidi"/>
          <w:bCs/>
          <w:sz w:val="24"/>
          <w:szCs w:val="24"/>
        </w:rPr>
        <w:t xml:space="preserve">audit firm </w:t>
      </w:r>
      <w:r w:rsidR="00231319" w:rsidRPr="008E772B">
        <w:rPr>
          <w:rFonts w:asciiTheme="majorBidi" w:eastAsia="Times New Roman" w:hAnsiTheme="majorBidi" w:cstheme="majorBidi"/>
          <w:bCs/>
          <w:sz w:val="24"/>
          <w:szCs w:val="24"/>
        </w:rPr>
        <w:t xml:space="preserve">in </w:t>
      </w:r>
      <w:r w:rsidR="00C67B31" w:rsidRPr="008E772B">
        <w:rPr>
          <w:rFonts w:asciiTheme="majorBidi" w:eastAsia="Times New Roman" w:hAnsiTheme="majorBidi" w:cstheme="majorBidi"/>
          <w:bCs/>
          <w:sz w:val="24"/>
          <w:szCs w:val="24"/>
        </w:rPr>
        <w:t xml:space="preserve">Egypt (Khalil &amp; Ozkan, 2016), </w:t>
      </w:r>
      <w:r w:rsidR="00231319" w:rsidRPr="008E772B">
        <w:rPr>
          <w:rFonts w:asciiTheme="majorBidi" w:eastAsia="Times New Roman" w:hAnsiTheme="majorBidi" w:cstheme="majorBidi"/>
          <w:bCs/>
          <w:sz w:val="24"/>
          <w:szCs w:val="24"/>
        </w:rPr>
        <w:t>Oman (</w:t>
      </w:r>
      <w:r w:rsidR="00CA3C5B" w:rsidRPr="00CA3C5B">
        <w:rPr>
          <w:rFonts w:asciiTheme="majorBidi" w:eastAsia="Times New Roman" w:hAnsiTheme="majorBidi" w:cstheme="majorBidi"/>
          <w:bCs/>
          <w:sz w:val="24"/>
          <w:szCs w:val="24"/>
          <w:lang w:val="en-US"/>
        </w:rPr>
        <w:t>Elghuweel</w:t>
      </w:r>
      <w:r w:rsidR="00CA3C5B" w:rsidRPr="00CA3C5B" w:rsidDel="00CA3C5B">
        <w:rPr>
          <w:rFonts w:asciiTheme="majorBidi" w:eastAsia="Times New Roman" w:hAnsiTheme="majorBidi" w:cstheme="majorBidi"/>
          <w:bCs/>
          <w:sz w:val="24"/>
          <w:szCs w:val="24"/>
        </w:rPr>
        <w:t xml:space="preserve"> </w:t>
      </w:r>
      <w:r w:rsidR="00231319" w:rsidRPr="008E772B">
        <w:rPr>
          <w:rFonts w:asciiTheme="majorBidi" w:eastAsia="Times New Roman" w:hAnsiTheme="majorBidi" w:cstheme="majorBidi"/>
          <w:bCs/>
          <w:i/>
          <w:iCs/>
          <w:sz w:val="24"/>
          <w:szCs w:val="24"/>
        </w:rPr>
        <w:t>et al</w:t>
      </w:r>
      <w:r w:rsidR="00231319" w:rsidRPr="008E772B">
        <w:rPr>
          <w:rFonts w:asciiTheme="majorBidi" w:eastAsia="Times New Roman" w:hAnsiTheme="majorBidi" w:cstheme="majorBidi"/>
          <w:bCs/>
          <w:sz w:val="24"/>
          <w:szCs w:val="24"/>
        </w:rPr>
        <w:t xml:space="preserve">., </w:t>
      </w:r>
      <w:r w:rsidR="00CA3C5B" w:rsidRPr="008E772B">
        <w:rPr>
          <w:rFonts w:asciiTheme="majorBidi" w:eastAsia="Times New Roman" w:hAnsiTheme="majorBidi" w:cstheme="majorBidi"/>
          <w:bCs/>
          <w:sz w:val="24"/>
          <w:szCs w:val="24"/>
        </w:rPr>
        <w:t>201</w:t>
      </w:r>
      <w:r w:rsidR="00CA3C5B">
        <w:rPr>
          <w:rFonts w:asciiTheme="majorBidi" w:eastAsia="Times New Roman" w:hAnsiTheme="majorBidi" w:cstheme="majorBidi"/>
          <w:bCs/>
          <w:sz w:val="24"/>
          <w:szCs w:val="24"/>
        </w:rPr>
        <w:t>7</w:t>
      </w:r>
      <w:r w:rsidR="00231319" w:rsidRPr="008E772B">
        <w:rPr>
          <w:rFonts w:asciiTheme="majorBidi" w:eastAsia="Times New Roman" w:hAnsiTheme="majorBidi" w:cstheme="majorBidi"/>
          <w:bCs/>
          <w:sz w:val="24"/>
          <w:szCs w:val="24"/>
        </w:rPr>
        <w:t xml:space="preserve">), and Saudi Arabia (Al-Bassam </w:t>
      </w:r>
      <w:r w:rsidR="00231319" w:rsidRPr="008E772B">
        <w:rPr>
          <w:rFonts w:asciiTheme="majorBidi" w:eastAsia="Times New Roman" w:hAnsiTheme="majorBidi" w:cstheme="majorBidi"/>
          <w:bCs/>
          <w:i/>
          <w:iCs/>
          <w:sz w:val="24"/>
          <w:szCs w:val="24"/>
        </w:rPr>
        <w:t>et al</w:t>
      </w:r>
      <w:r w:rsidR="00231319" w:rsidRPr="008E772B">
        <w:rPr>
          <w:rFonts w:asciiTheme="majorBidi" w:eastAsia="Times New Roman" w:hAnsiTheme="majorBidi" w:cstheme="majorBidi"/>
          <w:bCs/>
          <w:sz w:val="24"/>
          <w:szCs w:val="24"/>
        </w:rPr>
        <w:t xml:space="preserve">., </w:t>
      </w:r>
      <w:r w:rsidR="00594CA4" w:rsidRPr="008E772B">
        <w:rPr>
          <w:rFonts w:asciiTheme="majorBidi" w:eastAsia="Times New Roman" w:hAnsiTheme="majorBidi" w:cstheme="majorBidi"/>
          <w:bCs/>
          <w:sz w:val="24"/>
          <w:szCs w:val="24"/>
        </w:rPr>
        <w:t>201</w:t>
      </w:r>
      <w:r w:rsidR="00594CA4">
        <w:rPr>
          <w:rFonts w:asciiTheme="majorBidi" w:eastAsia="Times New Roman" w:hAnsiTheme="majorBidi" w:cstheme="majorBidi"/>
          <w:bCs/>
          <w:sz w:val="24"/>
          <w:szCs w:val="24"/>
        </w:rPr>
        <w:t>8</w:t>
      </w:r>
      <w:r w:rsidR="00231319" w:rsidRPr="008E772B">
        <w:rPr>
          <w:rFonts w:asciiTheme="majorBidi" w:eastAsia="Times New Roman" w:hAnsiTheme="majorBidi" w:cstheme="majorBidi"/>
          <w:bCs/>
          <w:sz w:val="24"/>
          <w:szCs w:val="24"/>
        </w:rPr>
        <w:t xml:space="preserve">) </w:t>
      </w:r>
      <w:r w:rsidR="00AF3361">
        <w:rPr>
          <w:rFonts w:asciiTheme="majorBidi" w:eastAsia="Times New Roman" w:hAnsiTheme="majorBidi" w:cstheme="majorBidi"/>
          <w:bCs/>
          <w:sz w:val="24"/>
          <w:szCs w:val="24"/>
        </w:rPr>
        <w:t>is</w:t>
      </w:r>
      <w:r w:rsidR="00AF3361" w:rsidRPr="008E772B">
        <w:rPr>
          <w:rFonts w:asciiTheme="majorBidi" w:eastAsia="Times New Roman" w:hAnsiTheme="majorBidi" w:cstheme="majorBidi"/>
          <w:bCs/>
          <w:sz w:val="24"/>
          <w:szCs w:val="24"/>
        </w:rPr>
        <w:t xml:space="preserve"> </w:t>
      </w:r>
      <w:r w:rsidR="00C67B31" w:rsidRPr="008E772B">
        <w:rPr>
          <w:rFonts w:asciiTheme="majorBidi" w:eastAsia="Times New Roman" w:hAnsiTheme="majorBidi" w:cstheme="majorBidi"/>
          <w:bCs/>
          <w:sz w:val="24"/>
          <w:szCs w:val="24"/>
        </w:rPr>
        <w:t xml:space="preserve">59%, </w:t>
      </w:r>
      <w:r w:rsidR="00C35128" w:rsidRPr="008E772B">
        <w:rPr>
          <w:rFonts w:asciiTheme="majorBidi" w:eastAsia="Times New Roman" w:hAnsiTheme="majorBidi" w:cstheme="majorBidi"/>
          <w:bCs/>
          <w:sz w:val="24"/>
          <w:szCs w:val="24"/>
        </w:rPr>
        <w:t>71</w:t>
      </w:r>
      <w:r w:rsidR="00231319" w:rsidRPr="008E772B">
        <w:rPr>
          <w:rFonts w:asciiTheme="majorBidi" w:eastAsia="Times New Roman" w:hAnsiTheme="majorBidi" w:cstheme="majorBidi"/>
          <w:bCs/>
          <w:sz w:val="24"/>
          <w:szCs w:val="24"/>
        </w:rPr>
        <w:t xml:space="preserve">%, and </w:t>
      </w:r>
      <w:r w:rsidR="00C35128" w:rsidRPr="008E772B">
        <w:rPr>
          <w:rFonts w:asciiTheme="majorBidi" w:eastAsia="Times New Roman" w:hAnsiTheme="majorBidi" w:cstheme="majorBidi"/>
          <w:bCs/>
          <w:sz w:val="24"/>
          <w:szCs w:val="24"/>
        </w:rPr>
        <w:t xml:space="preserve">58%, respectively. </w:t>
      </w:r>
      <w:r w:rsidR="00562304" w:rsidRPr="008E772B">
        <w:rPr>
          <w:rFonts w:asciiTheme="majorBidi" w:eastAsia="Times New Roman" w:hAnsiTheme="majorBidi" w:cstheme="majorBidi"/>
          <w:bCs/>
          <w:sz w:val="24"/>
          <w:szCs w:val="24"/>
        </w:rPr>
        <w:t>Furthermore, t</w:t>
      </w:r>
      <w:r w:rsidRPr="008E772B">
        <w:rPr>
          <w:rFonts w:asciiTheme="majorBidi" w:eastAsia="Times New Roman" w:hAnsiTheme="majorBidi" w:cstheme="majorBidi"/>
          <w:bCs/>
          <w:sz w:val="24"/>
          <w:szCs w:val="24"/>
        </w:rPr>
        <w:t xml:space="preserve">he average audit </w:t>
      </w:r>
      <w:r w:rsidRPr="008E772B">
        <w:rPr>
          <w:rFonts w:asciiTheme="majorBidi" w:eastAsia="Times New Roman" w:hAnsiTheme="majorBidi" w:cstheme="majorBidi"/>
          <w:bCs/>
          <w:iCs/>
          <w:sz w:val="24"/>
          <w:szCs w:val="24"/>
        </w:rPr>
        <w:t>fees</w:t>
      </w:r>
      <w:r w:rsidRPr="008E772B">
        <w:rPr>
          <w:rFonts w:asciiTheme="majorBidi" w:eastAsia="Times New Roman" w:hAnsiTheme="majorBidi" w:cstheme="majorBidi"/>
          <w:bCs/>
          <w:sz w:val="24"/>
          <w:szCs w:val="24"/>
        </w:rPr>
        <w:t xml:space="preserve"> is </w:t>
      </w:r>
      <w:r w:rsidR="003E6802" w:rsidRPr="008E772B">
        <w:rPr>
          <w:rFonts w:asciiTheme="majorBidi" w:eastAsia="Times New Roman" w:hAnsiTheme="majorBidi" w:cstheme="majorBidi"/>
          <w:bCs/>
          <w:sz w:val="24"/>
          <w:szCs w:val="24"/>
        </w:rPr>
        <w:t>US</w:t>
      </w:r>
      <w:r w:rsidRPr="008E772B">
        <w:rPr>
          <w:rFonts w:asciiTheme="majorBidi" w:eastAsia="Times New Roman" w:hAnsiTheme="majorBidi" w:cstheme="majorBidi"/>
          <w:bCs/>
          <w:sz w:val="24"/>
          <w:szCs w:val="24"/>
        </w:rPr>
        <w:t xml:space="preserve">$49.35 thousand and ranges from a minimum of $4.06 thousand to a maximum of $865.79 thousand, with standard deviation of </w:t>
      </w:r>
      <w:r w:rsidRPr="008E772B">
        <w:rPr>
          <w:rFonts w:asciiTheme="majorBidi" w:eastAsia="Times New Roman" w:hAnsiTheme="majorBidi" w:cstheme="majorBidi"/>
          <w:bCs/>
          <w:sz w:val="24"/>
          <w:szCs w:val="24"/>
        </w:rPr>
        <w:lastRenderedPageBreak/>
        <w:t xml:space="preserve">$82.31 thousand, confirming that audit fees paid to external auditors have wide variation among firms listed in MENA countries. </w:t>
      </w:r>
    </w:p>
    <w:p w14:paraId="36753E5D" w14:textId="7074192C" w:rsidR="007C4420" w:rsidRPr="008E772B" w:rsidRDefault="007C4420" w:rsidP="00E63FDC">
      <w:pPr>
        <w:spacing w:after="0" w:line="360" w:lineRule="auto"/>
        <w:ind w:firstLine="720"/>
        <w:jc w:val="lowKashida"/>
        <w:rPr>
          <w:rFonts w:asciiTheme="majorBidi" w:eastAsia="Times New Roman" w:hAnsiTheme="majorBidi" w:cstheme="majorBidi"/>
          <w:bCs/>
          <w:sz w:val="24"/>
          <w:szCs w:val="24"/>
        </w:rPr>
      </w:pPr>
      <w:r w:rsidRPr="008E772B">
        <w:rPr>
          <w:rFonts w:asciiTheme="majorBidi" w:eastAsia="Times New Roman" w:hAnsiTheme="majorBidi" w:cstheme="majorBidi"/>
          <w:bCs/>
          <w:sz w:val="24"/>
          <w:szCs w:val="24"/>
        </w:rPr>
        <w:t xml:space="preserve">Moreover, the descriptive statistics for independent </w:t>
      </w:r>
      <w:r w:rsidR="009401D9" w:rsidRPr="008E772B">
        <w:rPr>
          <w:rFonts w:asciiTheme="majorBidi" w:eastAsia="Times New Roman" w:hAnsiTheme="majorBidi" w:cstheme="majorBidi"/>
          <w:bCs/>
          <w:sz w:val="24"/>
          <w:szCs w:val="24"/>
        </w:rPr>
        <w:t>(firm-and country-</w:t>
      </w:r>
      <w:r w:rsidR="008506B9" w:rsidRPr="008E772B">
        <w:rPr>
          <w:rFonts w:asciiTheme="majorBidi" w:eastAsia="Times New Roman" w:hAnsiTheme="majorBidi" w:cstheme="majorBidi"/>
          <w:bCs/>
          <w:sz w:val="24"/>
          <w:szCs w:val="24"/>
        </w:rPr>
        <w:t>level governance</w:t>
      </w:r>
      <w:r w:rsidR="009401D9" w:rsidRPr="008E772B">
        <w:rPr>
          <w:rFonts w:asciiTheme="majorBidi" w:eastAsia="Times New Roman" w:hAnsiTheme="majorBidi" w:cstheme="majorBidi"/>
          <w:bCs/>
          <w:sz w:val="24"/>
          <w:szCs w:val="24"/>
        </w:rPr>
        <w:t xml:space="preserve">) </w:t>
      </w:r>
      <w:r w:rsidRPr="008E772B">
        <w:rPr>
          <w:rFonts w:asciiTheme="majorBidi" w:eastAsia="Times New Roman" w:hAnsiTheme="majorBidi" w:cstheme="majorBidi"/>
          <w:bCs/>
          <w:sz w:val="24"/>
          <w:szCs w:val="24"/>
        </w:rPr>
        <w:t xml:space="preserve">and control variables are reported in Panels </w:t>
      </w:r>
      <w:r w:rsidRPr="008E772B">
        <w:rPr>
          <w:rFonts w:asciiTheme="majorBidi" w:eastAsia="Times New Roman" w:hAnsiTheme="majorBidi" w:cstheme="majorBidi"/>
          <w:bCs/>
          <w:i/>
          <w:sz w:val="24"/>
          <w:szCs w:val="24"/>
        </w:rPr>
        <w:t>B</w:t>
      </w:r>
      <w:r w:rsidRPr="008E772B">
        <w:rPr>
          <w:rFonts w:asciiTheme="majorBidi" w:eastAsia="Times New Roman" w:hAnsiTheme="majorBidi" w:cstheme="majorBidi"/>
          <w:bCs/>
          <w:sz w:val="24"/>
          <w:szCs w:val="24"/>
        </w:rPr>
        <w:t xml:space="preserve"> and </w:t>
      </w:r>
      <w:r w:rsidR="009401D9" w:rsidRPr="008E772B">
        <w:rPr>
          <w:rFonts w:asciiTheme="majorBidi" w:eastAsia="Times New Roman" w:hAnsiTheme="majorBidi" w:cstheme="majorBidi"/>
          <w:bCs/>
          <w:i/>
          <w:sz w:val="24"/>
          <w:szCs w:val="24"/>
        </w:rPr>
        <w:t>C</w:t>
      </w:r>
      <w:r w:rsidRPr="008E772B">
        <w:rPr>
          <w:rFonts w:asciiTheme="majorBidi" w:eastAsia="Times New Roman" w:hAnsiTheme="majorBidi" w:cstheme="majorBidi"/>
          <w:bCs/>
          <w:sz w:val="24"/>
          <w:szCs w:val="24"/>
        </w:rPr>
        <w:t xml:space="preserve">, respectively. Panel </w:t>
      </w:r>
      <w:r w:rsidRPr="008E772B">
        <w:rPr>
          <w:rFonts w:asciiTheme="majorBidi" w:eastAsia="Times New Roman" w:hAnsiTheme="majorBidi" w:cstheme="majorBidi"/>
          <w:bCs/>
          <w:i/>
          <w:sz w:val="24"/>
          <w:szCs w:val="24"/>
        </w:rPr>
        <w:t>B</w:t>
      </w:r>
      <w:r w:rsidRPr="008E772B">
        <w:rPr>
          <w:rFonts w:asciiTheme="majorBidi" w:eastAsia="Times New Roman" w:hAnsiTheme="majorBidi" w:cstheme="majorBidi"/>
          <w:bCs/>
          <w:sz w:val="24"/>
          <w:szCs w:val="24"/>
        </w:rPr>
        <w:t xml:space="preserve"> shows wide variation of the </w:t>
      </w:r>
      <w:r w:rsidR="007A0B71" w:rsidRPr="008E772B">
        <w:rPr>
          <w:rFonts w:asciiTheme="majorBidi" w:eastAsia="Times New Roman" w:hAnsiTheme="majorBidi" w:cstheme="majorBidi"/>
          <w:bCs/>
          <w:sz w:val="24"/>
          <w:szCs w:val="24"/>
        </w:rPr>
        <w:t>explanatory variables</w:t>
      </w:r>
      <w:r w:rsidRPr="008E772B">
        <w:rPr>
          <w:rFonts w:asciiTheme="majorBidi" w:eastAsia="Times New Roman" w:hAnsiTheme="majorBidi" w:cstheme="majorBidi"/>
          <w:bCs/>
          <w:sz w:val="24"/>
          <w:szCs w:val="24"/>
        </w:rPr>
        <w:t xml:space="preserve">. </w:t>
      </w:r>
      <w:r w:rsidR="00CD0B52" w:rsidRPr="008E772B">
        <w:rPr>
          <w:rFonts w:asciiTheme="majorBidi" w:eastAsia="Times New Roman" w:hAnsiTheme="majorBidi" w:cstheme="majorBidi"/>
          <w:bCs/>
          <w:i/>
          <w:iCs/>
          <w:sz w:val="24"/>
          <w:szCs w:val="24"/>
          <w:lang w:val="en-US"/>
        </w:rPr>
        <w:t>BRDS</w:t>
      </w:r>
      <w:r w:rsidRPr="008E772B">
        <w:rPr>
          <w:rFonts w:asciiTheme="majorBidi" w:eastAsia="Times New Roman" w:hAnsiTheme="majorBidi" w:cstheme="majorBidi"/>
          <w:bCs/>
          <w:sz w:val="24"/>
          <w:szCs w:val="24"/>
        </w:rPr>
        <w:t xml:space="preserve"> has an average of 8.52 board members and ranges between a minimum of four and a maximum of 19. Panel </w:t>
      </w:r>
      <w:r w:rsidRPr="008E772B">
        <w:rPr>
          <w:rFonts w:asciiTheme="majorBidi" w:eastAsia="Times New Roman" w:hAnsiTheme="majorBidi" w:cstheme="majorBidi"/>
          <w:bCs/>
          <w:i/>
          <w:sz w:val="24"/>
          <w:szCs w:val="24"/>
        </w:rPr>
        <w:t>B</w:t>
      </w:r>
      <w:r w:rsidRPr="008E772B">
        <w:rPr>
          <w:rFonts w:asciiTheme="majorBidi" w:eastAsia="Times New Roman" w:hAnsiTheme="majorBidi" w:cstheme="majorBidi"/>
          <w:bCs/>
          <w:sz w:val="24"/>
          <w:szCs w:val="24"/>
        </w:rPr>
        <w:t xml:space="preserve"> shows that </w:t>
      </w:r>
      <w:r w:rsidR="00E80B25" w:rsidRPr="008E772B">
        <w:rPr>
          <w:rFonts w:asciiTheme="majorBidi" w:eastAsia="Times New Roman" w:hAnsiTheme="majorBidi" w:cstheme="majorBidi"/>
          <w:bCs/>
          <w:i/>
          <w:iCs/>
          <w:sz w:val="24"/>
          <w:szCs w:val="24"/>
        </w:rPr>
        <w:t>IND</w:t>
      </w:r>
      <w:r w:rsidR="00D7537F" w:rsidRPr="008E772B">
        <w:rPr>
          <w:rFonts w:asciiTheme="majorBidi" w:eastAsia="Times New Roman" w:hAnsiTheme="majorBidi" w:cstheme="majorBidi"/>
          <w:bCs/>
          <w:sz w:val="24"/>
          <w:szCs w:val="24"/>
        </w:rPr>
        <w:t xml:space="preserve"> </w:t>
      </w:r>
      <w:r w:rsidRPr="008E772B">
        <w:rPr>
          <w:rFonts w:asciiTheme="majorBidi" w:eastAsia="Times New Roman" w:hAnsiTheme="majorBidi" w:cstheme="majorBidi"/>
          <w:bCs/>
          <w:sz w:val="24"/>
          <w:szCs w:val="24"/>
        </w:rPr>
        <w:t>varies between 40% and 100%</w:t>
      </w:r>
      <w:r w:rsidR="008E0916">
        <w:rPr>
          <w:rFonts w:asciiTheme="majorBidi" w:eastAsia="Times New Roman" w:hAnsiTheme="majorBidi" w:cstheme="majorBidi"/>
          <w:bCs/>
          <w:sz w:val="24"/>
          <w:szCs w:val="24"/>
        </w:rPr>
        <w:t>,</w:t>
      </w:r>
      <w:r w:rsidRPr="008E772B">
        <w:rPr>
          <w:rFonts w:asciiTheme="majorBidi" w:eastAsia="Times New Roman" w:hAnsiTheme="majorBidi" w:cstheme="majorBidi"/>
          <w:bCs/>
          <w:sz w:val="24"/>
          <w:szCs w:val="24"/>
        </w:rPr>
        <w:t xml:space="preserve"> with an average of 87.43%, indicating that the board of directors in MENA listed firms are more likely to be dominated by NEDs. Additionally, 474 (79%) of the firm-year observation</w:t>
      </w:r>
      <w:r w:rsidR="0059182D">
        <w:rPr>
          <w:rFonts w:asciiTheme="majorBidi" w:eastAsia="Times New Roman" w:hAnsiTheme="majorBidi" w:cstheme="majorBidi"/>
          <w:bCs/>
          <w:sz w:val="24"/>
          <w:szCs w:val="24"/>
        </w:rPr>
        <w:t>s</w:t>
      </w:r>
      <w:r w:rsidRPr="008E772B">
        <w:rPr>
          <w:rFonts w:asciiTheme="majorBidi" w:eastAsia="Times New Roman" w:hAnsiTheme="majorBidi" w:cstheme="majorBidi"/>
          <w:bCs/>
          <w:sz w:val="24"/>
          <w:szCs w:val="24"/>
        </w:rPr>
        <w:t xml:space="preserve"> investigated reveals that listed firms in the MENA region are complying with the recommendations of </w:t>
      </w:r>
      <w:r w:rsidR="00562304" w:rsidRPr="008E772B">
        <w:rPr>
          <w:rFonts w:asciiTheme="majorBidi" w:eastAsia="Times New Roman" w:hAnsiTheme="majorBidi" w:cstheme="majorBidi"/>
          <w:bCs/>
          <w:sz w:val="24"/>
          <w:szCs w:val="24"/>
        </w:rPr>
        <w:t>governance</w:t>
      </w:r>
      <w:r w:rsidRPr="008E772B">
        <w:rPr>
          <w:rFonts w:asciiTheme="majorBidi" w:eastAsia="Times New Roman" w:hAnsiTheme="majorBidi" w:cstheme="majorBidi"/>
          <w:bCs/>
          <w:sz w:val="24"/>
          <w:szCs w:val="24"/>
        </w:rPr>
        <w:t xml:space="preserve"> codes issued in these countries by having separat</w:t>
      </w:r>
      <w:r w:rsidR="00D7537F" w:rsidRPr="008E772B">
        <w:rPr>
          <w:rFonts w:asciiTheme="majorBidi" w:eastAsia="Times New Roman" w:hAnsiTheme="majorBidi" w:cstheme="majorBidi"/>
          <w:bCs/>
          <w:sz w:val="24"/>
          <w:szCs w:val="24"/>
        </w:rPr>
        <w:t>e board chairperson /CEO roles.</w:t>
      </w:r>
      <w:r w:rsidR="002A26F6" w:rsidRPr="008E772B">
        <w:rPr>
          <w:rFonts w:asciiTheme="majorBidi" w:eastAsia="Times New Roman" w:hAnsiTheme="majorBidi" w:cstheme="majorBidi"/>
          <w:bCs/>
          <w:sz w:val="24"/>
          <w:szCs w:val="24"/>
        </w:rPr>
        <w:t xml:space="preserve"> </w:t>
      </w:r>
      <w:r w:rsidR="002A26F6" w:rsidRPr="000972D1">
        <w:rPr>
          <w:rFonts w:asciiTheme="majorBidi" w:eastAsia="Times New Roman" w:hAnsiTheme="majorBidi" w:cstheme="majorBidi"/>
          <w:bCs/>
          <w:sz w:val="24"/>
          <w:szCs w:val="24"/>
        </w:rPr>
        <w:t>These descriptive statistics are consistent with th</w:t>
      </w:r>
      <w:r w:rsidR="000911A9" w:rsidRPr="000972D1">
        <w:rPr>
          <w:rFonts w:asciiTheme="majorBidi" w:eastAsia="Times New Roman" w:hAnsiTheme="majorBidi" w:cstheme="majorBidi"/>
          <w:bCs/>
          <w:sz w:val="24"/>
          <w:szCs w:val="24"/>
        </w:rPr>
        <w:t>ose</w:t>
      </w:r>
      <w:r w:rsidR="002A26F6" w:rsidRPr="000972D1">
        <w:rPr>
          <w:rFonts w:asciiTheme="majorBidi" w:eastAsia="Times New Roman" w:hAnsiTheme="majorBidi" w:cstheme="majorBidi"/>
          <w:bCs/>
          <w:sz w:val="24"/>
          <w:szCs w:val="24"/>
        </w:rPr>
        <w:t xml:space="preserve"> of previous studies in MENA countries (</w:t>
      </w:r>
      <w:r w:rsidR="00F5576C" w:rsidRPr="000972D1">
        <w:rPr>
          <w:rFonts w:asciiTheme="majorBidi" w:eastAsia="Times New Roman" w:hAnsiTheme="majorBidi" w:cstheme="majorBidi"/>
          <w:bCs/>
          <w:sz w:val="24"/>
          <w:szCs w:val="24"/>
        </w:rPr>
        <w:t xml:space="preserve">e.g., </w:t>
      </w:r>
      <w:r w:rsidR="00D76B9B" w:rsidRPr="000972D1">
        <w:rPr>
          <w:rFonts w:asciiTheme="majorBidi" w:eastAsia="Times New Roman" w:hAnsiTheme="majorBidi" w:cstheme="majorBidi"/>
          <w:bCs/>
          <w:sz w:val="24"/>
          <w:szCs w:val="24"/>
        </w:rPr>
        <w:t xml:space="preserve">Afify, 2009; </w:t>
      </w:r>
      <w:r w:rsidR="00DF13DE" w:rsidRPr="000972D1">
        <w:rPr>
          <w:rFonts w:asciiTheme="majorBidi" w:eastAsia="Times New Roman" w:hAnsiTheme="majorBidi" w:cstheme="majorBidi"/>
          <w:bCs/>
          <w:iCs/>
          <w:sz w:val="24"/>
          <w:szCs w:val="24"/>
        </w:rPr>
        <w:t>Al-Janadi</w:t>
      </w:r>
      <w:r w:rsidR="00DF13DE" w:rsidRPr="000972D1">
        <w:rPr>
          <w:rFonts w:asciiTheme="majorBidi" w:eastAsia="Times New Roman" w:hAnsiTheme="majorBidi" w:cstheme="majorBidi"/>
          <w:bCs/>
          <w:sz w:val="24"/>
          <w:szCs w:val="24"/>
        </w:rPr>
        <w:t xml:space="preserve"> et al., 2016; </w:t>
      </w:r>
      <w:r w:rsidR="00F5576C" w:rsidRPr="000972D1">
        <w:rPr>
          <w:rFonts w:asciiTheme="majorBidi" w:eastAsia="Times New Roman" w:hAnsiTheme="majorBidi" w:cstheme="majorBidi"/>
          <w:bCs/>
          <w:sz w:val="24"/>
          <w:szCs w:val="24"/>
        </w:rPr>
        <w:t>Elghuweel</w:t>
      </w:r>
      <w:r w:rsidR="00F5576C" w:rsidRPr="000972D1">
        <w:rPr>
          <w:rFonts w:asciiTheme="majorBidi" w:eastAsia="Times New Roman" w:hAnsiTheme="majorBidi" w:cstheme="majorBidi"/>
          <w:bCs/>
          <w:i/>
          <w:sz w:val="24"/>
          <w:szCs w:val="24"/>
        </w:rPr>
        <w:t xml:space="preserve"> et al</w:t>
      </w:r>
      <w:r w:rsidR="00F5576C" w:rsidRPr="000972D1">
        <w:rPr>
          <w:rFonts w:asciiTheme="majorBidi" w:eastAsia="Times New Roman" w:hAnsiTheme="majorBidi" w:cstheme="majorBidi"/>
          <w:bCs/>
          <w:sz w:val="24"/>
          <w:szCs w:val="24"/>
        </w:rPr>
        <w:t xml:space="preserve">. </w:t>
      </w:r>
      <w:r w:rsidR="003E68DE" w:rsidRPr="000972D1">
        <w:rPr>
          <w:rFonts w:asciiTheme="majorBidi" w:eastAsia="Times New Roman" w:hAnsiTheme="majorBidi" w:cstheme="majorBidi"/>
          <w:bCs/>
          <w:sz w:val="24"/>
          <w:szCs w:val="24"/>
        </w:rPr>
        <w:t>201</w:t>
      </w:r>
      <w:r w:rsidR="003E68DE">
        <w:rPr>
          <w:rFonts w:asciiTheme="majorBidi" w:eastAsia="Times New Roman" w:hAnsiTheme="majorBidi" w:cstheme="majorBidi"/>
          <w:bCs/>
          <w:sz w:val="24"/>
          <w:szCs w:val="24"/>
        </w:rPr>
        <w:t>7</w:t>
      </w:r>
      <w:r w:rsidR="00594CA4" w:rsidRPr="000972D1">
        <w:rPr>
          <w:rFonts w:asciiTheme="majorBidi" w:eastAsia="Times New Roman" w:hAnsiTheme="majorBidi" w:cstheme="majorBidi"/>
          <w:bCs/>
          <w:sz w:val="24"/>
          <w:szCs w:val="24"/>
        </w:rPr>
        <w:t xml:space="preserve">; Al-Bassam </w:t>
      </w:r>
      <w:r w:rsidR="00594CA4" w:rsidRPr="000972D1">
        <w:rPr>
          <w:rFonts w:asciiTheme="majorBidi" w:eastAsia="Times New Roman" w:hAnsiTheme="majorBidi" w:cstheme="majorBidi"/>
          <w:bCs/>
          <w:i/>
          <w:iCs/>
          <w:sz w:val="24"/>
          <w:szCs w:val="24"/>
        </w:rPr>
        <w:t>et al</w:t>
      </w:r>
      <w:r w:rsidR="00594CA4" w:rsidRPr="000972D1">
        <w:rPr>
          <w:rFonts w:asciiTheme="majorBidi" w:eastAsia="Times New Roman" w:hAnsiTheme="majorBidi" w:cstheme="majorBidi"/>
          <w:bCs/>
          <w:sz w:val="24"/>
          <w:szCs w:val="24"/>
        </w:rPr>
        <w:t>. 2018</w:t>
      </w:r>
      <w:r w:rsidR="002A26F6" w:rsidRPr="000972D1">
        <w:rPr>
          <w:rFonts w:asciiTheme="majorBidi" w:eastAsia="Times New Roman" w:hAnsiTheme="majorBidi" w:cstheme="majorBidi"/>
          <w:bCs/>
          <w:sz w:val="24"/>
          <w:szCs w:val="24"/>
        </w:rPr>
        <w:t>).</w:t>
      </w:r>
      <w:r w:rsidR="00D7537F" w:rsidRPr="000972D1">
        <w:rPr>
          <w:rFonts w:asciiTheme="majorBidi" w:eastAsia="Times New Roman" w:hAnsiTheme="majorBidi" w:cstheme="majorBidi"/>
          <w:bCs/>
          <w:sz w:val="24"/>
          <w:szCs w:val="24"/>
        </w:rPr>
        <w:t xml:space="preserve"> </w:t>
      </w:r>
      <w:r w:rsidR="00562304" w:rsidRPr="000972D1">
        <w:rPr>
          <w:rFonts w:asciiTheme="majorBidi" w:eastAsia="Times New Roman" w:hAnsiTheme="majorBidi" w:cstheme="majorBidi"/>
          <w:bCs/>
          <w:iCs/>
          <w:sz w:val="24"/>
          <w:szCs w:val="24"/>
        </w:rPr>
        <w:t xml:space="preserve">Shareholding </w:t>
      </w:r>
      <w:r w:rsidRPr="000972D1">
        <w:rPr>
          <w:rFonts w:asciiTheme="majorBidi" w:eastAsia="Times New Roman" w:hAnsiTheme="majorBidi" w:cstheme="majorBidi"/>
          <w:bCs/>
          <w:iCs/>
          <w:sz w:val="24"/>
          <w:szCs w:val="24"/>
        </w:rPr>
        <w:t xml:space="preserve">structure mechanisms </w:t>
      </w:r>
      <w:r w:rsidRPr="000972D1">
        <w:rPr>
          <w:rFonts w:asciiTheme="majorBidi" w:eastAsia="Times New Roman" w:hAnsiTheme="majorBidi" w:cstheme="majorBidi"/>
          <w:bCs/>
          <w:sz w:val="24"/>
          <w:szCs w:val="24"/>
        </w:rPr>
        <w:t xml:space="preserve">in sample firms </w:t>
      </w:r>
      <w:r w:rsidR="00562304" w:rsidRPr="000972D1">
        <w:rPr>
          <w:rFonts w:asciiTheme="majorBidi" w:eastAsia="Times New Roman" w:hAnsiTheme="majorBidi" w:cstheme="majorBidi"/>
          <w:bCs/>
          <w:sz w:val="24"/>
          <w:szCs w:val="24"/>
        </w:rPr>
        <w:t xml:space="preserve">also </w:t>
      </w:r>
      <w:r w:rsidRPr="000972D1">
        <w:rPr>
          <w:rFonts w:asciiTheme="majorBidi" w:eastAsia="Times New Roman" w:hAnsiTheme="majorBidi" w:cstheme="majorBidi"/>
          <w:bCs/>
          <w:sz w:val="24"/>
          <w:szCs w:val="24"/>
        </w:rPr>
        <w:t>show an adequate</w:t>
      </w:r>
      <w:r w:rsidRPr="000972D1">
        <w:rPr>
          <w:rFonts w:asciiTheme="majorBidi" w:eastAsia="Times New Roman" w:hAnsiTheme="majorBidi" w:cstheme="majorBidi"/>
          <w:b/>
          <w:bCs/>
          <w:sz w:val="24"/>
          <w:szCs w:val="24"/>
        </w:rPr>
        <w:t xml:space="preserve"> </w:t>
      </w:r>
      <w:r w:rsidRPr="000972D1">
        <w:rPr>
          <w:rFonts w:asciiTheme="majorBidi" w:eastAsia="Times New Roman" w:hAnsiTheme="majorBidi" w:cstheme="majorBidi"/>
          <w:bCs/>
          <w:sz w:val="24"/>
          <w:szCs w:val="24"/>
        </w:rPr>
        <w:t xml:space="preserve">variation, where </w:t>
      </w:r>
      <w:r w:rsidR="004039E0" w:rsidRPr="000972D1">
        <w:rPr>
          <w:rFonts w:asciiTheme="majorBidi" w:eastAsia="Times New Roman" w:hAnsiTheme="majorBidi" w:cstheme="majorBidi"/>
          <w:bCs/>
          <w:i/>
          <w:iCs/>
          <w:sz w:val="24"/>
          <w:szCs w:val="24"/>
          <w:lang w:val="en-US"/>
        </w:rPr>
        <w:t>GOSH</w:t>
      </w:r>
      <w:r w:rsidRPr="000972D1">
        <w:rPr>
          <w:rFonts w:asciiTheme="majorBidi" w:eastAsia="Times New Roman" w:hAnsiTheme="majorBidi" w:cstheme="majorBidi"/>
          <w:bCs/>
          <w:sz w:val="24"/>
          <w:szCs w:val="24"/>
        </w:rPr>
        <w:t xml:space="preserve">, </w:t>
      </w:r>
      <w:r w:rsidR="00203345" w:rsidRPr="000972D1">
        <w:rPr>
          <w:rFonts w:asciiTheme="majorBidi" w:eastAsia="Times New Roman" w:hAnsiTheme="majorBidi" w:cstheme="majorBidi"/>
          <w:bCs/>
          <w:i/>
          <w:iCs/>
          <w:sz w:val="24"/>
          <w:szCs w:val="24"/>
          <w:lang w:val="en-US"/>
        </w:rPr>
        <w:t>DISH</w:t>
      </w:r>
      <w:r w:rsidR="00055D9A">
        <w:rPr>
          <w:rFonts w:asciiTheme="majorBidi" w:eastAsia="Times New Roman" w:hAnsiTheme="majorBidi" w:cstheme="majorBidi"/>
          <w:bCs/>
          <w:i/>
          <w:iCs/>
          <w:sz w:val="24"/>
          <w:szCs w:val="24"/>
          <w:lang w:val="en-US"/>
        </w:rPr>
        <w:t>,</w:t>
      </w:r>
      <w:r w:rsidRPr="000972D1">
        <w:rPr>
          <w:rFonts w:asciiTheme="majorBidi" w:eastAsia="Times New Roman" w:hAnsiTheme="majorBidi" w:cstheme="majorBidi"/>
          <w:bCs/>
          <w:sz w:val="24"/>
          <w:szCs w:val="24"/>
        </w:rPr>
        <w:t xml:space="preserve"> and </w:t>
      </w:r>
      <w:r w:rsidR="006D34FE" w:rsidRPr="000972D1">
        <w:rPr>
          <w:rFonts w:asciiTheme="majorBidi" w:eastAsia="Times New Roman" w:hAnsiTheme="majorBidi" w:cstheme="majorBidi"/>
          <w:bCs/>
          <w:i/>
          <w:iCs/>
          <w:sz w:val="24"/>
          <w:szCs w:val="24"/>
          <w:lang w:val="en-US"/>
        </w:rPr>
        <w:t>FLSH</w:t>
      </w:r>
      <w:r w:rsidR="006D34FE" w:rsidRPr="000972D1">
        <w:rPr>
          <w:rFonts w:asciiTheme="majorBidi" w:eastAsia="Times New Roman" w:hAnsiTheme="majorBidi" w:cstheme="majorBidi"/>
          <w:bCs/>
          <w:sz w:val="24"/>
          <w:szCs w:val="24"/>
        </w:rPr>
        <w:t xml:space="preserve"> </w:t>
      </w:r>
      <w:r w:rsidRPr="000972D1">
        <w:rPr>
          <w:rFonts w:asciiTheme="majorBidi" w:eastAsia="Times New Roman" w:hAnsiTheme="majorBidi" w:cstheme="majorBidi"/>
          <w:bCs/>
          <w:sz w:val="24"/>
          <w:szCs w:val="24"/>
        </w:rPr>
        <w:t>range from 0%, 0%</w:t>
      </w:r>
      <w:r w:rsidR="00055D9A">
        <w:rPr>
          <w:rFonts w:asciiTheme="majorBidi" w:eastAsia="Times New Roman" w:hAnsiTheme="majorBidi" w:cstheme="majorBidi"/>
          <w:bCs/>
          <w:sz w:val="24"/>
          <w:szCs w:val="24"/>
        </w:rPr>
        <w:t>,</w:t>
      </w:r>
      <w:r w:rsidRPr="000972D1">
        <w:rPr>
          <w:rFonts w:asciiTheme="majorBidi" w:eastAsia="Times New Roman" w:hAnsiTheme="majorBidi" w:cstheme="majorBidi"/>
          <w:bCs/>
          <w:sz w:val="24"/>
          <w:szCs w:val="24"/>
        </w:rPr>
        <w:t xml:space="preserve"> and </w:t>
      </w:r>
      <w:r w:rsidR="006D34FE" w:rsidRPr="000972D1">
        <w:rPr>
          <w:rFonts w:asciiTheme="majorBidi" w:eastAsia="Times New Roman" w:hAnsiTheme="majorBidi" w:cstheme="majorBidi"/>
          <w:bCs/>
          <w:sz w:val="24"/>
          <w:szCs w:val="24"/>
        </w:rPr>
        <w:t>1.08</w:t>
      </w:r>
      <w:r w:rsidRPr="000972D1">
        <w:rPr>
          <w:rFonts w:asciiTheme="majorBidi" w:eastAsia="Times New Roman" w:hAnsiTheme="majorBidi" w:cstheme="majorBidi"/>
          <w:bCs/>
          <w:sz w:val="24"/>
          <w:szCs w:val="24"/>
        </w:rPr>
        <w:t>% to 98.67%, 98.92%</w:t>
      </w:r>
      <w:r w:rsidR="00055D9A">
        <w:rPr>
          <w:rFonts w:asciiTheme="majorBidi" w:eastAsia="Times New Roman" w:hAnsiTheme="majorBidi" w:cstheme="majorBidi"/>
          <w:bCs/>
          <w:sz w:val="24"/>
          <w:szCs w:val="24"/>
        </w:rPr>
        <w:t>,</w:t>
      </w:r>
      <w:r w:rsidRPr="000972D1">
        <w:rPr>
          <w:rFonts w:asciiTheme="majorBidi" w:eastAsia="Times New Roman" w:hAnsiTheme="majorBidi" w:cstheme="majorBidi"/>
          <w:bCs/>
          <w:sz w:val="24"/>
          <w:szCs w:val="24"/>
        </w:rPr>
        <w:t xml:space="preserve"> and </w:t>
      </w:r>
      <w:r w:rsidR="006D34FE" w:rsidRPr="000972D1">
        <w:rPr>
          <w:rFonts w:asciiTheme="majorBidi" w:eastAsia="Times New Roman" w:hAnsiTheme="majorBidi" w:cstheme="majorBidi"/>
          <w:bCs/>
          <w:sz w:val="24"/>
          <w:szCs w:val="24"/>
        </w:rPr>
        <w:t>100</w:t>
      </w:r>
      <w:r w:rsidRPr="000972D1">
        <w:rPr>
          <w:rFonts w:asciiTheme="majorBidi" w:eastAsia="Times New Roman" w:hAnsiTheme="majorBidi" w:cstheme="majorBidi"/>
          <w:bCs/>
          <w:sz w:val="24"/>
          <w:szCs w:val="24"/>
        </w:rPr>
        <w:t>% with an average of 16.15%, 44.94%</w:t>
      </w:r>
      <w:r w:rsidR="00055D9A">
        <w:rPr>
          <w:rFonts w:asciiTheme="majorBidi" w:eastAsia="Times New Roman" w:hAnsiTheme="majorBidi" w:cstheme="majorBidi"/>
          <w:bCs/>
          <w:sz w:val="24"/>
          <w:szCs w:val="24"/>
        </w:rPr>
        <w:t>,</w:t>
      </w:r>
      <w:r w:rsidRPr="000972D1">
        <w:rPr>
          <w:rFonts w:asciiTheme="majorBidi" w:eastAsia="Times New Roman" w:hAnsiTheme="majorBidi" w:cstheme="majorBidi"/>
          <w:bCs/>
          <w:sz w:val="24"/>
          <w:szCs w:val="24"/>
        </w:rPr>
        <w:t xml:space="preserve"> and </w:t>
      </w:r>
      <w:r w:rsidR="006D34FE" w:rsidRPr="000972D1">
        <w:rPr>
          <w:rFonts w:asciiTheme="majorBidi" w:eastAsia="Times New Roman" w:hAnsiTheme="majorBidi" w:cstheme="majorBidi"/>
          <w:bCs/>
          <w:sz w:val="24"/>
          <w:szCs w:val="24"/>
        </w:rPr>
        <w:t>49.85</w:t>
      </w:r>
      <w:r w:rsidRPr="000972D1">
        <w:rPr>
          <w:rFonts w:asciiTheme="majorBidi" w:eastAsia="Times New Roman" w:hAnsiTheme="majorBidi" w:cstheme="majorBidi"/>
          <w:bCs/>
          <w:sz w:val="24"/>
          <w:szCs w:val="24"/>
        </w:rPr>
        <w:t xml:space="preserve">%, respectively, </w:t>
      </w:r>
      <w:r w:rsidR="001F1751" w:rsidRPr="000972D1">
        <w:rPr>
          <w:rFonts w:asciiTheme="majorBidi" w:eastAsia="Times New Roman" w:hAnsiTheme="majorBidi" w:cstheme="majorBidi"/>
          <w:bCs/>
          <w:sz w:val="24"/>
          <w:szCs w:val="24"/>
        </w:rPr>
        <w:t xml:space="preserve">supporting </w:t>
      </w:r>
      <w:r w:rsidR="000911A9" w:rsidRPr="000972D1">
        <w:rPr>
          <w:rFonts w:asciiTheme="majorBidi" w:eastAsia="Times New Roman" w:hAnsiTheme="majorBidi" w:cstheme="majorBidi"/>
          <w:bCs/>
          <w:sz w:val="24"/>
          <w:szCs w:val="24"/>
        </w:rPr>
        <w:t xml:space="preserve">the findings of </w:t>
      </w:r>
      <w:r w:rsidRPr="000972D1">
        <w:rPr>
          <w:rFonts w:asciiTheme="majorBidi" w:eastAsia="Times New Roman" w:hAnsiTheme="majorBidi" w:cstheme="majorBidi"/>
          <w:bCs/>
          <w:sz w:val="24"/>
          <w:szCs w:val="24"/>
        </w:rPr>
        <w:t xml:space="preserve">previous studies conducted in MENA countries. For example, </w:t>
      </w:r>
      <w:r w:rsidR="00DF13DE" w:rsidRPr="000972D1">
        <w:rPr>
          <w:rFonts w:asciiTheme="majorBidi" w:eastAsia="Times New Roman" w:hAnsiTheme="majorBidi" w:cstheme="majorBidi"/>
          <w:bCs/>
          <w:iCs/>
          <w:sz w:val="24"/>
          <w:szCs w:val="24"/>
        </w:rPr>
        <w:t>Al-Janadi</w:t>
      </w:r>
      <w:r w:rsidR="00DF13DE" w:rsidRPr="000972D1">
        <w:rPr>
          <w:rFonts w:asciiTheme="majorBidi" w:eastAsia="Times New Roman" w:hAnsiTheme="majorBidi" w:cstheme="majorBidi"/>
          <w:bCs/>
          <w:sz w:val="24"/>
          <w:szCs w:val="24"/>
        </w:rPr>
        <w:t xml:space="preserve"> </w:t>
      </w:r>
      <w:r w:rsidR="00DF13DE" w:rsidRPr="000972D1">
        <w:rPr>
          <w:rFonts w:asciiTheme="majorBidi" w:eastAsia="Times New Roman" w:hAnsiTheme="majorBidi" w:cstheme="majorBidi"/>
          <w:bCs/>
          <w:i/>
          <w:sz w:val="24"/>
          <w:szCs w:val="24"/>
        </w:rPr>
        <w:t>et al</w:t>
      </w:r>
      <w:r w:rsidR="00DF13DE" w:rsidRPr="000972D1">
        <w:rPr>
          <w:rFonts w:asciiTheme="majorBidi" w:eastAsia="Times New Roman" w:hAnsiTheme="majorBidi" w:cstheme="majorBidi"/>
          <w:bCs/>
          <w:sz w:val="24"/>
          <w:szCs w:val="24"/>
        </w:rPr>
        <w:t xml:space="preserve">., (2016) </w:t>
      </w:r>
      <w:r w:rsidRPr="000972D1">
        <w:rPr>
          <w:rFonts w:asciiTheme="majorBidi" w:eastAsia="Times New Roman" w:hAnsiTheme="majorBidi" w:cstheme="majorBidi"/>
          <w:bCs/>
          <w:sz w:val="24"/>
          <w:szCs w:val="24"/>
        </w:rPr>
        <w:t xml:space="preserve">find </w:t>
      </w:r>
      <w:r w:rsidR="00DF13DE" w:rsidRPr="000972D1">
        <w:rPr>
          <w:rFonts w:asciiTheme="majorBidi" w:eastAsia="Times New Roman" w:hAnsiTheme="majorBidi" w:cstheme="majorBidi"/>
          <w:bCs/>
          <w:sz w:val="24"/>
          <w:szCs w:val="24"/>
        </w:rPr>
        <w:t xml:space="preserve">government </w:t>
      </w:r>
      <w:r w:rsidR="00C81356" w:rsidRPr="000972D1">
        <w:rPr>
          <w:rFonts w:asciiTheme="majorBidi" w:eastAsia="Times New Roman" w:hAnsiTheme="majorBidi" w:cstheme="majorBidi"/>
          <w:bCs/>
          <w:iCs/>
          <w:sz w:val="24"/>
          <w:szCs w:val="24"/>
        </w:rPr>
        <w:t>shareholding</w:t>
      </w:r>
      <w:r w:rsidRPr="000972D1">
        <w:rPr>
          <w:rFonts w:asciiTheme="majorBidi" w:eastAsia="Times New Roman" w:hAnsiTheme="majorBidi" w:cstheme="majorBidi"/>
          <w:bCs/>
          <w:sz w:val="24"/>
          <w:szCs w:val="24"/>
        </w:rPr>
        <w:t xml:space="preserve"> </w:t>
      </w:r>
      <w:r w:rsidR="00DF13DE" w:rsidRPr="000972D1">
        <w:rPr>
          <w:rFonts w:asciiTheme="majorBidi" w:eastAsia="Times New Roman" w:hAnsiTheme="majorBidi" w:cstheme="majorBidi"/>
          <w:bCs/>
          <w:sz w:val="24"/>
          <w:szCs w:val="24"/>
        </w:rPr>
        <w:t xml:space="preserve">in Saudi Arabia listed firms </w:t>
      </w:r>
      <w:r w:rsidRPr="000972D1">
        <w:rPr>
          <w:rFonts w:asciiTheme="majorBidi" w:eastAsia="Times New Roman" w:hAnsiTheme="majorBidi" w:cstheme="majorBidi"/>
          <w:bCs/>
          <w:sz w:val="24"/>
          <w:szCs w:val="24"/>
        </w:rPr>
        <w:t>to be</w:t>
      </w:r>
      <w:r w:rsidR="00DF13DE" w:rsidRPr="000972D1">
        <w:rPr>
          <w:rFonts w:asciiTheme="majorBidi" w:eastAsia="Times New Roman" w:hAnsiTheme="majorBidi" w:cstheme="majorBidi"/>
          <w:bCs/>
          <w:sz w:val="24"/>
          <w:szCs w:val="24"/>
        </w:rPr>
        <w:t xml:space="preserve"> 11.19</w:t>
      </w:r>
      <w:r w:rsidR="00BE2AE4" w:rsidRPr="000972D1">
        <w:rPr>
          <w:rFonts w:asciiTheme="majorBidi" w:eastAsia="Times New Roman" w:hAnsiTheme="majorBidi" w:cstheme="majorBidi"/>
          <w:bCs/>
          <w:sz w:val="24"/>
          <w:szCs w:val="24"/>
        </w:rPr>
        <w:t>%</w:t>
      </w:r>
      <w:r w:rsidRPr="000972D1">
        <w:rPr>
          <w:rFonts w:asciiTheme="majorBidi" w:eastAsia="Times New Roman" w:hAnsiTheme="majorBidi" w:cstheme="majorBidi"/>
          <w:bCs/>
          <w:sz w:val="24"/>
          <w:szCs w:val="24"/>
        </w:rPr>
        <w:t xml:space="preserve"> on average. </w:t>
      </w:r>
      <w:r w:rsidR="00BB7898" w:rsidRPr="000972D1">
        <w:rPr>
          <w:rFonts w:asciiTheme="majorBidi" w:eastAsia="Times New Roman" w:hAnsiTheme="majorBidi" w:cstheme="majorBidi"/>
          <w:bCs/>
          <w:sz w:val="24"/>
          <w:szCs w:val="24"/>
        </w:rPr>
        <w:t xml:space="preserve">With regard to country-level variables, </w:t>
      </w:r>
      <w:r w:rsidR="006D34FE" w:rsidRPr="000972D1">
        <w:rPr>
          <w:rFonts w:asciiTheme="majorBidi" w:eastAsia="Times New Roman" w:hAnsiTheme="majorBidi" w:cstheme="majorBidi"/>
          <w:bCs/>
          <w:i/>
          <w:iCs/>
          <w:sz w:val="24"/>
          <w:szCs w:val="24"/>
        </w:rPr>
        <w:t>NGI</w:t>
      </w:r>
      <w:r w:rsidR="006D34FE" w:rsidRPr="000972D1">
        <w:rPr>
          <w:rFonts w:asciiTheme="majorBidi" w:eastAsia="Times New Roman" w:hAnsiTheme="majorBidi" w:cstheme="majorBidi"/>
          <w:bCs/>
          <w:sz w:val="24"/>
          <w:szCs w:val="24"/>
        </w:rPr>
        <w:t xml:space="preserve"> </w:t>
      </w:r>
      <w:r w:rsidR="00BB7898" w:rsidRPr="000972D1">
        <w:rPr>
          <w:rFonts w:asciiTheme="majorBidi" w:eastAsia="Times New Roman" w:hAnsiTheme="majorBidi" w:cstheme="majorBidi"/>
          <w:bCs/>
          <w:sz w:val="24"/>
          <w:szCs w:val="24"/>
        </w:rPr>
        <w:t xml:space="preserve">ranges from </w:t>
      </w:r>
      <w:r w:rsidR="006D34FE" w:rsidRPr="000972D1">
        <w:rPr>
          <w:rFonts w:asciiTheme="majorBidi" w:eastAsia="Times New Roman" w:hAnsiTheme="majorBidi" w:cstheme="majorBidi"/>
          <w:bCs/>
          <w:sz w:val="24"/>
          <w:szCs w:val="24"/>
          <w:lang w:val="en-US"/>
        </w:rPr>
        <w:t>21.87</w:t>
      </w:r>
      <w:r w:rsidR="00BB7898" w:rsidRPr="000972D1">
        <w:rPr>
          <w:rFonts w:asciiTheme="majorBidi" w:eastAsia="Times New Roman" w:hAnsiTheme="majorBidi" w:cstheme="majorBidi"/>
          <w:bCs/>
          <w:sz w:val="24"/>
          <w:szCs w:val="24"/>
        </w:rPr>
        <w:t xml:space="preserve">% to </w:t>
      </w:r>
      <w:r w:rsidR="006D34FE" w:rsidRPr="000972D1">
        <w:rPr>
          <w:rFonts w:asciiTheme="majorBidi" w:eastAsia="Times New Roman" w:hAnsiTheme="majorBidi" w:cstheme="majorBidi"/>
          <w:bCs/>
          <w:sz w:val="24"/>
          <w:szCs w:val="24"/>
          <w:lang w:val="en-US"/>
        </w:rPr>
        <w:t>71.03</w:t>
      </w:r>
      <w:r w:rsidR="00BB7898" w:rsidRPr="000972D1">
        <w:rPr>
          <w:rFonts w:asciiTheme="majorBidi" w:eastAsia="Times New Roman" w:hAnsiTheme="majorBidi" w:cstheme="majorBidi"/>
          <w:bCs/>
          <w:sz w:val="24"/>
          <w:szCs w:val="24"/>
        </w:rPr>
        <w:t xml:space="preserve">%, with the average (median) of </w:t>
      </w:r>
      <w:r w:rsidR="006D34FE" w:rsidRPr="000972D1">
        <w:rPr>
          <w:rFonts w:asciiTheme="majorBidi" w:eastAsia="Times New Roman" w:hAnsiTheme="majorBidi" w:cstheme="majorBidi"/>
          <w:bCs/>
          <w:sz w:val="24"/>
          <w:szCs w:val="24"/>
        </w:rPr>
        <w:t>49.37</w:t>
      </w:r>
      <w:r w:rsidR="00BB7898" w:rsidRPr="000972D1">
        <w:rPr>
          <w:rFonts w:asciiTheme="majorBidi" w:eastAsia="Times New Roman" w:hAnsiTheme="majorBidi" w:cstheme="majorBidi"/>
          <w:bCs/>
          <w:sz w:val="24"/>
          <w:szCs w:val="24"/>
        </w:rPr>
        <w:t>% (</w:t>
      </w:r>
      <w:r w:rsidR="006D34FE" w:rsidRPr="000972D1">
        <w:rPr>
          <w:rFonts w:asciiTheme="majorBidi" w:eastAsia="Times New Roman" w:hAnsiTheme="majorBidi" w:cstheme="majorBidi"/>
          <w:bCs/>
          <w:sz w:val="24"/>
          <w:szCs w:val="24"/>
          <w:lang w:val="en-US"/>
        </w:rPr>
        <w:t>49.71</w:t>
      </w:r>
      <w:r w:rsidR="00BB7898" w:rsidRPr="000972D1">
        <w:rPr>
          <w:rFonts w:asciiTheme="majorBidi" w:eastAsia="Times New Roman" w:hAnsiTheme="majorBidi" w:cstheme="majorBidi"/>
          <w:bCs/>
          <w:sz w:val="24"/>
          <w:szCs w:val="24"/>
        </w:rPr>
        <w:t>%)</w:t>
      </w:r>
      <w:r w:rsidR="0089684A" w:rsidRPr="000972D1">
        <w:rPr>
          <w:rFonts w:asciiTheme="majorBidi" w:eastAsia="Times New Roman" w:hAnsiTheme="majorBidi" w:cstheme="majorBidi"/>
          <w:bCs/>
          <w:sz w:val="24"/>
          <w:szCs w:val="24"/>
        </w:rPr>
        <w:t xml:space="preserve"> and standard deviation of 13.24%</w:t>
      </w:r>
      <w:r w:rsidR="00BB7898" w:rsidRPr="000972D1">
        <w:rPr>
          <w:rFonts w:asciiTheme="majorBidi" w:eastAsia="Times New Roman" w:hAnsiTheme="majorBidi" w:cstheme="majorBidi"/>
          <w:bCs/>
          <w:sz w:val="24"/>
          <w:szCs w:val="24"/>
        </w:rPr>
        <w:t>.</w:t>
      </w:r>
      <w:r w:rsidR="0089684A" w:rsidRPr="000972D1">
        <w:rPr>
          <w:rFonts w:asciiTheme="majorBidi" w:eastAsia="Times New Roman" w:hAnsiTheme="majorBidi" w:cstheme="majorBidi"/>
          <w:bCs/>
          <w:sz w:val="24"/>
          <w:szCs w:val="24"/>
        </w:rPr>
        <w:t xml:space="preserve"> This shows</w:t>
      </w:r>
      <w:r w:rsidR="001345EB" w:rsidRPr="000972D1">
        <w:rPr>
          <w:rFonts w:asciiTheme="majorBidi" w:eastAsia="Times New Roman" w:hAnsiTheme="majorBidi" w:cstheme="majorBidi"/>
          <w:bCs/>
          <w:sz w:val="24"/>
          <w:szCs w:val="24"/>
        </w:rPr>
        <w:t xml:space="preserve"> that</w:t>
      </w:r>
      <w:r w:rsidR="0089684A" w:rsidRPr="000972D1">
        <w:rPr>
          <w:rFonts w:asciiTheme="majorBidi" w:eastAsia="Times New Roman" w:hAnsiTheme="majorBidi" w:cstheme="majorBidi"/>
          <w:bCs/>
          <w:sz w:val="24"/>
          <w:szCs w:val="24"/>
        </w:rPr>
        <w:t xml:space="preserve"> the</w:t>
      </w:r>
      <w:r w:rsidR="001345EB" w:rsidRPr="000972D1">
        <w:rPr>
          <w:rFonts w:asciiTheme="majorBidi" w:eastAsia="Times New Roman" w:hAnsiTheme="majorBidi" w:cstheme="majorBidi"/>
          <w:bCs/>
          <w:sz w:val="24"/>
          <w:szCs w:val="24"/>
        </w:rPr>
        <w:t>re is</w:t>
      </w:r>
      <w:r w:rsidR="0089684A" w:rsidRPr="000972D1">
        <w:rPr>
          <w:rFonts w:asciiTheme="majorBidi" w:eastAsia="Times New Roman" w:hAnsiTheme="majorBidi" w:cstheme="majorBidi"/>
          <w:bCs/>
          <w:sz w:val="24"/>
          <w:szCs w:val="24"/>
        </w:rPr>
        <w:t xml:space="preserve"> heterogeneity among MENA cou</w:t>
      </w:r>
      <w:r w:rsidR="001345EB" w:rsidRPr="000972D1">
        <w:rPr>
          <w:rFonts w:asciiTheme="majorBidi" w:eastAsia="Times New Roman" w:hAnsiTheme="majorBidi" w:cstheme="majorBidi"/>
          <w:bCs/>
          <w:sz w:val="24"/>
          <w:szCs w:val="24"/>
        </w:rPr>
        <w:t>ntries</w:t>
      </w:r>
      <w:r w:rsidR="0089684A" w:rsidRPr="000972D1">
        <w:rPr>
          <w:rFonts w:asciiTheme="majorBidi" w:eastAsia="Times New Roman" w:hAnsiTheme="majorBidi" w:cstheme="majorBidi"/>
          <w:bCs/>
          <w:sz w:val="24"/>
          <w:szCs w:val="24"/>
        </w:rPr>
        <w:t xml:space="preserve"> in </w:t>
      </w:r>
      <w:r w:rsidR="001345EB" w:rsidRPr="000972D1">
        <w:rPr>
          <w:rFonts w:asciiTheme="majorBidi" w:eastAsia="Times New Roman" w:hAnsiTheme="majorBidi" w:cstheme="majorBidi"/>
          <w:bCs/>
          <w:sz w:val="24"/>
          <w:szCs w:val="24"/>
        </w:rPr>
        <w:t xml:space="preserve">terms of </w:t>
      </w:r>
      <w:r w:rsidR="0089684A" w:rsidRPr="000972D1">
        <w:rPr>
          <w:rFonts w:asciiTheme="majorBidi" w:eastAsia="Times New Roman" w:hAnsiTheme="majorBidi" w:cstheme="majorBidi"/>
          <w:bCs/>
          <w:sz w:val="24"/>
          <w:szCs w:val="24"/>
        </w:rPr>
        <w:t>national governance quality.</w:t>
      </w:r>
      <w:r w:rsidR="0089684A">
        <w:rPr>
          <w:rFonts w:asciiTheme="majorBidi" w:eastAsia="Times New Roman" w:hAnsiTheme="majorBidi" w:cstheme="majorBidi"/>
          <w:bCs/>
          <w:sz w:val="24"/>
          <w:szCs w:val="24"/>
        </w:rPr>
        <w:t xml:space="preserve">   </w:t>
      </w:r>
    </w:p>
    <w:p w14:paraId="75459E99" w14:textId="2208C2B0" w:rsidR="00361281" w:rsidRPr="008E772B" w:rsidRDefault="00361281" w:rsidP="00361281">
      <w:pPr>
        <w:spacing w:after="0" w:line="360" w:lineRule="auto"/>
        <w:jc w:val="center"/>
        <w:rPr>
          <w:rFonts w:asciiTheme="majorBidi" w:eastAsia="Times New Roman" w:hAnsiTheme="majorBidi" w:cstheme="majorBidi"/>
          <w:b/>
          <w:bCs/>
          <w:sz w:val="24"/>
          <w:szCs w:val="24"/>
        </w:rPr>
      </w:pPr>
      <w:r w:rsidRPr="008E772B">
        <w:rPr>
          <w:rFonts w:asciiTheme="majorBidi" w:eastAsia="Times New Roman" w:hAnsiTheme="majorBidi" w:cstheme="majorBidi"/>
          <w:b/>
          <w:bCs/>
          <w:sz w:val="24"/>
          <w:szCs w:val="24"/>
        </w:rPr>
        <w:t xml:space="preserve">[Insert table </w:t>
      </w:r>
      <w:r w:rsidR="00315498">
        <w:rPr>
          <w:rFonts w:asciiTheme="majorBidi" w:eastAsia="Times New Roman" w:hAnsiTheme="majorBidi" w:cstheme="majorBidi"/>
          <w:b/>
          <w:bCs/>
          <w:sz w:val="24"/>
          <w:szCs w:val="24"/>
        </w:rPr>
        <w:t>2</w:t>
      </w:r>
      <w:r w:rsidRPr="008E772B">
        <w:rPr>
          <w:rFonts w:asciiTheme="majorBidi" w:eastAsia="Times New Roman" w:hAnsiTheme="majorBidi" w:cstheme="majorBidi"/>
          <w:b/>
          <w:bCs/>
          <w:sz w:val="24"/>
          <w:szCs w:val="24"/>
        </w:rPr>
        <w:t xml:space="preserve"> about here]</w:t>
      </w:r>
    </w:p>
    <w:p w14:paraId="4B445CB7" w14:textId="01B0638E" w:rsidR="004F2221" w:rsidRPr="008E772B" w:rsidRDefault="004F2221" w:rsidP="00C60699">
      <w:pPr>
        <w:spacing w:after="0" w:line="360" w:lineRule="auto"/>
        <w:ind w:firstLine="720"/>
        <w:jc w:val="lowKashida"/>
        <w:rPr>
          <w:rFonts w:asciiTheme="majorBidi" w:eastAsia="Times New Roman" w:hAnsiTheme="majorBidi" w:cstheme="majorBidi"/>
          <w:bCs/>
          <w:sz w:val="24"/>
          <w:szCs w:val="24"/>
        </w:rPr>
      </w:pPr>
      <w:r w:rsidRPr="008E772B">
        <w:rPr>
          <w:rFonts w:asciiTheme="majorBidi" w:eastAsia="Times New Roman" w:hAnsiTheme="majorBidi" w:cstheme="majorBidi"/>
          <w:bCs/>
          <w:sz w:val="24"/>
          <w:szCs w:val="24"/>
        </w:rPr>
        <w:t xml:space="preserve">Table </w:t>
      </w:r>
      <w:r w:rsidR="00315498">
        <w:rPr>
          <w:rFonts w:asciiTheme="majorBidi" w:eastAsia="Times New Roman" w:hAnsiTheme="majorBidi" w:cstheme="majorBidi"/>
          <w:bCs/>
          <w:sz w:val="24"/>
          <w:szCs w:val="24"/>
        </w:rPr>
        <w:t>3</w:t>
      </w:r>
      <w:r w:rsidR="00416581" w:rsidRPr="008E772B">
        <w:rPr>
          <w:rFonts w:asciiTheme="majorBidi" w:eastAsia="Times New Roman" w:hAnsiTheme="majorBidi" w:cstheme="majorBidi"/>
          <w:bCs/>
          <w:sz w:val="24"/>
          <w:szCs w:val="24"/>
        </w:rPr>
        <w:t xml:space="preserve"> </w:t>
      </w:r>
      <w:r w:rsidRPr="008E772B">
        <w:rPr>
          <w:rFonts w:asciiTheme="majorBidi" w:eastAsia="Times New Roman" w:hAnsiTheme="majorBidi" w:cstheme="majorBidi"/>
          <w:bCs/>
          <w:sz w:val="24"/>
          <w:szCs w:val="24"/>
        </w:rPr>
        <w:t xml:space="preserve">presents the correlation coefficient matrix (including both Pearson’s parametric and Spearman’s non-parametric bivariate coefficients) for different </w:t>
      </w:r>
      <w:r w:rsidR="00C12899" w:rsidRPr="008E772B">
        <w:rPr>
          <w:rFonts w:asciiTheme="majorBidi" w:eastAsia="Times New Roman" w:hAnsiTheme="majorBidi" w:cstheme="majorBidi"/>
          <w:bCs/>
          <w:sz w:val="24"/>
          <w:szCs w:val="24"/>
        </w:rPr>
        <w:t>dependent</w:t>
      </w:r>
      <w:r w:rsidRPr="008E772B">
        <w:rPr>
          <w:rFonts w:asciiTheme="majorBidi" w:eastAsia="Times New Roman" w:hAnsiTheme="majorBidi" w:cstheme="majorBidi"/>
          <w:bCs/>
          <w:sz w:val="24"/>
          <w:szCs w:val="24"/>
        </w:rPr>
        <w:t xml:space="preserve">, independent and control variables. Using Pearson’s parametric correlation coefficients only, </w:t>
      </w:r>
      <w:r w:rsidR="00BB0D86" w:rsidRPr="008E772B">
        <w:rPr>
          <w:rFonts w:asciiTheme="majorBidi" w:eastAsia="Times New Roman" w:hAnsiTheme="majorBidi" w:cstheme="majorBidi"/>
          <w:bCs/>
          <w:i/>
          <w:iCs/>
          <w:sz w:val="24"/>
          <w:szCs w:val="24"/>
        </w:rPr>
        <w:t>BIG4</w:t>
      </w:r>
      <w:r w:rsidR="00BB0D86" w:rsidRPr="008E772B">
        <w:rPr>
          <w:rFonts w:asciiTheme="majorBidi" w:eastAsia="Times New Roman" w:hAnsiTheme="majorBidi" w:cstheme="majorBidi"/>
          <w:bCs/>
          <w:iCs/>
          <w:sz w:val="24"/>
          <w:szCs w:val="24"/>
        </w:rPr>
        <w:t xml:space="preserve"> is positively related, at a significant level, to </w:t>
      </w:r>
      <w:r w:rsidR="00CD0B52" w:rsidRPr="008E772B">
        <w:rPr>
          <w:rFonts w:asciiTheme="majorBidi" w:eastAsia="Times New Roman" w:hAnsiTheme="majorBidi" w:cstheme="majorBidi"/>
          <w:bCs/>
          <w:i/>
          <w:iCs/>
          <w:sz w:val="24"/>
          <w:szCs w:val="24"/>
          <w:lang w:val="en-US"/>
        </w:rPr>
        <w:t>BRDS</w:t>
      </w:r>
      <w:r w:rsidR="00BB0D86" w:rsidRPr="008E772B">
        <w:rPr>
          <w:rFonts w:asciiTheme="majorBidi" w:eastAsia="Times New Roman" w:hAnsiTheme="majorBidi" w:cstheme="majorBidi"/>
          <w:bCs/>
          <w:iCs/>
          <w:sz w:val="24"/>
          <w:szCs w:val="24"/>
        </w:rPr>
        <w:t>,</w:t>
      </w:r>
      <w:r w:rsidR="00BB0D86" w:rsidRPr="008E772B">
        <w:rPr>
          <w:rFonts w:asciiTheme="majorBidi" w:eastAsia="Times New Roman" w:hAnsiTheme="majorBidi" w:cstheme="majorBidi"/>
          <w:bCs/>
          <w:i/>
          <w:iCs/>
          <w:sz w:val="24"/>
          <w:szCs w:val="24"/>
        </w:rPr>
        <w:t xml:space="preserve"> </w:t>
      </w:r>
      <w:r w:rsidR="00E80B25" w:rsidRPr="008E772B">
        <w:rPr>
          <w:rFonts w:asciiTheme="majorBidi" w:eastAsia="Times New Roman" w:hAnsiTheme="majorBidi" w:cstheme="majorBidi"/>
          <w:bCs/>
          <w:i/>
          <w:iCs/>
          <w:sz w:val="24"/>
          <w:szCs w:val="24"/>
        </w:rPr>
        <w:t>IND</w:t>
      </w:r>
      <w:r w:rsidR="00BB0D86" w:rsidRPr="008E772B">
        <w:rPr>
          <w:rFonts w:asciiTheme="majorBidi" w:eastAsia="Times New Roman" w:hAnsiTheme="majorBidi" w:cstheme="majorBidi"/>
          <w:bCs/>
          <w:iCs/>
          <w:sz w:val="24"/>
          <w:szCs w:val="24"/>
        </w:rPr>
        <w:t xml:space="preserve">, </w:t>
      </w:r>
      <w:r w:rsidR="004039E0" w:rsidRPr="008E772B">
        <w:rPr>
          <w:rFonts w:asciiTheme="majorBidi" w:eastAsia="Times New Roman" w:hAnsiTheme="majorBidi" w:cstheme="majorBidi"/>
          <w:bCs/>
          <w:i/>
          <w:iCs/>
          <w:sz w:val="24"/>
          <w:szCs w:val="24"/>
          <w:lang w:val="en-US"/>
        </w:rPr>
        <w:t>GOSH</w:t>
      </w:r>
      <w:r w:rsidR="00BB0D86" w:rsidRPr="008E772B">
        <w:rPr>
          <w:rFonts w:asciiTheme="majorBidi" w:eastAsia="Times New Roman" w:hAnsiTheme="majorBidi" w:cstheme="majorBidi"/>
          <w:bCs/>
          <w:iCs/>
          <w:sz w:val="24"/>
          <w:szCs w:val="24"/>
        </w:rPr>
        <w:t xml:space="preserve">, </w:t>
      </w:r>
      <w:r w:rsidR="00203345" w:rsidRPr="008E772B">
        <w:rPr>
          <w:rFonts w:asciiTheme="majorBidi" w:eastAsia="Times New Roman" w:hAnsiTheme="majorBidi" w:cstheme="majorBidi"/>
          <w:bCs/>
          <w:i/>
          <w:iCs/>
          <w:sz w:val="24"/>
          <w:szCs w:val="24"/>
          <w:lang w:val="en-US"/>
        </w:rPr>
        <w:t>DISH</w:t>
      </w:r>
      <w:r w:rsidR="00BB0D86" w:rsidRPr="008E772B">
        <w:rPr>
          <w:rFonts w:asciiTheme="majorBidi" w:eastAsia="Times New Roman" w:hAnsiTheme="majorBidi" w:cstheme="majorBidi"/>
          <w:bCs/>
          <w:iCs/>
          <w:sz w:val="24"/>
          <w:szCs w:val="24"/>
        </w:rPr>
        <w:t xml:space="preserve">, </w:t>
      </w:r>
      <w:r w:rsidR="00EE7667">
        <w:rPr>
          <w:rFonts w:asciiTheme="majorBidi" w:eastAsia="Times New Roman" w:hAnsiTheme="majorBidi" w:cstheme="majorBidi"/>
          <w:bCs/>
          <w:i/>
          <w:sz w:val="24"/>
          <w:szCs w:val="24"/>
        </w:rPr>
        <w:t>NGI</w:t>
      </w:r>
      <w:r w:rsidR="00DE011A" w:rsidRPr="008E772B">
        <w:rPr>
          <w:rFonts w:asciiTheme="majorBidi" w:eastAsia="Times New Roman" w:hAnsiTheme="majorBidi" w:cstheme="majorBidi"/>
          <w:bCs/>
          <w:iCs/>
          <w:sz w:val="24"/>
          <w:szCs w:val="24"/>
        </w:rPr>
        <w:t xml:space="preserve">, </w:t>
      </w:r>
      <w:r w:rsidR="00BB0D86" w:rsidRPr="008E772B">
        <w:rPr>
          <w:rFonts w:asciiTheme="majorBidi" w:eastAsia="Times New Roman" w:hAnsiTheme="majorBidi" w:cstheme="majorBidi"/>
          <w:bCs/>
          <w:i/>
          <w:iCs/>
          <w:sz w:val="24"/>
          <w:szCs w:val="24"/>
        </w:rPr>
        <w:t>LNTA</w:t>
      </w:r>
      <w:r w:rsidR="00BB0D86" w:rsidRPr="008E772B">
        <w:rPr>
          <w:rFonts w:asciiTheme="majorBidi" w:eastAsia="Times New Roman" w:hAnsiTheme="majorBidi" w:cstheme="majorBidi"/>
          <w:bCs/>
          <w:iCs/>
          <w:sz w:val="24"/>
          <w:szCs w:val="24"/>
        </w:rPr>
        <w:t xml:space="preserve">, </w:t>
      </w:r>
      <w:r w:rsidR="00BB0D86" w:rsidRPr="008E772B">
        <w:rPr>
          <w:rFonts w:asciiTheme="majorBidi" w:eastAsia="Times New Roman" w:hAnsiTheme="majorBidi" w:cstheme="majorBidi"/>
          <w:bCs/>
          <w:i/>
          <w:iCs/>
          <w:sz w:val="24"/>
          <w:szCs w:val="24"/>
        </w:rPr>
        <w:t>BUSY</w:t>
      </w:r>
      <w:r w:rsidR="00BB0D86" w:rsidRPr="008E772B">
        <w:rPr>
          <w:rFonts w:asciiTheme="majorBidi" w:eastAsia="Times New Roman" w:hAnsiTheme="majorBidi" w:cstheme="majorBidi"/>
          <w:bCs/>
          <w:iCs/>
          <w:sz w:val="24"/>
          <w:szCs w:val="24"/>
        </w:rPr>
        <w:t xml:space="preserve">, </w:t>
      </w:r>
      <w:r w:rsidR="00BB0D86" w:rsidRPr="008E772B">
        <w:rPr>
          <w:rFonts w:asciiTheme="majorBidi" w:eastAsia="Times New Roman" w:hAnsiTheme="majorBidi" w:cstheme="majorBidi"/>
          <w:bCs/>
          <w:i/>
          <w:iCs/>
          <w:sz w:val="24"/>
          <w:szCs w:val="24"/>
        </w:rPr>
        <w:t>LV</w:t>
      </w:r>
      <w:r w:rsidR="00BB0D86" w:rsidRPr="008E772B">
        <w:rPr>
          <w:rFonts w:asciiTheme="majorBidi" w:eastAsia="Times New Roman" w:hAnsiTheme="majorBidi" w:cstheme="majorBidi"/>
          <w:bCs/>
          <w:sz w:val="24"/>
          <w:szCs w:val="24"/>
        </w:rPr>
        <w:t>,</w:t>
      </w:r>
      <w:r w:rsidR="00BB0D86" w:rsidRPr="008E772B">
        <w:rPr>
          <w:rFonts w:asciiTheme="majorBidi" w:eastAsia="Times New Roman" w:hAnsiTheme="majorBidi" w:cstheme="majorBidi"/>
          <w:bCs/>
          <w:iCs/>
          <w:sz w:val="24"/>
          <w:szCs w:val="24"/>
        </w:rPr>
        <w:t xml:space="preserve"> </w:t>
      </w:r>
      <w:r w:rsidR="00BB0D86" w:rsidRPr="008E772B">
        <w:rPr>
          <w:rFonts w:asciiTheme="majorBidi" w:eastAsia="Times New Roman" w:hAnsiTheme="majorBidi" w:cstheme="majorBidi"/>
          <w:bCs/>
          <w:i/>
          <w:iCs/>
          <w:sz w:val="24"/>
          <w:szCs w:val="24"/>
        </w:rPr>
        <w:t>SGR</w:t>
      </w:r>
      <w:r w:rsidR="00BB0D86" w:rsidRPr="008E772B">
        <w:rPr>
          <w:rFonts w:asciiTheme="majorBidi" w:eastAsia="Times New Roman" w:hAnsiTheme="majorBidi" w:cstheme="majorBidi"/>
          <w:bCs/>
          <w:iCs/>
          <w:sz w:val="24"/>
          <w:szCs w:val="24"/>
        </w:rPr>
        <w:t xml:space="preserve">, </w:t>
      </w:r>
      <w:r w:rsidR="00DE011A" w:rsidRPr="008E772B">
        <w:rPr>
          <w:rFonts w:asciiTheme="majorBidi" w:eastAsia="Times New Roman" w:hAnsiTheme="majorBidi" w:cstheme="majorBidi"/>
          <w:bCs/>
          <w:iCs/>
          <w:sz w:val="24"/>
          <w:szCs w:val="24"/>
        </w:rPr>
        <w:t xml:space="preserve">and </w:t>
      </w:r>
      <w:r w:rsidR="00BB0D86" w:rsidRPr="008E772B">
        <w:rPr>
          <w:rFonts w:asciiTheme="majorBidi" w:eastAsia="Times New Roman" w:hAnsiTheme="majorBidi" w:cstheme="majorBidi"/>
          <w:bCs/>
          <w:i/>
          <w:iCs/>
          <w:sz w:val="24"/>
          <w:szCs w:val="24"/>
        </w:rPr>
        <w:t>ROA</w:t>
      </w:r>
      <w:r w:rsidR="00DE011A" w:rsidRPr="008E772B">
        <w:rPr>
          <w:rFonts w:asciiTheme="majorBidi" w:eastAsia="Times New Roman" w:hAnsiTheme="majorBidi" w:cstheme="majorBidi"/>
          <w:bCs/>
          <w:i/>
          <w:iCs/>
          <w:sz w:val="24"/>
          <w:szCs w:val="24"/>
        </w:rPr>
        <w:t>,</w:t>
      </w:r>
      <w:r w:rsidR="00BB0D86" w:rsidRPr="008E772B">
        <w:rPr>
          <w:rFonts w:asciiTheme="majorBidi" w:eastAsia="Times New Roman" w:hAnsiTheme="majorBidi" w:cstheme="majorBidi"/>
          <w:bCs/>
          <w:iCs/>
          <w:sz w:val="24"/>
          <w:szCs w:val="24"/>
        </w:rPr>
        <w:t xml:space="preserve"> whereas </w:t>
      </w:r>
      <w:r w:rsidR="00BB0D86" w:rsidRPr="008E772B">
        <w:rPr>
          <w:rFonts w:asciiTheme="majorBidi" w:eastAsia="Times New Roman" w:hAnsiTheme="majorBidi" w:cstheme="majorBidi"/>
          <w:bCs/>
          <w:i/>
          <w:iCs/>
          <w:sz w:val="24"/>
          <w:szCs w:val="24"/>
        </w:rPr>
        <w:t>BIG4</w:t>
      </w:r>
      <w:r w:rsidR="00BB0D86" w:rsidRPr="008E772B">
        <w:rPr>
          <w:rFonts w:asciiTheme="majorBidi" w:eastAsia="Times New Roman" w:hAnsiTheme="majorBidi" w:cstheme="majorBidi"/>
          <w:bCs/>
          <w:iCs/>
          <w:sz w:val="24"/>
          <w:szCs w:val="24"/>
        </w:rPr>
        <w:t xml:space="preserve"> is significantly and negatively related to </w:t>
      </w:r>
      <w:r w:rsidR="00CD0B52" w:rsidRPr="008E772B">
        <w:rPr>
          <w:rFonts w:asciiTheme="majorBidi" w:eastAsia="Times New Roman" w:hAnsiTheme="majorBidi" w:cstheme="majorBidi"/>
          <w:bCs/>
          <w:i/>
          <w:iCs/>
          <w:sz w:val="24"/>
          <w:szCs w:val="24"/>
          <w:lang w:val="en-US"/>
        </w:rPr>
        <w:t>UBL</w:t>
      </w:r>
      <w:r w:rsidR="00995E92">
        <w:rPr>
          <w:rFonts w:asciiTheme="majorBidi" w:eastAsia="Times New Roman" w:hAnsiTheme="majorBidi" w:cstheme="majorBidi"/>
          <w:bCs/>
          <w:i/>
          <w:iCs/>
          <w:sz w:val="24"/>
          <w:szCs w:val="24"/>
          <w:lang w:val="en-US"/>
        </w:rPr>
        <w:t>,</w:t>
      </w:r>
      <w:r w:rsidR="00DE011A" w:rsidRPr="008E772B">
        <w:rPr>
          <w:rFonts w:asciiTheme="majorBidi" w:eastAsia="Times New Roman" w:hAnsiTheme="majorBidi" w:cstheme="majorBidi"/>
          <w:bCs/>
          <w:iCs/>
          <w:sz w:val="24"/>
          <w:szCs w:val="24"/>
        </w:rPr>
        <w:t xml:space="preserve"> </w:t>
      </w:r>
      <w:r w:rsidR="00995E92">
        <w:rPr>
          <w:rFonts w:asciiTheme="majorBidi" w:eastAsia="Times New Roman" w:hAnsiTheme="majorBidi" w:cstheme="majorBidi"/>
          <w:bCs/>
          <w:i/>
          <w:iCs/>
          <w:sz w:val="24"/>
          <w:szCs w:val="24"/>
          <w:lang w:val="en-US"/>
        </w:rPr>
        <w:t>F</w:t>
      </w:r>
      <w:r w:rsidR="00995E92" w:rsidRPr="00995E92">
        <w:rPr>
          <w:rFonts w:asciiTheme="majorBidi" w:eastAsia="Times New Roman" w:hAnsiTheme="majorBidi" w:cstheme="majorBidi"/>
          <w:bCs/>
          <w:i/>
          <w:iCs/>
          <w:sz w:val="24"/>
          <w:szCs w:val="24"/>
          <w:lang w:val="en-US"/>
        </w:rPr>
        <w:t>LSH</w:t>
      </w:r>
      <w:r w:rsidR="00995E92" w:rsidRPr="00995E92">
        <w:rPr>
          <w:rFonts w:asciiTheme="majorBidi" w:eastAsia="Times New Roman" w:hAnsiTheme="majorBidi" w:cstheme="majorBidi"/>
          <w:bCs/>
          <w:iCs/>
          <w:sz w:val="24"/>
          <w:szCs w:val="24"/>
        </w:rPr>
        <w:t xml:space="preserve">, </w:t>
      </w:r>
      <w:r w:rsidR="00DE011A" w:rsidRPr="008E772B">
        <w:rPr>
          <w:rFonts w:asciiTheme="majorBidi" w:eastAsia="Times New Roman" w:hAnsiTheme="majorBidi" w:cstheme="majorBidi"/>
          <w:bCs/>
          <w:iCs/>
          <w:sz w:val="24"/>
          <w:szCs w:val="24"/>
        </w:rPr>
        <w:t xml:space="preserve">and </w:t>
      </w:r>
      <w:r w:rsidR="00BB0D86" w:rsidRPr="008E772B">
        <w:rPr>
          <w:rFonts w:asciiTheme="majorBidi" w:eastAsia="Times New Roman" w:hAnsiTheme="majorBidi" w:cstheme="majorBidi"/>
          <w:bCs/>
          <w:i/>
          <w:iCs/>
          <w:sz w:val="24"/>
          <w:szCs w:val="24"/>
        </w:rPr>
        <w:t>LOS</w:t>
      </w:r>
      <w:r w:rsidRPr="008E772B">
        <w:rPr>
          <w:rFonts w:asciiTheme="majorBidi" w:eastAsia="Times New Roman" w:hAnsiTheme="majorBidi" w:cstheme="majorBidi"/>
          <w:bCs/>
          <w:iCs/>
          <w:sz w:val="24"/>
          <w:szCs w:val="24"/>
        </w:rPr>
        <w:t xml:space="preserve">. Likewise, Table </w:t>
      </w:r>
      <w:r w:rsidR="00315498">
        <w:rPr>
          <w:rFonts w:asciiTheme="majorBidi" w:eastAsia="Times New Roman" w:hAnsiTheme="majorBidi" w:cstheme="majorBidi"/>
          <w:bCs/>
          <w:iCs/>
          <w:sz w:val="24"/>
          <w:szCs w:val="24"/>
        </w:rPr>
        <w:t>3</w:t>
      </w:r>
      <w:r w:rsidR="005F5308" w:rsidRPr="008E772B">
        <w:rPr>
          <w:rFonts w:asciiTheme="majorBidi" w:eastAsia="Times New Roman" w:hAnsiTheme="majorBidi" w:cstheme="majorBidi"/>
          <w:bCs/>
          <w:iCs/>
          <w:sz w:val="24"/>
          <w:szCs w:val="24"/>
        </w:rPr>
        <w:t xml:space="preserve"> </w:t>
      </w:r>
      <w:r w:rsidRPr="008E772B">
        <w:rPr>
          <w:rFonts w:asciiTheme="majorBidi" w:eastAsia="Times New Roman" w:hAnsiTheme="majorBidi" w:cstheme="majorBidi"/>
          <w:bCs/>
          <w:iCs/>
          <w:sz w:val="24"/>
          <w:szCs w:val="24"/>
        </w:rPr>
        <w:t xml:space="preserve">shows that </w:t>
      </w:r>
      <w:r w:rsidR="00BB0D86" w:rsidRPr="008E772B">
        <w:rPr>
          <w:rFonts w:asciiTheme="majorBidi" w:eastAsia="Times New Roman" w:hAnsiTheme="majorBidi" w:cstheme="majorBidi"/>
          <w:bCs/>
          <w:i/>
          <w:iCs/>
          <w:sz w:val="24"/>
          <w:szCs w:val="24"/>
        </w:rPr>
        <w:t>LNFE</w:t>
      </w:r>
      <w:r w:rsidR="00BB0D86" w:rsidRPr="008E772B">
        <w:rPr>
          <w:rFonts w:asciiTheme="majorBidi" w:eastAsia="Times New Roman" w:hAnsiTheme="majorBidi" w:cstheme="majorBidi"/>
          <w:bCs/>
          <w:iCs/>
          <w:sz w:val="24"/>
          <w:szCs w:val="24"/>
        </w:rPr>
        <w:t xml:space="preserve"> is positively related, at the significant level, to </w:t>
      </w:r>
      <w:r w:rsidR="00BB0D86" w:rsidRPr="008E772B">
        <w:rPr>
          <w:rFonts w:asciiTheme="majorBidi" w:eastAsia="Times New Roman" w:hAnsiTheme="majorBidi" w:cstheme="majorBidi"/>
          <w:bCs/>
          <w:i/>
          <w:iCs/>
          <w:sz w:val="24"/>
          <w:szCs w:val="24"/>
        </w:rPr>
        <w:t>BIG4</w:t>
      </w:r>
      <w:r w:rsidR="00BB0D86" w:rsidRPr="008E772B">
        <w:rPr>
          <w:rFonts w:asciiTheme="majorBidi" w:eastAsia="Times New Roman" w:hAnsiTheme="majorBidi" w:cstheme="majorBidi"/>
          <w:bCs/>
          <w:iCs/>
          <w:sz w:val="24"/>
          <w:szCs w:val="24"/>
        </w:rPr>
        <w:t xml:space="preserve">, </w:t>
      </w:r>
      <w:r w:rsidR="00CD0B52" w:rsidRPr="008E772B">
        <w:rPr>
          <w:rFonts w:asciiTheme="majorBidi" w:eastAsia="Times New Roman" w:hAnsiTheme="majorBidi" w:cstheme="majorBidi"/>
          <w:bCs/>
          <w:i/>
          <w:iCs/>
          <w:sz w:val="24"/>
          <w:szCs w:val="24"/>
          <w:lang w:val="en-US"/>
        </w:rPr>
        <w:t>BRDS</w:t>
      </w:r>
      <w:r w:rsidR="00BB0D86" w:rsidRPr="008E772B">
        <w:rPr>
          <w:rFonts w:asciiTheme="majorBidi" w:eastAsia="Times New Roman" w:hAnsiTheme="majorBidi" w:cstheme="majorBidi"/>
          <w:bCs/>
          <w:iCs/>
          <w:sz w:val="24"/>
          <w:szCs w:val="24"/>
        </w:rPr>
        <w:t>,</w:t>
      </w:r>
      <w:r w:rsidR="00BB0D86" w:rsidRPr="008E772B">
        <w:rPr>
          <w:rFonts w:asciiTheme="majorBidi" w:eastAsia="Times New Roman" w:hAnsiTheme="majorBidi" w:cstheme="majorBidi"/>
          <w:bCs/>
          <w:i/>
          <w:iCs/>
          <w:sz w:val="24"/>
          <w:szCs w:val="24"/>
        </w:rPr>
        <w:t xml:space="preserve"> </w:t>
      </w:r>
      <w:r w:rsidR="00E80B25" w:rsidRPr="008E772B">
        <w:rPr>
          <w:rFonts w:asciiTheme="majorBidi" w:eastAsia="Times New Roman" w:hAnsiTheme="majorBidi" w:cstheme="majorBidi"/>
          <w:bCs/>
          <w:i/>
          <w:iCs/>
          <w:sz w:val="24"/>
          <w:szCs w:val="24"/>
        </w:rPr>
        <w:t>IND</w:t>
      </w:r>
      <w:r w:rsidR="00BB0D86" w:rsidRPr="008E772B">
        <w:rPr>
          <w:rFonts w:asciiTheme="majorBidi" w:eastAsia="Times New Roman" w:hAnsiTheme="majorBidi" w:cstheme="majorBidi"/>
          <w:bCs/>
          <w:iCs/>
          <w:sz w:val="24"/>
          <w:szCs w:val="24"/>
        </w:rPr>
        <w:t xml:space="preserve">, </w:t>
      </w:r>
      <w:r w:rsidR="004039E0" w:rsidRPr="008E772B">
        <w:rPr>
          <w:rFonts w:asciiTheme="majorBidi" w:eastAsia="Times New Roman" w:hAnsiTheme="majorBidi" w:cstheme="majorBidi"/>
          <w:bCs/>
          <w:i/>
          <w:iCs/>
          <w:sz w:val="24"/>
          <w:szCs w:val="24"/>
          <w:lang w:val="en-US"/>
        </w:rPr>
        <w:t>GOSH</w:t>
      </w:r>
      <w:r w:rsidR="00BB0D86" w:rsidRPr="008E772B">
        <w:rPr>
          <w:rFonts w:asciiTheme="majorBidi" w:eastAsia="Times New Roman" w:hAnsiTheme="majorBidi" w:cstheme="majorBidi"/>
          <w:bCs/>
          <w:iCs/>
          <w:sz w:val="24"/>
          <w:szCs w:val="24"/>
        </w:rPr>
        <w:t xml:space="preserve">, </w:t>
      </w:r>
      <w:r w:rsidR="00EE7667" w:rsidRPr="00EE7667">
        <w:rPr>
          <w:rFonts w:asciiTheme="majorBidi" w:eastAsia="Times New Roman" w:hAnsiTheme="majorBidi" w:cstheme="majorBidi"/>
          <w:bCs/>
          <w:i/>
          <w:sz w:val="24"/>
          <w:szCs w:val="24"/>
        </w:rPr>
        <w:t>NGI</w:t>
      </w:r>
      <w:r w:rsidR="00DE011A" w:rsidRPr="008E772B">
        <w:rPr>
          <w:rFonts w:asciiTheme="majorBidi" w:eastAsia="Times New Roman" w:hAnsiTheme="majorBidi" w:cstheme="majorBidi"/>
          <w:bCs/>
          <w:iCs/>
          <w:sz w:val="24"/>
          <w:szCs w:val="24"/>
        </w:rPr>
        <w:t xml:space="preserve">, </w:t>
      </w:r>
      <w:r w:rsidR="00BB0D86" w:rsidRPr="008E772B">
        <w:rPr>
          <w:rFonts w:asciiTheme="majorBidi" w:eastAsia="Times New Roman" w:hAnsiTheme="majorBidi" w:cstheme="majorBidi"/>
          <w:bCs/>
          <w:i/>
          <w:iCs/>
          <w:sz w:val="24"/>
          <w:szCs w:val="24"/>
        </w:rPr>
        <w:t>LNTA</w:t>
      </w:r>
      <w:r w:rsidR="00BB0D86" w:rsidRPr="008E772B">
        <w:rPr>
          <w:rFonts w:asciiTheme="majorBidi" w:eastAsia="Times New Roman" w:hAnsiTheme="majorBidi" w:cstheme="majorBidi"/>
          <w:bCs/>
          <w:iCs/>
          <w:sz w:val="24"/>
          <w:szCs w:val="24"/>
        </w:rPr>
        <w:t xml:space="preserve">, </w:t>
      </w:r>
      <w:r w:rsidR="00BB0D86" w:rsidRPr="008E772B">
        <w:rPr>
          <w:rFonts w:asciiTheme="majorBidi" w:eastAsia="Times New Roman" w:hAnsiTheme="majorBidi" w:cstheme="majorBidi"/>
          <w:bCs/>
          <w:i/>
          <w:iCs/>
          <w:sz w:val="24"/>
          <w:szCs w:val="24"/>
        </w:rPr>
        <w:t>BUSY</w:t>
      </w:r>
      <w:r w:rsidR="00464405" w:rsidRPr="00464405">
        <w:rPr>
          <w:rFonts w:asciiTheme="majorBidi" w:eastAsia="Times New Roman" w:hAnsiTheme="majorBidi" w:cstheme="majorBidi"/>
          <w:bCs/>
          <w:sz w:val="24"/>
          <w:szCs w:val="24"/>
        </w:rPr>
        <w:t>,</w:t>
      </w:r>
      <w:r w:rsidR="00DE011A" w:rsidRPr="008E772B">
        <w:rPr>
          <w:rFonts w:asciiTheme="majorBidi" w:eastAsia="Times New Roman" w:hAnsiTheme="majorBidi" w:cstheme="majorBidi"/>
          <w:bCs/>
          <w:iCs/>
          <w:sz w:val="24"/>
          <w:szCs w:val="24"/>
        </w:rPr>
        <w:t xml:space="preserve"> and</w:t>
      </w:r>
      <w:r w:rsidR="00BB0D86" w:rsidRPr="008E772B">
        <w:rPr>
          <w:rFonts w:asciiTheme="majorBidi" w:eastAsia="Times New Roman" w:hAnsiTheme="majorBidi" w:cstheme="majorBidi"/>
          <w:bCs/>
          <w:iCs/>
          <w:sz w:val="24"/>
          <w:szCs w:val="24"/>
        </w:rPr>
        <w:t xml:space="preserve"> </w:t>
      </w:r>
      <w:r w:rsidR="00B31397" w:rsidRPr="008E772B">
        <w:rPr>
          <w:rFonts w:asciiTheme="majorBidi" w:eastAsia="Times New Roman" w:hAnsiTheme="majorBidi" w:cstheme="majorBidi"/>
          <w:bCs/>
          <w:i/>
          <w:iCs/>
          <w:sz w:val="24"/>
          <w:szCs w:val="24"/>
        </w:rPr>
        <w:t>L</w:t>
      </w:r>
      <w:r w:rsidR="00BB0D86" w:rsidRPr="008E772B">
        <w:rPr>
          <w:rFonts w:asciiTheme="majorBidi" w:eastAsia="Times New Roman" w:hAnsiTheme="majorBidi" w:cstheme="majorBidi"/>
          <w:bCs/>
          <w:i/>
          <w:iCs/>
          <w:sz w:val="24"/>
          <w:szCs w:val="24"/>
        </w:rPr>
        <w:t>V</w:t>
      </w:r>
      <w:r w:rsidR="00DE011A" w:rsidRPr="008E772B">
        <w:rPr>
          <w:rFonts w:asciiTheme="majorBidi" w:eastAsia="Times New Roman" w:hAnsiTheme="majorBidi" w:cstheme="majorBidi"/>
          <w:bCs/>
          <w:i/>
          <w:iCs/>
          <w:sz w:val="24"/>
          <w:szCs w:val="24"/>
        </w:rPr>
        <w:t>,</w:t>
      </w:r>
      <w:r w:rsidR="00DE011A" w:rsidRPr="008E772B">
        <w:rPr>
          <w:rFonts w:asciiTheme="majorBidi" w:eastAsia="Times New Roman" w:hAnsiTheme="majorBidi" w:cstheme="majorBidi"/>
          <w:bCs/>
          <w:iCs/>
          <w:sz w:val="24"/>
          <w:szCs w:val="24"/>
        </w:rPr>
        <w:t xml:space="preserve"> </w:t>
      </w:r>
      <w:r w:rsidR="00DE011A" w:rsidRPr="008E772B">
        <w:rPr>
          <w:rFonts w:asciiTheme="majorBidi" w:eastAsia="Times New Roman" w:hAnsiTheme="majorBidi" w:cstheme="majorBidi"/>
          <w:bCs/>
          <w:sz w:val="24"/>
          <w:szCs w:val="24"/>
        </w:rPr>
        <w:t xml:space="preserve">whereas </w:t>
      </w:r>
      <w:r w:rsidR="00CD0B52" w:rsidRPr="008E772B">
        <w:rPr>
          <w:rFonts w:asciiTheme="majorBidi" w:eastAsia="Times New Roman" w:hAnsiTheme="majorBidi" w:cstheme="majorBidi"/>
          <w:bCs/>
          <w:i/>
          <w:iCs/>
          <w:sz w:val="24"/>
          <w:szCs w:val="24"/>
        </w:rPr>
        <w:t>LNFE</w:t>
      </w:r>
      <w:r w:rsidR="00DE011A" w:rsidRPr="008E772B">
        <w:rPr>
          <w:rFonts w:asciiTheme="majorBidi" w:eastAsia="Times New Roman" w:hAnsiTheme="majorBidi" w:cstheme="majorBidi"/>
          <w:bCs/>
          <w:iCs/>
          <w:sz w:val="24"/>
          <w:szCs w:val="24"/>
        </w:rPr>
        <w:t xml:space="preserve"> </w:t>
      </w:r>
      <w:r w:rsidR="00DE011A" w:rsidRPr="008E772B">
        <w:rPr>
          <w:rFonts w:asciiTheme="majorBidi" w:eastAsia="Times New Roman" w:hAnsiTheme="majorBidi" w:cstheme="majorBidi"/>
          <w:bCs/>
          <w:sz w:val="24"/>
          <w:szCs w:val="24"/>
        </w:rPr>
        <w:t xml:space="preserve">is significantly and negatively related to </w:t>
      </w:r>
      <w:r w:rsidR="00CD0B52" w:rsidRPr="008E772B">
        <w:rPr>
          <w:rFonts w:asciiTheme="majorBidi" w:eastAsia="Times New Roman" w:hAnsiTheme="majorBidi" w:cstheme="majorBidi"/>
          <w:bCs/>
          <w:i/>
          <w:iCs/>
          <w:sz w:val="24"/>
          <w:szCs w:val="24"/>
          <w:lang w:val="en-US"/>
        </w:rPr>
        <w:t>UBL</w:t>
      </w:r>
      <w:r w:rsidR="00995E92" w:rsidRPr="00995E92">
        <w:rPr>
          <w:rFonts w:asciiTheme="majorBidi" w:eastAsia="Times New Roman" w:hAnsiTheme="majorBidi" w:cstheme="majorBidi"/>
          <w:bCs/>
          <w:i/>
          <w:iCs/>
          <w:sz w:val="24"/>
          <w:szCs w:val="24"/>
          <w:lang w:val="en-US"/>
        </w:rPr>
        <w:t xml:space="preserve"> </w:t>
      </w:r>
      <w:r w:rsidR="00995E92">
        <w:rPr>
          <w:rFonts w:asciiTheme="majorBidi" w:eastAsia="Times New Roman" w:hAnsiTheme="majorBidi" w:cstheme="majorBidi"/>
          <w:bCs/>
          <w:i/>
          <w:iCs/>
          <w:sz w:val="24"/>
          <w:szCs w:val="24"/>
          <w:lang w:val="en-US"/>
        </w:rPr>
        <w:t>and F</w:t>
      </w:r>
      <w:r w:rsidR="00995E92" w:rsidRPr="00995E92">
        <w:rPr>
          <w:rFonts w:asciiTheme="majorBidi" w:eastAsia="Times New Roman" w:hAnsiTheme="majorBidi" w:cstheme="majorBidi"/>
          <w:bCs/>
          <w:i/>
          <w:iCs/>
          <w:sz w:val="24"/>
          <w:szCs w:val="24"/>
          <w:lang w:val="en-US"/>
        </w:rPr>
        <w:t>LSH</w:t>
      </w:r>
      <w:r w:rsidR="00DE011A" w:rsidRPr="008E772B">
        <w:rPr>
          <w:rFonts w:asciiTheme="majorBidi" w:eastAsia="Times New Roman" w:hAnsiTheme="majorBidi" w:cstheme="majorBidi"/>
          <w:bCs/>
          <w:iCs/>
          <w:sz w:val="24"/>
          <w:szCs w:val="24"/>
        </w:rPr>
        <w:t>.</w:t>
      </w:r>
      <w:r w:rsidR="00BB0D86" w:rsidRPr="008E772B">
        <w:rPr>
          <w:rFonts w:asciiTheme="majorBidi" w:eastAsia="Times New Roman" w:hAnsiTheme="majorBidi" w:cstheme="majorBidi"/>
          <w:bCs/>
          <w:iCs/>
          <w:sz w:val="24"/>
          <w:szCs w:val="24"/>
        </w:rPr>
        <w:t xml:space="preserve"> </w:t>
      </w:r>
      <w:r w:rsidRPr="008E772B">
        <w:rPr>
          <w:rFonts w:asciiTheme="majorBidi" w:eastAsia="Times New Roman" w:hAnsiTheme="majorBidi" w:cstheme="majorBidi"/>
          <w:bCs/>
          <w:sz w:val="24"/>
          <w:szCs w:val="24"/>
        </w:rPr>
        <w:t xml:space="preserve">In general the results of the correlation matrix support that auditor choice and </w:t>
      </w:r>
      <w:r w:rsidR="004A3255" w:rsidRPr="008E772B">
        <w:rPr>
          <w:rFonts w:asciiTheme="majorBidi" w:eastAsia="Times New Roman" w:hAnsiTheme="majorBidi" w:cstheme="majorBidi"/>
          <w:bCs/>
          <w:sz w:val="24"/>
          <w:szCs w:val="24"/>
        </w:rPr>
        <w:t xml:space="preserve">audit </w:t>
      </w:r>
      <w:r w:rsidRPr="008E772B">
        <w:rPr>
          <w:rFonts w:asciiTheme="majorBidi" w:eastAsia="Times New Roman" w:hAnsiTheme="majorBidi" w:cstheme="majorBidi"/>
          <w:bCs/>
          <w:sz w:val="24"/>
          <w:szCs w:val="24"/>
        </w:rPr>
        <w:t>fees are a</w:t>
      </w:r>
      <w:r w:rsidR="00DC2BE5" w:rsidRPr="008E772B">
        <w:rPr>
          <w:rFonts w:asciiTheme="majorBidi" w:eastAsia="Times New Roman" w:hAnsiTheme="majorBidi" w:cstheme="majorBidi"/>
          <w:bCs/>
          <w:sz w:val="24"/>
          <w:szCs w:val="24"/>
        </w:rPr>
        <w:t xml:space="preserve">ffected by firm- and country-level governance </w:t>
      </w:r>
      <w:r w:rsidRPr="008E772B">
        <w:rPr>
          <w:rFonts w:asciiTheme="majorBidi" w:eastAsia="Times New Roman" w:hAnsiTheme="majorBidi" w:cstheme="majorBidi"/>
          <w:bCs/>
          <w:sz w:val="24"/>
          <w:szCs w:val="24"/>
        </w:rPr>
        <w:t>measures, that board characteristics (large</w:t>
      </w:r>
      <w:r w:rsidR="00FD3016">
        <w:rPr>
          <w:rFonts w:asciiTheme="majorBidi" w:eastAsia="Times New Roman" w:hAnsiTheme="majorBidi" w:cstheme="majorBidi"/>
          <w:bCs/>
          <w:sz w:val="24"/>
          <w:szCs w:val="24"/>
        </w:rPr>
        <w:t>r</w:t>
      </w:r>
      <w:r w:rsidRPr="008E772B">
        <w:rPr>
          <w:rFonts w:asciiTheme="majorBidi" w:eastAsia="Times New Roman" w:hAnsiTheme="majorBidi" w:cstheme="majorBidi"/>
          <w:bCs/>
          <w:sz w:val="24"/>
          <w:szCs w:val="24"/>
        </w:rPr>
        <w:t xml:space="preserve"> boards, independent boards and separation of CEO/chairperson positions)</w:t>
      </w:r>
      <w:r w:rsidR="006B1FCA" w:rsidRPr="008E772B">
        <w:rPr>
          <w:rFonts w:asciiTheme="majorBidi" w:eastAsia="Times New Roman" w:hAnsiTheme="majorBidi" w:cstheme="majorBidi"/>
          <w:bCs/>
          <w:sz w:val="24"/>
          <w:szCs w:val="24"/>
        </w:rPr>
        <w:t>,</w:t>
      </w:r>
      <w:r w:rsidRPr="008E772B">
        <w:rPr>
          <w:rFonts w:asciiTheme="majorBidi" w:eastAsia="Times New Roman" w:hAnsiTheme="majorBidi" w:cstheme="majorBidi"/>
          <w:bCs/>
          <w:sz w:val="24"/>
          <w:szCs w:val="24"/>
        </w:rPr>
        <w:t xml:space="preserve"> </w:t>
      </w:r>
      <w:r w:rsidR="00C81356" w:rsidRPr="008E772B">
        <w:rPr>
          <w:rFonts w:asciiTheme="majorBidi" w:eastAsia="Times New Roman" w:hAnsiTheme="majorBidi" w:cstheme="majorBidi"/>
          <w:bCs/>
          <w:iCs/>
          <w:sz w:val="24"/>
          <w:szCs w:val="24"/>
        </w:rPr>
        <w:t>shareholding</w:t>
      </w:r>
      <w:r w:rsidRPr="008E772B">
        <w:rPr>
          <w:rFonts w:asciiTheme="majorBidi" w:eastAsia="Times New Roman" w:hAnsiTheme="majorBidi" w:cstheme="majorBidi"/>
          <w:bCs/>
          <w:iCs/>
          <w:sz w:val="24"/>
          <w:szCs w:val="24"/>
        </w:rPr>
        <w:t xml:space="preserve"> structure </w:t>
      </w:r>
      <w:r w:rsidRPr="008E772B">
        <w:rPr>
          <w:rFonts w:asciiTheme="majorBidi" w:eastAsia="Times New Roman" w:hAnsiTheme="majorBidi" w:cstheme="majorBidi"/>
          <w:bCs/>
          <w:sz w:val="24"/>
          <w:szCs w:val="24"/>
        </w:rPr>
        <w:t xml:space="preserve">(governmental </w:t>
      </w:r>
      <w:r w:rsidR="00C81356" w:rsidRPr="008E772B">
        <w:rPr>
          <w:rFonts w:asciiTheme="majorBidi" w:eastAsia="Times New Roman" w:hAnsiTheme="majorBidi" w:cstheme="majorBidi"/>
          <w:bCs/>
          <w:iCs/>
          <w:sz w:val="24"/>
          <w:szCs w:val="24"/>
        </w:rPr>
        <w:t>shareholding</w:t>
      </w:r>
      <w:r w:rsidRPr="008E772B">
        <w:rPr>
          <w:rFonts w:asciiTheme="majorBidi" w:eastAsia="Times New Roman" w:hAnsiTheme="majorBidi" w:cstheme="majorBidi"/>
          <w:bCs/>
          <w:sz w:val="24"/>
          <w:szCs w:val="24"/>
        </w:rPr>
        <w:t>)</w:t>
      </w:r>
      <w:r w:rsidR="006B1FCA" w:rsidRPr="008E772B">
        <w:rPr>
          <w:rFonts w:asciiTheme="majorBidi" w:eastAsia="Times New Roman" w:hAnsiTheme="majorBidi" w:cstheme="majorBidi"/>
          <w:bCs/>
          <w:sz w:val="24"/>
          <w:szCs w:val="24"/>
        </w:rPr>
        <w:t xml:space="preserve"> and country-level governance quality</w:t>
      </w:r>
      <w:r w:rsidRPr="008E772B">
        <w:rPr>
          <w:rFonts w:asciiTheme="majorBidi" w:eastAsia="Times New Roman" w:hAnsiTheme="majorBidi" w:cstheme="majorBidi"/>
          <w:bCs/>
          <w:sz w:val="24"/>
          <w:szCs w:val="24"/>
        </w:rPr>
        <w:t xml:space="preserve"> have a positive and significant effect on the choice of </w:t>
      </w:r>
      <w:r w:rsidR="00C60699">
        <w:rPr>
          <w:rFonts w:asciiTheme="majorBidi" w:eastAsia="Times New Roman" w:hAnsiTheme="majorBidi" w:cstheme="majorBidi"/>
          <w:bCs/>
          <w:sz w:val="24"/>
          <w:szCs w:val="24"/>
        </w:rPr>
        <w:t>a</w:t>
      </w:r>
      <w:r w:rsidR="00C60699" w:rsidRPr="008E772B">
        <w:rPr>
          <w:rFonts w:asciiTheme="majorBidi" w:eastAsia="Times New Roman" w:hAnsiTheme="majorBidi" w:cstheme="majorBidi"/>
          <w:bCs/>
          <w:sz w:val="24"/>
          <w:szCs w:val="24"/>
        </w:rPr>
        <w:t xml:space="preserve"> </w:t>
      </w:r>
      <w:r w:rsidRPr="008E772B">
        <w:rPr>
          <w:rFonts w:asciiTheme="majorBidi" w:eastAsia="Times New Roman" w:hAnsiTheme="majorBidi" w:cstheme="majorBidi"/>
          <w:bCs/>
          <w:sz w:val="24"/>
          <w:szCs w:val="24"/>
        </w:rPr>
        <w:t>Big 4 auditor</w:t>
      </w:r>
      <w:r w:rsidR="00987540" w:rsidRPr="008E772B">
        <w:rPr>
          <w:rFonts w:asciiTheme="majorBidi" w:eastAsia="Times New Roman" w:hAnsiTheme="majorBidi" w:cstheme="majorBidi"/>
          <w:bCs/>
          <w:sz w:val="24"/>
          <w:szCs w:val="24"/>
        </w:rPr>
        <w:t xml:space="preserve"> and audit fees</w:t>
      </w:r>
      <w:r w:rsidRPr="008E772B">
        <w:rPr>
          <w:rFonts w:asciiTheme="majorBidi" w:eastAsia="Times New Roman" w:hAnsiTheme="majorBidi" w:cstheme="majorBidi"/>
          <w:bCs/>
          <w:sz w:val="24"/>
          <w:szCs w:val="24"/>
        </w:rPr>
        <w:t>.</w:t>
      </w:r>
      <w:r w:rsidR="00366538">
        <w:rPr>
          <w:rFonts w:asciiTheme="majorBidi" w:eastAsia="Times New Roman" w:hAnsiTheme="majorBidi" w:cstheme="majorBidi"/>
          <w:bCs/>
          <w:sz w:val="24"/>
          <w:szCs w:val="24"/>
        </w:rPr>
        <w:t xml:space="preserve"> </w:t>
      </w:r>
      <w:r w:rsidR="002426EF">
        <w:rPr>
          <w:rFonts w:asciiTheme="majorBidi" w:eastAsia="Times New Roman" w:hAnsiTheme="majorBidi" w:cstheme="majorBidi"/>
          <w:bCs/>
          <w:sz w:val="24"/>
          <w:szCs w:val="24"/>
        </w:rPr>
        <w:t>By contrast,</w:t>
      </w:r>
      <w:r w:rsidR="00366538">
        <w:rPr>
          <w:rFonts w:asciiTheme="majorBidi" w:eastAsia="Times New Roman" w:hAnsiTheme="majorBidi" w:cstheme="majorBidi"/>
          <w:bCs/>
          <w:sz w:val="24"/>
          <w:szCs w:val="24"/>
        </w:rPr>
        <w:t xml:space="preserve"> family</w:t>
      </w:r>
      <w:r w:rsidR="00366538" w:rsidRPr="00366538">
        <w:rPr>
          <w:rFonts w:asciiTheme="majorBidi" w:eastAsia="Times New Roman" w:hAnsiTheme="majorBidi" w:cstheme="majorBidi"/>
          <w:bCs/>
          <w:sz w:val="24"/>
          <w:szCs w:val="24"/>
        </w:rPr>
        <w:t xml:space="preserve"> </w:t>
      </w:r>
      <w:r w:rsidR="00366538" w:rsidRPr="00366538">
        <w:rPr>
          <w:rFonts w:asciiTheme="majorBidi" w:eastAsia="Times New Roman" w:hAnsiTheme="majorBidi" w:cstheme="majorBidi"/>
          <w:bCs/>
          <w:iCs/>
          <w:sz w:val="24"/>
          <w:szCs w:val="24"/>
        </w:rPr>
        <w:t>shareholding</w:t>
      </w:r>
      <w:r w:rsidR="00366538">
        <w:rPr>
          <w:rFonts w:asciiTheme="majorBidi" w:eastAsia="Times New Roman" w:hAnsiTheme="majorBidi" w:cstheme="majorBidi"/>
          <w:bCs/>
          <w:iCs/>
          <w:sz w:val="24"/>
          <w:szCs w:val="24"/>
        </w:rPr>
        <w:t xml:space="preserve"> </w:t>
      </w:r>
      <w:r w:rsidR="00366538" w:rsidRPr="00366538">
        <w:rPr>
          <w:rFonts w:asciiTheme="majorBidi" w:eastAsia="Times New Roman" w:hAnsiTheme="majorBidi" w:cstheme="majorBidi"/>
          <w:bCs/>
          <w:sz w:val="24"/>
          <w:szCs w:val="24"/>
        </w:rPr>
        <w:t>ha</w:t>
      </w:r>
      <w:r w:rsidR="005522A6">
        <w:rPr>
          <w:rFonts w:asciiTheme="majorBidi" w:eastAsia="Times New Roman" w:hAnsiTheme="majorBidi" w:cstheme="majorBidi"/>
          <w:bCs/>
          <w:sz w:val="24"/>
          <w:szCs w:val="24"/>
        </w:rPr>
        <w:t>s</w:t>
      </w:r>
      <w:r w:rsidR="00366538" w:rsidRPr="00366538">
        <w:rPr>
          <w:rFonts w:asciiTheme="majorBidi" w:eastAsia="Times New Roman" w:hAnsiTheme="majorBidi" w:cstheme="majorBidi"/>
          <w:bCs/>
          <w:sz w:val="24"/>
          <w:szCs w:val="24"/>
        </w:rPr>
        <w:t xml:space="preserve"> a </w:t>
      </w:r>
      <w:r w:rsidR="00366538">
        <w:rPr>
          <w:rFonts w:asciiTheme="majorBidi" w:eastAsia="Times New Roman" w:hAnsiTheme="majorBidi" w:cstheme="majorBidi"/>
          <w:bCs/>
          <w:sz w:val="24"/>
          <w:szCs w:val="24"/>
        </w:rPr>
        <w:t xml:space="preserve">negative </w:t>
      </w:r>
      <w:r w:rsidR="00366538" w:rsidRPr="00366538">
        <w:rPr>
          <w:rFonts w:asciiTheme="majorBidi" w:eastAsia="Times New Roman" w:hAnsiTheme="majorBidi" w:cstheme="majorBidi"/>
          <w:bCs/>
          <w:sz w:val="24"/>
          <w:szCs w:val="24"/>
        </w:rPr>
        <w:t>and significant effect</w:t>
      </w:r>
      <w:r w:rsidR="00366538">
        <w:rPr>
          <w:rFonts w:asciiTheme="majorBidi" w:eastAsia="Times New Roman" w:hAnsiTheme="majorBidi" w:cstheme="majorBidi"/>
          <w:bCs/>
          <w:sz w:val="24"/>
          <w:szCs w:val="24"/>
        </w:rPr>
        <w:t xml:space="preserve">. </w:t>
      </w:r>
    </w:p>
    <w:p w14:paraId="2CCD6226" w14:textId="678C4EA5" w:rsidR="00306E32" w:rsidRPr="008E772B" w:rsidRDefault="00306E32" w:rsidP="00361281">
      <w:pPr>
        <w:spacing w:after="0" w:line="360" w:lineRule="auto"/>
        <w:jc w:val="center"/>
        <w:rPr>
          <w:rFonts w:asciiTheme="majorBidi" w:eastAsia="Times New Roman" w:hAnsiTheme="majorBidi" w:cstheme="majorBidi"/>
          <w:b/>
          <w:bCs/>
          <w:sz w:val="24"/>
          <w:szCs w:val="24"/>
        </w:rPr>
      </w:pPr>
      <w:r w:rsidRPr="008E772B">
        <w:rPr>
          <w:rFonts w:asciiTheme="majorBidi" w:eastAsia="Times New Roman" w:hAnsiTheme="majorBidi" w:cstheme="majorBidi"/>
          <w:b/>
          <w:bCs/>
          <w:sz w:val="24"/>
          <w:szCs w:val="24"/>
        </w:rPr>
        <w:t xml:space="preserve">[Insert table </w:t>
      </w:r>
      <w:r w:rsidR="00315498">
        <w:rPr>
          <w:rFonts w:asciiTheme="majorBidi" w:eastAsia="Times New Roman" w:hAnsiTheme="majorBidi" w:cstheme="majorBidi"/>
          <w:b/>
          <w:bCs/>
          <w:sz w:val="24"/>
          <w:szCs w:val="24"/>
        </w:rPr>
        <w:t>3</w:t>
      </w:r>
      <w:r w:rsidR="00361281" w:rsidRPr="008E772B">
        <w:rPr>
          <w:rFonts w:asciiTheme="majorBidi" w:eastAsia="Times New Roman" w:hAnsiTheme="majorBidi" w:cstheme="majorBidi"/>
          <w:b/>
          <w:bCs/>
          <w:sz w:val="24"/>
          <w:szCs w:val="24"/>
        </w:rPr>
        <w:t xml:space="preserve"> </w:t>
      </w:r>
      <w:r w:rsidRPr="008E772B">
        <w:rPr>
          <w:rFonts w:asciiTheme="majorBidi" w:eastAsia="Times New Roman" w:hAnsiTheme="majorBidi" w:cstheme="majorBidi"/>
          <w:b/>
          <w:bCs/>
          <w:sz w:val="24"/>
          <w:szCs w:val="24"/>
        </w:rPr>
        <w:t>about here]</w:t>
      </w:r>
    </w:p>
    <w:p w14:paraId="5BCAE310" w14:textId="77777777" w:rsidR="00084C46" w:rsidRPr="00084C46" w:rsidRDefault="00084C46" w:rsidP="001E3C94">
      <w:pPr>
        <w:spacing w:after="0" w:line="360" w:lineRule="auto"/>
        <w:jc w:val="lowKashida"/>
        <w:rPr>
          <w:rFonts w:asciiTheme="majorBidi" w:eastAsia="Times New Roman" w:hAnsiTheme="majorBidi" w:cstheme="majorBidi"/>
          <w:sz w:val="24"/>
          <w:szCs w:val="24"/>
        </w:rPr>
      </w:pPr>
    </w:p>
    <w:p w14:paraId="0BF905DC" w14:textId="28453F90" w:rsidR="00451555" w:rsidRPr="008E772B" w:rsidRDefault="00157823" w:rsidP="001E3C94">
      <w:pPr>
        <w:spacing w:after="0" w:line="360" w:lineRule="auto"/>
        <w:jc w:val="lowKashida"/>
        <w:rPr>
          <w:rFonts w:asciiTheme="majorBidi" w:eastAsia="Times New Roman" w:hAnsiTheme="majorBidi" w:cstheme="majorBidi"/>
          <w:b/>
          <w:bCs/>
          <w:i/>
          <w:iCs/>
          <w:sz w:val="24"/>
          <w:szCs w:val="24"/>
        </w:rPr>
      </w:pPr>
      <w:r w:rsidRPr="00157823">
        <w:rPr>
          <w:rFonts w:asciiTheme="majorBidi" w:eastAsia="Times New Roman" w:hAnsiTheme="majorBidi" w:cstheme="majorBidi"/>
          <w:b/>
          <w:bCs/>
          <w:i/>
          <w:iCs/>
          <w:sz w:val="24"/>
          <w:szCs w:val="24"/>
        </w:rPr>
        <w:t>5.</w:t>
      </w:r>
      <w:r>
        <w:rPr>
          <w:rFonts w:asciiTheme="majorBidi" w:eastAsia="Times New Roman" w:hAnsiTheme="majorBidi" w:cstheme="majorBidi"/>
          <w:b/>
          <w:bCs/>
          <w:i/>
          <w:iCs/>
          <w:sz w:val="24"/>
          <w:szCs w:val="24"/>
        </w:rPr>
        <w:t>2</w:t>
      </w:r>
      <w:r w:rsidRPr="00157823">
        <w:rPr>
          <w:rFonts w:asciiTheme="majorBidi" w:eastAsia="Times New Roman" w:hAnsiTheme="majorBidi" w:cstheme="majorBidi"/>
          <w:b/>
          <w:bCs/>
          <w:i/>
          <w:iCs/>
          <w:sz w:val="24"/>
          <w:szCs w:val="24"/>
        </w:rPr>
        <w:t xml:space="preserve">. </w:t>
      </w:r>
      <w:r w:rsidR="00451555" w:rsidRPr="008E772B">
        <w:rPr>
          <w:rFonts w:asciiTheme="majorBidi" w:eastAsia="Times New Roman" w:hAnsiTheme="majorBidi" w:cstheme="majorBidi"/>
          <w:b/>
          <w:bCs/>
          <w:i/>
          <w:iCs/>
          <w:sz w:val="24"/>
          <w:szCs w:val="24"/>
        </w:rPr>
        <w:t xml:space="preserve">Multivariate </w:t>
      </w:r>
      <w:r w:rsidR="001E4B25" w:rsidRPr="008E772B">
        <w:rPr>
          <w:rFonts w:asciiTheme="majorBidi" w:eastAsia="Times New Roman" w:hAnsiTheme="majorBidi" w:cstheme="majorBidi"/>
          <w:b/>
          <w:bCs/>
          <w:i/>
          <w:iCs/>
          <w:sz w:val="24"/>
          <w:szCs w:val="24"/>
        </w:rPr>
        <w:t>regression analyses</w:t>
      </w:r>
    </w:p>
    <w:p w14:paraId="3EE8E898" w14:textId="6D6AC75A" w:rsidR="00451555" w:rsidRPr="008E772B" w:rsidRDefault="00451555" w:rsidP="00617ABE">
      <w:pPr>
        <w:spacing w:after="0" w:line="360" w:lineRule="auto"/>
        <w:ind w:firstLine="720"/>
        <w:jc w:val="lowKashida"/>
        <w:rPr>
          <w:rFonts w:asciiTheme="majorBidi" w:eastAsia="Times New Roman" w:hAnsiTheme="majorBidi" w:cstheme="majorBidi"/>
          <w:bCs/>
          <w:sz w:val="24"/>
          <w:szCs w:val="24"/>
        </w:rPr>
      </w:pPr>
      <w:r w:rsidRPr="008E772B">
        <w:rPr>
          <w:rFonts w:asciiTheme="majorBidi" w:eastAsia="Times New Roman" w:hAnsiTheme="majorBidi" w:cstheme="majorBidi"/>
          <w:bCs/>
          <w:sz w:val="24"/>
          <w:szCs w:val="24"/>
        </w:rPr>
        <w:t xml:space="preserve">Table </w:t>
      </w:r>
      <w:r w:rsidR="00315498">
        <w:rPr>
          <w:rFonts w:asciiTheme="majorBidi" w:eastAsia="Times New Roman" w:hAnsiTheme="majorBidi" w:cstheme="majorBidi"/>
          <w:bCs/>
          <w:sz w:val="24"/>
          <w:szCs w:val="24"/>
        </w:rPr>
        <w:t>4</w:t>
      </w:r>
      <w:r w:rsidR="005F5308" w:rsidRPr="008E772B">
        <w:rPr>
          <w:rFonts w:asciiTheme="majorBidi" w:eastAsia="Times New Roman" w:hAnsiTheme="majorBidi" w:cstheme="majorBidi"/>
          <w:bCs/>
          <w:sz w:val="24"/>
          <w:szCs w:val="24"/>
        </w:rPr>
        <w:t xml:space="preserve"> </w:t>
      </w:r>
      <w:r w:rsidR="00250947" w:rsidRPr="008E772B">
        <w:rPr>
          <w:rFonts w:asciiTheme="majorBidi" w:eastAsia="Times New Roman" w:hAnsiTheme="majorBidi" w:cstheme="majorBidi"/>
          <w:bCs/>
          <w:sz w:val="24"/>
          <w:szCs w:val="24"/>
        </w:rPr>
        <w:t>reports</w:t>
      </w:r>
      <w:r w:rsidRPr="008E772B">
        <w:rPr>
          <w:rFonts w:asciiTheme="majorBidi" w:eastAsia="Times New Roman" w:hAnsiTheme="majorBidi" w:cstheme="majorBidi"/>
          <w:bCs/>
          <w:sz w:val="24"/>
          <w:szCs w:val="24"/>
        </w:rPr>
        <w:t xml:space="preserve"> </w:t>
      </w:r>
      <w:r w:rsidR="00250947" w:rsidRPr="008E772B">
        <w:rPr>
          <w:rFonts w:asciiTheme="majorBidi" w:eastAsia="Times New Roman" w:hAnsiTheme="majorBidi" w:cstheme="majorBidi"/>
          <w:bCs/>
          <w:sz w:val="24"/>
          <w:szCs w:val="24"/>
        </w:rPr>
        <w:t xml:space="preserve">the </w:t>
      </w:r>
      <w:r w:rsidRPr="008E772B">
        <w:rPr>
          <w:rFonts w:asciiTheme="majorBidi" w:eastAsia="Times New Roman" w:hAnsiTheme="majorBidi" w:cstheme="majorBidi"/>
          <w:bCs/>
          <w:sz w:val="24"/>
          <w:szCs w:val="24"/>
        </w:rPr>
        <w:t xml:space="preserve">empirical results for the two regression models to test the association between </w:t>
      </w:r>
      <w:r w:rsidR="00250947" w:rsidRPr="008E772B">
        <w:rPr>
          <w:rFonts w:asciiTheme="majorBidi" w:eastAsia="Times New Roman" w:hAnsiTheme="majorBidi" w:cstheme="majorBidi"/>
          <w:bCs/>
          <w:sz w:val="24"/>
          <w:szCs w:val="24"/>
        </w:rPr>
        <w:t xml:space="preserve">firm- level governance quality </w:t>
      </w:r>
      <w:r w:rsidRPr="008E772B">
        <w:rPr>
          <w:rFonts w:asciiTheme="majorBidi" w:eastAsia="Times New Roman" w:hAnsiTheme="majorBidi" w:cstheme="majorBidi"/>
          <w:bCs/>
          <w:sz w:val="24"/>
          <w:szCs w:val="24"/>
        </w:rPr>
        <w:t xml:space="preserve">and </w:t>
      </w:r>
      <w:r w:rsidR="00193892">
        <w:rPr>
          <w:rFonts w:asciiTheme="majorBidi" w:eastAsia="Times New Roman" w:hAnsiTheme="majorBidi" w:cstheme="majorBidi"/>
          <w:bCs/>
          <w:sz w:val="24"/>
          <w:szCs w:val="24"/>
        </w:rPr>
        <w:t xml:space="preserve">both of </w:t>
      </w:r>
      <w:r w:rsidR="00250947" w:rsidRPr="008E772B">
        <w:rPr>
          <w:rFonts w:asciiTheme="majorBidi" w:eastAsia="Times New Roman" w:hAnsiTheme="majorBidi" w:cstheme="majorBidi"/>
          <w:bCs/>
          <w:sz w:val="24"/>
          <w:szCs w:val="24"/>
        </w:rPr>
        <w:t xml:space="preserve">auditor choice and </w:t>
      </w:r>
      <w:r w:rsidRPr="008E772B">
        <w:rPr>
          <w:rFonts w:asciiTheme="majorBidi" w:eastAsia="Times New Roman" w:hAnsiTheme="majorBidi" w:cstheme="majorBidi"/>
          <w:bCs/>
          <w:sz w:val="24"/>
          <w:szCs w:val="24"/>
        </w:rPr>
        <w:t xml:space="preserve">audit fees. </w:t>
      </w:r>
      <w:r w:rsidR="00142E60" w:rsidRPr="008E772B">
        <w:rPr>
          <w:rFonts w:asciiTheme="majorBidi" w:eastAsia="Times New Roman" w:hAnsiTheme="majorBidi" w:cstheme="majorBidi"/>
          <w:bCs/>
          <w:sz w:val="24"/>
          <w:szCs w:val="24"/>
        </w:rPr>
        <w:t>Models 1, 2</w:t>
      </w:r>
      <w:r w:rsidR="0087075D" w:rsidRPr="008E772B">
        <w:rPr>
          <w:rFonts w:asciiTheme="majorBidi" w:eastAsia="Times New Roman" w:hAnsiTheme="majorBidi" w:cstheme="majorBidi"/>
          <w:bCs/>
          <w:sz w:val="24"/>
          <w:szCs w:val="24"/>
        </w:rPr>
        <w:t>, 3</w:t>
      </w:r>
      <w:r w:rsidR="00055D9A">
        <w:rPr>
          <w:rFonts w:asciiTheme="majorBidi" w:eastAsia="Times New Roman" w:hAnsiTheme="majorBidi" w:cstheme="majorBidi"/>
          <w:bCs/>
          <w:sz w:val="24"/>
          <w:szCs w:val="24"/>
        </w:rPr>
        <w:t>,</w:t>
      </w:r>
      <w:r w:rsidRPr="008E772B">
        <w:rPr>
          <w:rFonts w:asciiTheme="majorBidi" w:eastAsia="Times New Roman" w:hAnsiTheme="majorBidi" w:cstheme="majorBidi"/>
          <w:bCs/>
          <w:sz w:val="24"/>
          <w:szCs w:val="24"/>
        </w:rPr>
        <w:t xml:space="preserve"> and </w:t>
      </w:r>
      <w:r w:rsidR="0087075D" w:rsidRPr="008E772B">
        <w:rPr>
          <w:rFonts w:asciiTheme="majorBidi" w:eastAsia="Times New Roman" w:hAnsiTheme="majorBidi" w:cstheme="majorBidi"/>
          <w:bCs/>
          <w:sz w:val="24"/>
          <w:szCs w:val="24"/>
        </w:rPr>
        <w:t>4</w:t>
      </w:r>
      <w:r w:rsidRPr="008E772B">
        <w:rPr>
          <w:rFonts w:asciiTheme="majorBidi" w:eastAsia="Times New Roman" w:hAnsiTheme="majorBidi" w:cstheme="majorBidi"/>
          <w:bCs/>
          <w:sz w:val="24"/>
          <w:szCs w:val="24"/>
        </w:rPr>
        <w:t xml:space="preserve"> show the </w:t>
      </w:r>
      <w:r w:rsidR="00F44A20" w:rsidRPr="008E772B">
        <w:rPr>
          <w:rFonts w:asciiTheme="majorBidi" w:eastAsia="Times New Roman" w:hAnsiTheme="majorBidi" w:cstheme="majorBidi"/>
          <w:bCs/>
          <w:sz w:val="24"/>
          <w:szCs w:val="24"/>
        </w:rPr>
        <w:t>logistic regressions</w:t>
      </w:r>
      <w:r w:rsidRPr="008E772B">
        <w:rPr>
          <w:rFonts w:asciiTheme="majorBidi" w:eastAsia="Times New Roman" w:hAnsiTheme="majorBidi" w:cstheme="majorBidi"/>
          <w:bCs/>
          <w:sz w:val="24"/>
          <w:szCs w:val="24"/>
        </w:rPr>
        <w:t xml:space="preserve"> of </w:t>
      </w:r>
      <w:r w:rsidR="00F44A20" w:rsidRPr="008E772B">
        <w:rPr>
          <w:rFonts w:asciiTheme="majorBidi" w:eastAsia="Times New Roman" w:hAnsiTheme="majorBidi" w:cstheme="majorBidi"/>
          <w:bCs/>
          <w:sz w:val="24"/>
          <w:szCs w:val="24"/>
        </w:rPr>
        <w:t xml:space="preserve">firm-level governance quality (i.e., </w:t>
      </w:r>
      <w:r w:rsidRPr="008E772B">
        <w:rPr>
          <w:rFonts w:asciiTheme="majorBidi" w:eastAsia="Times New Roman" w:hAnsiTheme="majorBidi" w:cstheme="majorBidi"/>
          <w:bCs/>
          <w:sz w:val="24"/>
          <w:szCs w:val="24"/>
        </w:rPr>
        <w:t>board characteristics</w:t>
      </w:r>
      <w:r w:rsidR="00F44A20" w:rsidRPr="008E772B">
        <w:rPr>
          <w:rFonts w:asciiTheme="majorBidi" w:eastAsia="Times New Roman" w:hAnsiTheme="majorBidi" w:cstheme="majorBidi"/>
          <w:bCs/>
          <w:sz w:val="24"/>
          <w:szCs w:val="24"/>
        </w:rPr>
        <w:t xml:space="preserve"> and</w:t>
      </w:r>
      <w:r w:rsidRPr="008E772B">
        <w:rPr>
          <w:rFonts w:asciiTheme="majorBidi" w:eastAsia="Times New Roman" w:hAnsiTheme="majorBidi" w:cstheme="majorBidi"/>
          <w:bCs/>
          <w:sz w:val="24"/>
          <w:szCs w:val="24"/>
        </w:rPr>
        <w:t xml:space="preserve"> </w:t>
      </w:r>
      <w:r w:rsidR="00C81356" w:rsidRPr="008E772B">
        <w:rPr>
          <w:rFonts w:asciiTheme="majorBidi" w:eastAsia="Times New Roman" w:hAnsiTheme="majorBidi" w:cstheme="majorBidi"/>
          <w:bCs/>
          <w:iCs/>
          <w:sz w:val="24"/>
          <w:szCs w:val="24"/>
        </w:rPr>
        <w:t>shareholding</w:t>
      </w:r>
      <w:r w:rsidRPr="008E772B">
        <w:rPr>
          <w:rFonts w:asciiTheme="majorBidi" w:eastAsia="Times New Roman" w:hAnsiTheme="majorBidi" w:cstheme="majorBidi"/>
          <w:bCs/>
          <w:iCs/>
          <w:sz w:val="24"/>
          <w:szCs w:val="24"/>
        </w:rPr>
        <w:t xml:space="preserve"> structure mechanisms</w:t>
      </w:r>
      <w:r w:rsidR="00F44A20" w:rsidRPr="008E772B">
        <w:rPr>
          <w:rFonts w:asciiTheme="majorBidi" w:eastAsia="Times New Roman" w:hAnsiTheme="majorBidi" w:cstheme="majorBidi"/>
          <w:bCs/>
          <w:iCs/>
          <w:sz w:val="24"/>
          <w:szCs w:val="24"/>
        </w:rPr>
        <w:t xml:space="preserve">) </w:t>
      </w:r>
      <w:r w:rsidRPr="008E772B">
        <w:rPr>
          <w:rFonts w:asciiTheme="majorBidi" w:eastAsia="Times New Roman" w:hAnsiTheme="majorBidi" w:cstheme="majorBidi"/>
          <w:bCs/>
          <w:sz w:val="24"/>
          <w:szCs w:val="24"/>
        </w:rPr>
        <w:t>and control variables on audit</w:t>
      </w:r>
      <w:r w:rsidR="00F44A20" w:rsidRPr="008E772B">
        <w:rPr>
          <w:rFonts w:asciiTheme="majorBidi" w:eastAsia="Times New Roman" w:hAnsiTheme="majorBidi" w:cstheme="majorBidi"/>
          <w:bCs/>
          <w:sz w:val="24"/>
          <w:szCs w:val="24"/>
        </w:rPr>
        <w:t xml:space="preserve">or choice. With </w:t>
      </w:r>
      <w:r w:rsidR="00F44A20" w:rsidRPr="005522A6">
        <w:rPr>
          <w:rFonts w:asciiTheme="majorBidi" w:eastAsia="Times New Roman" w:hAnsiTheme="majorBidi" w:cstheme="majorBidi"/>
          <w:bCs/>
          <w:i/>
          <w:iCs/>
          <w:sz w:val="24"/>
          <w:szCs w:val="24"/>
        </w:rPr>
        <w:t>Pseudo R</w:t>
      </w:r>
      <w:r w:rsidR="00F44A20" w:rsidRPr="008E772B">
        <w:rPr>
          <w:rFonts w:asciiTheme="majorBidi" w:eastAsia="Times New Roman" w:hAnsiTheme="majorBidi" w:cstheme="majorBidi"/>
          <w:bCs/>
          <w:sz w:val="24"/>
          <w:szCs w:val="24"/>
        </w:rPr>
        <w:t>-square of 3</w:t>
      </w:r>
      <w:r w:rsidR="00C000C3" w:rsidRPr="008E772B">
        <w:rPr>
          <w:rFonts w:asciiTheme="majorBidi" w:eastAsia="Times New Roman" w:hAnsiTheme="majorBidi" w:cstheme="majorBidi"/>
          <w:bCs/>
          <w:sz w:val="24"/>
          <w:szCs w:val="24"/>
        </w:rPr>
        <w:t>6.</w:t>
      </w:r>
      <w:r w:rsidR="009461DA">
        <w:rPr>
          <w:rFonts w:asciiTheme="majorBidi" w:eastAsia="Times New Roman" w:hAnsiTheme="majorBidi" w:cstheme="majorBidi"/>
          <w:bCs/>
          <w:sz w:val="24"/>
          <w:szCs w:val="24"/>
        </w:rPr>
        <w:t>40</w:t>
      </w:r>
      <w:r w:rsidR="00F44A20" w:rsidRPr="008E772B">
        <w:rPr>
          <w:rFonts w:asciiTheme="majorBidi" w:eastAsia="Times New Roman" w:hAnsiTheme="majorBidi" w:cstheme="majorBidi"/>
          <w:bCs/>
          <w:sz w:val="24"/>
          <w:szCs w:val="24"/>
        </w:rPr>
        <w:t xml:space="preserve">% and a </w:t>
      </w:r>
      <w:r w:rsidR="00F44A20" w:rsidRPr="002426EF">
        <w:rPr>
          <w:rFonts w:asciiTheme="majorBidi" w:eastAsia="Times New Roman" w:hAnsiTheme="majorBidi" w:cstheme="majorBidi"/>
          <w:bCs/>
          <w:i/>
          <w:iCs/>
          <w:sz w:val="24"/>
          <w:szCs w:val="24"/>
        </w:rPr>
        <w:t>Chi-</w:t>
      </w:r>
      <w:r w:rsidR="00F44A20" w:rsidRPr="002426EF">
        <w:rPr>
          <w:rFonts w:asciiTheme="majorBidi" w:eastAsia="Times New Roman" w:hAnsiTheme="majorBidi" w:cstheme="majorBidi"/>
          <w:bCs/>
          <w:sz w:val="24"/>
          <w:szCs w:val="24"/>
        </w:rPr>
        <w:t>square</w:t>
      </w:r>
      <w:r w:rsidR="00F44A20" w:rsidRPr="008E772B">
        <w:rPr>
          <w:rFonts w:asciiTheme="majorBidi" w:eastAsia="Times New Roman" w:hAnsiTheme="majorBidi" w:cstheme="majorBidi"/>
          <w:bCs/>
          <w:sz w:val="24"/>
          <w:szCs w:val="24"/>
        </w:rPr>
        <w:t xml:space="preserve"> </w:t>
      </w:r>
      <w:r w:rsidR="009461DA" w:rsidRPr="008E772B">
        <w:rPr>
          <w:rFonts w:asciiTheme="majorBidi" w:eastAsia="Times New Roman" w:hAnsiTheme="majorBidi" w:cstheme="majorBidi"/>
          <w:bCs/>
          <w:sz w:val="24"/>
          <w:szCs w:val="24"/>
        </w:rPr>
        <w:t>29</w:t>
      </w:r>
      <w:r w:rsidR="009461DA">
        <w:rPr>
          <w:rFonts w:asciiTheme="majorBidi" w:eastAsia="Times New Roman" w:hAnsiTheme="majorBidi" w:cstheme="majorBidi"/>
          <w:bCs/>
          <w:sz w:val="24"/>
          <w:szCs w:val="24"/>
        </w:rPr>
        <w:t>5</w:t>
      </w:r>
      <w:r w:rsidR="00F44A20" w:rsidRPr="008E772B">
        <w:rPr>
          <w:rFonts w:asciiTheme="majorBidi" w:eastAsia="Times New Roman" w:hAnsiTheme="majorBidi" w:cstheme="majorBidi"/>
          <w:bCs/>
          <w:sz w:val="24"/>
          <w:szCs w:val="24"/>
        </w:rPr>
        <w:t>.</w:t>
      </w:r>
      <w:r w:rsidR="009461DA">
        <w:rPr>
          <w:rFonts w:asciiTheme="majorBidi" w:eastAsia="Times New Roman" w:hAnsiTheme="majorBidi" w:cstheme="majorBidi"/>
          <w:bCs/>
          <w:sz w:val="24"/>
          <w:szCs w:val="24"/>
        </w:rPr>
        <w:t>93</w:t>
      </w:r>
      <w:r w:rsidR="00F44A20" w:rsidRPr="008E772B">
        <w:rPr>
          <w:rFonts w:asciiTheme="majorBidi" w:eastAsia="Times New Roman" w:hAnsiTheme="majorBidi" w:cstheme="majorBidi"/>
          <w:bCs/>
          <w:sz w:val="24"/>
          <w:szCs w:val="24"/>
        </w:rPr>
        <w:t xml:space="preserve">***, the logistic model (Model </w:t>
      </w:r>
      <w:r w:rsidR="009461DA">
        <w:rPr>
          <w:rFonts w:asciiTheme="majorBidi" w:eastAsia="Times New Roman" w:hAnsiTheme="majorBidi" w:cstheme="majorBidi"/>
          <w:bCs/>
          <w:sz w:val="24"/>
          <w:szCs w:val="24"/>
        </w:rPr>
        <w:t>3</w:t>
      </w:r>
      <w:r w:rsidR="00F44A20" w:rsidRPr="008E772B">
        <w:rPr>
          <w:rFonts w:asciiTheme="majorBidi" w:eastAsia="Times New Roman" w:hAnsiTheme="majorBidi" w:cstheme="majorBidi"/>
          <w:bCs/>
          <w:sz w:val="24"/>
          <w:szCs w:val="24"/>
        </w:rPr>
        <w:t xml:space="preserve">) is statistically significant and </w:t>
      </w:r>
      <w:r w:rsidR="006D7F3F" w:rsidRPr="008E772B">
        <w:rPr>
          <w:rFonts w:asciiTheme="majorBidi" w:eastAsia="Times New Roman" w:hAnsiTheme="majorBidi" w:cstheme="majorBidi"/>
          <w:bCs/>
          <w:sz w:val="24"/>
          <w:szCs w:val="24"/>
        </w:rPr>
        <w:t>differentiat</w:t>
      </w:r>
      <w:r w:rsidR="006D7F3F">
        <w:rPr>
          <w:rFonts w:asciiTheme="majorBidi" w:eastAsia="Times New Roman" w:hAnsiTheme="majorBidi" w:cstheme="majorBidi"/>
          <w:bCs/>
          <w:sz w:val="24"/>
          <w:szCs w:val="24"/>
        </w:rPr>
        <w:t>es</w:t>
      </w:r>
      <w:r w:rsidR="00F44A20" w:rsidRPr="008E772B">
        <w:rPr>
          <w:rFonts w:asciiTheme="majorBidi" w:eastAsia="Times New Roman" w:hAnsiTheme="majorBidi" w:cstheme="majorBidi"/>
          <w:bCs/>
          <w:sz w:val="24"/>
          <w:szCs w:val="24"/>
        </w:rPr>
        <w:t xml:space="preserve"> the listed firms selecting </w:t>
      </w:r>
      <w:r w:rsidR="00A02AEA">
        <w:rPr>
          <w:rFonts w:asciiTheme="majorBidi" w:eastAsia="Times New Roman" w:hAnsiTheme="majorBidi" w:cstheme="majorBidi"/>
          <w:bCs/>
          <w:sz w:val="24"/>
          <w:szCs w:val="24"/>
        </w:rPr>
        <w:t xml:space="preserve">a </w:t>
      </w:r>
      <w:r w:rsidR="00F44A20" w:rsidRPr="008E772B">
        <w:rPr>
          <w:rFonts w:asciiTheme="majorBidi" w:eastAsia="Times New Roman" w:hAnsiTheme="majorBidi" w:cstheme="majorBidi"/>
          <w:bCs/>
          <w:sz w:val="24"/>
          <w:szCs w:val="24"/>
        </w:rPr>
        <w:t xml:space="preserve">Big 4 (high-quality) auditors from those selecting non-Big 4 auditors. </w:t>
      </w:r>
      <w:r w:rsidRPr="008E772B">
        <w:rPr>
          <w:rFonts w:asciiTheme="majorBidi" w:eastAsia="Times New Roman" w:hAnsiTheme="majorBidi" w:cstheme="majorBidi"/>
          <w:bCs/>
          <w:sz w:val="24"/>
          <w:szCs w:val="24"/>
        </w:rPr>
        <w:t xml:space="preserve">Models </w:t>
      </w:r>
      <w:r w:rsidR="0087075D" w:rsidRPr="008E772B">
        <w:rPr>
          <w:rFonts w:asciiTheme="majorBidi" w:eastAsia="Times New Roman" w:hAnsiTheme="majorBidi" w:cstheme="majorBidi"/>
          <w:bCs/>
          <w:sz w:val="24"/>
          <w:szCs w:val="24"/>
        </w:rPr>
        <w:t>5</w:t>
      </w:r>
      <w:r w:rsidRPr="008E772B">
        <w:rPr>
          <w:rFonts w:asciiTheme="majorBidi" w:eastAsia="Times New Roman" w:hAnsiTheme="majorBidi" w:cstheme="majorBidi"/>
          <w:bCs/>
          <w:sz w:val="24"/>
          <w:szCs w:val="24"/>
        </w:rPr>
        <w:t xml:space="preserve">, </w:t>
      </w:r>
      <w:r w:rsidR="0087075D" w:rsidRPr="008E772B">
        <w:rPr>
          <w:rFonts w:asciiTheme="majorBidi" w:eastAsia="Times New Roman" w:hAnsiTheme="majorBidi" w:cstheme="majorBidi"/>
          <w:bCs/>
          <w:sz w:val="24"/>
          <w:szCs w:val="24"/>
        </w:rPr>
        <w:t>6, 7</w:t>
      </w:r>
      <w:r w:rsidR="00055D9A">
        <w:rPr>
          <w:rFonts w:asciiTheme="majorBidi" w:eastAsia="Times New Roman" w:hAnsiTheme="majorBidi" w:cstheme="majorBidi"/>
          <w:bCs/>
          <w:sz w:val="24"/>
          <w:szCs w:val="24"/>
        </w:rPr>
        <w:t>,</w:t>
      </w:r>
      <w:r w:rsidR="00142E60" w:rsidRPr="008E772B">
        <w:rPr>
          <w:rFonts w:asciiTheme="majorBidi" w:eastAsia="Times New Roman" w:hAnsiTheme="majorBidi" w:cstheme="majorBidi"/>
          <w:bCs/>
          <w:sz w:val="24"/>
          <w:szCs w:val="24"/>
        </w:rPr>
        <w:t xml:space="preserve"> and</w:t>
      </w:r>
      <w:r w:rsidRPr="008E772B">
        <w:rPr>
          <w:rFonts w:asciiTheme="majorBidi" w:eastAsia="Times New Roman" w:hAnsiTheme="majorBidi" w:cstheme="majorBidi"/>
          <w:bCs/>
          <w:sz w:val="24"/>
          <w:szCs w:val="24"/>
        </w:rPr>
        <w:t xml:space="preserve"> </w:t>
      </w:r>
      <w:r w:rsidR="0087075D" w:rsidRPr="008E772B">
        <w:rPr>
          <w:rFonts w:asciiTheme="majorBidi" w:eastAsia="Times New Roman" w:hAnsiTheme="majorBidi" w:cstheme="majorBidi"/>
          <w:bCs/>
          <w:sz w:val="24"/>
          <w:szCs w:val="24"/>
        </w:rPr>
        <w:t>8</w:t>
      </w:r>
      <w:r w:rsidRPr="008E772B">
        <w:rPr>
          <w:rFonts w:asciiTheme="majorBidi" w:eastAsia="Times New Roman" w:hAnsiTheme="majorBidi" w:cstheme="majorBidi"/>
          <w:bCs/>
          <w:sz w:val="24"/>
          <w:szCs w:val="24"/>
        </w:rPr>
        <w:t xml:space="preserve"> report the </w:t>
      </w:r>
      <w:r w:rsidR="00F44A20" w:rsidRPr="008E772B">
        <w:rPr>
          <w:rFonts w:asciiTheme="majorBidi" w:eastAsia="Times New Roman" w:hAnsiTheme="majorBidi" w:cstheme="majorBidi"/>
          <w:bCs/>
          <w:sz w:val="24"/>
          <w:szCs w:val="24"/>
        </w:rPr>
        <w:t xml:space="preserve">cross-sectional OLS </w:t>
      </w:r>
      <w:r w:rsidRPr="008E772B">
        <w:rPr>
          <w:rFonts w:asciiTheme="majorBidi" w:eastAsia="Times New Roman" w:hAnsiTheme="majorBidi" w:cstheme="majorBidi"/>
          <w:bCs/>
          <w:sz w:val="24"/>
          <w:szCs w:val="24"/>
        </w:rPr>
        <w:t xml:space="preserve">regressions of independent and control variables on audit </w:t>
      </w:r>
      <w:r w:rsidR="00F44A20" w:rsidRPr="008E772B">
        <w:rPr>
          <w:rFonts w:asciiTheme="majorBidi" w:eastAsia="Times New Roman" w:hAnsiTheme="majorBidi" w:cstheme="majorBidi"/>
          <w:bCs/>
          <w:sz w:val="24"/>
          <w:szCs w:val="24"/>
        </w:rPr>
        <w:t>fees</w:t>
      </w:r>
      <w:r w:rsidRPr="008E772B">
        <w:rPr>
          <w:rFonts w:asciiTheme="majorBidi" w:eastAsia="Times New Roman" w:hAnsiTheme="majorBidi" w:cstheme="majorBidi"/>
          <w:bCs/>
          <w:sz w:val="24"/>
          <w:szCs w:val="24"/>
        </w:rPr>
        <w:t>.</w:t>
      </w:r>
      <w:r w:rsidR="00142E60" w:rsidRPr="008E772B">
        <w:rPr>
          <w:rFonts w:asciiTheme="majorBidi" w:eastAsia="Times New Roman" w:hAnsiTheme="majorBidi" w:cstheme="majorBidi"/>
          <w:bCs/>
          <w:sz w:val="24"/>
          <w:szCs w:val="24"/>
        </w:rPr>
        <w:t xml:space="preserve"> With </w:t>
      </w:r>
      <w:r w:rsidR="00142E60" w:rsidRPr="002426EF">
        <w:rPr>
          <w:rFonts w:asciiTheme="majorBidi" w:eastAsia="Times New Roman" w:hAnsiTheme="majorBidi" w:cstheme="majorBidi"/>
          <w:bCs/>
          <w:i/>
          <w:iCs/>
          <w:sz w:val="24"/>
          <w:szCs w:val="24"/>
        </w:rPr>
        <w:t>F</w:t>
      </w:r>
      <w:r w:rsidR="00142E60" w:rsidRPr="008E772B">
        <w:rPr>
          <w:rFonts w:asciiTheme="majorBidi" w:eastAsia="Times New Roman" w:hAnsiTheme="majorBidi" w:cstheme="majorBidi"/>
          <w:bCs/>
          <w:sz w:val="24"/>
          <w:szCs w:val="24"/>
        </w:rPr>
        <w:t xml:space="preserve">-value </w:t>
      </w:r>
      <w:r w:rsidR="00E9226F">
        <w:rPr>
          <w:rFonts w:asciiTheme="majorBidi" w:eastAsia="Times New Roman" w:hAnsiTheme="majorBidi" w:cstheme="majorBidi"/>
          <w:bCs/>
          <w:sz w:val="24"/>
          <w:szCs w:val="24"/>
        </w:rPr>
        <w:t>46.33</w:t>
      </w:r>
      <w:r w:rsidR="00142E60" w:rsidRPr="008E772B">
        <w:rPr>
          <w:rFonts w:asciiTheme="majorBidi" w:eastAsia="Times New Roman" w:hAnsiTheme="majorBidi" w:cstheme="majorBidi"/>
          <w:bCs/>
          <w:sz w:val="24"/>
          <w:szCs w:val="24"/>
        </w:rPr>
        <w:t xml:space="preserve">***, the OLS model (Model </w:t>
      </w:r>
      <w:r w:rsidR="009461DA">
        <w:rPr>
          <w:rFonts w:asciiTheme="majorBidi" w:eastAsia="Times New Roman" w:hAnsiTheme="majorBidi" w:cstheme="majorBidi"/>
          <w:bCs/>
          <w:sz w:val="24"/>
          <w:szCs w:val="24"/>
        </w:rPr>
        <w:t>7</w:t>
      </w:r>
      <w:r w:rsidR="00142E60" w:rsidRPr="008E772B">
        <w:rPr>
          <w:rFonts w:asciiTheme="majorBidi" w:eastAsia="Times New Roman" w:hAnsiTheme="majorBidi" w:cstheme="majorBidi"/>
          <w:bCs/>
          <w:sz w:val="24"/>
          <w:szCs w:val="24"/>
        </w:rPr>
        <w:t xml:space="preserve">) is statistically significant and can predict </w:t>
      </w:r>
      <w:r w:rsidR="009461DA" w:rsidRPr="008E772B">
        <w:rPr>
          <w:rFonts w:asciiTheme="majorBidi" w:eastAsia="Times New Roman" w:hAnsiTheme="majorBidi" w:cstheme="majorBidi"/>
          <w:bCs/>
          <w:sz w:val="24"/>
          <w:szCs w:val="24"/>
        </w:rPr>
        <w:t>7</w:t>
      </w:r>
      <w:r w:rsidR="009461DA">
        <w:rPr>
          <w:rFonts w:asciiTheme="majorBidi" w:eastAsia="Times New Roman" w:hAnsiTheme="majorBidi" w:cstheme="majorBidi"/>
          <w:bCs/>
          <w:sz w:val="24"/>
          <w:szCs w:val="24"/>
        </w:rPr>
        <w:t>2</w:t>
      </w:r>
      <w:r w:rsidR="00142E60" w:rsidRPr="008E772B">
        <w:rPr>
          <w:rFonts w:asciiTheme="majorBidi" w:eastAsia="Times New Roman" w:hAnsiTheme="majorBidi" w:cstheme="majorBidi"/>
          <w:bCs/>
          <w:sz w:val="24"/>
          <w:szCs w:val="24"/>
        </w:rPr>
        <w:t>.</w:t>
      </w:r>
      <w:r w:rsidR="009461DA">
        <w:rPr>
          <w:rFonts w:asciiTheme="majorBidi" w:eastAsia="Times New Roman" w:hAnsiTheme="majorBidi" w:cstheme="majorBidi"/>
          <w:bCs/>
          <w:sz w:val="24"/>
          <w:szCs w:val="24"/>
        </w:rPr>
        <w:t>29</w:t>
      </w:r>
      <w:r w:rsidR="00142E60" w:rsidRPr="008E772B">
        <w:rPr>
          <w:rFonts w:asciiTheme="majorBidi" w:eastAsia="Times New Roman" w:hAnsiTheme="majorBidi" w:cstheme="majorBidi"/>
          <w:bCs/>
          <w:sz w:val="24"/>
          <w:szCs w:val="24"/>
        </w:rPr>
        <w:t>% of the change in audit fees.</w:t>
      </w:r>
    </w:p>
    <w:p w14:paraId="002F9AF5" w14:textId="62768F08" w:rsidR="003E794C" w:rsidRPr="008E772B" w:rsidRDefault="003E794C" w:rsidP="00361281">
      <w:pPr>
        <w:spacing w:after="0" w:line="360" w:lineRule="auto"/>
        <w:ind w:firstLine="720"/>
        <w:jc w:val="center"/>
        <w:rPr>
          <w:rFonts w:asciiTheme="majorBidi" w:eastAsia="Times New Roman" w:hAnsiTheme="majorBidi" w:cstheme="majorBidi"/>
          <w:b/>
          <w:bCs/>
          <w:sz w:val="24"/>
          <w:szCs w:val="24"/>
        </w:rPr>
      </w:pPr>
      <w:r w:rsidRPr="008E772B">
        <w:rPr>
          <w:rFonts w:asciiTheme="majorBidi" w:eastAsia="Times New Roman" w:hAnsiTheme="majorBidi" w:cstheme="majorBidi"/>
          <w:b/>
          <w:bCs/>
          <w:sz w:val="24"/>
          <w:szCs w:val="24"/>
        </w:rPr>
        <w:t xml:space="preserve">[Insert table </w:t>
      </w:r>
      <w:r w:rsidR="00315498">
        <w:rPr>
          <w:rFonts w:asciiTheme="majorBidi" w:eastAsia="Times New Roman" w:hAnsiTheme="majorBidi" w:cstheme="majorBidi"/>
          <w:b/>
          <w:bCs/>
          <w:sz w:val="24"/>
          <w:szCs w:val="24"/>
        </w:rPr>
        <w:t>4</w:t>
      </w:r>
      <w:r w:rsidR="00361281" w:rsidRPr="008E772B">
        <w:rPr>
          <w:rFonts w:asciiTheme="majorBidi" w:eastAsia="Times New Roman" w:hAnsiTheme="majorBidi" w:cstheme="majorBidi"/>
          <w:b/>
          <w:bCs/>
          <w:sz w:val="24"/>
          <w:szCs w:val="24"/>
        </w:rPr>
        <w:t xml:space="preserve"> </w:t>
      </w:r>
      <w:r w:rsidRPr="008E772B">
        <w:rPr>
          <w:rFonts w:asciiTheme="majorBidi" w:eastAsia="Times New Roman" w:hAnsiTheme="majorBidi" w:cstheme="majorBidi"/>
          <w:b/>
          <w:bCs/>
          <w:sz w:val="24"/>
          <w:szCs w:val="24"/>
        </w:rPr>
        <w:t>about here]</w:t>
      </w:r>
    </w:p>
    <w:p w14:paraId="0DABD6CF" w14:textId="38305C9A" w:rsidR="006163B3" w:rsidRPr="008E772B" w:rsidRDefault="00BD6CCD" w:rsidP="00973CDC">
      <w:pPr>
        <w:spacing w:after="0" w:line="360" w:lineRule="auto"/>
        <w:ind w:firstLine="720"/>
        <w:jc w:val="lowKashida"/>
        <w:rPr>
          <w:rFonts w:asciiTheme="majorBidi" w:eastAsia="Times New Roman" w:hAnsiTheme="majorBidi" w:cstheme="majorBidi"/>
          <w:bCs/>
          <w:iCs/>
          <w:sz w:val="24"/>
          <w:szCs w:val="24"/>
        </w:rPr>
      </w:pPr>
      <w:r w:rsidRPr="008E772B">
        <w:rPr>
          <w:rFonts w:asciiTheme="majorBidi" w:eastAsia="Times New Roman" w:hAnsiTheme="majorBidi" w:cstheme="majorBidi"/>
          <w:bCs/>
          <w:sz w:val="24"/>
          <w:szCs w:val="24"/>
        </w:rPr>
        <w:t>First</w:t>
      </w:r>
      <w:r w:rsidR="00B70612" w:rsidRPr="008E772B">
        <w:rPr>
          <w:rFonts w:asciiTheme="majorBidi" w:eastAsia="Times New Roman" w:hAnsiTheme="majorBidi" w:cstheme="majorBidi"/>
          <w:bCs/>
          <w:sz w:val="24"/>
          <w:szCs w:val="24"/>
        </w:rPr>
        <w:t>,</w:t>
      </w:r>
      <w:r w:rsidRPr="008E772B">
        <w:rPr>
          <w:rFonts w:asciiTheme="majorBidi" w:eastAsia="Times New Roman" w:hAnsiTheme="majorBidi" w:cstheme="majorBidi"/>
          <w:bCs/>
          <w:sz w:val="24"/>
          <w:szCs w:val="24"/>
        </w:rPr>
        <w:t xml:space="preserve"> </w:t>
      </w:r>
      <w:r w:rsidR="00B70612" w:rsidRPr="008E772B">
        <w:rPr>
          <w:rFonts w:asciiTheme="majorBidi" w:eastAsia="Times New Roman" w:hAnsiTheme="majorBidi" w:cstheme="majorBidi"/>
          <w:bCs/>
          <w:iCs/>
          <w:sz w:val="24"/>
          <w:szCs w:val="24"/>
        </w:rPr>
        <w:t>a number of previous studies suggest that board characteristics may affect audit quality</w:t>
      </w:r>
      <w:r w:rsidR="000D73E8">
        <w:rPr>
          <w:rFonts w:asciiTheme="majorBidi" w:eastAsia="Times New Roman" w:hAnsiTheme="majorBidi" w:cstheme="majorBidi"/>
          <w:bCs/>
          <w:iCs/>
          <w:sz w:val="24"/>
          <w:szCs w:val="24"/>
        </w:rPr>
        <w:t xml:space="preserve"> </w:t>
      </w:r>
      <w:r w:rsidR="000D73E8" w:rsidRPr="000D73E8">
        <w:rPr>
          <w:rFonts w:asciiTheme="majorBidi" w:eastAsia="Times New Roman" w:hAnsiTheme="majorBidi" w:cstheme="majorBidi"/>
          <w:bCs/>
          <w:iCs/>
          <w:sz w:val="24"/>
          <w:szCs w:val="24"/>
        </w:rPr>
        <w:t xml:space="preserve">(O’Sullivan, 2000; Carcello </w:t>
      </w:r>
      <w:r w:rsidR="000D73E8" w:rsidRPr="000D73E8">
        <w:rPr>
          <w:rFonts w:asciiTheme="majorBidi" w:eastAsia="Times New Roman" w:hAnsiTheme="majorBidi" w:cstheme="majorBidi"/>
          <w:bCs/>
          <w:i/>
          <w:iCs/>
          <w:sz w:val="24"/>
          <w:szCs w:val="24"/>
        </w:rPr>
        <w:t>et al</w:t>
      </w:r>
      <w:r w:rsidR="000D73E8" w:rsidRPr="000D73E8">
        <w:rPr>
          <w:rFonts w:asciiTheme="majorBidi" w:eastAsia="Times New Roman" w:hAnsiTheme="majorBidi" w:cstheme="majorBidi"/>
          <w:bCs/>
          <w:iCs/>
          <w:sz w:val="24"/>
          <w:szCs w:val="24"/>
        </w:rPr>
        <w:t xml:space="preserve">., 2002; Hay </w:t>
      </w:r>
      <w:r w:rsidR="000D73E8" w:rsidRPr="000D73E8">
        <w:rPr>
          <w:rFonts w:asciiTheme="majorBidi" w:eastAsia="Times New Roman" w:hAnsiTheme="majorBidi" w:cstheme="majorBidi"/>
          <w:bCs/>
          <w:i/>
          <w:iCs/>
          <w:sz w:val="24"/>
          <w:szCs w:val="24"/>
        </w:rPr>
        <w:t>et al</w:t>
      </w:r>
      <w:r w:rsidR="000D73E8" w:rsidRPr="000D73E8">
        <w:rPr>
          <w:rFonts w:asciiTheme="majorBidi" w:eastAsia="Times New Roman" w:hAnsiTheme="majorBidi" w:cstheme="majorBidi"/>
          <w:bCs/>
          <w:iCs/>
          <w:sz w:val="24"/>
          <w:szCs w:val="24"/>
        </w:rPr>
        <w:t xml:space="preserve">., 2008; Lin &amp; Liu, 2009; Asthana </w:t>
      </w:r>
      <w:r w:rsidR="000D73E8" w:rsidRPr="000D73E8">
        <w:rPr>
          <w:rFonts w:asciiTheme="majorBidi" w:eastAsia="Times New Roman" w:hAnsiTheme="majorBidi" w:cstheme="majorBidi"/>
          <w:bCs/>
          <w:i/>
          <w:iCs/>
          <w:sz w:val="24"/>
          <w:szCs w:val="24"/>
        </w:rPr>
        <w:t>et al</w:t>
      </w:r>
      <w:r w:rsidR="000D73E8" w:rsidRPr="000D73E8">
        <w:rPr>
          <w:rFonts w:asciiTheme="majorBidi" w:eastAsia="Times New Roman" w:hAnsiTheme="majorBidi" w:cstheme="majorBidi"/>
          <w:bCs/>
          <w:iCs/>
          <w:sz w:val="24"/>
          <w:szCs w:val="24"/>
        </w:rPr>
        <w:t>., 2010; Lin &amp; Liu, 2010; Johansen &amp; Pettersson, 2013</w:t>
      </w:r>
      <w:r w:rsidR="00E9226F">
        <w:rPr>
          <w:rFonts w:asciiTheme="majorBidi" w:eastAsia="Times New Roman" w:hAnsiTheme="majorBidi" w:cstheme="majorBidi"/>
          <w:bCs/>
          <w:iCs/>
          <w:sz w:val="24"/>
          <w:szCs w:val="24"/>
        </w:rPr>
        <w:t>;</w:t>
      </w:r>
      <w:r w:rsidR="00E9226F" w:rsidRPr="00E9226F">
        <w:t xml:space="preserve"> </w:t>
      </w:r>
      <w:r w:rsidR="00E9226F" w:rsidRPr="00E9226F">
        <w:rPr>
          <w:rFonts w:asciiTheme="majorBidi" w:eastAsia="Times New Roman" w:hAnsiTheme="majorBidi" w:cstheme="majorBidi"/>
          <w:bCs/>
          <w:iCs/>
          <w:sz w:val="24"/>
          <w:szCs w:val="24"/>
        </w:rPr>
        <w:t>Ben-Hassoun et al., 2018</w:t>
      </w:r>
      <w:r w:rsidR="000D73E8" w:rsidRPr="000D73E8">
        <w:rPr>
          <w:rFonts w:asciiTheme="majorBidi" w:eastAsia="Times New Roman" w:hAnsiTheme="majorBidi" w:cstheme="majorBidi"/>
          <w:bCs/>
          <w:iCs/>
          <w:sz w:val="24"/>
          <w:szCs w:val="24"/>
        </w:rPr>
        <w:t>)</w:t>
      </w:r>
      <w:r w:rsidR="00B70612" w:rsidRPr="008E772B">
        <w:rPr>
          <w:rFonts w:asciiTheme="majorBidi" w:eastAsia="Times New Roman" w:hAnsiTheme="majorBidi" w:cstheme="majorBidi"/>
          <w:bCs/>
          <w:iCs/>
          <w:sz w:val="24"/>
          <w:szCs w:val="24"/>
        </w:rPr>
        <w:t>. Therefore, in order to determine whether board characteristics affect auditor choice and audit fees, Eq. 1 and 2 are estimated by including the three board characteristics (board size—</w:t>
      </w:r>
      <w:r w:rsidR="00B70612" w:rsidRPr="008E772B">
        <w:rPr>
          <w:rFonts w:asciiTheme="majorBidi" w:eastAsia="Times New Roman" w:hAnsiTheme="majorBidi" w:cstheme="majorBidi"/>
          <w:bCs/>
          <w:i/>
          <w:iCs/>
          <w:sz w:val="24"/>
          <w:szCs w:val="24"/>
          <w:lang w:val="en-US"/>
        </w:rPr>
        <w:t>BRDS</w:t>
      </w:r>
      <w:r w:rsidR="00B70612" w:rsidRPr="008E772B">
        <w:rPr>
          <w:rFonts w:asciiTheme="majorBidi" w:eastAsia="Times New Roman" w:hAnsiTheme="majorBidi" w:cstheme="majorBidi"/>
          <w:bCs/>
          <w:iCs/>
          <w:sz w:val="24"/>
          <w:szCs w:val="24"/>
        </w:rPr>
        <w:t>, board independence—</w:t>
      </w:r>
      <w:r w:rsidR="00B70612" w:rsidRPr="008E772B">
        <w:rPr>
          <w:rFonts w:asciiTheme="majorBidi" w:eastAsia="Times New Roman" w:hAnsiTheme="majorBidi" w:cstheme="majorBidi"/>
          <w:bCs/>
          <w:i/>
          <w:iCs/>
          <w:sz w:val="24"/>
          <w:szCs w:val="24"/>
        </w:rPr>
        <w:t>IND</w:t>
      </w:r>
      <w:r w:rsidR="00B70612" w:rsidRPr="008E772B">
        <w:rPr>
          <w:rFonts w:asciiTheme="majorBidi" w:eastAsia="Times New Roman" w:hAnsiTheme="majorBidi" w:cstheme="majorBidi"/>
          <w:bCs/>
          <w:iCs/>
          <w:sz w:val="24"/>
          <w:szCs w:val="24"/>
        </w:rPr>
        <w:t xml:space="preserve">, and </w:t>
      </w:r>
      <w:r w:rsidR="00122D35">
        <w:rPr>
          <w:rFonts w:asciiTheme="majorBidi" w:eastAsia="Times New Roman" w:hAnsiTheme="majorBidi" w:cstheme="majorBidi"/>
          <w:bCs/>
          <w:iCs/>
          <w:sz w:val="24"/>
          <w:szCs w:val="24"/>
        </w:rPr>
        <w:t xml:space="preserve">unitary </w:t>
      </w:r>
      <w:r w:rsidR="00B70612" w:rsidRPr="008E772B">
        <w:rPr>
          <w:rFonts w:asciiTheme="majorBidi" w:eastAsia="Times New Roman" w:hAnsiTheme="majorBidi" w:cstheme="majorBidi"/>
          <w:bCs/>
          <w:iCs/>
          <w:sz w:val="24"/>
          <w:szCs w:val="24"/>
        </w:rPr>
        <w:t>board leadership—</w:t>
      </w:r>
      <w:r w:rsidR="00B70612" w:rsidRPr="008E772B">
        <w:rPr>
          <w:rFonts w:asciiTheme="majorBidi" w:eastAsia="Times New Roman" w:hAnsiTheme="majorBidi" w:cstheme="majorBidi"/>
          <w:bCs/>
          <w:i/>
          <w:iCs/>
          <w:sz w:val="24"/>
          <w:szCs w:val="24"/>
          <w:lang w:val="en-US"/>
        </w:rPr>
        <w:t>UBL</w:t>
      </w:r>
      <w:r w:rsidR="00B70612" w:rsidRPr="008E772B">
        <w:rPr>
          <w:rFonts w:asciiTheme="majorBidi" w:eastAsia="Times New Roman" w:hAnsiTheme="majorBidi" w:cstheme="majorBidi"/>
          <w:bCs/>
          <w:iCs/>
          <w:sz w:val="24"/>
          <w:szCs w:val="24"/>
        </w:rPr>
        <w:t>).</w:t>
      </w:r>
      <w:r w:rsidRPr="008E772B">
        <w:rPr>
          <w:rFonts w:asciiTheme="majorBidi" w:eastAsia="Times New Roman" w:hAnsiTheme="majorBidi" w:cstheme="majorBidi"/>
          <w:bCs/>
          <w:sz w:val="24"/>
          <w:szCs w:val="24"/>
        </w:rPr>
        <w:t xml:space="preserve"> </w:t>
      </w:r>
      <w:r w:rsidR="00DA71B9" w:rsidRPr="008E772B">
        <w:rPr>
          <w:rFonts w:asciiTheme="majorBidi" w:eastAsia="Times New Roman" w:hAnsiTheme="majorBidi" w:cstheme="majorBidi"/>
          <w:bCs/>
          <w:sz w:val="24"/>
          <w:szCs w:val="24"/>
        </w:rPr>
        <w:t xml:space="preserve">Models </w:t>
      </w:r>
      <w:r w:rsidR="002E3D2E">
        <w:rPr>
          <w:rFonts w:asciiTheme="majorBidi" w:eastAsia="Times New Roman" w:hAnsiTheme="majorBidi" w:cstheme="majorBidi"/>
          <w:bCs/>
          <w:sz w:val="24"/>
          <w:szCs w:val="24"/>
        </w:rPr>
        <w:t>1</w:t>
      </w:r>
      <w:r w:rsidR="002E3D2E" w:rsidRPr="008E772B">
        <w:rPr>
          <w:rFonts w:asciiTheme="majorBidi" w:eastAsia="Times New Roman" w:hAnsiTheme="majorBidi" w:cstheme="majorBidi"/>
          <w:bCs/>
          <w:sz w:val="24"/>
          <w:szCs w:val="24"/>
        </w:rPr>
        <w:t xml:space="preserve"> </w:t>
      </w:r>
      <w:r w:rsidR="00DA71B9" w:rsidRPr="008E772B">
        <w:rPr>
          <w:rFonts w:asciiTheme="majorBidi" w:eastAsia="Times New Roman" w:hAnsiTheme="majorBidi" w:cstheme="majorBidi"/>
          <w:bCs/>
          <w:sz w:val="24"/>
          <w:szCs w:val="24"/>
        </w:rPr>
        <w:t xml:space="preserve">and </w:t>
      </w:r>
      <w:r w:rsidR="002E3D2E">
        <w:rPr>
          <w:rFonts w:asciiTheme="majorBidi" w:eastAsia="Times New Roman" w:hAnsiTheme="majorBidi" w:cstheme="majorBidi"/>
          <w:bCs/>
          <w:sz w:val="24"/>
          <w:szCs w:val="24"/>
        </w:rPr>
        <w:t>3</w:t>
      </w:r>
      <w:r w:rsidR="002E3D2E" w:rsidRPr="008E772B">
        <w:rPr>
          <w:rFonts w:asciiTheme="majorBidi" w:eastAsia="Times New Roman" w:hAnsiTheme="majorBidi" w:cstheme="majorBidi"/>
          <w:bCs/>
          <w:sz w:val="24"/>
          <w:szCs w:val="24"/>
        </w:rPr>
        <w:t xml:space="preserve"> </w:t>
      </w:r>
      <w:r w:rsidR="00DA71B9" w:rsidRPr="008E772B">
        <w:rPr>
          <w:rFonts w:asciiTheme="majorBidi" w:eastAsia="Times New Roman" w:hAnsiTheme="majorBidi" w:cstheme="majorBidi"/>
          <w:bCs/>
          <w:sz w:val="24"/>
          <w:szCs w:val="24"/>
        </w:rPr>
        <w:t>reveal a</w:t>
      </w:r>
      <w:r w:rsidR="0002585B" w:rsidRPr="008E772B">
        <w:rPr>
          <w:rFonts w:asciiTheme="majorBidi" w:eastAsia="Times New Roman" w:hAnsiTheme="majorBidi" w:cstheme="majorBidi"/>
          <w:bCs/>
          <w:sz w:val="24"/>
          <w:szCs w:val="24"/>
        </w:rPr>
        <w:t>n</w:t>
      </w:r>
      <w:r w:rsidR="00DA71B9" w:rsidRPr="008E772B">
        <w:rPr>
          <w:rFonts w:asciiTheme="majorBidi" w:eastAsia="Times New Roman" w:hAnsiTheme="majorBidi" w:cstheme="majorBidi"/>
          <w:bCs/>
          <w:sz w:val="24"/>
          <w:szCs w:val="24"/>
        </w:rPr>
        <w:t xml:space="preserve"> </w:t>
      </w:r>
      <w:r w:rsidR="0002585B" w:rsidRPr="008E772B">
        <w:rPr>
          <w:rFonts w:asciiTheme="majorBidi" w:eastAsia="Times New Roman" w:hAnsiTheme="majorBidi" w:cstheme="majorBidi"/>
          <w:bCs/>
          <w:sz w:val="24"/>
          <w:szCs w:val="24"/>
        </w:rPr>
        <w:t>in</w:t>
      </w:r>
      <w:r w:rsidR="00DA71B9" w:rsidRPr="008E772B">
        <w:rPr>
          <w:rFonts w:asciiTheme="majorBidi" w:eastAsia="Times New Roman" w:hAnsiTheme="majorBidi" w:cstheme="majorBidi"/>
          <w:bCs/>
          <w:sz w:val="24"/>
          <w:szCs w:val="24"/>
        </w:rPr>
        <w:t xml:space="preserve">significant </w:t>
      </w:r>
      <w:r w:rsidR="0002585B" w:rsidRPr="008E772B">
        <w:rPr>
          <w:rFonts w:asciiTheme="majorBidi" w:eastAsia="Times New Roman" w:hAnsiTheme="majorBidi" w:cstheme="majorBidi"/>
          <w:bCs/>
          <w:sz w:val="24"/>
          <w:szCs w:val="24"/>
        </w:rPr>
        <w:t xml:space="preserve">impact of </w:t>
      </w:r>
      <w:r w:rsidR="00CD0B52" w:rsidRPr="008E772B">
        <w:rPr>
          <w:rFonts w:asciiTheme="majorBidi" w:eastAsia="Times New Roman" w:hAnsiTheme="majorBidi" w:cstheme="majorBidi"/>
          <w:bCs/>
          <w:i/>
          <w:iCs/>
          <w:sz w:val="24"/>
          <w:szCs w:val="24"/>
          <w:lang w:val="en-US"/>
        </w:rPr>
        <w:t>BRDS</w:t>
      </w:r>
      <w:r w:rsidR="0002585B" w:rsidRPr="008E772B">
        <w:rPr>
          <w:rFonts w:asciiTheme="majorBidi" w:eastAsia="Times New Roman" w:hAnsiTheme="majorBidi" w:cstheme="majorBidi"/>
          <w:bCs/>
          <w:sz w:val="24"/>
          <w:szCs w:val="24"/>
        </w:rPr>
        <w:t xml:space="preserve"> on </w:t>
      </w:r>
      <w:r w:rsidR="00A46604" w:rsidRPr="008E772B">
        <w:rPr>
          <w:rFonts w:asciiTheme="majorBidi" w:eastAsia="Times New Roman" w:hAnsiTheme="majorBidi" w:cstheme="majorBidi"/>
          <w:bCs/>
          <w:i/>
          <w:iCs/>
          <w:sz w:val="24"/>
          <w:szCs w:val="24"/>
        </w:rPr>
        <w:t>BIG4</w:t>
      </w:r>
      <w:r w:rsidR="00DA71B9" w:rsidRPr="008E772B">
        <w:rPr>
          <w:rFonts w:asciiTheme="majorBidi" w:eastAsia="Times New Roman" w:hAnsiTheme="majorBidi" w:cstheme="majorBidi"/>
          <w:bCs/>
          <w:sz w:val="24"/>
          <w:szCs w:val="24"/>
        </w:rPr>
        <w:t>,</w:t>
      </w:r>
      <w:r w:rsidR="009514B2" w:rsidRPr="008E772B">
        <w:rPr>
          <w:rFonts w:asciiTheme="majorBidi" w:eastAsia="Times New Roman" w:hAnsiTheme="majorBidi" w:cstheme="majorBidi"/>
          <w:bCs/>
          <w:sz w:val="24"/>
          <w:szCs w:val="24"/>
        </w:rPr>
        <w:t xml:space="preserve"> whereas </w:t>
      </w:r>
      <w:r w:rsidR="0002585B" w:rsidRPr="008E772B">
        <w:rPr>
          <w:rFonts w:asciiTheme="majorBidi" w:eastAsia="Times New Roman" w:hAnsiTheme="majorBidi" w:cstheme="majorBidi"/>
          <w:bCs/>
          <w:sz w:val="24"/>
          <w:szCs w:val="24"/>
        </w:rPr>
        <w:t>Model</w:t>
      </w:r>
      <w:r w:rsidR="00A47022" w:rsidRPr="008E772B">
        <w:rPr>
          <w:rFonts w:asciiTheme="majorBidi" w:eastAsia="Times New Roman" w:hAnsiTheme="majorBidi" w:cstheme="majorBidi"/>
          <w:bCs/>
          <w:sz w:val="24"/>
          <w:szCs w:val="24"/>
        </w:rPr>
        <w:t>s</w:t>
      </w:r>
      <w:r w:rsidR="009514B2" w:rsidRPr="008E772B">
        <w:rPr>
          <w:rFonts w:asciiTheme="majorBidi" w:eastAsia="Times New Roman" w:hAnsiTheme="majorBidi" w:cstheme="majorBidi"/>
          <w:bCs/>
          <w:sz w:val="24"/>
          <w:szCs w:val="24"/>
        </w:rPr>
        <w:t xml:space="preserve"> </w:t>
      </w:r>
      <w:r w:rsidR="002E3D2E">
        <w:rPr>
          <w:rFonts w:asciiTheme="majorBidi" w:eastAsia="Times New Roman" w:hAnsiTheme="majorBidi" w:cstheme="majorBidi"/>
          <w:bCs/>
          <w:sz w:val="24"/>
          <w:szCs w:val="24"/>
        </w:rPr>
        <w:t>5</w:t>
      </w:r>
      <w:r w:rsidR="002E3D2E" w:rsidRPr="008E772B">
        <w:rPr>
          <w:rFonts w:asciiTheme="majorBidi" w:eastAsia="Times New Roman" w:hAnsiTheme="majorBidi" w:cstheme="majorBidi"/>
          <w:bCs/>
          <w:sz w:val="24"/>
          <w:szCs w:val="24"/>
        </w:rPr>
        <w:t xml:space="preserve"> </w:t>
      </w:r>
      <w:r w:rsidR="006E159C" w:rsidRPr="008E772B">
        <w:rPr>
          <w:rFonts w:asciiTheme="majorBidi" w:eastAsia="Times New Roman" w:hAnsiTheme="majorBidi" w:cstheme="majorBidi"/>
          <w:bCs/>
          <w:sz w:val="24"/>
          <w:szCs w:val="24"/>
        </w:rPr>
        <w:t xml:space="preserve">and </w:t>
      </w:r>
      <w:r w:rsidR="002E3D2E">
        <w:rPr>
          <w:rFonts w:asciiTheme="majorBidi" w:eastAsia="Times New Roman" w:hAnsiTheme="majorBidi" w:cstheme="majorBidi"/>
          <w:bCs/>
          <w:sz w:val="24"/>
          <w:szCs w:val="24"/>
        </w:rPr>
        <w:t>7</w:t>
      </w:r>
      <w:r w:rsidR="002E3D2E" w:rsidRPr="008E772B">
        <w:rPr>
          <w:rFonts w:asciiTheme="majorBidi" w:eastAsia="Times New Roman" w:hAnsiTheme="majorBidi" w:cstheme="majorBidi"/>
          <w:bCs/>
          <w:sz w:val="24"/>
          <w:szCs w:val="24"/>
        </w:rPr>
        <w:t xml:space="preserve"> </w:t>
      </w:r>
      <w:r w:rsidR="009514B2" w:rsidRPr="008E772B">
        <w:rPr>
          <w:rFonts w:asciiTheme="majorBidi" w:eastAsia="Times New Roman" w:hAnsiTheme="majorBidi" w:cstheme="majorBidi"/>
          <w:bCs/>
          <w:sz w:val="24"/>
          <w:szCs w:val="24"/>
        </w:rPr>
        <w:t xml:space="preserve">show a </w:t>
      </w:r>
      <w:r w:rsidR="0002585B" w:rsidRPr="008E772B">
        <w:rPr>
          <w:rFonts w:asciiTheme="majorBidi" w:eastAsia="Times New Roman" w:hAnsiTheme="majorBidi" w:cstheme="majorBidi"/>
          <w:bCs/>
          <w:sz w:val="24"/>
          <w:szCs w:val="24"/>
        </w:rPr>
        <w:t xml:space="preserve">positive </w:t>
      </w:r>
      <w:r w:rsidR="009514B2" w:rsidRPr="008E772B">
        <w:rPr>
          <w:rFonts w:asciiTheme="majorBidi" w:eastAsia="Times New Roman" w:hAnsiTheme="majorBidi" w:cstheme="majorBidi"/>
          <w:bCs/>
          <w:sz w:val="24"/>
          <w:szCs w:val="24"/>
        </w:rPr>
        <w:t xml:space="preserve">and significant </w:t>
      </w:r>
      <w:r w:rsidR="0002585B" w:rsidRPr="008E772B">
        <w:rPr>
          <w:rFonts w:asciiTheme="majorBidi" w:eastAsia="Times New Roman" w:hAnsiTheme="majorBidi" w:cstheme="majorBidi"/>
          <w:bCs/>
          <w:sz w:val="24"/>
          <w:szCs w:val="24"/>
        </w:rPr>
        <w:t>link</w:t>
      </w:r>
      <w:r w:rsidR="009514B2" w:rsidRPr="008E772B">
        <w:rPr>
          <w:rFonts w:asciiTheme="majorBidi" w:eastAsia="Times New Roman" w:hAnsiTheme="majorBidi" w:cstheme="majorBidi"/>
          <w:bCs/>
          <w:sz w:val="24"/>
          <w:szCs w:val="24"/>
        </w:rPr>
        <w:t xml:space="preserve"> between </w:t>
      </w:r>
      <w:r w:rsidR="00CD0B52" w:rsidRPr="008E772B">
        <w:rPr>
          <w:rFonts w:asciiTheme="majorBidi" w:eastAsia="Times New Roman" w:hAnsiTheme="majorBidi" w:cstheme="majorBidi"/>
          <w:bCs/>
          <w:i/>
          <w:iCs/>
          <w:sz w:val="24"/>
          <w:szCs w:val="24"/>
          <w:lang w:val="en-US"/>
        </w:rPr>
        <w:t>BRDS</w:t>
      </w:r>
      <w:r w:rsidR="009514B2" w:rsidRPr="008E772B">
        <w:rPr>
          <w:rFonts w:asciiTheme="majorBidi" w:eastAsia="Times New Roman" w:hAnsiTheme="majorBidi" w:cstheme="majorBidi"/>
          <w:bCs/>
          <w:sz w:val="24"/>
          <w:szCs w:val="24"/>
        </w:rPr>
        <w:t xml:space="preserve"> and </w:t>
      </w:r>
      <w:r w:rsidR="009514B2" w:rsidRPr="008E772B">
        <w:rPr>
          <w:rFonts w:asciiTheme="majorBidi" w:eastAsia="Times New Roman" w:hAnsiTheme="majorBidi" w:cstheme="majorBidi"/>
          <w:bCs/>
          <w:i/>
          <w:iCs/>
          <w:sz w:val="24"/>
          <w:szCs w:val="24"/>
        </w:rPr>
        <w:t>LNFE</w:t>
      </w:r>
      <w:r w:rsidR="009514B2" w:rsidRPr="008E772B">
        <w:rPr>
          <w:rFonts w:asciiTheme="majorBidi" w:eastAsia="Times New Roman" w:hAnsiTheme="majorBidi" w:cstheme="majorBidi"/>
          <w:bCs/>
          <w:sz w:val="24"/>
          <w:szCs w:val="24"/>
        </w:rPr>
        <w:t>, suggesting</w:t>
      </w:r>
      <w:r w:rsidR="00DA71B9" w:rsidRPr="008E772B">
        <w:rPr>
          <w:rFonts w:asciiTheme="majorBidi" w:eastAsia="Times New Roman" w:hAnsiTheme="majorBidi" w:cstheme="majorBidi"/>
          <w:bCs/>
          <w:sz w:val="24"/>
          <w:szCs w:val="24"/>
        </w:rPr>
        <w:t xml:space="preserve"> that </w:t>
      </w:r>
      <w:r w:rsidR="006E159C" w:rsidRPr="008E772B">
        <w:rPr>
          <w:rFonts w:asciiTheme="majorBidi" w:eastAsia="Times New Roman" w:hAnsiTheme="majorBidi" w:cstheme="majorBidi"/>
          <w:bCs/>
          <w:i/>
          <w:sz w:val="24"/>
          <w:szCs w:val="24"/>
        </w:rPr>
        <w:t>H1</w:t>
      </w:r>
      <w:r w:rsidR="00DA71B9" w:rsidRPr="008E772B">
        <w:rPr>
          <w:rFonts w:asciiTheme="majorBidi" w:eastAsia="Times New Roman" w:hAnsiTheme="majorBidi" w:cstheme="majorBidi"/>
          <w:bCs/>
          <w:i/>
          <w:sz w:val="24"/>
          <w:szCs w:val="24"/>
        </w:rPr>
        <w:t xml:space="preserve"> </w:t>
      </w:r>
      <w:r w:rsidR="00D23D6D" w:rsidRPr="008E772B">
        <w:rPr>
          <w:rFonts w:asciiTheme="majorBidi" w:eastAsia="Times New Roman" w:hAnsiTheme="majorBidi" w:cstheme="majorBidi"/>
          <w:bCs/>
          <w:sz w:val="24"/>
          <w:szCs w:val="24"/>
        </w:rPr>
        <w:t>is</w:t>
      </w:r>
      <w:r w:rsidR="00DA71B9" w:rsidRPr="008E772B">
        <w:rPr>
          <w:rFonts w:asciiTheme="majorBidi" w:eastAsia="Times New Roman" w:hAnsiTheme="majorBidi" w:cstheme="majorBidi"/>
          <w:bCs/>
          <w:sz w:val="24"/>
          <w:szCs w:val="24"/>
        </w:rPr>
        <w:t xml:space="preserve"> empirically supported. This evidence is consistent with theoretical predictions of agency theory, which suggest </w:t>
      </w:r>
      <w:r w:rsidR="005E4E29" w:rsidRPr="008E772B">
        <w:rPr>
          <w:rFonts w:asciiTheme="majorBidi" w:eastAsia="Times New Roman" w:hAnsiTheme="majorBidi" w:cstheme="majorBidi"/>
          <w:bCs/>
          <w:sz w:val="24"/>
          <w:szCs w:val="24"/>
        </w:rPr>
        <w:t>th</w:t>
      </w:r>
      <w:r w:rsidR="005E4E29">
        <w:rPr>
          <w:rFonts w:asciiTheme="majorBidi" w:eastAsia="Times New Roman" w:hAnsiTheme="majorBidi" w:cstheme="majorBidi"/>
          <w:bCs/>
          <w:sz w:val="24"/>
          <w:szCs w:val="24"/>
        </w:rPr>
        <w:t>at</w:t>
      </w:r>
      <w:r w:rsidR="005E4E29" w:rsidRPr="008E772B">
        <w:rPr>
          <w:rFonts w:asciiTheme="majorBidi" w:eastAsia="Times New Roman" w:hAnsiTheme="majorBidi" w:cstheme="majorBidi"/>
          <w:bCs/>
          <w:sz w:val="24"/>
          <w:szCs w:val="24"/>
        </w:rPr>
        <w:t xml:space="preserve"> </w:t>
      </w:r>
      <w:r w:rsidR="006163B3" w:rsidRPr="008E772B">
        <w:rPr>
          <w:rFonts w:asciiTheme="majorBidi" w:eastAsia="Times New Roman" w:hAnsiTheme="majorBidi" w:cstheme="majorBidi"/>
          <w:bCs/>
          <w:sz w:val="24"/>
          <w:szCs w:val="24"/>
        </w:rPr>
        <w:t>large</w:t>
      </w:r>
      <w:r w:rsidR="00383DA9">
        <w:rPr>
          <w:rFonts w:asciiTheme="majorBidi" w:eastAsia="Times New Roman" w:hAnsiTheme="majorBidi" w:cstheme="majorBidi"/>
          <w:bCs/>
          <w:sz w:val="24"/>
          <w:szCs w:val="24"/>
        </w:rPr>
        <w:t>r</w:t>
      </w:r>
      <w:r w:rsidR="006163B3" w:rsidRPr="008E772B">
        <w:rPr>
          <w:rFonts w:asciiTheme="majorBidi" w:eastAsia="Times New Roman" w:hAnsiTheme="majorBidi" w:cstheme="majorBidi"/>
          <w:bCs/>
          <w:sz w:val="24"/>
          <w:szCs w:val="24"/>
        </w:rPr>
        <w:t xml:space="preserve"> boards</w:t>
      </w:r>
      <w:r w:rsidR="00383DA9">
        <w:rPr>
          <w:rFonts w:asciiTheme="majorBidi" w:eastAsia="Times New Roman" w:hAnsiTheme="majorBidi" w:cstheme="majorBidi"/>
          <w:bCs/>
          <w:sz w:val="24"/>
          <w:szCs w:val="24"/>
        </w:rPr>
        <w:t xml:space="preserve"> are more able</w:t>
      </w:r>
      <w:r w:rsidR="006163B3" w:rsidRPr="008E772B">
        <w:rPr>
          <w:rFonts w:asciiTheme="majorBidi" w:eastAsia="Times New Roman" w:hAnsiTheme="majorBidi" w:cstheme="majorBidi"/>
          <w:bCs/>
          <w:sz w:val="24"/>
          <w:szCs w:val="24"/>
        </w:rPr>
        <w:t xml:space="preserve"> to </w:t>
      </w:r>
      <w:r w:rsidR="00383DA9">
        <w:rPr>
          <w:rFonts w:asciiTheme="majorBidi" w:eastAsia="Times New Roman" w:hAnsiTheme="majorBidi" w:cstheme="majorBidi"/>
          <w:bCs/>
          <w:sz w:val="24"/>
          <w:szCs w:val="24"/>
        </w:rPr>
        <w:t xml:space="preserve">monitor managers effectively </w:t>
      </w:r>
      <w:r w:rsidR="00081E3D" w:rsidRPr="008E772B">
        <w:rPr>
          <w:rFonts w:asciiTheme="majorBidi" w:eastAsia="Times New Roman" w:hAnsiTheme="majorBidi" w:cstheme="majorBidi"/>
          <w:bCs/>
          <w:sz w:val="24"/>
          <w:szCs w:val="24"/>
        </w:rPr>
        <w:t>(</w:t>
      </w:r>
      <w:r w:rsidR="00081E3D" w:rsidRPr="008E772B">
        <w:rPr>
          <w:rFonts w:asciiTheme="majorBidi" w:eastAsia="Times New Roman" w:hAnsiTheme="majorBidi" w:cstheme="majorBidi"/>
          <w:bCs/>
          <w:iCs/>
          <w:sz w:val="24"/>
          <w:szCs w:val="24"/>
        </w:rPr>
        <w:t xml:space="preserve">Jensen </w:t>
      </w:r>
      <w:r w:rsidR="00081E3D" w:rsidRPr="008E772B">
        <w:rPr>
          <w:rFonts w:asciiTheme="majorBidi" w:eastAsia="Times New Roman" w:hAnsiTheme="majorBidi" w:cstheme="majorBidi"/>
          <w:bCs/>
          <w:sz w:val="24"/>
          <w:szCs w:val="24"/>
        </w:rPr>
        <w:t>&amp;</w:t>
      </w:r>
      <w:r w:rsidR="00081E3D" w:rsidRPr="008E772B">
        <w:rPr>
          <w:rFonts w:asciiTheme="majorBidi" w:eastAsia="Times New Roman" w:hAnsiTheme="majorBidi" w:cstheme="majorBidi"/>
          <w:bCs/>
          <w:iCs/>
          <w:sz w:val="24"/>
          <w:szCs w:val="24"/>
        </w:rPr>
        <w:t xml:space="preserve"> Meckling, 1976; Lin </w:t>
      </w:r>
      <w:r w:rsidR="00081E3D" w:rsidRPr="008E772B">
        <w:rPr>
          <w:rFonts w:asciiTheme="majorBidi" w:eastAsia="Times New Roman" w:hAnsiTheme="majorBidi" w:cstheme="majorBidi"/>
          <w:bCs/>
          <w:sz w:val="24"/>
          <w:szCs w:val="24"/>
        </w:rPr>
        <w:t>&amp;</w:t>
      </w:r>
      <w:r w:rsidR="00081E3D" w:rsidRPr="008E772B">
        <w:rPr>
          <w:rFonts w:asciiTheme="majorBidi" w:eastAsia="Times New Roman" w:hAnsiTheme="majorBidi" w:cstheme="majorBidi"/>
          <w:bCs/>
          <w:iCs/>
          <w:sz w:val="24"/>
          <w:szCs w:val="24"/>
        </w:rPr>
        <w:t xml:space="preserve"> Hwang, 2010</w:t>
      </w:r>
      <w:r w:rsidR="00081E3D" w:rsidRPr="008E772B">
        <w:rPr>
          <w:rFonts w:asciiTheme="majorBidi" w:eastAsia="Times New Roman" w:hAnsiTheme="majorBidi" w:cstheme="majorBidi"/>
          <w:bCs/>
          <w:sz w:val="24"/>
          <w:szCs w:val="24"/>
        </w:rPr>
        <w:t>)</w:t>
      </w:r>
      <w:r w:rsidR="006163B3" w:rsidRPr="008E772B">
        <w:rPr>
          <w:rFonts w:asciiTheme="majorBidi" w:eastAsia="Times New Roman" w:hAnsiTheme="majorBidi" w:cstheme="majorBidi"/>
          <w:bCs/>
          <w:sz w:val="24"/>
          <w:szCs w:val="24"/>
        </w:rPr>
        <w:t>. Large</w:t>
      </w:r>
      <w:r w:rsidR="005E4E29">
        <w:rPr>
          <w:rFonts w:asciiTheme="majorBidi" w:eastAsia="Times New Roman" w:hAnsiTheme="majorBidi" w:cstheme="majorBidi"/>
          <w:bCs/>
          <w:sz w:val="24"/>
          <w:szCs w:val="24"/>
        </w:rPr>
        <w:t>r</w:t>
      </w:r>
      <w:r w:rsidR="006163B3" w:rsidRPr="008E772B">
        <w:rPr>
          <w:rFonts w:asciiTheme="majorBidi" w:eastAsia="Times New Roman" w:hAnsiTheme="majorBidi" w:cstheme="majorBidi"/>
          <w:bCs/>
          <w:sz w:val="24"/>
          <w:szCs w:val="24"/>
        </w:rPr>
        <w:t xml:space="preserve"> boards </w:t>
      </w:r>
      <w:r w:rsidR="00E60F32">
        <w:rPr>
          <w:rFonts w:asciiTheme="majorBidi" w:eastAsia="Times New Roman" w:hAnsiTheme="majorBidi" w:cstheme="majorBidi"/>
          <w:bCs/>
          <w:sz w:val="24"/>
          <w:szCs w:val="24"/>
        </w:rPr>
        <w:t xml:space="preserve">with </w:t>
      </w:r>
      <w:r w:rsidR="00E60F32" w:rsidRPr="00E60F32">
        <w:rPr>
          <w:rFonts w:asciiTheme="majorBidi" w:eastAsia="Times New Roman" w:hAnsiTheme="majorBidi" w:cstheme="majorBidi"/>
          <w:bCs/>
          <w:iCs/>
          <w:sz w:val="24"/>
          <w:szCs w:val="24"/>
        </w:rPr>
        <w:t xml:space="preserve">qualified </w:t>
      </w:r>
      <w:r w:rsidR="00E60F32">
        <w:rPr>
          <w:rFonts w:asciiTheme="majorBidi" w:eastAsia="Times New Roman" w:hAnsiTheme="majorBidi" w:cstheme="majorBidi"/>
          <w:bCs/>
          <w:iCs/>
          <w:sz w:val="24"/>
          <w:szCs w:val="24"/>
        </w:rPr>
        <w:t xml:space="preserve">and experienced members </w:t>
      </w:r>
      <w:r w:rsidR="006163B3" w:rsidRPr="008E772B">
        <w:rPr>
          <w:rFonts w:asciiTheme="majorBidi" w:eastAsia="Times New Roman" w:hAnsiTheme="majorBidi" w:cstheme="majorBidi"/>
          <w:bCs/>
          <w:sz w:val="24"/>
          <w:szCs w:val="24"/>
        </w:rPr>
        <w:t xml:space="preserve">may </w:t>
      </w:r>
      <w:r w:rsidR="006163B3" w:rsidRPr="008E772B">
        <w:rPr>
          <w:rFonts w:asciiTheme="majorBidi" w:eastAsia="Times New Roman" w:hAnsiTheme="majorBidi" w:cstheme="majorBidi"/>
          <w:bCs/>
          <w:iCs/>
          <w:sz w:val="24"/>
          <w:szCs w:val="24"/>
        </w:rPr>
        <w:t xml:space="preserve">require more audit </w:t>
      </w:r>
      <w:r w:rsidR="002E3D2E">
        <w:rPr>
          <w:rFonts w:asciiTheme="majorBidi" w:eastAsia="Times New Roman" w:hAnsiTheme="majorBidi" w:cstheme="majorBidi"/>
          <w:bCs/>
          <w:iCs/>
          <w:sz w:val="24"/>
          <w:szCs w:val="24"/>
        </w:rPr>
        <w:t>effort</w:t>
      </w:r>
      <w:r w:rsidR="006163B3" w:rsidRPr="008E772B">
        <w:rPr>
          <w:rFonts w:asciiTheme="majorBidi" w:eastAsia="Times New Roman" w:hAnsiTheme="majorBidi" w:cstheme="majorBidi"/>
          <w:bCs/>
          <w:iCs/>
          <w:sz w:val="24"/>
          <w:szCs w:val="24"/>
        </w:rPr>
        <w:t xml:space="preserve">, </w:t>
      </w:r>
      <w:r w:rsidR="00CB1DF3">
        <w:rPr>
          <w:rFonts w:asciiTheme="majorBidi" w:eastAsia="Times New Roman" w:hAnsiTheme="majorBidi" w:cstheme="majorBidi"/>
          <w:bCs/>
          <w:iCs/>
          <w:sz w:val="24"/>
          <w:szCs w:val="24"/>
        </w:rPr>
        <w:t xml:space="preserve">which </w:t>
      </w:r>
      <w:r w:rsidR="002426EF">
        <w:rPr>
          <w:rFonts w:asciiTheme="majorBidi" w:eastAsia="Times New Roman" w:hAnsiTheme="majorBidi" w:cstheme="majorBidi"/>
          <w:bCs/>
          <w:iCs/>
          <w:sz w:val="24"/>
          <w:szCs w:val="24"/>
        </w:rPr>
        <w:t xml:space="preserve">can </w:t>
      </w:r>
      <w:r w:rsidR="006163B3" w:rsidRPr="008E772B">
        <w:rPr>
          <w:rFonts w:asciiTheme="majorBidi" w:eastAsia="Times New Roman" w:hAnsiTheme="majorBidi" w:cstheme="majorBidi"/>
          <w:bCs/>
          <w:iCs/>
          <w:sz w:val="24"/>
          <w:szCs w:val="24"/>
        </w:rPr>
        <w:t xml:space="preserve">increase auditor’s costs and consequently raise audit fees (Carcello </w:t>
      </w:r>
      <w:r w:rsidR="006163B3" w:rsidRPr="008E772B">
        <w:rPr>
          <w:rFonts w:asciiTheme="majorBidi" w:eastAsia="Times New Roman" w:hAnsiTheme="majorBidi" w:cstheme="majorBidi"/>
          <w:bCs/>
          <w:i/>
          <w:sz w:val="24"/>
          <w:szCs w:val="24"/>
        </w:rPr>
        <w:t>et al</w:t>
      </w:r>
      <w:r w:rsidR="006163B3" w:rsidRPr="008E772B">
        <w:rPr>
          <w:rFonts w:asciiTheme="majorBidi" w:eastAsia="Times New Roman" w:hAnsiTheme="majorBidi" w:cstheme="majorBidi"/>
          <w:bCs/>
          <w:iCs/>
          <w:sz w:val="24"/>
          <w:szCs w:val="24"/>
        </w:rPr>
        <w:t>., 2002).</w:t>
      </w:r>
      <w:r w:rsidR="009F7326" w:rsidRPr="008E772B">
        <w:rPr>
          <w:rFonts w:asciiTheme="majorBidi" w:eastAsia="Times New Roman" w:hAnsiTheme="majorBidi" w:cstheme="majorBidi"/>
          <w:bCs/>
          <w:iCs/>
          <w:sz w:val="24"/>
          <w:szCs w:val="24"/>
        </w:rPr>
        <w:t xml:space="preserve"> With reference to the empirical literature, our </w:t>
      </w:r>
      <w:r w:rsidR="00D6720C">
        <w:rPr>
          <w:rFonts w:asciiTheme="majorBidi" w:eastAsia="Times New Roman" w:hAnsiTheme="majorBidi" w:cstheme="majorBidi"/>
          <w:bCs/>
          <w:iCs/>
          <w:sz w:val="24"/>
          <w:szCs w:val="24"/>
        </w:rPr>
        <w:t>results</w:t>
      </w:r>
      <w:r w:rsidR="00D6720C" w:rsidRPr="008E772B">
        <w:rPr>
          <w:rFonts w:asciiTheme="majorBidi" w:eastAsia="Times New Roman" w:hAnsiTheme="majorBidi" w:cstheme="majorBidi"/>
          <w:bCs/>
          <w:iCs/>
          <w:sz w:val="24"/>
          <w:szCs w:val="24"/>
        </w:rPr>
        <w:t xml:space="preserve"> </w:t>
      </w:r>
      <w:r w:rsidR="003C323F">
        <w:rPr>
          <w:rFonts w:asciiTheme="majorBidi" w:eastAsia="Times New Roman" w:hAnsiTheme="majorBidi" w:cstheme="majorBidi"/>
          <w:bCs/>
          <w:iCs/>
          <w:sz w:val="24"/>
          <w:szCs w:val="24"/>
        </w:rPr>
        <w:t>are</w:t>
      </w:r>
      <w:r w:rsidR="003C323F" w:rsidRPr="008E772B">
        <w:rPr>
          <w:rFonts w:asciiTheme="majorBidi" w:eastAsia="Times New Roman" w:hAnsiTheme="majorBidi" w:cstheme="majorBidi"/>
          <w:bCs/>
          <w:iCs/>
          <w:sz w:val="24"/>
          <w:szCs w:val="24"/>
        </w:rPr>
        <w:t xml:space="preserve"> </w:t>
      </w:r>
      <w:r w:rsidR="009F7326" w:rsidRPr="008E772B">
        <w:rPr>
          <w:rFonts w:asciiTheme="majorBidi" w:eastAsia="Times New Roman" w:hAnsiTheme="majorBidi" w:cstheme="majorBidi"/>
          <w:bCs/>
          <w:iCs/>
          <w:sz w:val="24"/>
          <w:szCs w:val="24"/>
        </w:rPr>
        <w:t>consistent with the findings of the previous studies</w:t>
      </w:r>
      <w:r w:rsidR="00E162C2" w:rsidRPr="008E772B">
        <w:rPr>
          <w:rFonts w:asciiTheme="majorBidi" w:eastAsia="Times New Roman" w:hAnsiTheme="majorBidi" w:cstheme="majorBidi"/>
          <w:bCs/>
          <w:iCs/>
          <w:sz w:val="24"/>
          <w:szCs w:val="24"/>
        </w:rPr>
        <w:t xml:space="preserve"> that have found positive effect of </w:t>
      </w:r>
      <w:r w:rsidR="00930CF8">
        <w:rPr>
          <w:rFonts w:asciiTheme="majorBidi" w:eastAsia="Times New Roman" w:hAnsiTheme="majorBidi" w:cstheme="majorBidi"/>
          <w:bCs/>
          <w:iCs/>
          <w:sz w:val="24"/>
          <w:szCs w:val="24"/>
        </w:rPr>
        <w:t>board</w:t>
      </w:r>
      <w:r w:rsidR="00930CF8" w:rsidRPr="008E772B">
        <w:rPr>
          <w:rFonts w:asciiTheme="majorBidi" w:eastAsia="Times New Roman" w:hAnsiTheme="majorBidi" w:cstheme="majorBidi"/>
          <w:bCs/>
          <w:iCs/>
          <w:sz w:val="24"/>
          <w:szCs w:val="24"/>
        </w:rPr>
        <w:t xml:space="preserve"> </w:t>
      </w:r>
      <w:r w:rsidR="00E162C2" w:rsidRPr="008E772B">
        <w:rPr>
          <w:rFonts w:asciiTheme="majorBidi" w:eastAsia="Times New Roman" w:hAnsiTheme="majorBidi" w:cstheme="majorBidi"/>
          <w:bCs/>
          <w:iCs/>
          <w:sz w:val="24"/>
          <w:szCs w:val="24"/>
        </w:rPr>
        <w:t xml:space="preserve">size on audit quality (e.g., Lin </w:t>
      </w:r>
      <w:r w:rsidR="00A02AEA">
        <w:rPr>
          <w:rFonts w:asciiTheme="majorBidi" w:eastAsia="Times New Roman" w:hAnsiTheme="majorBidi" w:cstheme="majorBidi"/>
          <w:bCs/>
          <w:iCs/>
          <w:sz w:val="24"/>
          <w:szCs w:val="24"/>
        </w:rPr>
        <w:t>&amp;</w:t>
      </w:r>
      <w:r w:rsidR="00A02AEA" w:rsidRPr="008E772B">
        <w:rPr>
          <w:rFonts w:asciiTheme="majorBidi" w:eastAsia="Times New Roman" w:hAnsiTheme="majorBidi" w:cstheme="majorBidi"/>
          <w:bCs/>
          <w:iCs/>
          <w:sz w:val="24"/>
          <w:szCs w:val="24"/>
        </w:rPr>
        <w:t xml:space="preserve"> </w:t>
      </w:r>
      <w:r w:rsidR="00E162C2" w:rsidRPr="008E772B">
        <w:rPr>
          <w:rFonts w:asciiTheme="majorBidi" w:eastAsia="Times New Roman" w:hAnsiTheme="majorBidi" w:cstheme="majorBidi"/>
          <w:bCs/>
          <w:iCs/>
          <w:sz w:val="24"/>
          <w:szCs w:val="24"/>
        </w:rPr>
        <w:t xml:space="preserve">Liu 2009; Asthana </w:t>
      </w:r>
      <w:r w:rsidR="00E162C2" w:rsidRPr="008E772B">
        <w:rPr>
          <w:rFonts w:asciiTheme="majorBidi" w:eastAsia="Times New Roman" w:hAnsiTheme="majorBidi" w:cstheme="majorBidi"/>
          <w:bCs/>
          <w:i/>
          <w:iCs/>
          <w:sz w:val="24"/>
          <w:szCs w:val="24"/>
        </w:rPr>
        <w:t>et al</w:t>
      </w:r>
      <w:r w:rsidR="00E162C2" w:rsidRPr="008E772B">
        <w:rPr>
          <w:rFonts w:asciiTheme="majorBidi" w:eastAsia="Times New Roman" w:hAnsiTheme="majorBidi" w:cstheme="majorBidi"/>
          <w:bCs/>
          <w:iCs/>
          <w:sz w:val="24"/>
          <w:szCs w:val="24"/>
        </w:rPr>
        <w:t>., 2010</w:t>
      </w:r>
      <w:r w:rsidR="00744866">
        <w:rPr>
          <w:rFonts w:asciiTheme="majorBidi" w:eastAsia="Times New Roman" w:hAnsiTheme="majorBidi" w:cstheme="majorBidi"/>
          <w:bCs/>
          <w:iCs/>
          <w:sz w:val="24"/>
          <w:szCs w:val="24"/>
        </w:rPr>
        <w:t>;</w:t>
      </w:r>
      <w:r w:rsidR="00744866" w:rsidRPr="00744866">
        <w:rPr>
          <w:rFonts w:asciiTheme="majorBidi" w:hAnsiTheme="majorBidi" w:cstheme="majorBidi"/>
          <w:color w:val="000000"/>
          <w:sz w:val="24"/>
          <w:szCs w:val="24"/>
        </w:rPr>
        <w:t xml:space="preserve"> </w:t>
      </w:r>
      <w:r w:rsidR="00744866" w:rsidRPr="00345B41">
        <w:rPr>
          <w:rFonts w:asciiTheme="majorBidi" w:hAnsiTheme="majorBidi" w:cstheme="majorBidi"/>
          <w:color w:val="000000"/>
          <w:sz w:val="24"/>
          <w:szCs w:val="24"/>
        </w:rPr>
        <w:t xml:space="preserve">Abdul Hamid </w:t>
      </w:r>
      <w:r w:rsidR="00744866">
        <w:rPr>
          <w:rFonts w:asciiTheme="majorBidi" w:hAnsiTheme="majorBidi" w:cstheme="majorBidi"/>
          <w:color w:val="000000"/>
          <w:sz w:val="24"/>
          <w:szCs w:val="24"/>
        </w:rPr>
        <w:t>&amp;</w:t>
      </w:r>
      <w:r w:rsidR="00744866" w:rsidRPr="00345B41">
        <w:rPr>
          <w:rFonts w:asciiTheme="majorBidi" w:hAnsiTheme="majorBidi" w:cstheme="majorBidi"/>
          <w:color w:val="000000"/>
          <w:sz w:val="24"/>
          <w:szCs w:val="24"/>
        </w:rPr>
        <w:t xml:space="preserve"> Abdullah</w:t>
      </w:r>
      <w:r w:rsidR="00744866">
        <w:rPr>
          <w:rFonts w:asciiTheme="majorBidi" w:hAnsiTheme="majorBidi" w:cstheme="majorBidi"/>
          <w:color w:val="000000"/>
          <w:sz w:val="24"/>
          <w:szCs w:val="24"/>
        </w:rPr>
        <w:t>, 2012</w:t>
      </w:r>
      <w:r w:rsidR="00E162C2" w:rsidRPr="008E772B">
        <w:rPr>
          <w:rFonts w:asciiTheme="majorBidi" w:eastAsia="Times New Roman" w:hAnsiTheme="majorBidi" w:cstheme="majorBidi"/>
          <w:bCs/>
          <w:iCs/>
          <w:sz w:val="24"/>
          <w:szCs w:val="24"/>
        </w:rPr>
        <w:t>)</w:t>
      </w:r>
      <w:r w:rsidR="008013E8" w:rsidRPr="008E772B">
        <w:rPr>
          <w:rFonts w:asciiTheme="majorBidi" w:eastAsia="Times New Roman" w:hAnsiTheme="majorBidi" w:cstheme="majorBidi"/>
          <w:bCs/>
          <w:iCs/>
          <w:sz w:val="24"/>
          <w:szCs w:val="24"/>
        </w:rPr>
        <w:t>.</w:t>
      </w:r>
      <w:r w:rsidR="00E162C2" w:rsidRPr="008E772B">
        <w:rPr>
          <w:rFonts w:asciiTheme="majorBidi" w:eastAsia="Times New Roman" w:hAnsiTheme="majorBidi" w:cstheme="majorBidi"/>
          <w:bCs/>
          <w:iCs/>
          <w:sz w:val="24"/>
          <w:szCs w:val="24"/>
        </w:rPr>
        <w:t xml:space="preserve"> </w:t>
      </w:r>
    </w:p>
    <w:p w14:paraId="7D81C96C" w14:textId="3D13663C" w:rsidR="006350C1" w:rsidRPr="008E772B" w:rsidRDefault="00E768D0" w:rsidP="00736F7F">
      <w:pPr>
        <w:spacing w:after="0" w:line="360" w:lineRule="auto"/>
        <w:ind w:firstLine="720"/>
        <w:jc w:val="lowKashida"/>
        <w:rPr>
          <w:rFonts w:asciiTheme="majorBidi" w:eastAsia="Times New Roman" w:hAnsiTheme="majorBidi" w:cstheme="majorBidi"/>
          <w:bCs/>
          <w:iCs/>
          <w:sz w:val="24"/>
          <w:szCs w:val="24"/>
        </w:rPr>
      </w:pPr>
      <w:r w:rsidRPr="008E772B">
        <w:rPr>
          <w:rFonts w:asciiTheme="majorBidi" w:eastAsia="Times New Roman" w:hAnsiTheme="majorBidi" w:cstheme="majorBidi"/>
          <w:bCs/>
          <w:sz w:val="24"/>
          <w:szCs w:val="24"/>
        </w:rPr>
        <w:t xml:space="preserve">The </w:t>
      </w:r>
      <w:r w:rsidR="007C4420" w:rsidRPr="008E772B">
        <w:rPr>
          <w:rFonts w:asciiTheme="majorBidi" w:eastAsia="Times New Roman" w:hAnsiTheme="majorBidi" w:cstheme="majorBidi"/>
          <w:bCs/>
          <w:sz w:val="24"/>
          <w:szCs w:val="24"/>
        </w:rPr>
        <w:t>findings</w:t>
      </w:r>
      <w:r w:rsidR="00297162">
        <w:rPr>
          <w:rFonts w:asciiTheme="majorBidi" w:eastAsia="Times New Roman" w:hAnsiTheme="majorBidi" w:cstheme="majorBidi"/>
          <w:bCs/>
          <w:sz w:val="24"/>
          <w:szCs w:val="24"/>
        </w:rPr>
        <w:t>,</w:t>
      </w:r>
      <w:r w:rsidR="007C4420" w:rsidRPr="008E772B">
        <w:rPr>
          <w:rFonts w:asciiTheme="majorBidi" w:eastAsia="Times New Roman" w:hAnsiTheme="majorBidi" w:cstheme="majorBidi"/>
          <w:bCs/>
          <w:sz w:val="24"/>
          <w:szCs w:val="24"/>
        </w:rPr>
        <w:t xml:space="preserve"> </w:t>
      </w:r>
      <w:r w:rsidR="00297162">
        <w:rPr>
          <w:rFonts w:asciiTheme="majorBidi" w:eastAsia="Times New Roman" w:hAnsiTheme="majorBidi" w:cstheme="majorBidi"/>
          <w:bCs/>
          <w:sz w:val="24"/>
          <w:szCs w:val="24"/>
        </w:rPr>
        <w:t xml:space="preserve">illustrated in </w:t>
      </w:r>
      <w:r w:rsidR="00297162" w:rsidRPr="00297162">
        <w:rPr>
          <w:rFonts w:asciiTheme="majorBidi" w:eastAsia="Times New Roman" w:hAnsiTheme="majorBidi" w:cstheme="majorBidi"/>
          <w:bCs/>
          <w:sz w:val="24"/>
          <w:szCs w:val="24"/>
        </w:rPr>
        <w:t xml:space="preserve">Models </w:t>
      </w:r>
      <w:r w:rsidR="002E3D2E">
        <w:rPr>
          <w:rFonts w:asciiTheme="majorBidi" w:eastAsia="Times New Roman" w:hAnsiTheme="majorBidi" w:cstheme="majorBidi"/>
          <w:bCs/>
          <w:sz w:val="24"/>
          <w:szCs w:val="24"/>
        </w:rPr>
        <w:t>1</w:t>
      </w:r>
      <w:r w:rsidR="00297162" w:rsidRPr="00297162">
        <w:rPr>
          <w:rFonts w:asciiTheme="majorBidi" w:eastAsia="Times New Roman" w:hAnsiTheme="majorBidi" w:cstheme="majorBidi"/>
          <w:bCs/>
          <w:sz w:val="24"/>
          <w:szCs w:val="24"/>
        </w:rPr>
        <w:t xml:space="preserve">, </w:t>
      </w:r>
      <w:r w:rsidR="002E3D2E">
        <w:rPr>
          <w:rFonts w:asciiTheme="majorBidi" w:eastAsia="Times New Roman" w:hAnsiTheme="majorBidi" w:cstheme="majorBidi"/>
          <w:bCs/>
          <w:sz w:val="24"/>
          <w:szCs w:val="24"/>
        </w:rPr>
        <w:t>3</w:t>
      </w:r>
      <w:r w:rsidR="00297162" w:rsidRPr="00297162">
        <w:rPr>
          <w:rFonts w:asciiTheme="majorBidi" w:eastAsia="Times New Roman" w:hAnsiTheme="majorBidi" w:cstheme="majorBidi"/>
          <w:bCs/>
          <w:sz w:val="24"/>
          <w:szCs w:val="24"/>
        </w:rPr>
        <w:t xml:space="preserve">, </w:t>
      </w:r>
      <w:r w:rsidR="002E3D2E">
        <w:rPr>
          <w:rFonts w:asciiTheme="majorBidi" w:eastAsia="Times New Roman" w:hAnsiTheme="majorBidi" w:cstheme="majorBidi"/>
          <w:bCs/>
          <w:sz w:val="24"/>
          <w:szCs w:val="24"/>
        </w:rPr>
        <w:t>5</w:t>
      </w:r>
      <w:r w:rsidR="00055D9A">
        <w:rPr>
          <w:rFonts w:asciiTheme="majorBidi" w:eastAsia="Times New Roman" w:hAnsiTheme="majorBidi" w:cstheme="majorBidi"/>
          <w:bCs/>
          <w:sz w:val="24"/>
          <w:szCs w:val="24"/>
        </w:rPr>
        <w:t>,</w:t>
      </w:r>
      <w:r w:rsidR="002E3D2E" w:rsidRPr="00297162">
        <w:rPr>
          <w:rFonts w:asciiTheme="majorBidi" w:eastAsia="Times New Roman" w:hAnsiTheme="majorBidi" w:cstheme="majorBidi"/>
          <w:bCs/>
          <w:sz w:val="24"/>
          <w:szCs w:val="24"/>
        </w:rPr>
        <w:t xml:space="preserve"> </w:t>
      </w:r>
      <w:r w:rsidR="00297162" w:rsidRPr="00297162">
        <w:rPr>
          <w:rFonts w:asciiTheme="majorBidi" w:eastAsia="Times New Roman" w:hAnsiTheme="majorBidi" w:cstheme="majorBidi"/>
          <w:bCs/>
          <w:sz w:val="24"/>
          <w:szCs w:val="24"/>
        </w:rPr>
        <w:t xml:space="preserve">and </w:t>
      </w:r>
      <w:r w:rsidR="002E3D2E">
        <w:rPr>
          <w:rFonts w:asciiTheme="majorBidi" w:eastAsia="Times New Roman" w:hAnsiTheme="majorBidi" w:cstheme="majorBidi"/>
          <w:bCs/>
          <w:sz w:val="24"/>
          <w:szCs w:val="24"/>
        </w:rPr>
        <w:t>7</w:t>
      </w:r>
      <w:r w:rsidR="00297162">
        <w:rPr>
          <w:rFonts w:asciiTheme="majorBidi" w:eastAsia="Times New Roman" w:hAnsiTheme="majorBidi" w:cstheme="majorBidi"/>
          <w:bCs/>
          <w:sz w:val="24"/>
          <w:szCs w:val="24"/>
        </w:rPr>
        <w:t xml:space="preserve">, </w:t>
      </w:r>
      <w:r w:rsidR="007C4420" w:rsidRPr="008E772B">
        <w:rPr>
          <w:rFonts w:asciiTheme="majorBidi" w:eastAsia="Times New Roman" w:hAnsiTheme="majorBidi" w:cstheme="majorBidi"/>
          <w:bCs/>
          <w:sz w:val="24"/>
          <w:szCs w:val="24"/>
        </w:rPr>
        <w:t>show a positive and significant relationship between</w:t>
      </w:r>
      <w:r w:rsidR="00B12B28">
        <w:rPr>
          <w:rFonts w:asciiTheme="majorBidi" w:eastAsia="Times New Roman" w:hAnsiTheme="majorBidi" w:cstheme="majorBidi"/>
          <w:bCs/>
          <w:sz w:val="24"/>
          <w:szCs w:val="24"/>
        </w:rPr>
        <w:t xml:space="preserve"> </w:t>
      </w:r>
      <w:r w:rsidR="00E80B25" w:rsidRPr="008E772B">
        <w:rPr>
          <w:rFonts w:asciiTheme="majorBidi" w:eastAsia="Times New Roman" w:hAnsiTheme="majorBidi" w:cstheme="majorBidi"/>
          <w:bCs/>
          <w:i/>
          <w:iCs/>
          <w:sz w:val="24"/>
          <w:szCs w:val="24"/>
        </w:rPr>
        <w:t>IND</w:t>
      </w:r>
      <w:r w:rsidR="007C4420" w:rsidRPr="008E772B">
        <w:rPr>
          <w:rFonts w:asciiTheme="majorBidi" w:eastAsia="Times New Roman" w:hAnsiTheme="majorBidi" w:cstheme="majorBidi"/>
          <w:bCs/>
          <w:sz w:val="24"/>
          <w:szCs w:val="24"/>
        </w:rPr>
        <w:t xml:space="preserve"> and </w:t>
      </w:r>
      <w:r w:rsidR="006E159C" w:rsidRPr="008E772B">
        <w:rPr>
          <w:rFonts w:asciiTheme="majorBidi" w:eastAsia="Times New Roman" w:hAnsiTheme="majorBidi" w:cstheme="majorBidi"/>
          <w:bCs/>
          <w:sz w:val="24"/>
          <w:szCs w:val="24"/>
        </w:rPr>
        <w:t xml:space="preserve">both of </w:t>
      </w:r>
      <w:r w:rsidR="00A304FC" w:rsidRPr="00A304FC">
        <w:rPr>
          <w:rFonts w:asciiTheme="majorBidi" w:eastAsia="Times New Roman" w:hAnsiTheme="majorBidi" w:cstheme="majorBidi"/>
          <w:bCs/>
          <w:i/>
          <w:iCs/>
          <w:sz w:val="24"/>
          <w:szCs w:val="24"/>
        </w:rPr>
        <w:t>BIG4</w:t>
      </w:r>
      <w:r w:rsidR="00A304FC">
        <w:rPr>
          <w:rFonts w:asciiTheme="majorBidi" w:eastAsia="Times New Roman" w:hAnsiTheme="majorBidi" w:cstheme="majorBidi"/>
          <w:bCs/>
          <w:i/>
          <w:iCs/>
          <w:sz w:val="24"/>
          <w:szCs w:val="24"/>
        </w:rPr>
        <w:t xml:space="preserve"> </w:t>
      </w:r>
      <w:r w:rsidR="00436767" w:rsidRPr="008E772B">
        <w:rPr>
          <w:rFonts w:asciiTheme="majorBidi" w:eastAsia="Times New Roman" w:hAnsiTheme="majorBidi" w:cstheme="majorBidi"/>
          <w:bCs/>
          <w:sz w:val="24"/>
          <w:szCs w:val="24"/>
        </w:rPr>
        <w:t xml:space="preserve">and </w:t>
      </w:r>
      <w:r w:rsidR="00A304FC" w:rsidRPr="00A304FC">
        <w:rPr>
          <w:rFonts w:asciiTheme="majorBidi" w:eastAsia="Times New Roman" w:hAnsiTheme="majorBidi" w:cstheme="majorBidi"/>
          <w:bCs/>
          <w:i/>
          <w:iCs/>
          <w:sz w:val="24"/>
          <w:szCs w:val="24"/>
        </w:rPr>
        <w:t>LNFE</w:t>
      </w:r>
      <w:r w:rsidR="007C4420" w:rsidRPr="008E772B">
        <w:rPr>
          <w:rFonts w:asciiTheme="majorBidi" w:eastAsia="Times New Roman" w:hAnsiTheme="majorBidi" w:cstheme="majorBidi"/>
          <w:bCs/>
          <w:sz w:val="24"/>
          <w:szCs w:val="24"/>
        </w:rPr>
        <w:t>. This suggests that boards with high</w:t>
      </w:r>
      <w:r w:rsidR="00CF4A57">
        <w:rPr>
          <w:rFonts w:asciiTheme="majorBidi" w:eastAsia="Times New Roman" w:hAnsiTheme="majorBidi" w:cstheme="majorBidi"/>
          <w:bCs/>
          <w:sz w:val="24"/>
          <w:szCs w:val="24"/>
        </w:rPr>
        <w:t>er</w:t>
      </w:r>
      <w:r w:rsidR="007C4420" w:rsidRPr="008E772B">
        <w:rPr>
          <w:rFonts w:asciiTheme="majorBidi" w:eastAsia="Times New Roman" w:hAnsiTheme="majorBidi" w:cstheme="majorBidi"/>
          <w:bCs/>
          <w:sz w:val="24"/>
          <w:szCs w:val="24"/>
        </w:rPr>
        <w:t xml:space="preserve"> </w:t>
      </w:r>
      <w:r w:rsidR="00CF4A57" w:rsidRPr="00CF4A57">
        <w:rPr>
          <w:rFonts w:asciiTheme="majorBidi" w:eastAsia="Times New Roman" w:hAnsiTheme="majorBidi" w:cstheme="majorBidi"/>
          <w:bCs/>
          <w:sz w:val="24"/>
          <w:szCs w:val="24"/>
          <w:lang w:val="en-US"/>
        </w:rPr>
        <w:t>percentage of NEDs</w:t>
      </w:r>
      <w:r w:rsidR="00CF4A57">
        <w:rPr>
          <w:rFonts w:asciiTheme="majorBidi" w:eastAsia="Times New Roman" w:hAnsiTheme="majorBidi" w:cstheme="majorBidi"/>
          <w:bCs/>
          <w:i/>
          <w:iCs/>
          <w:sz w:val="24"/>
          <w:szCs w:val="24"/>
          <w:lang w:val="en-US"/>
        </w:rPr>
        <w:t xml:space="preserve"> </w:t>
      </w:r>
      <w:r w:rsidR="007C4420" w:rsidRPr="008E772B">
        <w:rPr>
          <w:rFonts w:asciiTheme="majorBidi" w:eastAsia="Times New Roman" w:hAnsiTheme="majorBidi" w:cstheme="majorBidi"/>
          <w:bCs/>
          <w:sz w:val="24"/>
          <w:szCs w:val="24"/>
        </w:rPr>
        <w:t>are more likely to demand an extensive audit service and ultimately hire reputable audit firms (Big 4</w:t>
      </w:r>
      <w:r w:rsidR="00A47022" w:rsidRPr="008E772B">
        <w:rPr>
          <w:rFonts w:asciiTheme="majorBidi" w:eastAsia="Times New Roman" w:hAnsiTheme="majorBidi" w:cstheme="majorBidi"/>
          <w:bCs/>
          <w:sz w:val="24"/>
          <w:szCs w:val="24"/>
        </w:rPr>
        <w:t xml:space="preserve"> auditor</w:t>
      </w:r>
      <w:r w:rsidR="007C4420" w:rsidRPr="008E772B">
        <w:rPr>
          <w:rFonts w:asciiTheme="majorBidi" w:eastAsia="Times New Roman" w:hAnsiTheme="majorBidi" w:cstheme="majorBidi"/>
          <w:bCs/>
          <w:sz w:val="24"/>
          <w:szCs w:val="24"/>
        </w:rPr>
        <w:t xml:space="preserve">) and pay higher audit </w:t>
      </w:r>
      <w:r w:rsidR="007C4420" w:rsidRPr="008E772B">
        <w:rPr>
          <w:rFonts w:asciiTheme="majorBidi" w:eastAsia="Times New Roman" w:hAnsiTheme="majorBidi" w:cstheme="majorBidi"/>
          <w:bCs/>
          <w:iCs/>
          <w:sz w:val="24"/>
          <w:szCs w:val="24"/>
        </w:rPr>
        <w:t>fees,</w:t>
      </w:r>
      <w:r w:rsidR="007C4420" w:rsidRPr="008E772B">
        <w:rPr>
          <w:rFonts w:asciiTheme="majorBidi" w:eastAsia="Times New Roman" w:hAnsiTheme="majorBidi" w:cstheme="majorBidi"/>
          <w:bCs/>
          <w:sz w:val="24"/>
          <w:szCs w:val="24"/>
        </w:rPr>
        <w:t xml:space="preserve"> which supports </w:t>
      </w:r>
      <w:r w:rsidR="007C4420" w:rsidRPr="008E772B">
        <w:rPr>
          <w:rFonts w:asciiTheme="majorBidi" w:eastAsia="Times New Roman" w:hAnsiTheme="majorBidi" w:cstheme="majorBidi"/>
          <w:bCs/>
          <w:i/>
          <w:sz w:val="24"/>
          <w:szCs w:val="24"/>
        </w:rPr>
        <w:t>H</w:t>
      </w:r>
      <w:r w:rsidR="00B34627" w:rsidRPr="008E772B">
        <w:rPr>
          <w:rFonts w:asciiTheme="majorBidi" w:eastAsia="Times New Roman" w:hAnsiTheme="majorBidi" w:cstheme="majorBidi"/>
          <w:bCs/>
          <w:i/>
          <w:sz w:val="24"/>
          <w:szCs w:val="24"/>
        </w:rPr>
        <w:t>2</w:t>
      </w:r>
      <w:r w:rsidR="007C4420" w:rsidRPr="008E772B">
        <w:rPr>
          <w:rFonts w:asciiTheme="majorBidi" w:eastAsia="Times New Roman" w:hAnsiTheme="majorBidi" w:cstheme="majorBidi"/>
          <w:bCs/>
          <w:sz w:val="24"/>
          <w:szCs w:val="24"/>
        </w:rPr>
        <w:t>. Therefore, the findings are consistent with agency theory</w:t>
      </w:r>
      <w:r w:rsidR="002426EF">
        <w:rPr>
          <w:rFonts w:asciiTheme="majorBidi" w:eastAsia="Times New Roman" w:hAnsiTheme="majorBidi" w:cstheme="majorBidi"/>
          <w:bCs/>
          <w:sz w:val="24"/>
          <w:szCs w:val="24"/>
        </w:rPr>
        <w:t>,</w:t>
      </w:r>
      <w:r w:rsidR="007C4420" w:rsidRPr="008E772B">
        <w:rPr>
          <w:rFonts w:asciiTheme="majorBidi" w:eastAsia="Times New Roman" w:hAnsiTheme="majorBidi" w:cstheme="majorBidi"/>
          <w:bCs/>
          <w:sz w:val="24"/>
          <w:szCs w:val="24"/>
        </w:rPr>
        <w:t xml:space="preserve"> which argues that independent </w:t>
      </w:r>
      <w:r w:rsidR="007C4420" w:rsidRPr="003450F8">
        <w:rPr>
          <w:rFonts w:asciiTheme="majorBidi" w:eastAsia="Times New Roman" w:hAnsiTheme="majorBidi" w:cstheme="majorBidi"/>
          <w:bCs/>
          <w:sz w:val="24"/>
          <w:szCs w:val="24"/>
        </w:rPr>
        <w:t>NEDs</w:t>
      </w:r>
      <w:r w:rsidR="007C4420" w:rsidRPr="008E772B">
        <w:rPr>
          <w:rFonts w:asciiTheme="majorBidi" w:eastAsia="Times New Roman" w:hAnsiTheme="majorBidi" w:cstheme="majorBidi"/>
          <w:bCs/>
          <w:sz w:val="24"/>
          <w:szCs w:val="24"/>
        </w:rPr>
        <w:t xml:space="preserve"> aim </w:t>
      </w:r>
      <w:r w:rsidR="007C4420" w:rsidRPr="008E772B">
        <w:rPr>
          <w:rFonts w:asciiTheme="majorBidi" w:eastAsia="Times New Roman" w:hAnsiTheme="majorBidi" w:cstheme="majorBidi"/>
          <w:bCs/>
          <w:iCs/>
          <w:sz w:val="24"/>
          <w:szCs w:val="24"/>
        </w:rPr>
        <w:t xml:space="preserve">to protect and enhance their reputational capital in the market of directors as expert monitors (Fama </w:t>
      </w:r>
      <w:r w:rsidR="00EE791F" w:rsidRPr="008E772B">
        <w:rPr>
          <w:rFonts w:asciiTheme="majorBidi" w:eastAsia="Times New Roman" w:hAnsiTheme="majorBidi" w:cstheme="majorBidi"/>
          <w:bCs/>
          <w:iCs/>
          <w:sz w:val="24"/>
          <w:szCs w:val="24"/>
        </w:rPr>
        <w:t>&amp;</w:t>
      </w:r>
      <w:r w:rsidR="007C4420" w:rsidRPr="008E772B">
        <w:rPr>
          <w:rFonts w:asciiTheme="majorBidi" w:eastAsia="Times New Roman" w:hAnsiTheme="majorBidi" w:cstheme="majorBidi"/>
          <w:bCs/>
          <w:iCs/>
          <w:sz w:val="24"/>
          <w:szCs w:val="24"/>
        </w:rPr>
        <w:t xml:space="preserve"> Jensen</w:t>
      </w:r>
      <w:r w:rsidR="00EE791F" w:rsidRPr="008E772B">
        <w:rPr>
          <w:rFonts w:asciiTheme="majorBidi" w:eastAsia="Times New Roman" w:hAnsiTheme="majorBidi" w:cstheme="majorBidi"/>
          <w:bCs/>
          <w:iCs/>
          <w:sz w:val="24"/>
          <w:szCs w:val="24"/>
        </w:rPr>
        <w:t>,</w:t>
      </w:r>
      <w:r w:rsidR="007C4420" w:rsidRPr="008E772B">
        <w:rPr>
          <w:rFonts w:asciiTheme="majorBidi" w:eastAsia="Times New Roman" w:hAnsiTheme="majorBidi" w:cstheme="majorBidi"/>
          <w:bCs/>
          <w:iCs/>
          <w:sz w:val="24"/>
          <w:szCs w:val="24"/>
        </w:rPr>
        <w:t xml:space="preserve"> 1983; Gilson</w:t>
      </w:r>
      <w:r w:rsidR="00EE791F" w:rsidRPr="008E772B">
        <w:rPr>
          <w:rFonts w:asciiTheme="majorBidi" w:eastAsia="Times New Roman" w:hAnsiTheme="majorBidi" w:cstheme="majorBidi"/>
          <w:bCs/>
          <w:iCs/>
          <w:sz w:val="24"/>
          <w:szCs w:val="24"/>
        </w:rPr>
        <w:t>,</w:t>
      </w:r>
      <w:r w:rsidR="007C4420" w:rsidRPr="008E772B">
        <w:rPr>
          <w:rFonts w:asciiTheme="majorBidi" w:eastAsia="Times New Roman" w:hAnsiTheme="majorBidi" w:cstheme="majorBidi"/>
          <w:bCs/>
          <w:iCs/>
          <w:sz w:val="24"/>
          <w:szCs w:val="24"/>
        </w:rPr>
        <w:t xml:space="preserve"> 1990)</w:t>
      </w:r>
      <w:r w:rsidR="002426EF">
        <w:rPr>
          <w:rFonts w:asciiTheme="majorBidi" w:eastAsia="Times New Roman" w:hAnsiTheme="majorBidi" w:cstheme="majorBidi"/>
          <w:bCs/>
          <w:iCs/>
          <w:sz w:val="24"/>
          <w:szCs w:val="24"/>
        </w:rPr>
        <w:t xml:space="preserve"> in order</w:t>
      </w:r>
      <w:r w:rsidR="007C4420" w:rsidRPr="008E772B">
        <w:rPr>
          <w:rFonts w:asciiTheme="majorBidi" w:eastAsia="Times New Roman" w:hAnsiTheme="majorBidi" w:cstheme="majorBidi"/>
          <w:bCs/>
          <w:iCs/>
          <w:sz w:val="24"/>
          <w:szCs w:val="24"/>
        </w:rPr>
        <w:t xml:space="preserve"> to avoid legal liability (Gilson</w:t>
      </w:r>
      <w:r w:rsidR="00EE791F" w:rsidRPr="008E772B">
        <w:rPr>
          <w:rFonts w:asciiTheme="majorBidi" w:eastAsia="Times New Roman" w:hAnsiTheme="majorBidi" w:cstheme="majorBidi"/>
          <w:bCs/>
          <w:iCs/>
          <w:sz w:val="24"/>
          <w:szCs w:val="24"/>
        </w:rPr>
        <w:t>,</w:t>
      </w:r>
      <w:r w:rsidR="007C4420" w:rsidRPr="008E772B">
        <w:rPr>
          <w:rFonts w:asciiTheme="majorBidi" w:eastAsia="Times New Roman" w:hAnsiTheme="majorBidi" w:cstheme="majorBidi"/>
          <w:bCs/>
          <w:iCs/>
          <w:sz w:val="24"/>
          <w:szCs w:val="24"/>
        </w:rPr>
        <w:t xml:space="preserve"> 1990) and to protect shareholders’ wealth from losses arising because of </w:t>
      </w:r>
      <w:r w:rsidR="007C4420" w:rsidRPr="008E772B">
        <w:rPr>
          <w:rFonts w:asciiTheme="majorBidi" w:eastAsia="Times New Roman" w:hAnsiTheme="majorBidi" w:cstheme="majorBidi"/>
          <w:bCs/>
          <w:iCs/>
          <w:sz w:val="24"/>
          <w:szCs w:val="24"/>
        </w:rPr>
        <w:lastRenderedPageBreak/>
        <w:t xml:space="preserve">financial reporting problems (Carcello </w:t>
      </w:r>
      <w:r w:rsidR="007C4420" w:rsidRPr="008E772B">
        <w:rPr>
          <w:rFonts w:asciiTheme="majorBidi" w:eastAsia="Times New Roman" w:hAnsiTheme="majorBidi" w:cstheme="majorBidi"/>
          <w:bCs/>
          <w:i/>
          <w:iCs/>
          <w:sz w:val="24"/>
          <w:szCs w:val="24"/>
        </w:rPr>
        <w:t>et al</w:t>
      </w:r>
      <w:r w:rsidR="007C4420" w:rsidRPr="008E772B">
        <w:rPr>
          <w:rFonts w:asciiTheme="majorBidi" w:eastAsia="Times New Roman" w:hAnsiTheme="majorBidi" w:cstheme="majorBidi"/>
          <w:bCs/>
          <w:iCs/>
          <w:sz w:val="24"/>
          <w:szCs w:val="24"/>
        </w:rPr>
        <w:t xml:space="preserve">., 2002) </w:t>
      </w:r>
      <w:r w:rsidR="006350C1" w:rsidRPr="008E772B">
        <w:rPr>
          <w:rFonts w:asciiTheme="majorBidi" w:eastAsia="Times New Roman" w:hAnsiTheme="majorBidi" w:cstheme="majorBidi"/>
          <w:bCs/>
          <w:iCs/>
          <w:sz w:val="24"/>
          <w:szCs w:val="24"/>
        </w:rPr>
        <w:t>th</w:t>
      </w:r>
      <w:r w:rsidR="00AD0715" w:rsidRPr="008E772B">
        <w:rPr>
          <w:rFonts w:asciiTheme="majorBidi" w:eastAsia="Times New Roman" w:hAnsiTheme="majorBidi" w:cstheme="majorBidi"/>
          <w:bCs/>
          <w:iCs/>
          <w:sz w:val="24"/>
          <w:szCs w:val="24"/>
        </w:rPr>
        <w:t>r</w:t>
      </w:r>
      <w:r w:rsidR="006350C1" w:rsidRPr="008E772B">
        <w:rPr>
          <w:rFonts w:asciiTheme="majorBidi" w:eastAsia="Times New Roman" w:hAnsiTheme="majorBidi" w:cstheme="majorBidi"/>
          <w:bCs/>
          <w:iCs/>
          <w:sz w:val="24"/>
          <w:szCs w:val="24"/>
        </w:rPr>
        <w:t>ough</w:t>
      </w:r>
      <w:r w:rsidR="007C4420" w:rsidRPr="008E772B">
        <w:rPr>
          <w:rFonts w:asciiTheme="majorBidi" w:eastAsia="Times New Roman" w:hAnsiTheme="majorBidi" w:cstheme="majorBidi"/>
          <w:bCs/>
          <w:iCs/>
          <w:sz w:val="24"/>
          <w:szCs w:val="24"/>
        </w:rPr>
        <w:t xml:space="preserve"> not associating themselves with poor corporate performance and p</w:t>
      </w:r>
      <w:r w:rsidR="002426EF">
        <w:rPr>
          <w:rFonts w:asciiTheme="majorBidi" w:eastAsia="Times New Roman" w:hAnsiTheme="majorBidi" w:cstheme="majorBidi"/>
          <w:bCs/>
          <w:iCs/>
          <w:sz w:val="24"/>
          <w:szCs w:val="24"/>
        </w:rPr>
        <w:t>erforming</w:t>
      </w:r>
      <w:r w:rsidR="007C4420" w:rsidRPr="008E772B">
        <w:rPr>
          <w:rFonts w:asciiTheme="majorBidi" w:eastAsia="Times New Roman" w:hAnsiTheme="majorBidi" w:cstheme="majorBidi"/>
          <w:bCs/>
          <w:iCs/>
          <w:sz w:val="24"/>
          <w:szCs w:val="24"/>
        </w:rPr>
        <w:t xml:space="preserve"> their monitoring role with due care.</w:t>
      </w:r>
      <w:r w:rsidR="00615B45" w:rsidRPr="008E772B">
        <w:rPr>
          <w:rFonts w:asciiTheme="majorBidi" w:eastAsia="Times New Roman" w:hAnsiTheme="majorBidi" w:cstheme="majorBidi"/>
          <w:bCs/>
          <w:iCs/>
          <w:sz w:val="24"/>
          <w:szCs w:val="24"/>
        </w:rPr>
        <w:t xml:space="preserve"> </w:t>
      </w:r>
      <w:r w:rsidR="00AB670A" w:rsidRPr="008E772B">
        <w:rPr>
          <w:rFonts w:asciiTheme="majorBidi" w:eastAsia="Times New Roman" w:hAnsiTheme="majorBidi" w:cstheme="majorBidi"/>
          <w:bCs/>
          <w:iCs/>
          <w:sz w:val="24"/>
          <w:szCs w:val="24"/>
        </w:rPr>
        <w:t>Th</w:t>
      </w:r>
      <w:r w:rsidR="00AB670A">
        <w:rPr>
          <w:rFonts w:asciiTheme="majorBidi" w:eastAsia="Times New Roman" w:hAnsiTheme="majorBidi" w:cstheme="majorBidi"/>
          <w:bCs/>
          <w:iCs/>
          <w:sz w:val="24"/>
          <w:szCs w:val="24"/>
        </w:rPr>
        <w:t>ese</w:t>
      </w:r>
      <w:r w:rsidR="00AB670A" w:rsidRPr="008E772B">
        <w:rPr>
          <w:rFonts w:asciiTheme="majorBidi" w:eastAsia="Times New Roman" w:hAnsiTheme="majorBidi" w:cstheme="majorBidi"/>
          <w:bCs/>
          <w:iCs/>
          <w:sz w:val="24"/>
          <w:szCs w:val="24"/>
        </w:rPr>
        <w:t xml:space="preserve"> </w:t>
      </w:r>
      <w:r w:rsidR="0045047C" w:rsidRPr="008E772B">
        <w:rPr>
          <w:rFonts w:asciiTheme="majorBidi" w:eastAsia="Times New Roman" w:hAnsiTheme="majorBidi" w:cstheme="majorBidi"/>
          <w:bCs/>
          <w:iCs/>
          <w:sz w:val="24"/>
          <w:szCs w:val="24"/>
        </w:rPr>
        <w:t xml:space="preserve">findings are consistent with a number of previous studies that report positive link </w:t>
      </w:r>
      <w:r w:rsidR="00AE6260">
        <w:rPr>
          <w:rFonts w:asciiTheme="majorBidi" w:eastAsia="Times New Roman" w:hAnsiTheme="majorBidi" w:cstheme="majorBidi"/>
          <w:bCs/>
          <w:iCs/>
          <w:sz w:val="24"/>
          <w:szCs w:val="24"/>
        </w:rPr>
        <w:t>between</w:t>
      </w:r>
      <w:r w:rsidR="00AE6260" w:rsidRPr="008E772B">
        <w:rPr>
          <w:rFonts w:asciiTheme="majorBidi" w:eastAsia="Times New Roman" w:hAnsiTheme="majorBidi" w:cstheme="majorBidi"/>
          <w:bCs/>
          <w:iCs/>
          <w:sz w:val="24"/>
          <w:szCs w:val="24"/>
        </w:rPr>
        <w:t xml:space="preserve"> </w:t>
      </w:r>
      <w:r w:rsidR="0045047C" w:rsidRPr="008E772B">
        <w:rPr>
          <w:rFonts w:asciiTheme="majorBidi" w:eastAsia="Times New Roman" w:hAnsiTheme="majorBidi" w:cstheme="majorBidi"/>
          <w:bCs/>
          <w:iCs/>
          <w:sz w:val="24"/>
          <w:szCs w:val="24"/>
        </w:rPr>
        <w:t>board independence and audit quality (</w:t>
      </w:r>
      <w:r w:rsidR="00BD5589">
        <w:rPr>
          <w:rFonts w:asciiTheme="majorBidi" w:eastAsia="Times New Roman" w:hAnsiTheme="majorBidi" w:cstheme="majorBidi"/>
          <w:bCs/>
          <w:iCs/>
          <w:sz w:val="24"/>
          <w:szCs w:val="24"/>
        </w:rPr>
        <w:t xml:space="preserve">e.g., </w:t>
      </w:r>
      <w:r w:rsidR="0045047C" w:rsidRPr="008E772B">
        <w:rPr>
          <w:rFonts w:asciiTheme="majorBidi" w:eastAsia="Times New Roman" w:hAnsiTheme="majorBidi" w:cstheme="majorBidi"/>
          <w:bCs/>
          <w:iCs/>
          <w:sz w:val="24"/>
          <w:szCs w:val="24"/>
        </w:rPr>
        <w:t xml:space="preserve">O’Sullivan, 2000; Carcello </w:t>
      </w:r>
      <w:r w:rsidR="0045047C" w:rsidRPr="008E772B">
        <w:rPr>
          <w:rFonts w:asciiTheme="majorBidi" w:eastAsia="Times New Roman" w:hAnsiTheme="majorBidi" w:cstheme="majorBidi"/>
          <w:bCs/>
          <w:i/>
          <w:iCs/>
          <w:sz w:val="24"/>
          <w:szCs w:val="24"/>
        </w:rPr>
        <w:t>et al</w:t>
      </w:r>
      <w:r w:rsidR="0045047C" w:rsidRPr="008E772B">
        <w:rPr>
          <w:rFonts w:asciiTheme="majorBidi" w:eastAsia="Times New Roman" w:hAnsiTheme="majorBidi" w:cstheme="majorBidi"/>
          <w:bCs/>
          <w:iCs/>
          <w:sz w:val="24"/>
          <w:szCs w:val="24"/>
        </w:rPr>
        <w:t xml:space="preserve">., 2002; Hay </w:t>
      </w:r>
      <w:r w:rsidR="0045047C" w:rsidRPr="008E772B">
        <w:rPr>
          <w:rFonts w:asciiTheme="majorBidi" w:eastAsia="Times New Roman" w:hAnsiTheme="majorBidi" w:cstheme="majorBidi"/>
          <w:bCs/>
          <w:i/>
          <w:iCs/>
          <w:sz w:val="24"/>
          <w:szCs w:val="24"/>
        </w:rPr>
        <w:t>et al</w:t>
      </w:r>
      <w:r w:rsidR="0045047C" w:rsidRPr="008E772B">
        <w:rPr>
          <w:rFonts w:asciiTheme="majorBidi" w:eastAsia="Times New Roman" w:hAnsiTheme="majorBidi" w:cstheme="majorBidi"/>
          <w:bCs/>
          <w:iCs/>
          <w:sz w:val="24"/>
          <w:szCs w:val="24"/>
        </w:rPr>
        <w:t>., 2008;</w:t>
      </w:r>
      <w:r w:rsidR="00930CF8" w:rsidRPr="00930CF8">
        <w:rPr>
          <w:rFonts w:asciiTheme="majorBidi" w:hAnsiTheme="majorBidi" w:cstheme="majorBidi"/>
          <w:color w:val="000000"/>
          <w:sz w:val="24"/>
          <w:szCs w:val="24"/>
        </w:rPr>
        <w:t xml:space="preserve"> </w:t>
      </w:r>
      <w:r w:rsidR="00930CF8" w:rsidRPr="00930CF8">
        <w:rPr>
          <w:rFonts w:asciiTheme="majorBidi" w:eastAsia="Times New Roman" w:hAnsiTheme="majorBidi" w:cstheme="majorBidi"/>
          <w:bCs/>
          <w:iCs/>
          <w:sz w:val="24"/>
          <w:szCs w:val="24"/>
        </w:rPr>
        <w:t xml:space="preserve">Abdul Hamid </w:t>
      </w:r>
      <w:r w:rsidR="00930CF8">
        <w:rPr>
          <w:rFonts w:asciiTheme="majorBidi" w:eastAsia="Times New Roman" w:hAnsiTheme="majorBidi" w:cstheme="majorBidi"/>
          <w:bCs/>
          <w:iCs/>
          <w:sz w:val="24"/>
          <w:szCs w:val="24"/>
        </w:rPr>
        <w:t>&amp;</w:t>
      </w:r>
      <w:r w:rsidR="00930CF8" w:rsidRPr="00930CF8">
        <w:rPr>
          <w:rFonts w:asciiTheme="majorBidi" w:eastAsia="Times New Roman" w:hAnsiTheme="majorBidi" w:cstheme="majorBidi"/>
          <w:bCs/>
          <w:iCs/>
          <w:sz w:val="24"/>
          <w:szCs w:val="24"/>
        </w:rPr>
        <w:t xml:space="preserve"> Abdullah</w:t>
      </w:r>
      <w:r w:rsidR="00930CF8">
        <w:rPr>
          <w:rFonts w:asciiTheme="majorBidi" w:eastAsia="Times New Roman" w:hAnsiTheme="majorBidi" w:cstheme="majorBidi"/>
          <w:bCs/>
          <w:iCs/>
          <w:sz w:val="24"/>
          <w:szCs w:val="24"/>
        </w:rPr>
        <w:t>,</w:t>
      </w:r>
      <w:r w:rsidR="00930CF8" w:rsidRPr="00930CF8">
        <w:rPr>
          <w:rFonts w:asciiTheme="majorBidi" w:eastAsia="Times New Roman" w:hAnsiTheme="majorBidi" w:cstheme="majorBidi"/>
          <w:bCs/>
          <w:iCs/>
          <w:sz w:val="24"/>
          <w:szCs w:val="24"/>
        </w:rPr>
        <w:t xml:space="preserve"> 2012</w:t>
      </w:r>
      <w:r w:rsidR="00930CF8">
        <w:rPr>
          <w:rFonts w:asciiTheme="majorBidi" w:eastAsia="Times New Roman" w:hAnsiTheme="majorBidi" w:cstheme="majorBidi"/>
          <w:bCs/>
          <w:iCs/>
          <w:sz w:val="24"/>
          <w:szCs w:val="24"/>
        </w:rPr>
        <w:t>;</w:t>
      </w:r>
      <w:r w:rsidR="0045047C" w:rsidRPr="008E772B">
        <w:rPr>
          <w:rFonts w:asciiTheme="majorBidi" w:eastAsia="Times New Roman" w:hAnsiTheme="majorBidi" w:cstheme="majorBidi"/>
          <w:bCs/>
          <w:iCs/>
          <w:sz w:val="24"/>
          <w:szCs w:val="24"/>
        </w:rPr>
        <w:t xml:space="preserve"> Johansen </w:t>
      </w:r>
      <w:r w:rsidR="007D62B8" w:rsidRPr="008E772B">
        <w:rPr>
          <w:rFonts w:asciiTheme="majorBidi" w:eastAsia="Times New Roman" w:hAnsiTheme="majorBidi" w:cstheme="majorBidi"/>
          <w:bCs/>
          <w:iCs/>
          <w:sz w:val="24"/>
          <w:szCs w:val="24"/>
        </w:rPr>
        <w:t>&amp;</w:t>
      </w:r>
      <w:r w:rsidR="0045047C" w:rsidRPr="008E772B">
        <w:rPr>
          <w:rFonts w:asciiTheme="majorBidi" w:eastAsia="Times New Roman" w:hAnsiTheme="majorBidi" w:cstheme="majorBidi"/>
          <w:bCs/>
          <w:iCs/>
          <w:sz w:val="24"/>
          <w:szCs w:val="24"/>
        </w:rPr>
        <w:t xml:space="preserve"> Pettersson, 2013).  </w:t>
      </w:r>
    </w:p>
    <w:p w14:paraId="3A8E7A3A" w14:textId="2C45D71A" w:rsidR="000B76D8" w:rsidRDefault="006E159C" w:rsidP="000B76D8">
      <w:pPr>
        <w:spacing w:after="0" w:line="360" w:lineRule="auto"/>
        <w:ind w:firstLine="720"/>
        <w:jc w:val="lowKashida"/>
        <w:rPr>
          <w:rFonts w:asciiTheme="majorBidi" w:eastAsia="Times New Roman" w:hAnsiTheme="majorBidi" w:cstheme="majorBidi"/>
          <w:bCs/>
          <w:iCs/>
          <w:sz w:val="24"/>
          <w:szCs w:val="24"/>
        </w:rPr>
      </w:pPr>
      <w:r w:rsidRPr="008E772B">
        <w:rPr>
          <w:rFonts w:asciiTheme="majorBidi" w:eastAsia="Times New Roman" w:hAnsiTheme="majorBidi" w:cstheme="majorBidi"/>
          <w:bCs/>
          <w:sz w:val="24"/>
          <w:szCs w:val="24"/>
        </w:rPr>
        <w:t xml:space="preserve">Models </w:t>
      </w:r>
      <w:r w:rsidR="00AE79B0">
        <w:rPr>
          <w:rFonts w:asciiTheme="majorBidi" w:eastAsia="Times New Roman" w:hAnsiTheme="majorBidi" w:cstheme="majorBidi"/>
          <w:bCs/>
          <w:sz w:val="24"/>
          <w:szCs w:val="24"/>
        </w:rPr>
        <w:t>1</w:t>
      </w:r>
      <w:r w:rsidRPr="008E772B">
        <w:rPr>
          <w:rFonts w:asciiTheme="majorBidi" w:eastAsia="Times New Roman" w:hAnsiTheme="majorBidi" w:cstheme="majorBidi"/>
          <w:bCs/>
          <w:sz w:val="24"/>
          <w:szCs w:val="24"/>
        </w:rPr>
        <w:t xml:space="preserve">, </w:t>
      </w:r>
      <w:r w:rsidR="00AE79B0">
        <w:rPr>
          <w:rFonts w:asciiTheme="majorBidi" w:eastAsia="Times New Roman" w:hAnsiTheme="majorBidi" w:cstheme="majorBidi"/>
          <w:bCs/>
          <w:sz w:val="24"/>
          <w:szCs w:val="24"/>
        </w:rPr>
        <w:t>3</w:t>
      </w:r>
      <w:r w:rsidRPr="008E772B">
        <w:rPr>
          <w:rFonts w:asciiTheme="majorBidi" w:eastAsia="Times New Roman" w:hAnsiTheme="majorBidi" w:cstheme="majorBidi"/>
          <w:bCs/>
          <w:sz w:val="24"/>
          <w:szCs w:val="24"/>
        </w:rPr>
        <w:t xml:space="preserve">, </w:t>
      </w:r>
      <w:r w:rsidR="00AE79B0">
        <w:rPr>
          <w:rFonts w:asciiTheme="majorBidi" w:eastAsia="Times New Roman" w:hAnsiTheme="majorBidi" w:cstheme="majorBidi"/>
          <w:bCs/>
          <w:sz w:val="24"/>
          <w:szCs w:val="24"/>
        </w:rPr>
        <w:t>5</w:t>
      </w:r>
      <w:r w:rsidR="00055D9A">
        <w:rPr>
          <w:rFonts w:asciiTheme="majorBidi" w:eastAsia="Times New Roman" w:hAnsiTheme="majorBidi" w:cstheme="majorBidi"/>
          <w:bCs/>
          <w:sz w:val="24"/>
          <w:szCs w:val="24"/>
        </w:rPr>
        <w:t>,</w:t>
      </w:r>
      <w:r w:rsidRPr="008E772B">
        <w:rPr>
          <w:rFonts w:asciiTheme="majorBidi" w:eastAsia="Times New Roman" w:hAnsiTheme="majorBidi" w:cstheme="majorBidi"/>
          <w:bCs/>
          <w:sz w:val="24"/>
          <w:szCs w:val="24"/>
        </w:rPr>
        <w:t xml:space="preserve"> and </w:t>
      </w:r>
      <w:r w:rsidR="00AE79B0">
        <w:rPr>
          <w:rFonts w:asciiTheme="majorBidi" w:eastAsia="Times New Roman" w:hAnsiTheme="majorBidi" w:cstheme="majorBidi"/>
          <w:bCs/>
          <w:sz w:val="24"/>
          <w:szCs w:val="24"/>
        </w:rPr>
        <w:t>7</w:t>
      </w:r>
      <w:r w:rsidR="00363E97" w:rsidRPr="008E772B">
        <w:rPr>
          <w:rFonts w:asciiTheme="majorBidi" w:eastAsia="Times New Roman" w:hAnsiTheme="majorBidi" w:cstheme="majorBidi"/>
          <w:bCs/>
          <w:sz w:val="24"/>
          <w:szCs w:val="24"/>
        </w:rPr>
        <w:t xml:space="preserve"> reveal that </w:t>
      </w:r>
      <w:r w:rsidR="004A1E0D">
        <w:rPr>
          <w:rFonts w:asciiTheme="majorBidi" w:eastAsia="Times New Roman" w:hAnsiTheme="majorBidi" w:cstheme="majorBidi"/>
          <w:bCs/>
          <w:i/>
          <w:iCs/>
          <w:sz w:val="24"/>
          <w:szCs w:val="24"/>
        </w:rPr>
        <w:t>UBL</w:t>
      </w:r>
      <w:r w:rsidR="004A1E0D" w:rsidRPr="008E772B">
        <w:rPr>
          <w:rFonts w:asciiTheme="majorBidi" w:eastAsia="Times New Roman" w:hAnsiTheme="majorBidi" w:cstheme="majorBidi"/>
          <w:bCs/>
          <w:sz w:val="24"/>
          <w:szCs w:val="24"/>
        </w:rPr>
        <w:t xml:space="preserve"> </w:t>
      </w:r>
      <w:r w:rsidR="007C4420" w:rsidRPr="008E772B">
        <w:rPr>
          <w:rFonts w:asciiTheme="majorBidi" w:eastAsia="Times New Roman" w:hAnsiTheme="majorBidi" w:cstheme="majorBidi"/>
          <w:bCs/>
          <w:sz w:val="24"/>
          <w:szCs w:val="24"/>
        </w:rPr>
        <w:t xml:space="preserve">does not impact </w:t>
      </w:r>
      <w:r w:rsidR="00220C0B" w:rsidRPr="00220C0B">
        <w:rPr>
          <w:rFonts w:asciiTheme="majorBidi" w:eastAsia="Times New Roman" w:hAnsiTheme="majorBidi" w:cstheme="majorBidi"/>
          <w:bCs/>
          <w:i/>
          <w:iCs/>
          <w:sz w:val="24"/>
          <w:szCs w:val="24"/>
        </w:rPr>
        <w:t xml:space="preserve">BIG4 </w:t>
      </w:r>
      <w:r w:rsidR="00220C0B" w:rsidRPr="00220C0B">
        <w:rPr>
          <w:rFonts w:asciiTheme="majorBidi" w:eastAsia="Times New Roman" w:hAnsiTheme="majorBidi" w:cstheme="majorBidi"/>
          <w:bCs/>
          <w:sz w:val="24"/>
          <w:szCs w:val="24"/>
        </w:rPr>
        <w:t xml:space="preserve">and </w:t>
      </w:r>
      <w:r w:rsidR="00220C0B" w:rsidRPr="00220C0B">
        <w:rPr>
          <w:rFonts w:asciiTheme="majorBidi" w:eastAsia="Times New Roman" w:hAnsiTheme="majorBidi" w:cstheme="majorBidi"/>
          <w:bCs/>
          <w:i/>
          <w:iCs/>
          <w:sz w:val="24"/>
          <w:szCs w:val="24"/>
        </w:rPr>
        <w:t>LNFE</w:t>
      </w:r>
      <w:r w:rsidRPr="008E772B">
        <w:rPr>
          <w:rFonts w:asciiTheme="majorBidi" w:eastAsia="Times New Roman" w:hAnsiTheme="majorBidi" w:cstheme="majorBidi"/>
          <w:bCs/>
          <w:sz w:val="24"/>
          <w:szCs w:val="24"/>
        </w:rPr>
        <w:t>.</w:t>
      </w:r>
      <w:r w:rsidR="007C4420" w:rsidRPr="008E772B">
        <w:rPr>
          <w:rFonts w:asciiTheme="majorBidi" w:eastAsia="Times New Roman" w:hAnsiTheme="majorBidi" w:cstheme="majorBidi"/>
          <w:bCs/>
          <w:sz w:val="24"/>
          <w:szCs w:val="24"/>
        </w:rPr>
        <w:t xml:space="preserve"> </w:t>
      </w:r>
      <w:r w:rsidR="001D4A30">
        <w:rPr>
          <w:rFonts w:asciiTheme="majorBidi" w:eastAsia="Times New Roman" w:hAnsiTheme="majorBidi" w:cstheme="majorBidi"/>
          <w:bCs/>
          <w:sz w:val="24"/>
          <w:szCs w:val="24"/>
        </w:rPr>
        <w:t>Notably, a</w:t>
      </w:r>
      <w:r w:rsidRPr="008E772B">
        <w:rPr>
          <w:rFonts w:asciiTheme="majorBidi" w:eastAsia="Times New Roman" w:hAnsiTheme="majorBidi" w:cstheme="majorBidi"/>
          <w:bCs/>
          <w:sz w:val="24"/>
          <w:szCs w:val="24"/>
        </w:rPr>
        <w:t>gency theory</w:t>
      </w:r>
      <w:r w:rsidR="007C4420" w:rsidRPr="008E772B">
        <w:rPr>
          <w:rFonts w:asciiTheme="majorBidi" w:eastAsia="Times New Roman" w:hAnsiTheme="majorBidi" w:cstheme="majorBidi"/>
          <w:bCs/>
          <w:sz w:val="24"/>
          <w:szCs w:val="24"/>
        </w:rPr>
        <w:t xml:space="preserve"> suggests that separation of the roles of chairperson and </w:t>
      </w:r>
      <w:r w:rsidR="001D4A30">
        <w:rPr>
          <w:rFonts w:asciiTheme="majorBidi" w:eastAsia="Times New Roman" w:hAnsiTheme="majorBidi" w:cstheme="majorBidi"/>
          <w:bCs/>
          <w:sz w:val="24"/>
          <w:szCs w:val="24"/>
        </w:rPr>
        <w:t xml:space="preserve">that of </w:t>
      </w:r>
      <w:r w:rsidR="007C4420" w:rsidRPr="008E772B">
        <w:rPr>
          <w:rFonts w:asciiTheme="majorBidi" w:eastAsia="Times New Roman" w:hAnsiTheme="majorBidi" w:cstheme="majorBidi"/>
          <w:bCs/>
          <w:sz w:val="24"/>
          <w:szCs w:val="24"/>
        </w:rPr>
        <w:t xml:space="preserve">the CEO enhances the monitoring role of the </w:t>
      </w:r>
      <w:r w:rsidR="007C4420" w:rsidRPr="008E772B">
        <w:rPr>
          <w:rFonts w:asciiTheme="majorBidi" w:eastAsia="Calibri" w:hAnsiTheme="majorBidi" w:cstheme="majorBidi"/>
          <w:sz w:val="24"/>
          <w:szCs w:val="24"/>
        </w:rPr>
        <w:t>board of directors</w:t>
      </w:r>
      <w:r w:rsidR="007C4420" w:rsidRPr="008E772B">
        <w:rPr>
          <w:rFonts w:asciiTheme="majorBidi" w:eastAsia="Times New Roman" w:hAnsiTheme="majorBidi" w:cstheme="majorBidi"/>
          <w:bCs/>
          <w:sz w:val="24"/>
          <w:szCs w:val="24"/>
        </w:rPr>
        <w:t xml:space="preserve"> </w:t>
      </w:r>
      <w:r w:rsidR="007C4420" w:rsidRPr="008E772B">
        <w:rPr>
          <w:rFonts w:asciiTheme="majorBidi" w:eastAsia="Times New Roman" w:hAnsiTheme="majorBidi" w:cstheme="majorBidi"/>
          <w:bCs/>
          <w:iCs/>
          <w:sz w:val="24"/>
          <w:szCs w:val="24"/>
        </w:rPr>
        <w:t xml:space="preserve">(La Porta </w:t>
      </w:r>
      <w:r w:rsidR="007C4420" w:rsidRPr="008E772B">
        <w:rPr>
          <w:rFonts w:asciiTheme="majorBidi" w:eastAsia="Times New Roman" w:hAnsiTheme="majorBidi" w:cstheme="majorBidi"/>
          <w:bCs/>
          <w:i/>
          <w:iCs/>
          <w:sz w:val="24"/>
          <w:szCs w:val="24"/>
        </w:rPr>
        <w:t>et al</w:t>
      </w:r>
      <w:r w:rsidR="007C4420" w:rsidRPr="008E772B">
        <w:rPr>
          <w:rFonts w:asciiTheme="majorBidi" w:eastAsia="Times New Roman" w:hAnsiTheme="majorBidi" w:cstheme="majorBidi"/>
          <w:bCs/>
          <w:iCs/>
          <w:sz w:val="24"/>
          <w:szCs w:val="24"/>
        </w:rPr>
        <w:t xml:space="preserve">., 1999; Gelb </w:t>
      </w:r>
      <w:r w:rsidR="00EE791F" w:rsidRPr="008E772B">
        <w:rPr>
          <w:rFonts w:asciiTheme="majorBidi" w:eastAsia="Times New Roman" w:hAnsiTheme="majorBidi" w:cstheme="majorBidi"/>
          <w:bCs/>
          <w:iCs/>
          <w:sz w:val="24"/>
          <w:szCs w:val="24"/>
        </w:rPr>
        <w:t>&amp;</w:t>
      </w:r>
      <w:r w:rsidR="007C4420" w:rsidRPr="008E772B">
        <w:rPr>
          <w:rFonts w:asciiTheme="majorBidi" w:eastAsia="Times New Roman" w:hAnsiTheme="majorBidi" w:cstheme="majorBidi"/>
          <w:bCs/>
          <w:iCs/>
          <w:sz w:val="24"/>
          <w:szCs w:val="24"/>
        </w:rPr>
        <w:t xml:space="preserve"> Zarowin, 2002). Therefore</w:t>
      </w:r>
      <w:r w:rsidR="00BF408E" w:rsidRPr="008E772B">
        <w:rPr>
          <w:rFonts w:asciiTheme="majorBidi" w:eastAsia="Times New Roman" w:hAnsiTheme="majorBidi" w:cstheme="majorBidi"/>
          <w:bCs/>
          <w:iCs/>
          <w:sz w:val="24"/>
          <w:szCs w:val="24"/>
        </w:rPr>
        <w:t>,</w:t>
      </w:r>
      <w:r w:rsidR="007C4420" w:rsidRPr="008E772B">
        <w:rPr>
          <w:rFonts w:asciiTheme="majorBidi" w:eastAsia="Times New Roman" w:hAnsiTheme="majorBidi" w:cstheme="majorBidi"/>
          <w:bCs/>
          <w:iCs/>
          <w:sz w:val="24"/>
          <w:szCs w:val="24"/>
        </w:rPr>
        <w:t xml:space="preserve"> firms with separate CEO/chairperson roles are more likely to</w:t>
      </w:r>
      <w:r w:rsidRPr="008E772B">
        <w:rPr>
          <w:rFonts w:asciiTheme="majorBidi" w:eastAsia="Times New Roman" w:hAnsiTheme="majorBidi" w:cstheme="majorBidi"/>
          <w:bCs/>
          <w:sz w:val="24"/>
          <w:szCs w:val="24"/>
        </w:rPr>
        <w:t xml:space="preserve"> employ </w:t>
      </w:r>
      <w:r w:rsidR="00792B4D">
        <w:rPr>
          <w:rFonts w:asciiTheme="majorBidi" w:eastAsia="Times New Roman" w:hAnsiTheme="majorBidi" w:cstheme="majorBidi"/>
          <w:bCs/>
          <w:sz w:val="24"/>
          <w:szCs w:val="24"/>
        </w:rPr>
        <w:t xml:space="preserve">a </w:t>
      </w:r>
      <w:r w:rsidRPr="008E772B">
        <w:rPr>
          <w:rFonts w:asciiTheme="majorBidi" w:eastAsia="Times New Roman" w:hAnsiTheme="majorBidi" w:cstheme="majorBidi"/>
          <w:bCs/>
          <w:iCs/>
          <w:sz w:val="24"/>
          <w:szCs w:val="24"/>
        </w:rPr>
        <w:t>Big 4</w:t>
      </w:r>
      <w:r w:rsidR="007C4420" w:rsidRPr="008E772B">
        <w:rPr>
          <w:rFonts w:asciiTheme="majorBidi" w:eastAsia="Times New Roman" w:hAnsiTheme="majorBidi" w:cstheme="majorBidi"/>
          <w:bCs/>
          <w:iCs/>
          <w:sz w:val="24"/>
          <w:szCs w:val="24"/>
        </w:rPr>
        <w:t xml:space="preserve"> </w:t>
      </w:r>
      <w:r w:rsidR="00A47022" w:rsidRPr="008E772B">
        <w:rPr>
          <w:rFonts w:asciiTheme="majorBidi" w:eastAsia="Times New Roman" w:hAnsiTheme="majorBidi" w:cstheme="majorBidi"/>
          <w:bCs/>
          <w:iCs/>
          <w:sz w:val="24"/>
          <w:szCs w:val="24"/>
        </w:rPr>
        <w:t xml:space="preserve">auditor </w:t>
      </w:r>
      <w:r w:rsidRPr="008E772B">
        <w:rPr>
          <w:rFonts w:asciiTheme="majorBidi" w:eastAsia="Times New Roman" w:hAnsiTheme="majorBidi" w:cstheme="majorBidi"/>
          <w:bCs/>
          <w:iCs/>
          <w:sz w:val="24"/>
          <w:szCs w:val="24"/>
        </w:rPr>
        <w:t xml:space="preserve">and </w:t>
      </w:r>
      <w:r w:rsidR="00363E97" w:rsidRPr="008E772B">
        <w:rPr>
          <w:rFonts w:asciiTheme="majorBidi" w:eastAsia="Times New Roman" w:hAnsiTheme="majorBidi" w:cstheme="majorBidi"/>
          <w:bCs/>
          <w:iCs/>
          <w:sz w:val="24"/>
          <w:szCs w:val="24"/>
        </w:rPr>
        <w:t xml:space="preserve">pay </w:t>
      </w:r>
      <w:r w:rsidR="00792B4D" w:rsidRPr="00792B4D">
        <w:rPr>
          <w:rFonts w:asciiTheme="majorBidi" w:eastAsia="Times New Roman" w:hAnsiTheme="majorBidi" w:cstheme="majorBidi"/>
          <w:bCs/>
          <w:iCs/>
          <w:sz w:val="24"/>
          <w:szCs w:val="24"/>
        </w:rPr>
        <w:t xml:space="preserve">higher </w:t>
      </w:r>
      <w:r w:rsidR="00363E97" w:rsidRPr="008E772B">
        <w:rPr>
          <w:rFonts w:asciiTheme="majorBidi" w:eastAsia="Times New Roman" w:hAnsiTheme="majorBidi" w:cstheme="majorBidi"/>
          <w:bCs/>
          <w:iCs/>
          <w:sz w:val="24"/>
          <w:szCs w:val="24"/>
        </w:rPr>
        <w:t>a</w:t>
      </w:r>
      <w:r w:rsidR="007C4420" w:rsidRPr="008E772B">
        <w:rPr>
          <w:rFonts w:asciiTheme="majorBidi" w:eastAsia="Times New Roman" w:hAnsiTheme="majorBidi" w:cstheme="majorBidi"/>
          <w:bCs/>
          <w:iCs/>
          <w:sz w:val="24"/>
          <w:szCs w:val="24"/>
        </w:rPr>
        <w:t>udit</w:t>
      </w:r>
      <w:r w:rsidR="00363E97" w:rsidRPr="008E772B">
        <w:rPr>
          <w:rFonts w:asciiTheme="majorBidi" w:eastAsia="Times New Roman" w:hAnsiTheme="majorBidi" w:cstheme="majorBidi"/>
          <w:bCs/>
          <w:iCs/>
          <w:sz w:val="24"/>
          <w:szCs w:val="24"/>
        </w:rPr>
        <w:t xml:space="preserve"> fees</w:t>
      </w:r>
      <w:r w:rsidR="007C4420" w:rsidRPr="008E772B">
        <w:rPr>
          <w:rFonts w:asciiTheme="majorBidi" w:eastAsia="Times New Roman" w:hAnsiTheme="majorBidi" w:cstheme="majorBidi"/>
          <w:bCs/>
          <w:iCs/>
          <w:sz w:val="24"/>
          <w:szCs w:val="24"/>
        </w:rPr>
        <w:t>.</w:t>
      </w:r>
      <w:r w:rsidRPr="008E772B">
        <w:rPr>
          <w:rFonts w:asciiTheme="majorBidi" w:eastAsia="Times New Roman" w:hAnsiTheme="majorBidi" w:cstheme="majorBidi"/>
          <w:bCs/>
          <w:iCs/>
          <w:sz w:val="24"/>
          <w:szCs w:val="24"/>
        </w:rPr>
        <w:t xml:space="preserve"> Our</w:t>
      </w:r>
      <w:r w:rsidR="00363E97" w:rsidRPr="008E772B">
        <w:rPr>
          <w:rFonts w:asciiTheme="majorBidi" w:eastAsia="Times New Roman" w:hAnsiTheme="majorBidi" w:cstheme="majorBidi"/>
          <w:bCs/>
          <w:iCs/>
          <w:sz w:val="24"/>
          <w:szCs w:val="24"/>
        </w:rPr>
        <w:t xml:space="preserve"> findings are </w:t>
      </w:r>
      <w:r w:rsidRPr="008E772B">
        <w:rPr>
          <w:rFonts w:asciiTheme="majorBidi" w:eastAsia="Times New Roman" w:hAnsiTheme="majorBidi" w:cstheme="majorBidi"/>
          <w:bCs/>
          <w:iCs/>
          <w:sz w:val="24"/>
          <w:szCs w:val="24"/>
        </w:rPr>
        <w:t>in</w:t>
      </w:r>
      <w:r w:rsidR="00363E97" w:rsidRPr="008E772B">
        <w:rPr>
          <w:rFonts w:asciiTheme="majorBidi" w:eastAsia="Times New Roman" w:hAnsiTheme="majorBidi" w:cstheme="majorBidi"/>
          <w:bCs/>
          <w:iCs/>
          <w:sz w:val="24"/>
          <w:szCs w:val="24"/>
        </w:rPr>
        <w:t xml:space="preserve">consistent with a number of previous results that have found negative impact of </w:t>
      </w:r>
      <w:r w:rsidR="00A16F4C" w:rsidRPr="00A16F4C">
        <w:rPr>
          <w:rFonts w:asciiTheme="majorBidi" w:eastAsia="Times New Roman" w:hAnsiTheme="majorBidi" w:cstheme="majorBidi"/>
          <w:bCs/>
          <w:iCs/>
          <w:sz w:val="24"/>
          <w:szCs w:val="24"/>
        </w:rPr>
        <w:t xml:space="preserve">unitary </w:t>
      </w:r>
      <w:r w:rsidR="00363E97" w:rsidRPr="008E772B">
        <w:rPr>
          <w:rFonts w:asciiTheme="majorBidi" w:eastAsia="Times New Roman" w:hAnsiTheme="majorBidi" w:cstheme="majorBidi"/>
          <w:bCs/>
          <w:iCs/>
          <w:sz w:val="24"/>
          <w:szCs w:val="24"/>
        </w:rPr>
        <w:t xml:space="preserve">board leadership on audit </w:t>
      </w:r>
      <w:r w:rsidR="00F26826" w:rsidRPr="008E772B">
        <w:rPr>
          <w:rFonts w:asciiTheme="majorBidi" w:eastAsia="Times New Roman" w:hAnsiTheme="majorBidi" w:cstheme="majorBidi"/>
          <w:bCs/>
          <w:iCs/>
          <w:sz w:val="24"/>
          <w:szCs w:val="24"/>
        </w:rPr>
        <w:t xml:space="preserve">quality (e.g., Lin </w:t>
      </w:r>
      <w:r w:rsidR="00055D9A">
        <w:rPr>
          <w:rFonts w:asciiTheme="majorBidi" w:eastAsia="Times New Roman" w:hAnsiTheme="majorBidi" w:cstheme="majorBidi"/>
          <w:bCs/>
          <w:sz w:val="24"/>
          <w:szCs w:val="24"/>
        </w:rPr>
        <w:t>&amp;</w:t>
      </w:r>
      <w:r w:rsidR="00055D9A" w:rsidRPr="008E772B">
        <w:rPr>
          <w:rFonts w:asciiTheme="majorBidi" w:eastAsia="Times New Roman" w:hAnsiTheme="majorBidi" w:cstheme="majorBidi"/>
          <w:bCs/>
          <w:iCs/>
          <w:sz w:val="24"/>
          <w:szCs w:val="24"/>
        </w:rPr>
        <w:t xml:space="preserve"> </w:t>
      </w:r>
      <w:r w:rsidR="00F26826" w:rsidRPr="008E772B">
        <w:rPr>
          <w:rFonts w:asciiTheme="majorBidi" w:eastAsia="Times New Roman" w:hAnsiTheme="majorBidi" w:cstheme="majorBidi"/>
          <w:bCs/>
          <w:iCs/>
          <w:sz w:val="24"/>
          <w:szCs w:val="24"/>
        </w:rPr>
        <w:t>Liu, 2009, 2010</w:t>
      </w:r>
      <w:r w:rsidR="002509EA" w:rsidRPr="008E772B">
        <w:rPr>
          <w:rFonts w:asciiTheme="majorBidi" w:eastAsia="Times New Roman" w:hAnsiTheme="majorBidi" w:cstheme="majorBidi"/>
          <w:bCs/>
          <w:iCs/>
          <w:sz w:val="24"/>
          <w:szCs w:val="24"/>
        </w:rPr>
        <w:t xml:space="preserve">; Asthana </w:t>
      </w:r>
      <w:r w:rsidR="002509EA" w:rsidRPr="008E772B">
        <w:rPr>
          <w:rFonts w:asciiTheme="majorBidi" w:eastAsia="Times New Roman" w:hAnsiTheme="majorBidi" w:cstheme="majorBidi"/>
          <w:bCs/>
          <w:i/>
          <w:iCs/>
          <w:sz w:val="24"/>
          <w:szCs w:val="24"/>
        </w:rPr>
        <w:t>et al</w:t>
      </w:r>
      <w:r w:rsidR="002509EA" w:rsidRPr="008E772B">
        <w:rPr>
          <w:rFonts w:asciiTheme="majorBidi" w:eastAsia="Times New Roman" w:hAnsiTheme="majorBidi" w:cstheme="majorBidi"/>
          <w:bCs/>
          <w:iCs/>
          <w:sz w:val="24"/>
          <w:szCs w:val="24"/>
        </w:rPr>
        <w:t>. 2010</w:t>
      </w:r>
      <w:r w:rsidR="00F26826" w:rsidRPr="008E772B">
        <w:rPr>
          <w:rFonts w:asciiTheme="majorBidi" w:eastAsia="Times New Roman" w:hAnsiTheme="majorBidi" w:cstheme="majorBidi"/>
          <w:bCs/>
          <w:iCs/>
          <w:sz w:val="24"/>
          <w:szCs w:val="24"/>
        </w:rPr>
        <w:t xml:space="preserve">), </w:t>
      </w:r>
      <w:r w:rsidRPr="008E772B">
        <w:rPr>
          <w:rFonts w:asciiTheme="majorBidi" w:eastAsia="Times New Roman" w:hAnsiTheme="majorBidi" w:cstheme="majorBidi"/>
          <w:bCs/>
          <w:iCs/>
          <w:sz w:val="24"/>
          <w:szCs w:val="24"/>
        </w:rPr>
        <w:t xml:space="preserve">but it is </w:t>
      </w:r>
      <w:r w:rsidR="00F26826" w:rsidRPr="008E772B">
        <w:rPr>
          <w:rFonts w:asciiTheme="majorBidi" w:eastAsia="Times New Roman" w:hAnsiTheme="majorBidi" w:cstheme="majorBidi"/>
          <w:bCs/>
          <w:iCs/>
          <w:sz w:val="24"/>
          <w:szCs w:val="24"/>
        </w:rPr>
        <w:t>consistent with other past evidence that report insignificant link between</w:t>
      </w:r>
      <w:r w:rsidR="00F26826" w:rsidRPr="008E772B">
        <w:rPr>
          <w:rFonts w:asciiTheme="majorBidi" w:eastAsia="Times New Roman" w:hAnsiTheme="majorBidi" w:cstheme="majorBidi"/>
          <w:bCs/>
          <w:i/>
          <w:iCs/>
          <w:sz w:val="24"/>
          <w:szCs w:val="24"/>
        </w:rPr>
        <w:t xml:space="preserve"> </w:t>
      </w:r>
      <w:r w:rsidR="00A16F4C" w:rsidRPr="00A16F4C">
        <w:rPr>
          <w:rFonts w:asciiTheme="majorBidi" w:eastAsia="Times New Roman" w:hAnsiTheme="majorBidi" w:cstheme="majorBidi"/>
          <w:bCs/>
          <w:sz w:val="24"/>
          <w:szCs w:val="24"/>
        </w:rPr>
        <w:t>unitary board leadership</w:t>
      </w:r>
      <w:r w:rsidR="00A16F4C" w:rsidRPr="00A16F4C">
        <w:rPr>
          <w:rFonts w:asciiTheme="majorBidi" w:eastAsia="Times New Roman" w:hAnsiTheme="majorBidi" w:cstheme="majorBidi"/>
          <w:bCs/>
          <w:i/>
          <w:iCs/>
          <w:sz w:val="24"/>
          <w:szCs w:val="24"/>
        </w:rPr>
        <w:t xml:space="preserve"> </w:t>
      </w:r>
      <w:r w:rsidR="00F26826" w:rsidRPr="008E772B">
        <w:rPr>
          <w:rFonts w:asciiTheme="majorBidi" w:eastAsia="Times New Roman" w:hAnsiTheme="majorBidi" w:cstheme="majorBidi"/>
          <w:bCs/>
          <w:sz w:val="24"/>
          <w:szCs w:val="24"/>
        </w:rPr>
        <w:t xml:space="preserve">and audit </w:t>
      </w:r>
      <w:r w:rsidR="008E30A3">
        <w:rPr>
          <w:rFonts w:asciiTheme="majorBidi" w:eastAsia="Times New Roman" w:hAnsiTheme="majorBidi" w:cstheme="majorBidi"/>
          <w:bCs/>
          <w:sz w:val="24"/>
          <w:szCs w:val="24"/>
        </w:rPr>
        <w:t>quality</w:t>
      </w:r>
      <w:r w:rsidR="008E30A3" w:rsidRPr="008E772B">
        <w:rPr>
          <w:rFonts w:asciiTheme="majorBidi" w:eastAsia="Times New Roman" w:hAnsiTheme="majorBidi" w:cstheme="majorBidi"/>
          <w:bCs/>
          <w:sz w:val="24"/>
          <w:szCs w:val="24"/>
        </w:rPr>
        <w:t xml:space="preserve"> </w:t>
      </w:r>
      <w:r w:rsidR="002509EA" w:rsidRPr="008E772B">
        <w:rPr>
          <w:rFonts w:asciiTheme="majorBidi" w:eastAsia="Times New Roman" w:hAnsiTheme="majorBidi" w:cstheme="majorBidi"/>
          <w:bCs/>
          <w:sz w:val="24"/>
          <w:szCs w:val="24"/>
        </w:rPr>
        <w:t>(</w:t>
      </w:r>
      <w:r w:rsidR="00BD5589" w:rsidRPr="00BD5589">
        <w:rPr>
          <w:rFonts w:asciiTheme="majorBidi" w:eastAsia="Times New Roman" w:hAnsiTheme="majorBidi" w:cstheme="majorBidi"/>
          <w:bCs/>
          <w:iCs/>
          <w:sz w:val="24"/>
          <w:szCs w:val="24"/>
        </w:rPr>
        <w:t xml:space="preserve">e.g., </w:t>
      </w:r>
      <w:r w:rsidR="002509EA" w:rsidRPr="008E772B">
        <w:rPr>
          <w:rFonts w:asciiTheme="majorBidi" w:eastAsia="Times New Roman" w:hAnsiTheme="majorBidi" w:cstheme="majorBidi"/>
          <w:bCs/>
          <w:iCs/>
          <w:sz w:val="24"/>
          <w:szCs w:val="24"/>
        </w:rPr>
        <w:t>O’Sullivan, 2000</w:t>
      </w:r>
      <w:r w:rsidR="00930CF8">
        <w:rPr>
          <w:rFonts w:asciiTheme="majorBidi" w:eastAsia="Times New Roman" w:hAnsiTheme="majorBidi" w:cstheme="majorBidi"/>
          <w:bCs/>
          <w:iCs/>
          <w:sz w:val="24"/>
          <w:szCs w:val="24"/>
        </w:rPr>
        <w:t>;</w:t>
      </w:r>
      <w:r w:rsidR="00930CF8" w:rsidRPr="00930CF8">
        <w:rPr>
          <w:rFonts w:asciiTheme="majorBidi" w:hAnsiTheme="majorBidi" w:cstheme="majorBidi"/>
          <w:color w:val="000000"/>
          <w:sz w:val="24"/>
          <w:szCs w:val="24"/>
        </w:rPr>
        <w:t xml:space="preserve"> </w:t>
      </w:r>
      <w:r w:rsidR="00930CF8" w:rsidRPr="00930CF8">
        <w:rPr>
          <w:rFonts w:asciiTheme="majorBidi" w:eastAsia="Times New Roman" w:hAnsiTheme="majorBidi" w:cstheme="majorBidi"/>
          <w:bCs/>
          <w:iCs/>
          <w:sz w:val="24"/>
          <w:szCs w:val="24"/>
        </w:rPr>
        <w:t xml:space="preserve">Abdul Hamid </w:t>
      </w:r>
      <w:r w:rsidR="00930CF8">
        <w:rPr>
          <w:rFonts w:asciiTheme="majorBidi" w:eastAsia="Times New Roman" w:hAnsiTheme="majorBidi" w:cstheme="majorBidi"/>
          <w:bCs/>
          <w:iCs/>
          <w:sz w:val="24"/>
          <w:szCs w:val="24"/>
        </w:rPr>
        <w:t>&amp;</w:t>
      </w:r>
      <w:r w:rsidR="00930CF8" w:rsidRPr="00930CF8">
        <w:rPr>
          <w:rFonts w:asciiTheme="majorBidi" w:eastAsia="Times New Roman" w:hAnsiTheme="majorBidi" w:cstheme="majorBidi"/>
          <w:bCs/>
          <w:iCs/>
          <w:sz w:val="24"/>
          <w:szCs w:val="24"/>
        </w:rPr>
        <w:t xml:space="preserve"> Abdullah</w:t>
      </w:r>
      <w:r w:rsidR="00930CF8">
        <w:rPr>
          <w:rFonts w:asciiTheme="majorBidi" w:eastAsia="Times New Roman" w:hAnsiTheme="majorBidi" w:cstheme="majorBidi"/>
          <w:bCs/>
          <w:iCs/>
          <w:sz w:val="24"/>
          <w:szCs w:val="24"/>
        </w:rPr>
        <w:t xml:space="preserve">, </w:t>
      </w:r>
      <w:r w:rsidR="00930CF8" w:rsidRPr="00930CF8">
        <w:rPr>
          <w:rFonts w:asciiTheme="majorBidi" w:eastAsia="Times New Roman" w:hAnsiTheme="majorBidi" w:cstheme="majorBidi"/>
          <w:bCs/>
          <w:iCs/>
          <w:sz w:val="24"/>
          <w:szCs w:val="24"/>
        </w:rPr>
        <w:t>2012</w:t>
      </w:r>
      <w:r w:rsidR="002509EA" w:rsidRPr="008E772B">
        <w:rPr>
          <w:rFonts w:asciiTheme="majorBidi" w:eastAsia="Times New Roman" w:hAnsiTheme="majorBidi" w:cstheme="majorBidi"/>
          <w:bCs/>
          <w:sz w:val="24"/>
          <w:szCs w:val="24"/>
        </w:rPr>
        <w:t>)</w:t>
      </w:r>
      <w:r w:rsidR="00F26826" w:rsidRPr="008E772B">
        <w:rPr>
          <w:rFonts w:asciiTheme="majorBidi" w:eastAsia="Times New Roman" w:hAnsiTheme="majorBidi" w:cstheme="majorBidi"/>
          <w:bCs/>
          <w:iCs/>
          <w:sz w:val="24"/>
          <w:szCs w:val="24"/>
        </w:rPr>
        <w:t>.</w:t>
      </w:r>
      <w:r w:rsidR="00636437">
        <w:rPr>
          <w:rFonts w:asciiTheme="majorBidi" w:eastAsia="Times New Roman" w:hAnsiTheme="majorBidi" w:cstheme="majorBidi"/>
          <w:bCs/>
          <w:iCs/>
          <w:sz w:val="24"/>
          <w:szCs w:val="24"/>
        </w:rPr>
        <w:t xml:space="preserve"> </w:t>
      </w:r>
    </w:p>
    <w:p w14:paraId="481EF048" w14:textId="49008D0F" w:rsidR="009A1437" w:rsidRDefault="002739E9" w:rsidP="00A7695B">
      <w:pPr>
        <w:spacing w:after="0" w:line="360" w:lineRule="auto"/>
        <w:ind w:firstLine="720"/>
        <w:jc w:val="lowKashida"/>
        <w:rPr>
          <w:rFonts w:asciiTheme="majorBidi" w:eastAsia="Times New Roman" w:hAnsiTheme="majorBidi" w:cstheme="majorBidi"/>
          <w:bCs/>
          <w:iCs/>
          <w:sz w:val="24"/>
          <w:szCs w:val="24"/>
        </w:rPr>
      </w:pPr>
      <w:r w:rsidRPr="000972D1">
        <w:rPr>
          <w:rFonts w:asciiTheme="majorBidi" w:eastAsia="Times New Roman" w:hAnsiTheme="majorBidi" w:cstheme="majorBidi"/>
          <w:bCs/>
          <w:iCs/>
          <w:sz w:val="24"/>
          <w:szCs w:val="24"/>
        </w:rPr>
        <w:t xml:space="preserve">We develop our board governance index </w:t>
      </w:r>
      <w:r w:rsidR="000B76D8" w:rsidRPr="000972D1">
        <w:rPr>
          <w:rFonts w:asciiTheme="majorBidi" w:eastAsia="Times New Roman" w:hAnsiTheme="majorBidi" w:cstheme="majorBidi"/>
          <w:bCs/>
          <w:iCs/>
          <w:sz w:val="24"/>
          <w:szCs w:val="24"/>
        </w:rPr>
        <w:t>(</w:t>
      </w:r>
      <w:r w:rsidR="000B76D8" w:rsidRPr="000972D1">
        <w:rPr>
          <w:rFonts w:asciiTheme="majorBidi" w:eastAsia="Times New Roman" w:hAnsiTheme="majorBidi" w:cstheme="majorBidi"/>
          <w:bCs/>
          <w:i/>
          <w:iCs/>
          <w:sz w:val="24"/>
          <w:szCs w:val="24"/>
        </w:rPr>
        <w:t>BRDGI</w:t>
      </w:r>
      <w:r w:rsidR="000B76D8" w:rsidRPr="000972D1">
        <w:rPr>
          <w:rFonts w:asciiTheme="majorBidi" w:eastAsia="Times New Roman" w:hAnsiTheme="majorBidi" w:cstheme="majorBidi"/>
          <w:bCs/>
          <w:iCs/>
          <w:sz w:val="24"/>
          <w:szCs w:val="24"/>
        </w:rPr>
        <w:t xml:space="preserve">) </w:t>
      </w:r>
      <w:r w:rsidRPr="000972D1">
        <w:rPr>
          <w:rFonts w:asciiTheme="majorBidi" w:eastAsia="Times New Roman" w:hAnsiTheme="majorBidi" w:cstheme="majorBidi"/>
          <w:bCs/>
          <w:iCs/>
          <w:sz w:val="24"/>
          <w:szCs w:val="24"/>
        </w:rPr>
        <w:t>with the available governance variables for our sample, following previous studies (e.g., Al-Najjar, 2015</w:t>
      </w:r>
      <w:r w:rsidR="00BC03DE" w:rsidRPr="000972D1">
        <w:rPr>
          <w:rFonts w:asciiTheme="majorBidi" w:eastAsia="Times New Roman" w:hAnsiTheme="majorBidi" w:cstheme="majorBidi"/>
          <w:bCs/>
          <w:iCs/>
          <w:sz w:val="24"/>
          <w:szCs w:val="24"/>
        </w:rPr>
        <w:t xml:space="preserve">; Ben-Hassoun </w:t>
      </w:r>
      <w:r w:rsidR="00BC03DE" w:rsidRPr="000972D1">
        <w:rPr>
          <w:rFonts w:asciiTheme="majorBidi" w:eastAsia="Times New Roman" w:hAnsiTheme="majorBidi" w:cstheme="majorBidi"/>
          <w:bCs/>
          <w:i/>
          <w:iCs/>
          <w:sz w:val="24"/>
          <w:szCs w:val="24"/>
        </w:rPr>
        <w:t>et al</w:t>
      </w:r>
      <w:r w:rsidR="00BC03DE" w:rsidRPr="000972D1">
        <w:rPr>
          <w:rFonts w:asciiTheme="majorBidi" w:eastAsia="Times New Roman" w:hAnsiTheme="majorBidi" w:cstheme="majorBidi"/>
          <w:bCs/>
          <w:iCs/>
          <w:sz w:val="24"/>
          <w:szCs w:val="24"/>
        </w:rPr>
        <w:t>., 2018</w:t>
      </w:r>
      <w:r w:rsidRPr="000972D1">
        <w:rPr>
          <w:rFonts w:asciiTheme="majorBidi" w:eastAsia="Times New Roman" w:hAnsiTheme="majorBidi" w:cstheme="majorBidi"/>
          <w:bCs/>
          <w:iCs/>
          <w:sz w:val="24"/>
          <w:szCs w:val="24"/>
        </w:rPr>
        <w:t xml:space="preserve">). The governance variables included in this </w:t>
      </w:r>
      <w:r w:rsidR="00AE6260" w:rsidRPr="000972D1">
        <w:rPr>
          <w:rFonts w:asciiTheme="majorBidi" w:eastAsia="Times New Roman" w:hAnsiTheme="majorBidi" w:cstheme="majorBidi"/>
          <w:bCs/>
          <w:iCs/>
          <w:sz w:val="24"/>
          <w:szCs w:val="24"/>
        </w:rPr>
        <w:t>ind</w:t>
      </w:r>
      <w:r w:rsidR="001D4A30">
        <w:rPr>
          <w:rFonts w:asciiTheme="majorBidi" w:eastAsia="Times New Roman" w:hAnsiTheme="majorBidi" w:cstheme="majorBidi"/>
          <w:bCs/>
          <w:iCs/>
          <w:sz w:val="24"/>
          <w:szCs w:val="24"/>
        </w:rPr>
        <w:t>e</w:t>
      </w:r>
      <w:r w:rsidR="00AE6260" w:rsidRPr="000972D1">
        <w:rPr>
          <w:rFonts w:asciiTheme="majorBidi" w:eastAsia="Times New Roman" w:hAnsiTheme="majorBidi" w:cstheme="majorBidi"/>
          <w:bCs/>
          <w:iCs/>
          <w:sz w:val="24"/>
          <w:szCs w:val="24"/>
        </w:rPr>
        <w:t xml:space="preserve">x </w:t>
      </w:r>
      <w:r w:rsidRPr="000972D1">
        <w:rPr>
          <w:rFonts w:asciiTheme="majorBidi" w:eastAsia="Times New Roman" w:hAnsiTheme="majorBidi" w:cstheme="majorBidi"/>
          <w:bCs/>
          <w:iCs/>
          <w:sz w:val="24"/>
          <w:szCs w:val="24"/>
        </w:rPr>
        <w:t>are as follows: board size</w:t>
      </w:r>
      <w:r w:rsidR="001D4A30">
        <w:rPr>
          <w:rFonts w:asciiTheme="majorBidi" w:eastAsia="Times New Roman" w:hAnsiTheme="majorBidi" w:cstheme="majorBidi"/>
          <w:bCs/>
          <w:iCs/>
          <w:sz w:val="24"/>
          <w:szCs w:val="24"/>
        </w:rPr>
        <w:t>;</w:t>
      </w:r>
      <w:r w:rsidRPr="000972D1">
        <w:rPr>
          <w:rFonts w:asciiTheme="majorBidi" w:eastAsia="Times New Roman" w:hAnsiTheme="majorBidi" w:cstheme="majorBidi"/>
          <w:bCs/>
          <w:iCs/>
          <w:sz w:val="24"/>
          <w:szCs w:val="24"/>
        </w:rPr>
        <w:t xml:space="preserve"> board independence</w:t>
      </w:r>
      <w:r w:rsidR="001D4A30">
        <w:rPr>
          <w:rFonts w:asciiTheme="majorBidi" w:eastAsia="Times New Roman" w:hAnsiTheme="majorBidi" w:cstheme="majorBidi"/>
          <w:bCs/>
          <w:iCs/>
          <w:sz w:val="24"/>
          <w:szCs w:val="24"/>
        </w:rPr>
        <w:t>;</w:t>
      </w:r>
      <w:r w:rsidR="001345EB" w:rsidRPr="000972D1">
        <w:rPr>
          <w:rFonts w:asciiTheme="majorBidi" w:eastAsia="Times New Roman" w:hAnsiTheme="majorBidi" w:cstheme="majorBidi"/>
          <w:bCs/>
          <w:iCs/>
          <w:sz w:val="24"/>
          <w:szCs w:val="24"/>
        </w:rPr>
        <w:t xml:space="preserve"> and</w:t>
      </w:r>
      <w:r w:rsidRPr="000972D1">
        <w:rPr>
          <w:rFonts w:asciiTheme="majorBidi" w:eastAsia="Times New Roman" w:hAnsiTheme="majorBidi" w:cstheme="majorBidi"/>
          <w:bCs/>
          <w:iCs/>
          <w:sz w:val="24"/>
          <w:szCs w:val="24"/>
        </w:rPr>
        <w:t xml:space="preserve"> board leadership structure. The scale ranges from 0 to 3 (equal weights).</w:t>
      </w:r>
      <w:r w:rsidRPr="000972D1">
        <w:t xml:space="preserve"> </w:t>
      </w:r>
      <w:r w:rsidRPr="000972D1">
        <w:rPr>
          <w:rFonts w:asciiTheme="majorBidi" w:eastAsia="Times New Roman" w:hAnsiTheme="majorBidi" w:cstheme="majorBidi"/>
          <w:bCs/>
          <w:iCs/>
          <w:sz w:val="24"/>
          <w:szCs w:val="24"/>
        </w:rPr>
        <w:t>If a firm in a year meets all of the components of the governance index</w:t>
      </w:r>
      <w:r w:rsidR="001345EB" w:rsidRPr="000972D1">
        <w:rPr>
          <w:rFonts w:asciiTheme="majorBidi" w:eastAsia="Times New Roman" w:hAnsiTheme="majorBidi" w:cstheme="majorBidi"/>
          <w:bCs/>
          <w:iCs/>
          <w:sz w:val="24"/>
          <w:szCs w:val="24"/>
        </w:rPr>
        <w:t>,</w:t>
      </w:r>
      <w:r w:rsidRPr="000972D1">
        <w:rPr>
          <w:rFonts w:asciiTheme="majorBidi" w:eastAsia="Times New Roman" w:hAnsiTheme="majorBidi" w:cstheme="majorBidi"/>
          <w:bCs/>
          <w:iCs/>
          <w:sz w:val="24"/>
          <w:szCs w:val="24"/>
        </w:rPr>
        <w:t xml:space="preserve"> then</w:t>
      </w:r>
      <w:r w:rsidR="001345EB" w:rsidRPr="000972D1">
        <w:rPr>
          <w:rFonts w:asciiTheme="majorBidi" w:eastAsia="Times New Roman" w:hAnsiTheme="majorBidi" w:cstheme="majorBidi"/>
          <w:bCs/>
          <w:iCs/>
          <w:sz w:val="24"/>
          <w:szCs w:val="24"/>
        </w:rPr>
        <w:t>,</w:t>
      </w:r>
      <w:r w:rsidRPr="000972D1">
        <w:rPr>
          <w:rFonts w:asciiTheme="majorBidi" w:eastAsia="Times New Roman" w:hAnsiTheme="majorBidi" w:cstheme="majorBidi"/>
          <w:bCs/>
          <w:iCs/>
          <w:sz w:val="24"/>
          <w:szCs w:val="24"/>
        </w:rPr>
        <w:t xml:space="preserve"> it is given an index value of 3; and for firms that meet none of the criteria</w:t>
      </w:r>
      <w:r w:rsidR="001345EB" w:rsidRPr="000972D1">
        <w:rPr>
          <w:rFonts w:asciiTheme="majorBidi" w:eastAsia="Times New Roman" w:hAnsiTheme="majorBidi" w:cstheme="majorBidi"/>
          <w:bCs/>
          <w:iCs/>
          <w:sz w:val="24"/>
          <w:szCs w:val="24"/>
        </w:rPr>
        <w:t>,</w:t>
      </w:r>
      <w:r w:rsidRPr="000972D1">
        <w:rPr>
          <w:rFonts w:asciiTheme="majorBidi" w:eastAsia="Times New Roman" w:hAnsiTheme="majorBidi" w:cstheme="majorBidi"/>
          <w:bCs/>
          <w:iCs/>
          <w:sz w:val="24"/>
          <w:szCs w:val="24"/>
        </w:rPr>
        <w:t xml:space="preserve"> a value of 0 is assigned. The construction of the index is based on the recommendations of the </w:t>
      </w:r>
      <w:r w:rsidR="007909F0" w:rsidRPr="000972D1">
        <w:rPr>
          <w:rFonts w:asciiTheme="majorBidi" w:eastAsia="Times New Roman" w:hAnsiTheme="majorBidi" w:cstheme="majorBidi"/>
          <w:bCs/>
          <w:iCs/>
          <w:sz w:val="24"/>
          <w:szCs w:val="24"/>
        </w:rPr>
        <w:t xml:space="preserve">governance codes </w:t>
      </w:r>
      <w:r w:rsidRPr="000972D1">
        <w:rPr>
          <w:rFonts w:asciiTheme="majorBidi" w:eastAsia="Times New Roman" w:hAnsiTheme="majorBidi" w:cstheme="majorBidi"/>
          <w:bCs/>
          <w:iCs/>
          <w:sz w:val="24"/>
          <w:szCs w:val="24"/>
        </w:rPr>
        <w:t xml:space="preserve">in </w:t>
      </w:r>
      <w:r w:rsidR="000B76D8" w:rsidRPr="000972D1">
        <w:rPr>
          <w:rFonts w:asciiTheme="majorBidi" w:eastAsia="Times New Roman" w:hAnsiTheme="majorBidi" w:cstheme="majorBidi"/>
          <w:bCs/>
          <w:iCs/>
          <w:sz w:val="24"/>
          <w:szCs w:val="24"/>
        </w:rPr>
        <w:t xml:space="preserve">each of </w:t>
      </w:r>
      <w:r w:rsidRPr="000972D1">
        <w:rPr>
          <w:rFonts w:asciiTheme="majorBidi" w:eastAsia="Times New Roman" w:hAnsiTheme="majorBidi" w:cstheme="majorBidi"/>
          <w:bCs/>
          <w:iCs/>
          <w:sz w:val="24"/>
          <w:szCs w:val="24"/>
        </w:rPr>
        <w:t xml:space="preserve">the sampled five countries. </w:t>
      </w:r>
      <w:r w:rsidR="000B76D8" w:rsidRPr="000972D1">
        <w:rPr>
          <w:rFonts w:asciiTheme="majorBidi" w:eastAsia="Times New Roman" w:hAnsiTheme="majorBidi" w:cstheme="majorBidi"/>
          <w:bCs/>
          <w:iCs/>
          <w:sz w:val="24"/>
          <w:szCs w:val="24"/>
        </w:rPr>
        <w:t xml:space="preserve">For example, </w:t>
      </w:r>
      <w:r w:rsidR="000B76D8" w:rsidRPr="000972D1">
        <w:rPr>
          <w:rFonts w:asciiTheme="majorBidi" w:eastAsia="Times New Roman" w:hAnsiTheme="majorBidi" w:cstheme="majorBidi"/>
          <w:bCs/>
          <w:i/>
          <w:iCs/>
          <w:sz w:val="24"/>
          <w:szCs w:val="24"/>
        </w:rPr>
        <w:t>BRDGI</w:t>
      </w:r>
      <w:r w:rsidR="000B76D8" w:rsidRPr="000972D1">
        <w:rPr>
          <w:rFonts w:asciiTheme="majorBidi" w:eastAsia="Times New Roman" w:hAnsiTheme="majorBidi" w:cstheme="majorBidi"/>
          <w:bCs/>
          <w:iCs/>
          <w:sz w:val="24"/>
          <w:szCs w:val="24"/>
        </w:rPr>
        <w:t xml:space="preserve"> for Saudi firms is equal to three (3) when board size is between 3 and 11, the percentage of outsiders is greater than 50%, and the position of CEO is separated from the position of </w:t>
      </w:r>
      <w:r w:rsidR="007909F0" w:rsidRPr="000972D1">
        <w:rPr>
          <w:rFonts w:asciiTheme="majorBidi" w:eastAsia="Times New Roman" w:hAnsiTheme="majorBidi" w:cstheme="majorBidi"/>
          <w:bCs/>
          <w:iCs/>
          <w:sz w:val="24"/>
          <w:szCs w:val="24"/>
        </w:rPr>
        <w:t>chair</w:t>
      </w:r>
      <w:r w:rsidR="007909F0">
        <w:rPr>
          <w:rFonts w:asciiTheme="majorBidi" w:eastAsia="Times New Roman" w:hAnsiTheme="majorBidi" w:cstheme="majorBidi"/>
          <w:bCs/>
          <w:iCs/>
          <w:sz w:val="24"/>
          <w:szCs w:val="24"/>
        </w:rPr>
        <w:t>person</w:t>
      </w:r>
      <w:r w:rsidR="007909F0" w:rsidRPr="000972D1">
        <w:rPr>
          <w:rFonts w:asciiTheme="majorBidi" w:eastAsia="Times New Roman" w:hAnsiTheme="majorBidi" w:cstheme="majorBidi"/>
          <w:bCs/>
          <w:iCs/>
          <w:sz w:val="24"/>
          <w:szCs w:val="24"/>
        </w:rPr>
        <w:t xml:space="preserve"> </w:t>
      </w:r>
      <w:r w:rsidR="000B76D8" w:rsidRPr="000972D1">
        <w:rPr>
          <w:rFonts w:asciiTheme="majorBidi" w:eastAsia="Times New Roman" w:hAnsiTheme="majorBidi" w:cstheme="majorBidi"/>
          <w:bCs/>
          <w:iCs/>
          <w:sz w:val="24"/>
          <w:szCs w:val="24"/>
        </w:rPr>
        <w:t xml:space="preserve">of the board. </w:t>
      </w:r>
      <w:r w:rsidR="000B76D8" w:rsidRPr="000972D1">
        <w:rPr>
          <w:rFonts w:asciiTheme="majorBidi" w:eastAsia="Times New Roman" w:hAnsiTheme="majorBidi" w:cstheme="majorBidi"/>
          <w:bCs/>
          <w:i/>
          <w:iCs/>
          <w:sz w:val="24"/>
          <w:szCs w:val="24"/>
        </w:rPr>
        <w:t>BRDGI</w:t>
      </w:r>
      <w:r w:rsidR="000B76D8" w:rsidRPr="000972D1">
        <w:rPr>
          <w:rFonts w:asciiTheme="majorBidi" w:eastAsia="Times New Roman" w:hAnsiTheme="majorBidi" w:cstheme="majorBidi"/>
          <w:bCs/>
          <w:iCs/>
          <w:sz w:val="24"/>
          <w:szCs w:val="24"/>
        </w:rPr>
        <w:t xml:space="preserve"> is equal to </w:t>
      </w:r>
      <w:r w:rsidR="00687338" w:rsidRPr="000972D1">
        <w:rPr>
          <w:rFonts w:asciiTheme="majorBidi" w:eastAsia="Times New Roman" w:hAnsiTheme="majorBidi" w:cstheme="majorBidi"/>
          <w:bCs/>
          <w:iCs/>
          <w:sz w:val="24"/>
          <w:szCs w:val="24"/>
        </w:rPr>
        <w:t>zero</w:t>
      </w:r>
      <w:r w:rsidR="000B76D8" w:rsidRPr="000972D1">
        <w:rPr>
          <w:rFonts w:asciiTheme="majorBidi" w:eastAsia="Times New Roman" w:hAnsiTheme="majorBidi" w:cstheme="majorBidi"/>
          <w:bCs/>
          <w:iCs/>
          <w:sz w:val="24"/>
          <w:szCs w:val="24"/>
        </w:rPr>
        <w:t xml:space="preserve"> (0) if board size is lower than 3 or greater than 11, the percentage of outsiders is lower than 50%, </w:t>
      </w:r>
      <w:r w:rsidR="005A615F" w:rsidRPr="000972D1">
        <w:rPr>
          <w:rFonts w:asciiTheme="majorBidi" w:eastAsia="Times New Roman" w:hAnsiTheme="majorBidi" w:cstheme="majorBidi"/>
          <w:bCs/>
          <w:iCs/>
          <w:sz w:val="24"/>
          <w:szCs w:val="24"/>
        </w:rPr>
        <w:t>and the</w:t>
      </w:r>
      <w:r w:rsidR="000B76D8" w:rsidRPr="000972D1">
        <w:rPr>
          <w:rFonts w:asciiTheme="majorBidi" w:eastAsia="Times New Roman" w:hAnsiTheme="majorBidi" w:cstheme="majorBidi"/>
          <w:bCs/>
          <w:iCs/>
          <w:sz w:val="24"/>
          <w:szCs w:val="24"/>
        </w:rPr>
        <w:t xml:space="preserve"> CEO is also the </w:t>
      </w:r>
      <w:r w:rsidR="007909F0" w:rsidRPr="007909F0">
        <w:rPr>
          <w:rFonts w:asciiTheme="majorBidi" w:eastAsia="Times New Roman" w:hAnsiTheme="majorBidi" w:cstheme="majorBidi"/>
          <w:bCs/>
          <w:iCs/>
          <w:sz w:val="24"/>
          <w:szCs w:val="24"/>
        </w:rPr>
        <w:t xml:space="preserve">chairperson </w:t>
      </w:r>
      <w:r w:rsidR="000B76D8" w:rsidRPr="000972D1">
        <w:rPr>
          <w:rFonts w:asciiTheme="majorBidi" w:eastAsia="Times New Roman" w:hAnsiTheme="majorBidi" w:cstheme="majorBidi"/>
          <w:bCs/>
          <w:iCs/>
          <w:sz w:val="24"/>
          <w:szCs w:val="24"/>
        </w:rPr>
        <w:t>of the board.</w:t>
      </w:r>
      <w:r w:rsidR="005A615F" w:rsidRPr="000972D1">
        <w:rPr>
          <w:rFonts w:asciiTheme="majorBidi" w:eastAsia="Times New Roman" w:hAnsiTheme="majorBidi" w:cstheme="majorBidi"/>
          <w:bCs/>
          <w:sz w:val="24"/>
          <w:szCs w:val="24"/>
        </w:rPr>
        <w:t xml:space="preserve"> </w:t>
      </w:r>
      <w:r w:rsidR="00183C8A" w:rsidRPr="000972D1">
        <w:rPr>
          <w:rFonts w:asciiTheme="majorBidi" w:eastAsia="Times New Roman" w:hAnsiTheme="majorBidi" w:cstheme="majorBidi"/>
          <w:bCs/>
          <w:iCs/>
          <w:sz w:val="24"/>
          <w:szCs w:val="24"/>
        </w:rPr>
        <w:t xml:space="preserve">Model 4 shows a significant positive impact of </w:t>
      </w:r>
      <w:r w:rsidR="00183C8A" w:rsidRPr="000972D1">
        <w:rPr>
          <w:rFonts w:asciiTheme="majorBidi" w:eastAsia="Times New Roman" w:hAnsiTheme="majorBidi" w:cstheme="majorBidi"/>
          <w:bCs/>
          <w:i/>
          <w:iCs/>
          <w:sz w:val="24"/>
          <w:szCs w:val="24"/>
        </w:rPr>
        <w:t xml:space="preserve">BRDGI </w:t>
      </w:r>
      <w:r w:rsidR="00183C8A" w:rsidRPr="000972D1">
        <w:rPr>
          <w:rFonts w:asciiTheme="majorBidi" w:eastAsia="Times New Roman" w:hAnsiTheme="majorBidi" w:cstheme="majorBidi"/>
          <w:bCs/>
          <w:iCs/>
          <w:sz w:val="24"/>
          <w:szCs w:val="24"/>
        </w:rPr>
        <w:t xml:space="preserve">on </w:t>
      </w:r>
      <w:r w:rsidR="00183C8A" w:rsidRPr="000972D1">
        <w:rPr>
          <w:rFonts w:asciiTheme="majorBidi" w:eastAsia="Times New Roman" w:hAnsiTheme="majorBidi" w:cstheme="majorBidi"/>
          <w:bCs/>
          <w:i/>
          <w:iCs/>
          <w:sz w:val="24"/>
          <w:szCs w:val="24"/>
        </w:rPr>
        <w:t>BIG4</w:t>
      </w:r>
      <w:r w:rsidR="00183C8A" w:rsidRPr="000972D1">
        <w:rPr>
          <w:rFonts w:asciiTheme="majorBidi" w:eastAsia="Times New Roman" w:hAnsiTheme="majorBidi" w:cstheme="majorBidi"/>
          <w:bCs/>
          <w:iCs/>
          <w:sz w:val="24"/>
          <w:szCs w:val="24"/>
        </w:rPr>
        <w:t xml:space="preserve">, whereas Model 8 illustrates insignificant link between </w:t>
      </w:r>
      <w:r w:rsidR="00183C8A" w:rsidRPr="000972D1">
        <w:rPr>
          <w:rFonts w:asciiTheme="majorBidi" w:eastAsia="Times New Roman" w:hAnsiTheme="majorBidi" w:cstheme="majorBidi"/>
          <w:bCs/>
          <w:i/>
          <w:iCs/>
          <w:sz w:val="24"/>
          <w:szCs w:val="24"/>
        </w:rPr>
        <w:t xml:space="preserve">BRDGI </w:t>
      </w:r>
      <w:r w:rsidR="00183C8A" w:rsidRPr="000972D1">
        <w:rPr>
          <w:rFonts w:asciiTheme="majorBidi" w:eastAsia="Times New Roman" w:hAnsiTheme="majorBidi" w:cstheme="majorBidi"/>
          <w:bCs/>
          <w:iCs/>
          <w:sz w:val="24"/>
          <w:szCs w:val="24"/>
        </w:rPr>
        <w:t xml:space="preserve">and </w:t>
      </w:r>
      <w:r w:rsidR="00183C8A" w:rsidRPr="000972D1">
        <w:rPr>
          <w:rFonts w:asciiTheme="majorBidi" w:eastAsia="Times New Roman" w:hAnsiTheme="majorBidi" w:cstheme="majorBidi"/>
          <w:bCs/>
          <w:i/>
          <w:iCs/>
          <w:sz w:val="24"/>
          <w:szCs w:val="24"/>
        </w:rPr>
        <w:t>LNFE</w:t>
      </w:r>
      <w:r w:rsidR="000978B1" w:rsidRPr="000972D1">
        <w:rPr>
          <w:rFonts w:asciiTheme="majorBidi" w:eastAsia="Times New Roman" w:hAnsiTheme="majorBidi" w:cstheme="majorBidi"/>
          <w:bCs/>
          <w:i/>
          <w:iCs/>
          <w:sz w:val="24"/>
          <w:szCs w:val="24"/>
        </w:rPr>
        <w:t>.</w:t>
      </w:r>
      <w:r w:rsidR="00183C8A" w:rsidRPr="000972D1">
        <w:rPr>
          <w:rFonts w:asciiTheme="majorBidi" w:eastAsia="Times New Roman" w:hAnsiTheme="majorBidi" w:cstheme="majorBidi"/>
          <w:bCs/>
          <w:iCs/>
          <w:sz w:val="24"/>
          <w:szCs w:val="24"/>
        </w:rPr>
        <w:t xml:space="preserve"> </w:t>
      </w:r>
      <w:r w:rsidR="000978B1" w:rsidRPr="000972D1">
        <w:rPr>
          <w:rFonts w:asciiTheme="majorBidi" w:eastAsia="Times New Roman" w:hAnsiTheme="majorBidi" w:cstheme="majorBidi"/>
          <w:bCs/>
          <w:iCs/>
          <w:sz w:val="24"/>
          <w:szCs w:val="24"/>
        </w:rPr>
        <w:t xml:space="preserve">This result </w:t>
      </w:r>
      <w:r w:rsidR="005E5605" w:rsidRPr="000972D1">
        <w:rPr>
          <w:rFonts w:asciiTheme="majorBidi" w:eastAsia="Times New Roman" w:hAnsiTheme="majorBidi" w:cstheme="majorBidi"/>
          <w:bCs/>
          <w:iCs/>
          <w:sz w:val="24"/>
          <w:szCs w:val="24"/>
        </w:rPr>
        <w:t xml:space="preserve">is consistent with previous studies (e.g., Ben-Hassoun </w:t>
      </w:r>
      <w:r w:rsidR="005E5605" w:rsidRPr="000972D1">
        <w:rPr>
          <w:rFonts w:asciiTheme="majorBidi" w:eastAsia="Times New Roman" w:hAnsiTheme="majorBidi" w:cstheme="majorBidi"/>
          <w:bCs/>
          <w:i/>
          <w:iCs/>
          <w:sz w:val="24"/>
          <w:szCs w:val="24"/>
        </w:rPr>
        <w:t>et al</w:t>
      </w:r>
      <w:r w:rsidR="005E5605" w:rsidRPr="000972D1">
        <w:rPr>
          <w:rFonts w:asciiTheme="majorBidi" w:eastAsia="Times New Roman" w:hAnsiTheme="majorBidi" w:cstheme="majorBidi"/>
          <w:bCs/>
          <w:iCs/>
          <w:sz w:val="24"/>
          <w:szCs w:val="24"/>
        </w:rPr>
        <w:t>., 2018)</w:t>
      </w:r>
      <w:r w:rsidR="00183C8A" w:rsidRPr="000972D1">
        <w:rPr>
          <w:rFonts w:asciiTheme="majorBidi" w:eastAsia="Times New Roman" w:hAnsiTheme="majorBidi" w:cstheme="majorBidi"/>
          <w:bCs/>
          <w:iCs/>
          <w:sz w:val="24"/>
          <w:szCs w:val="24"/>
        </w:rPr>
        <w:t xml:space="preserve"> </w:t>
      </w:r>
      <w:r w:rsidR="001D4A30">
        <w:rPr>
          <w:rFonts w:asciiTheme="majorBidi" w:eastAsia="Times New Roman" w:hAnsiTheme="majorBidi" w:cstheme="majorBidi"/>
          <w:bCs/>
          <w:iCs/>
          <w:sz w:val="24"/>
          <w:szCs w:val="24"/>
        </w:rPr>
        <w:t xml:space="preserve">that have </w:t>
      </w:r>
      <w:r w:rsidR="005E5605" w:rsidRPr="000972D1">
        <w:rPr>
          <w:rFonts w:asciiTheme="majorBidi" w:eastAsia="Times New Roman" w:hAnsiTheme="majorBidi" w:cstheme="majorBidi"/>
          <w:bCs/>
          <w:iCs/>
          <w:sz w:val="24"/>
          <w:szCs w:val="24"/>
        </w:rPr>
        <w:t>argu</w:t>
      </w:r>
      <w:r w:rsidR="001D4A30">
        <w:rPr>
          <w:rFonts w:asciiTheme="majorBidi" w:eastAsia="Times New Roman" w:hAnsiTheme="majorBidi" w:cstheme="majorBidi"/>
          <w:bCs/>
          <w:iCs/>
          <w:sz w:val="24"/>
          <w:szCs w:val="24"/>
        </w:rPr>
        <w:t>ed</w:t>
      </w:r>
      <w:r w:rsidR="005E5605" w:rsidRPr="000972D1">
        <w:rPr>
          <w:rFonts w:asciiTheme="majorBidi" w:eastAsia="Times New Roman" w:hAnsiTheme="majorBidi" w:cstheme="majorBidi"/>
          <w:bCs/>
          <w:iCs/>
          <w:sz w:val="24"/>
          <w:szCs w:val="24"/>
        </w:rPr>
        <w:t xml:space="preserve"> </w:t>
      </w:r>
      <w:r w:rsidR="00183C8A" w:rsidRPr="000972D1">
        <w:rPr>
          <w:rFonts w:asciiTheme="majorBidi" w:eastAsia="Times New Roman" w:hAnsiTheme="majorBidi" w:cstheme="majorBidi"/>
          <w:bCs/>
          <w:iCs/>
          <w:sz w:val="24"/>
          <w:szCs w:val="24"/>
        </w:rPr>
        <w:t xml:space="preserve">that </w:t>
      </w:r>
      <w:r w:rsidR="000978B1" w:rsidRPr="000972D1">
        <w:rPr>
          <w:rFonts w:asciiTheme="majorBidi" w:eastAsia="Times New Roman" w:hAnsiTheme="majorBidi" w:cstheme="majorBidi"/>
          <w:bCs/>
          <w:iCs/>
          <w:sz w:val="24"/>
          <w:szCs w:val="24"/>
        </w:rPr>
        <w:t xml:space="preserve">effective board of directors encourages firms to engage </w:t>
      </w:r>
      <w:r w:rsidR="00072A62">
        <w:rPr>
          <w:rFonts w:asciiTheme="majorBidi" w:eastAsia="Times New Roman" w:hAnsiTheme="majorBidi" w:cstheme="majorBidi"/>
          <w:bCs/>
          <w:iCs/>
          <w:sz w:val="24"/>
          <w:szCs w:val="24"/>
        </w:rPr>
        <w:t xml:space="preserve">in </w:t>
      </w:r>
      <w:r w:rsidR="000978B1" w:rsidRPr="000972D1">
        <w:rPr>
          <w:rFonts w:asciiTheme="majorBidi" w:eastAsia="Times New Roman" w:hAnsiTheme="majorBidi" w:cstheme="majorBidi"/>
          <w:bCs/>
          <w:iCs/>
          <w:sz w:val="24"/>
          <w:szCs w:val="24"/>
        </w:rPr>
        <w:t>high</w:t>
      </w:r>
      <w:r w:rsidR="001345EB" w:rsidRPr="000972D1">
        <w:rPr>
          <w:rFonts w:asciiTheme="majorBidi" w:eastAsia="Times New Roman" w:hAnsiTheme="majorBidi" w:cstheme="majorBidi"/>
          <w:bCs/>
          <w:iCs/>
          <w:sz w:val="24"/>
          <w:szCs w:val="24"/>
        </w:rPr>
        <w:t xml:space="preserve"> quality </w:t>
      </w:r>
      <w:r w:rsidR="000978B1" w:rsidRPr="000972D1">
        <w:rPr>
          <w:rFonts w:asciiTheme="majorBidi" w:eastAsia="Times New Roman" w:hAnsiTheme="majorBidi" w:cstheme="majorBidi"/>
          <w:bCs/>
          <w:iCs/>
          <w:sz w:val="24"/>
          <w:szCs w:val="24"/>
        </w:rPr>
        <w:t>auditor</w:t>
      </w:r>
      <w:r w:rsidR="00072A62">
        <w:rPr>
          <w:rFonts w:asciiTheme="majorBidi" w:eastAsia="Times New Roman" w:hAnsiTheme="majorBidi" w:cstheme="majorBidi"/>
          <w:bCs/>
          <w:iCs/>
          <w:sz w:val="24"/>
          <w:szCs w:val="24"/>
        </w:rPr>
        <w:t>s</w:t>
      </w:r>
      <w:r w:rsidR="005E5605" w:rsidRPr="000972D1">
        <w:rPr>
          <w:rFonts w:asciiTheme="majorBidi" w:eastAsia="Times New Roman" w:hAnsiTheme="majorBidi" w:cstheme="majorBidi"/>
          <w:bCs/>
          <w:iCs/>
          <w:sz w:val="24"/>
          <w:szCs w:val="24"/>
        </w:rPr>
        <w:t xml:space="preserve"> </w:t>
      </w:r>
      <w:r w:rsidR="000978B1" w:rsidRPr="000972D1">
        <w:rPr>
          <w:rFonts w:asciiTheme="majorBidi" w:eastAsia="Times New Roman" w:hAnsiTheme="majorBidi" w:cstheme="majorBidi"/>
          <w:bCs/>
          <w:iCs/>
          <w:sz w:val="24"/>
          <w:szCs w:val="24"/>
        </w:rPr>
        <w:t>in MENA countries</w:t>
      </w:r>
      <w:r w:rsidR="005A615F" w:rsidRPr="000972D1">
        <w:rPr>
          <w:rFonts w:asciiTheme="majorBidi" w:eastAsia="Times New Roman" w:hAnsiTheme="majorBidi" w:cstheme="majorBidi"/>
          <w:bCs/>
          <w:iCs/>
          <w:sz w:val="24"/>
          <w:szCs w:val="24"/>
        </w:rPr>
        <w:t>.</w:t>
      </w:r>
      <w:r w:rsidR="006D0AA3" w:rsidRPr="008E772B" w:rsidDel="001B76F7">
        <w:rPr>
          <w:rFonts w:asciiTheme="majorBidi" w:eastAsia="Times New Roman" w:hAnsiTheme="majorBidi" w:cstheme="majorBidi"/>
          <w:bCs/>
          <w:iCs/>
          <w:sz w:val="24"/>
          <w:szCs w:val="24"/>
        </w:rPr>
        <w:t xml:space="preserve"> </w:t>
      </w:r>
    </w:p>
    <w:p w14:paraId="5006D181" w14:textId="0348490A" w:rsidR="00295CA7" w:rsidRPr="008E772B" w:rsidRDefault="00997167" w:rsidP="00A7695B">
      <w:pPr>
        <w:spacing w:after="0" w:line="360" w:lineRule="auto"/>
        <w:ind w:firstLine="720"/>
        <w:jc w:val="lowKashida"/>
        <w:rPr>
          <w:rFonts w:asciiTheme="majorBidi" w:eastAsia="Times New Roman" w:hAnsiTheme="majorBidi" w:cstheme="majorBidi"/>
          <w:bCs/>
          <w:iCs/>
          <w:sz w:val="24"/>
          <w:szCs w:val="24"/>
        </w:rPr>
      </w:pPr>
      <w:r w:rsidRPr="008E772B">
        <w:rPr>
          <w:rFonts w:asciiTheme="majorBidi" w:eastAsia="Times New Roman" w:hAnsiTheme="majorBidi" w:cstheme="majorBidi"/>
          <w:bCs/>
          <w:iCs/>
          <w:sz w:val="24"/>
          <w:szCs w:val="24"/>
        </w:rPr>
        <w:t xml:space="preserve">Second, </w:t>
      </w:r>
      <w:r w:rsidR="00A9001C">
        <w:rPr>
          <w:rFonts w:asciiTheme="majorBidi" w:eastAsia="Times New Roman" w:hAnsiTheme="majorBidi" w:cstheme="majorBidi"/>
          <w:bCs/>
          <w:iCs/>
          <w:sz w:val="24"/>
          <w:szCs w:val="24"/>
        </w:rPr>
        <w:t>a</w:t>
      </w:r>
      <w:r w:rsidR="00A9001C" w:rsidRPr="008E772B">
        <w:rPr>
          <w:rFonts w:asciiTheme="majorBidi" w:eastAsia="Times New Roman" w:hAnsiTheme="majorBidi" w:cstheme="majorBidi"/>
          <w:bCs/>
          <w:iCs/>
          <w:sz w:val="24"/>
          <w:szCs w:val="24"/>
        </w:rPr>
        <w:t xml:space="preserve"> </w:t>
      </w:r>
      <w:r w:rsidRPr="008E772B">
        <w:rPr>
          <w:rFonts w:asciiTheme="majorBidi" w:eastAsia="Times New Roman" w:hAnsiTheme="majorBidi" w:cstheme="majorBidi"/>
          <w:bCs/>
          <w:iCs/>
          <w:sz w:val="24"/>
          <w:szCs w:val="24"/>
        </w:rPr>
        <w:t xml:space="preserve">number of previous </w:t>
      </w:r>
      <w:r w:rsidR="00A7695B" w:rsidRPr="008E772B">
        <w:rPr>
          <w:rFonts w:asciiTheme="majorBidi" w:eastAsia="Times New Roman" w:hAnsiTheme="majorBidi" w:cstheme="majorBidi"/>
          <w:bCs/>
          <w:iCs/>
          <w:sz w:val="24"/>
          <w:szCs w:val="24"/>
        </w:rPr>
        <w:t>studies suggest</w:t>
      </w:r>
      <w:r w:rsidRPr="008E772B">
        <w:rPr>
          <w:rFonts w:asciiTheme="majorBidi" w:eastAsia="Times New Roman" w:hAnsiTheme="majorBidi" w:cstheme="majorBidi"/>
          <w:bCs/>
          <w:iCs/>
          <w:sz w:val="24"/>
          <w:szCs w:val="24"/>
        </w:rPr>
        <w:t xml:space="preserve"> that shareholding can impact audit quality</w:t>
      </w:r>
      <w:r w:rsidR="00A7695B">
        <w:rPr>
          <w:rFonts w:asciiTheme="majorBidi" w:eastAsia="Times New Roman" w:hAnsiTheme="majorBidi" w:cstheme="majorBidi"/>
          <w:bCs/>
          <w:iCs/>
          <w:sz w:val="24"/>
          <w:szCs w:val="24"/>
        </w:rPr>
        <w:t xml:space="preserve"> </w:t>
      </w:r>
      <w:r w:rsidR="00A7695B" w:rsidRPr="00A7695B">
        <w:rPr>
          <w:rFonts w:asciiTheme="majorBidi" w:eastAsia="Times New Roman" w:hAnsiTheme="majorBidi" w:cstheme="majorBidi"/>
          <w:bCs/>
          <w:iCs/>
          <w:sz w:val="24"/>
          <w:szCs w:val="24"/>
        </w:rPr>
        <w:t>(</w:t>
      </w:r>
      <w:r w:rsidR="007909F0">
        <w:rPr>
          <w:rFonts w:asciiTheme="majorBidi" w:eastAsia="Times New Roman" w:hAnsiTheme="majorBidi" w:cstheme="majorBidi"/>
          <w:bCs/>
          <w:iCs/>
          <w:sz w:val="24"/>
          <w:szCs w:val="24"/>
        </w:rPr>
        <w:t xml:space="preserve">e.g., </w:t>
      </w:r>
      <w:r w:rsidR="00C57697" w:rsidRPr="00C57697">
        <w:rPr>
          <w:rFonts w:asciiTheme="majorBidi" w:eastAsia="Times New Roman" w:hAnsiTheme="majorBidi" w:cstheme="majorBidi"/>
          <w:bCs/>
          <w:iCs/>
          <w:sz w:val="24"/>
          <w:szCs w:val="24"/>
        </w:rPr>
        <w:t>O’Sullivan, 2000;</w:t>
      </w:r>
      <w:r w:rsidR="00C57697">
        <w:rPr>
          <w:rFonts w:asciiTheme="majorBidi" w:eastAsia="Times New Roman" w:hAnsiTheme="majorBidi" w:cstheme="majorBidi"/>
          <w:bCs/>
          <w:iCs/>
          <w:sz w:val="24"/>
          <w:szCs w:val="24"/>
        </w:rPr>
        <w:t xml:space="preserve"> </w:t>
      </w:r>
      <w:r w:rsidR="00A7695B" w:rsidRPr="00A7695B">
        <w:rPr>
          <w:rFonts w:asciiTheme="majorBidi" w:eastAsia="Times New Roman" w:hAnsiTheme="majorBidi" w:cstheme="majorBidi"/>
          <w:bCs/>
          <w:iCs/>
          <w:sz w:val="24"/>
          <w:szCs w:val="24"/>
        </w:rPr>
        <w:t xml:space="preserve">O’Sullivan &amp; Diacon’s, 2002; Fan &amp; Wong, 2005; Hay </w:t>
      </w:r>
      <w:r w:rsidR="00A7695B" w:rsidRPr="00A7695B">
        <w:rPr>
          <w:rFonts w:asciiTheme="majorBidi" w:eastAsia="Times New Roman" w:hAnsiTheme="majorBidi" w:cstheme="majorBidi"/>
          <w:bCs/>
          <w:i/>
          <w:iCs/>
          <w:sz w:val="24"/>
          <w:szCs w:val="24"/>
        </w:rPr>
        <w:t>et al</w:t>
      </w:r>
      <w:r w:rsidR="00A7695B" w:rsidRPr="00A7695B">
        <w:rPr>
          <w:rFonts w:asciiTheme="majorBidi" w:eastAsia="Times New Roman" w:hAnsiTheme="majorBidi" w:cstheme="majorBidi"/>
          <w:bCs/>
          <w:iCs/>
          <w:sz w:val="24"/>
          <w:szCs w:val="24"/>
        </w:rPr>
        <w:t>., 2008; Lin &amp; Liu, 2009, 2010</w:t>
      </w:r>
      <w:r w:rsidR="009175DB">
        <w:rPr>
          <w:rFonts w:asciiTheme="majorBidi" w:eastAsia="Times New Roman" w:hAnsiTheme="majorBidi" w:cstheme="majorBidi"/>
          <w:bCs/>
          <w:iCs/>
          <w:sz w:val="24"/>
          <w:szCs w:val="24"/>
        </w:rPr>
        <w:t xml:space="preserve">; </w:t>
      </w:r>
      <w:r w:rsidR="009175DB" w:rsidRPr="001A48C0">
        <w:rPr>
          <w:rFonts w:asciiTheme="majorBidi" w:eastAsia="Times New Roman" w:hAnsiTheme="majorBidi" w:cstheme="majorBidi"/>
          <w:bCs/>
          <w:iCs/>
          <w:sz w:val="24"/>
          <w:szCs w:val="24"/>
        </w:rPr>
        <w:t xml:space="preserve">Barroso </w:t>
      </w:r>
      <w:r w:rsidR="009175DB" w:rsidRPr="002513C0">
        <w:rPr>
          <w:rFonts w:asciiTheme="majorBidi" w:eastAsia="Times New Roman" w:hAnsiTheme="majorBidi" w:cstheme="majorBidi"/>
          <w:bCs/>
          <w:i/>
          <w:iCs/>
          <w:sz w:val="24"/>
          <w:szCs w:val="24"/>
        </w:rPr>
        <w:t>et al</w:t>
      </w:r>
      <w:r w:rsidR="009175DB" w:rsidRPr="001A48C0">
        <w:rPr>
          <w:rFonts w:asciiTheme="majorBidi" w:eastAsia="Times New Roman" w:hAnsiTheme="majorBidi" w:cstheme="majorBidi"/>
          <w:bCs/>
          <w:iCs/>
          <w:sz w:val="24"/>
          <w:szCs w:val="24"/>
        </w:rPr>
        <w:t>., 2018</w:t>
      </w:r>
      <w:r w:rsidR="009175DB">
        <w:rPr>
          <w:rFonts w:asciiTheme="majorBidi" w:eastAsia="Times New Roman" w:hAnsiTheme="majorBidi" w:cstheme="majorBidi"/>
          <w:bCs/>
          <w:iCs/>
          <w:sz w:val="24"/>
          <w:szCs w:val="24"/>
        </w:rPr>
        <w:t xml:space="preserve">; Ben-Hassoun </w:t>
      </w:r>
      <w:r w:rsidR="009175DB" w:rsidRPr="002513C0">
        <w:rPr>
          <w:rFonts w:asciiTheme="majorBidi" w:eastAsia="Times New Roman" w:hAnsiTheme="majorBidi" w:cstheme="majorBidi"/>
          <w:bCs/>
          <w:i/>
          <w:iCs/>
          <w:sz w:val="24"/>
          <w:szCs w:val="24"/>
        </w:rPr>
        <w:t>et al</w:t>
      </w:r>
      <w:r w:rsidR="009175DB">
        <w:rPr>
          <w:rFonts w:asciiTheme="majorBidi" w:eastAsia="Times New Roman" w:hAnsiTheme="majorBidi" w:cstheme="majorBidi"/>
          <w:bCs/>
          <w:iCs/>
          <w:sz w:val="24"/>
          <w:szCs w:val="24"/>
        </w:rPr>
        <w:t xml:space="preserve">., </w:t>
      </w:r>
      <w:r w:rsidR="009175DB" w:rsidRPr="005E5605">
        <w:rPr>
          <w:rFonts w:asciiTheme="majorBidi" w:eastAsia="Times New Roman" w:hAnsiTheme="majorBidi" w:cstheme="majorBidi"/>
          <w:bCs/>
          <w:iCs/>
          <w:sz w:val="24"/>
          <w:szCs w:val="24"/>
        </w:rPr>
        <w:t>2018</w:t>
      </w:r>
      <w:r w:rsidR="00A7695B" w:rsidRPr="00A7695B">
        <w:rPr>
          <w:rFonts w:asciiTheme="majorBidi" w:eastAsia="Times New Roman" w:hAnsiTheme="majorBidi" w:cstheme="majorBidi"/>
          <w:bCs/>
          <w:iCs/>
          <w:sz w:val="24"/>
          <w:szCs w:val="24"/>
        </w:rPr>
        <w:t>)</w:t>
      </w:r>
      <w:r w:rsidRPr="008E772B">
        <w:rPr>
          <w:rFonts w:asciiTheme="majorBidi" w:eastAsia="Times New Roman" w:hAnsiTheme="majorBidi" w:cstheme="majorBidi"/>
          <w:bCs/>
          <w:iCs/>
          <w:sz w:val="24"/>
          <w:szCs w:val="24"/>
        </w:rPr>
        <w:t>. Therefore, in order to determine whether the shareholding affect auditor choice and audit fees, Eq. 1 and 2</w:t>
      </w:r>
      <w:r w:rsidR="003C4BB4">
        <w:rPr>
          <w:rFonts w:asciiTheme="majorBidi" w:eastAsia="Times New Roman" w:hAnsiTheme="majorBidi" w:cstheme="majorBidi"/>
          <w:bCs/>
          <w:iCs/>
          <w:sz w:val="24"/>
          <w:szCs w:val="24"/>
        </w:rPr>
        <w:t xml:space="preserve"> </w:t>
      </w:r>
      <w:r w:rsidRPr="008E772B">
        <w:rPr>
          <w:rFonts w:asciiTheme="majorBidi" w:eastAsia="Times New Roman" w:hAnsiTheme="majorBidi" w:cstheme="majorBidi"/>
          <w:bCs/>
          <w:iCs/>
          <w:sz w:val="24"/>
          <w:szCs w:val="24"/>
        </w:rPr>
        <w:t xml:space="preserve">are estimated by including the three shareholding </w:t>
      </w:r>
      <w:r w:rsidR="00383143">
        <w:rPr>
          <w:rFonts w:asciiTheme="majorBidi" w:eastAsia="Times New Roman" w:hAnsiTheme="majorBidi" w:cstheme="majorBidi"/>
          <w:bCs/>
          <w:iCs/>
          <w:sz w:val="24"/>
          <w:szCs w:val="24"/>
        </w:rPr>
        <w:t xml:space="preserve">variables </w:t>
      </w:r>
      <w:r w:rsidRPr="008E772B">
        <w:rPr>
          <w:rFonts w:asciiTheme="majorBidi" w:eastAsia="Times New Roman" w:hAnsiTheme="majorBidi" w:cstheme="majorBidi"/>
          <w:bCs/>
          <w:iCs/>
          <w:sz w:val="24"/>
          <w:szCs w:val="24"/>
        </w:rPr>
        <w:t>(government shareholding—</w:t>
      </w:r>
      <w:r w:rsidRPr="008E772B">
        <w:rPr>
          <w:rFonts w:asciiTheme="majorBidi" w:eastAsia="Times New Roman" w:hAnsiTheme="majorBidi" w:cstheme="majorBidi"/>
          <w:bCs/>
          <w:i/>
          <w:iCs/>
          <w:sz w:val="24"/>
          <w:szCs w:val="24"/>
        </w:rPr>
        <w:t>G</w:t>
      </w:r>
      <w:r w:rsidR="00BA0AA4">
        <w:rPr>
          <w:rFonts w:asciiTheme="majorBidi" w:eastAsia="Times New Roman" w:hAnsiTheme="majorBidi" w:cstheme="majorBidi"/>
          <w:bCs/>
          <w:i/>
          <w:iCs/>
          <w:sz w:val="24"/>
          <w:szCs w:val="24"/>
        </w:rPr>
        <w:t>O</w:t>
      </w:r>
      <w:r w:rsidRPr="008E772B">
        <w:rPr>
          <w:rFonts w:asciiTheme="majorBidi" w:eastAsia="Times New Roman" w:hAnsiTheme="majorBidi" w:cstheme="majorBidi"/>
          <w:bCs/>
          <w:i/>
          <w:iCs/>
          <w:sz w:val="24"/>
          <w:szCs w:val="24"/>
        </w:rPr>
        <w:t>SH</w:t>
      </w:r>
      <w:r w:rsidRPr="008E772B">
        <w:rPr>
          <w:rFonts w:asciiTheme="majorBidi" w:eastAsia="Times New Roman" w:hAnsiTheme="majorBidi" w:cstheme="majorBidi"/>
          <w:bCs/>
          <w:iCs/>
          <w:sz w:val="24"/>
          <w:szCs w:val="24"/>
        </w:rPr>
        <w:t xml:space="preserve">, </w:t>
      </w:r>
      <w:r w:rsidR="009D40C7" w:rsidRPr="008E772B">
        <w:rPr>
          <w:rFonts w:asciiTheme="majorBidi" w:eastAsia="Times New Roman" w:hAnsiTheme="majorBidi" w:cstheme="majorBidi"/>
          <w:bCs/>
          <w:iCs/>
          <w:sz w:val="24"/>
          <w:szCs w:val="24"/>
        </w:rPr>
        <w:t>director shareholding—</w:t>
      </w:r>
      <w:r w:rsidR="007A4640">
        <w:rPr>
          <w:rFonts w:asciiTheme="majorBidi" w:eastAsia="Times New Roman" w:hAnsiTheme="majorBidi" w:cstheme="majorBidi"/>
          <w:bCs/>
          <w:i/>
          <w:iCs/>
          <w:sz w:val="24"/>
          <w:szCs w:val="24"/>
        </w:rPr>
        <w:t>DI</w:t>
      </w:r>
      <w:r w:rsidR="007A4640" w:rsidRPr="008E772B">
        <w:rPr>
          <w:rFonts w:asciiTheme="majorBidi" w:eastAsia="Times New Roman" w:hAnsiTheme="majorBidi" w:cstheme="majorBidi"/>
          <w:bCs/>
          <w:i/>
          <w:iCs/>
          <w:sz w:val="24"/>
          <w:szCs w:val="24"/>
        </w:rPr>
        <w:t>SH</w:t>
      </w:r>
      <w:r w:rsidR="009D40C7" w:rsidRPr="008E772B">
        <w:rPr>
          <w:rFonts w:asciiTheme="majorBidi" w:eastAsia="Times New Roman" w:hAnsiTheme="majorBidi" w:cstheme="majorBidi"/>
          <w:bCs/>
          <w:iCs/>
          <w:sz w:val="24"/>
          <w:szCs w:val="24"/>
        </w:rPr>
        <w:t xml:space="preserve">, </w:t>
      </w:r>
      <w:r w:rsidRPr="008E772B">
        <w:rPr>
          <w:rFonts w:asciiTheme="majorBidi" w:eastAsia="Times New Roman" w:hAnsiTheme="majorBidi" w:cstheme="majorBidi"/>
          <w:bCs/>
          <w:iCs/>
          <w:sz w:val="24"/>
          <w:szCs w:val="24"/>
        </w:rPr>
        <w:t xml:space="preserve">and </w:t>
      </w:r>
      <w:r w:rsidR="006E2EF7">
        <w:rPr>
          <w:rFonts w:asciiTheme="majorBidi" w:eastAsia="Times New Roman" w:hAnsiTheme="majorBidi" w:cstheme="majorBidi"/>
          <w:bCs/>
          <w:iCs/>
          <w:sz w:val="24"/>
          <w:szCs w:val="24"/>
        </w:rPr>
        <w:t>family</w:t>
      </w:r>
      <w:r w:rsidR="006E2EF7" w:rsidRPr="008E772B">
        <w:rPr>
          <w:rFonts w:asciiTheme="majorBidi" w:eastAsia="Times New Roman" w:hAnsiTheme="majorBidi" w:cstheme="majorBidi"/>
          <w:bCs/>
          <w:iCs/>
          <w:sz w:val="24"/>
          <w:szCs w:val="24"/>
        </w:rPr>
        <w:t xml:space="preserve"> </w:t>
      </w:r>
      <w:r w:rsidRPr="008E772B">
        <w:rPr>
          <w:rFonts w:asciiTheme="majorBidi" w:eastAsia="Times New Roman" w:hAnsiTheme="majorBidi" w:cstheme="majorBidi"/>
          <w:bCs/>
          <w:iCs/>
          <w:sz w:val="24"/>
          <w:szCs w:val="24"/>
        </w:rPr>
        <w:lastRenderedPageBreak/>
        <w:t>shareholding—</w:t>
      </w:r>
      <w:r w:rsidR="006E2EF7">
        <w:rPr>
          <w:rFonts w:asciiTheme="majorBidi" w:eastAsia="Times New Roman" w:hAnsiTheme="majorBidi" w:cstheme="majorBidi"/>
          <w:bCs/>
          <w:i/>
          <w:iCs/>
          <w:sz w:val="24"/>
          <w:szCs w:val="24"/>
        </w:rPr>
        <w:t>FL</w:t>
      </w:r>
      <w:r w:rsidR="006E2EF7" w:rsidRPr="008E772B">
        <w:rPr>
          <w:rFonts w:asciiTheme="majorBidi" w:eastAsia="Times New Roman" w:hAnsiTheme="majorBidi" w:cstheme="majorBidi"/>
          <w:bCs/>
          <w:i/>
          <w:iCs/>
          <w:sz w:val="24"/>
          <w:szCs w:val="24"/>
        </w:rPr>
        <w:t>SH</w:t>
      </w:r>
      <w:r w:rsidRPr="008E772B">
        <w:rPr>
          <w:rFonts w:asciiTheme="majorBidi" w:eastAsia="Times New Roman" w:hAnsiTheme="majorBidi" w:cstheme="majorBidi"/>
          <w:bCs/>
          <w:iCs/>
          <w:sz w:val="24"/>
          <w:szCs w:val="24"/>
        </w:rPr>
        <w:t>)</w:t>
      </w:r>
      <w:r w:rsidR="009D40C7" w:rsidRPr="008E772B">
        <w:rPr>
          <w:rFonts w:asciiTheme="majorBidi" w:eastAsia="Times New Roman" w:hAnsiTheme="majorBidi" w:cstheme="majorBidi"/>
          <w:bCs/>
          <w:iCs/>
          <w:sz w:val="24"/>
          <w:szCs w:val="24"/>
        </w:rPr>
        <w:t xml:space="preserve">. </w:t>
      </w:r>
      <w:r w:rsidR="0087075D" w:rsidRPr="008E772B">
        <w:rPr>
          <w:rFonts w:asciiTheme="majorBidi" w:eastAsia="Times New Roman" w:hAnsiTheme="majorBidi" w:cstheme="majorBidi"/>
          <w:bCs/>
          <w:iCs/>
          <w:sz w:val="24"/>
          <w:szCs w:val="24"/>
        </w:rPr>
        <w:t xml:space="preserve">Models </w:t>
      </w:r>
      <w:r w:rsidR="006E2EF7">
        <w:rPr>
          <w:rFonts w:asciiTheme="majorBidi" w:eastAsia="Times New Roman" w:hAnsiTheme="majorBidi" w:cstheme="majorBidi"/>
          <w:bCs/>
          <w:iCs/>
          <w:sz w:val="24"/>
          <w:szCs w:val="24"/>
        </w:rPr>
        <w:t>2</w:t>
      </w:r>
      <w:r w:rsidR="00FB682F" w:rsidRPr="008E772B">
        <w:rPr>
          <w:rFonts w:asciiTheme="majorBidi" w:eastAsia="Times New Roman" w:hAnsiTheme="majorBidi" w:cstheme="majorBidi"/>
          <w:bCs/>
          <w:iCs/>
          <w:sz w:val="24"/>
          <w:szCs w:val="24"/>
        </w:rPr>
        <w:t xml:space="preserve">, </w:t>
      </w:r>
      <w:r w:rsidR="006E2EF7">
        <w:rPr>
          <w:rFonts w:asciiTheme="majorBidi" w:eastAsia="Times New Roman" w:hAnsiTheme="majorBidi" w:cstheme="majorBidi"/>
          <w:bCs/>
          <w:iCs/>
          <w:sz w:val="24"/>
          <w:szCs w:val="24"/>
        </w:rPr>
        <w:t>3</w:t>
      </w:r>
      <w:r w:rsidR="009D40C7" w:rsidRPr="008E772B">
        <w:rPr>
          <w:rFonts w:asciiTheme="majorBidi" w:eastAsia="Times New Roman" w:hAnsiTheme="majorBidi" w:cstheme="majorBidi"/>
          <w:bCs/>
          <w:iCs/>
          <w:sz w:val="24"/>
          <w:szCs w:val="24"/>
        </w:rPr>
        <w:t xml:space="preserve">, </w:t>
      </w:r>
      <w:r w:rsidR="006E2EF7">
        <w:rPr>
          <w:rFonts w:asciiTheme="majorBidi" w:eastAsia="Times New Roman" w:hAnsiTheme="majorBidi" w:cstheme="majorBidi"/>
          <w:bCs/>
          <w:iCs/>
          <w:sz w:val="24"/>
          <w:szCs w:val="24"/>
        </w:rPr>
        <w:t>6</w:t>
      </w:r>
      <w:r w:rsidR="006E2EF7" w:rsidRPr="008E772B">
        <w:rPr>
          <w:rFonts w:asciiTheme="majorBidi" w:eastAsia="Times New Roman" w:hAnsiTheme="majorBidi" w:cstheme="majorBidi"/>
          <w:bCs/>
          <w:iCs/>
          <w:sz w:val="24"/>
          <w:szCs w:val="24"/>
        </w:rPr>
        <w:t xml:space="preserve"> </w:t>
      </w:r>
      <w:r w:rsidR="009D40C7" w:rsidRPr="008E772B">
        <w:rPr>
          <w:rFonts w:asciiTheme="majorBidi" w:eastAsia="Times New Roman" w:hAnsiTheme="majorBidi" w:cstheme="majorBidi"/>
          <w:bCs/>
          <w:iCs/>
          <w:sz w:val="24"/>
          <w:szCs w:val="24"/>
        </w:rPr>
        <w:t xml:space="preserve">and </w:t>
      </w:r>
      <w:r w:rsidR="006E2EF7">
        <w:rPr>
          <w:rFonts w:asciiTheme="majorBidi" w:eastAsia="Times New Roman" w:hAnsiTheme="majorBidi" w:cstheme="majorBidi"/>
          <w:bCs/>
          <w:iCs/>
          <w:sz w:val="24"/>
          <w:szCs w:val="24"/>
        </w:rPr>
        <w:t>7</w:t>
      </w:r>
      <w:r w:rsidR="006E2EF7" w:rsidRPr="008E772B">
        <w:rPr>
          <w:rFonts w:asciiTheme="majorBidi" w:eastAsia="Times New Roman" w:hAnsiTheme="majorBidi" w:cstheme="majorBidi"/>
          <w:bCs/>
          <w:iCs/>
          <w:sz w:val="24"/>
          <w:szCs w:val="24"/>
        </w:rPr>
        <w:t xml:space="preserve"> </w:t>
      </w:r>
      <w:r w:rsidR="009D40C7" w:rsidRPr="008E772B">
        <w:rPr>
          <w:rFonts w:asciiTheme="majorBidi" w:eastAsia="Times New Roman" w:hAnsiTheme="majorBidi" w:cstheme="majorBidi"/>
          <w:bCs/>
          <w:iCs/>
          <w:sz w:val="24"/>
          <w:szCs w:val="24"/>
        </w:rPr>
        <w:t xml:space="preserve">report findings indicating that </w:t>
      </w:r>
      <w:r w:rsidR="004039E0" w:rsidRPr="008E772B">
        <w:rPr>
          <w:rFonts w:asciiTheme="majorBidi" w:eastAsia="Times New Roman" w:hAnsiTheme="majorBidi" w:cstheme="majorBidi"/>
          <w:bCs/>
          <w:i/>
          <w:iCs/>
          <w:sz w:val="24"/>
          <w:szCs w:val="24"/>
          <w:lang w:val="en-US"/>
        </w:rPr>
        <w:t>GOSH</w:t>
      </w:r>
      <w:r w:rsidR="009D40C7" w:rsidRPr="008E772B">
        <w:rPr>
          <w:rFonts w:asciiTheme="majorBidi" w:eastAsia="Times New Roman" w:hAnsiTheme="majorBidi" w:cstheme="majorBidi"/>
          <w:bCs/>
          <w:iCs/>
          <w:sz w:val="24"/>
          <w:szCs w:val="24"/>
        </w:rPr>
        <w:t xml:space="preserve"> </w:t>
      </w:r>
      <w:r w:rsidR="007C4420" w:rsidRPr="008E772B">
        <w:rPr>
          <w:rFonts w:asciiTheme="majorBidi" w:eastAsia="Times New Roman" w:hAnsiTheme="majorBidi" w:cstheme="majorBidi"/>
          <w:bCs/>
          <w:iCs/>
          <w:sz w:val="24"/>
          <w:szCs w:val="24"/>
        </w:rPr>
        <w:t xml:space="preserve">has </w:t>
      </w:r>
      <w:r w:rsidR="008167E5">
        <w:rPr>
          <w:rFonts w:asciiTheme="majorBidi" w:eastAsia="Times New Roman" w:hAnsiTheme="majorBidi" w:cstheme="majorBidi"/>
          <w:bCs/>
          <w:iCs/>
          <w:sz w:val="24"/>
          <w:szCs w:val="24"/>
        </w:rPr>
        <w:t>a negative</w:t>
      </w:r>
      <w:r w:rsidR="008167E5" w:rsidRPr="008167E5">
        <w:rPr>
          <w:rFonts w:asciiTheme="majorBidi" w:eastAsia="Times New Roman" w:hAnsiTheme="majorBidi" w:cstheme="majorBidi"/>
          <w:bCs/>
          <w:iCs/>
          <w:sz w:val="24"/>
          <w:szCs w:val="24"/>
        </w:rPr>
        <w:t xml:space="preserve"> significant</w:t>
      </w:r>
      <w:r w:rsidR="008167E5" w:rsidRPr="008E772B">
        <w:rPr>
          <w:rFonts w:asciiTheme="majorBidi" w:eastAsia="Times New Roman" w:hAnsiTheme="majorBidi" w:cstheme="majorBidi"/>
          <w:bCs/>
          <w:iCs/>
          <w:sz w:val="24"/>
          <w:szCs w:val="24"/>
        </w:rPr>
        <w:t xml:space="preserve"> </w:t>
      </w:r>
      <w:r w:rsidR="007C4420" w:rsidRPr="008E772B">
        <w:rPr>
          <w:rFonts w:asciiTheme="majorBidi" w:eastAsia="Times New Roman" w:hAnsiTheme="majorBidi" w:cstheme="majorBidi"/>
          <w:bCs/>
          <w:iCs/>
          <w:sz w:val="24"/>
          <w:szCs w:val="24"/>
        </w:rPr>
        <w:t>im</w:t>
      </w:r>
      <w:r w:rsidR="00FB682F" w:rsidRPr="008E772B">
        <w:rPr>
          <w:rFonts w:asciiTheme="majorBidi" w:eastAsia="Times New Roman" w:hAnsiTheme="majorBidi" w:cstheme="majorBidi"/>
          <w:bCs/>
          <w:iCs/>
          <w:sz w:val="24"/>
          <w:szCs w:val="24"/>
        </w:rPr>
        <w:t xml:space="preserve">pact on </w:t>
      </w:r>
      <w:r w:rsidR="00385D9C" w:rsidRPr="00385D9C">
        <w:rPr>
          <w:rFonts w:asciiTheme="majorBidi" w:eastAsia="Times New Roman" w:hAnsiTheme="majorBidi" w:cstheme="majorBidi"/>
          <w:bCs/>
          <w:i/>
          <w:iCs/>
          <w:sz w:val="24"/>
          <w:szCs w:val="24"/>
        </w:rPr>
        <w:t>LNFE</w:t>
      </w:r>
      <w:r w:rsidR="00A9580B" w:rsidRPr="00A9580B">
        <w:rPr>
          <w:rFonts w:asciiTheme="majorBidi" w:eastAsia="Times New Roman" w:hAnsiTheme="majorBidi" w:cstheme="majorBidi"/>
          <w:bCs/>
          <w:sz w:val="24"/>
          <w:szCs w:val="24"/>
        </w:rPr>
        <w:t xml:space="preserve"> </w:t>
      </w:r>
      <w:r w:rsidR="00A9580B" w:rsidRPr="00A9580B">
        <w:rPr>
          <w:rFonts w:asciiTheme="majorBidi" w:eastAsia="Times New Roman" w:hAnsiTheme="majorBidi" w:cstheme="majorBidi"/>
          <w:bCs/>
          <w:iCs/>
          <w:sz w:val="24"/>
          <w:szCs w:val="24"/>
        </w:rPr>
        <w:t>which supports</w:t>
      </w:r>
      <w:r w:rsidR="00A9580B" w:rsidRPr="00A9580B">
        <w:rPr>
          <w:rFonts w:asciiTheme="majorBidi" w:eastAsia="Times New Roman" w:hAnsiTheme="majorBidi" w:cstheme="majorBidi"/>
          <w:bCs/>
          <w:i/>
          <w:iCs/>
          <w:sz w:val="24"/>
          <w:szCs w:val="24"/>
        </w:rPr>
        <w:t xml:space="preserve"> H</w:t>
      </w:r>
      <w:r w:rsidR="00A9580B">
        <w:rPr>
          <w:rFonts w:asciiTheme="majorBidi" w:eastAsia="Times New Roman" w:hAnsiTheme="majorBidi" w:cstheme="majorBidi"/>
          <w:bCs/>
          <w:i/>
          <w:iCs/>
          <w:sz w:val="24"/>
          <w:szCs w:val="24"/>
        </w:rPr>
        <w:t>4</w:t>
      </w:r>
      <w:r w:rsidR="007C4420" w:rsidRPr="008E772B">
        <w:rPr>
          <w:rFonts w:asciiTheme="majorBidi" w:eastAsia="Times New Roman" w:hAnsiTheme="majorBidi" w:cstheme="majorBidi"/>
          <w:bCs/>
          <w:iCs/>
          <w:sz w:val="24"/>
          <w:szCs w:val="24"/>
        </w:rPr>
        <w:t xml:space="preserve">. </w:t>
      </w:r>
      <w:r w:rsidR="00EA71A6">
        <w:rPr>
          <w:rFonts w:asciiTheme="majorBidi" w:eastAsia="Times New Roman" w:hAnsiTheme="majorBidi" w:cstheme="majorBidi"/>
          <w:bCs/>
          <w:iCs/>
          <w:sz w:val="24"/>
          <w:szCs w:val="24"/>
        </w:rPr>
        <w:t>Theoretically, g</w:t>
      </w:r>
      <w:r w:rsidR="00EA71A6" w:rsidRPr="008E772B">
        <w:rPr>
          <w:rFonts w:asciiTheme="majorBidi" w:eastAsia="Times New Roman" w:hAnsiTheme="majorBidi" w:cstheme="majorBidi"/>
          <w:bCs/>
          <w:iCs/>
          <w:sz w:val="24"/>
          <w:szCs w:val="24"/>
        </w:rPr>
        <w:t xml:space="preserve">overnment </w:t>
      </w:r>
      <w:r w:rsidR="007C4420" w:rsidRPr="008E772B">
        <w:rPr>
          <w:rFonts w:asciiTheme="majorBidi" w:eastAsia="Times New Roman" w:hAnsiTheme="majorBidi" w:cstheme="majorBidi"/>
          <w:bCs/>
          <w:iCs/>
          <w:sz w:val="24"/>
          <w:szCs w:val="24"/>
        </w:rPr>
        <w:t xml:space="preserve">institutions can exercise a substantial influence over government-controlled firms, and they can easily </w:t>
      </w:r>
      <w:r w:rsidR="00072A62">
        <w:rPr>
          <w:rFonts w:asciiTheme="majorBidi" w:eastAsia="Times New Roman" w:hAnsiTheme="majorBidi" w:cstheme="majorBidi"/>
          <w:bCs/>
          <w:iCs/>
          <w:sz w:val="24"/>
          <w:szCs w:val="24"/>
        </w:rPr>
        <w:t xml:space="preserve">gain </w:t>
      </w:r>
      <w:r w:rsidR="007C4420" w:rsidRPr="008E772B">
        <w:rPr>
          <w:rFonts w:asciiTheme="majorBidi" w:eastAsia="Times New Roman" w:hAnsiTheme="majorBidi" w:cstheme="majorBidi"/>
          <w:bCs/>
          <w:iCs/>
          <w:sz w:val="24"/>
          <w:szCs w:val="24"/>
        </w:rPr>
        <w:t xml:space="preserve">access </w:t>
      </w:r>
      <w:r w:rsidR="00072A62">
        <w:rPr>
          <w:rFonts w:asciiTheme="majorBidi" w:eastAsia="Times New Roman" w:hAnsiTheme="majorBidi" w:cstheme="majorBidi"/>
          <w:bCs/>
          <w:iCs/>
          <w:sz w:val="24"/>
          <w:szCs w:val="24"/>
        </w:rPr>
        <w:t xml:space="preserve">to </w:t>
      </w:r>
      <w:r w:rsidR="007C4420" w:rsidRPr="008E772B">
        <w:rPr>
          <w:rFonts w:asciiTheme="majorBidi" w:eastAsia="Times New Roman" w:hAnsiTheme="majorBidi" w:cstheme="majorBidi"/>
          <w:bCs/>
          <w:iCs/>
          <w:sz w:val="24"/>
          <w:szCs w:val="24"/>
        </w:rPr>
        <w:t>a firm’s information (Ch</w:t>
      </w:r>
      <w:r w:rsidR="00E46D17" w:rsidRPr="008E772B">
        <w:rPr>
          <w:rFonts w:asciiTheme="majorBidi" w:eastAsia="Times New Roman" w:hAnsiTheme="majorBidi" w:cstheme="majorBidi"/>
          <w:bCs/>
          <w:iCs/>
          <w:sz w:val="24"/>
          <w:szCs w:val="24"/>
        </w:rPr>
        <w:t>a</w:t>
      </w:r>
      <w:r w:rsidR="007C4420" w:rsidRPr="008E772B">
        <w:rPr>
          <w:rFonts w:asciiTheme="majorBidi" w:eastAsia="Times New Roman" w:hAnsiTheme="majorBidi" w:cstheme="majorBidi"/>
          <w:bCs/>
          <w:iCs/>
          <w:sz w:val="24"/>
          <w:szCs w:val="24"/>
        </w:rPr>
        <w:t xml:space="preserve">n </w:t>
      </w:r>
      <w:r w:rsidR="007C4420" w:rsidRPr="008E772B">
        <w:rPr>
          <w:rFonts w:asciiTheme="majorBidi" w:eastAsia="Times New Roman" w:hAnsiTheme="majorBidi" w:cstheme="majorBidi"/>
          <w:bCs/>
          <w:i/>
          <w:iCs/>
          <w:sz w:val="24"/>
          <w:szCs w:val="24"/>
        </w:rPr>
        <w:t>et al</w:t>
      </w:r>
      <w:r w:rsidR="007C4420" w:rsidRPr="008E772B">
        <w:rPr>
          <w:rFonts w:asciiTheme="majorBidi" w:eastAsia="Times New Roman" w:hAnsiTheme="majorBidi" w:cstheme="majorBidi"/>
          <w:bCs/>
          <w:iCs/>
          <w:sz w:val="24"/>
          <w:szCs w:val="24"/>
        </w:rPr>
        <w:t xml:space="preserve">., 2006). Consequently, firms with high government </w:t>
      </w:r>
      <w:r w:rsidR="00C81356" w:rsidRPr="008E772B">
        <w:rPr>
          <w:rFonts w:asciiTheme="majorBidi" w:eastAsia="Times New Roman" w:hAnsiTheme="majorBidi" w:cstheme="majorBidi"/>
          <w:bCs/>
          <w:iCs/>
          <w:sz w:val="24"/>
          <w:szCs w:val="24"/>
        </w:rPr>
        <w:t>shareholding</w:t>
      </w:r>
      <w:r w:rsidR="007C4420" w:rsidRPr="008E772B">
        <w:rPr>
          <w:rFonts w:asciiTheme="majorBidi" w:eastAsia="Times New Roman" w:hAnsiTheme="majorBidi" w:cstheme="majorBidi"/>
          <w:bCs/>
          <w:iCs/>
          <w:sz w:val="24"/>
          <w:szCs w:val="24"/>
        </w:rPr>
        <w:t xml:space="preserve"> are less likely to provide highly credible financial reports</w:t>
      </w:r>
      <w:r w:rsidR="00187253">
        <w:rPr>
          <w:rFonts w:asciiTheme="majorBidi" w:eastAsia="Times New Roman" w:hAnsiTheme="majorBidi" w:cstheme="majorBidi"/>
          <w:bCs/>
          <w:iCs/>
          <w:sz w:val="24"/>
          <w:szCs w:val="24"/>
        </w:rPr>
        <w:t>,</w:t>
      </w:r>
      <w:r w:rsidR="007C4420" w:rsidRPr="008E772B">
        <w:rPr>
          <w:rFonts w:asciiTheme="majorBidi" w:eastAsia="Times New Roman" w:hAnsiTheme="majorBidi" w:cstheme="majorBidi"/>
          <w:bCs/>
          <w:iCs/>
          <w:sz w:val="24"/>
          <w:szCs w:val="24"/>
        </w:rPr>
        <w:t xml:space="preserve"> and thus they are less likely to choose </w:t>
      </w:r>
      <w:r w:rsidR="0049352A" w:rsidRPr="008E772B">
        <w:rPr>
          <w:rFonts w:asciiTheme="majorBidi" w:eastAsia="Times New Roman" w:hAnsiTheme="majorBidi" w:cstheme="majorBidi"/>
          <w:bCs/>
          <w:iCs/>
          <w:sz w:val="24"/>
          <w:szCs w:val="24"/>
        </w:rPr>
        <w:t>high</w:t>
      </w:r>
      <w:r w:rsidR="0049352A">
        <w:rPr>
          <w:rFonts w:asciiTheme="majorBidi" w:eastAsia="Times New Roman" w:hAnsiTheme="majorBidi" w:cstheme="majorBidi"/>
          <w:bCs/>
          <w:iCs/>
          <w:sz w:val="24"/>
          <w:szCs w:val="24"/>
        </w:rPr>
        <w:t>-</w:t>
      </w:r>
      <w:r w:rsidR="007C4420" w:rsidRPr="008E772B">
        <w:rPr>
          <w:rFonts w:asciiTheme="majorBidi" w:eastAsia="Times New Roman" w:hAnsiTheme="majorBidi" w:cstheme="majorBidi"/>
          <w:bCs/>
          <w:iCs/>
          <w:sz w:val="24"/>
          <w:szCs w:val="24"/>
        </w:rPr>
        <w:t>quality audit firms</w:t>
      </w:r>
      <w:r w:rsidR="00072A62">
        <w:rPr>
          <w:rFonts w:asciiTheme="majorBidi" w:eastAsia="Times New Roman" w:hAnsiTheme="majorBidi" w:cstheme="majorBidi"/>
          <w:bCs/>
          <w:iCs/>
          <w:sz w:val="24"/>
          <w:szCs w:val="24"/>
        </w:rPr>
        <w:t>,</w:t>
      </w:r>
      <w:r w:rsidR="007C4420" w:rsidRPr="008E772B">
        <w:rPr>
          <w:rFonts w:asciiTheme="majorBidi" w:eastAsia="Times New Roman" w:hAnsiTheme="majorBidi" w:cstheme="majorBidi"/>
          <w:bCs/>
          <w:iCs/>
          <w:sz w:val="24"/>
          <w:szCs w:val="24"/>
        </w:rPr>
        <w:t xml:space="preserve"> and prefer to pay low </w:t>
      </w:r>
      <w:r w:rsidR="00617EC6">
        <w:rPr>
          <w:rFonts w:asciiTheme="majorBidi" w:eastAsia="Times New Roman" w:hAnsiTheme="majorBidi" w:cstheme="majorBidi"/>
          <w:bCs/>
          <w:iCs/>
          <w:sz w:val="24"/>
          <w:szCs w:val="24"/>
        </w:rPr>
        <w:t xml:space="preserve">audit </w:t>
      </w:r>
      <w:r w:rsidR="007C4420" w:rsidRPr="008E772B">
        <w:rPr>
          <w:rFonts w:asciiTheme="majorBidi" w:eastAsia="Times New Roman" w:hAnsiTheme="majorBidi" w:cstheme="majorBidi"/>
          <w:bCs/>
          <w:iCs/>
          <w:sz w:val="24"/>
          <w:szCs w:val="24"/>
        </w:rPr>
        <w:t xml:space="preserve">fees (Lin </w:t>
      </w:r>
      <w:r w:rsidR="00EE791F" w:rsidRPr="008E772B">
        <w:rPr>
          <w:rFonts w:asciiTheme="majorBidi" w:eastAsia="Times New Roman" w:hAnsiTheme="majorBidi" w:cstheme="majorBidi"/>
          <w:bCs/>
          <w:iCs/>
          <w:sz w:val="24"/>
          <w:szCs w:val="24"/>
        </w:rPr>
        <w:t>&amp;</w:t>
      </w:r>
      <w:r w:rsidR="007C4420" w:rsidRPr="008E772B">
        <w:rPr>
          <w:rFonts w:asciiTheme="majorBidi" w:eastAsia="Times New Roman" w:hAnsiTheme="majorBidi" w:cstheme="majorBidi"/>
          <w:bCs/>
          <w:iCs/>
          <w:sz w:val="24"/>
          <w:szCs w:val="24"/>
        </w:rPr>
        <w:t xml:space="preserve"> Liu, 2010). </w:t>
      </w:r>
      <w:r w:rsidR="003D4BA4">
        <w:rPr>
          <w:rFonts w:asciiTheme="majorBidi" w:eastAsia="Times New Roman" w:hAnsiTheme="majorBidi" w:cstheme="majorBidi"/>
          <w:bCs/>
          <w:iCs/>
          <w:sz w:val="24"/>
          <w:szCs w:val="24"/>
        </w:rPr>
        <w:t>Our</w:t>
      </w:r>
      <w:r w:rsidR="003D4BA4" w:rsidRPr="008E772B">
        <w:rPr>
          <w:rFonts w:asciiTheme="majorBidi" w:eastAsia="Times New Roman" w:hAnsiTheme="majorBidi" w:cstheme="majorBidi"/>
          <w:bCs/>
          <w:iCs/>
          <w:sz w:val="24"/>
          <w:szCs w:val="24"/>
        </w:rPr>
        <w:t xml:space="preserve"> </w:t>
      </w:r>
      <w:r w:rsidR="00295CA7" w:rsidRPr="008E772B">
        <w:rPr>
          <w:rFonts w:asciiTheme="majorBidi" w:eastAsia="Times New Roman" w:hAnsiTheme="majorBidi" w:cstheme="majorBidi"/>
          <w:bCs/>
          <w:iCs/>
          <w:sz w:val="24"/>
          <w:szCs w:val="24"/>
        </w:rPr>
        <w:t xml:space="preserve">findings </w:t>
      </w:r>
      <w:r w:rsidR="003D4BA4">
        <w:rPr>
          <w:rFonts w:asciiTheme="majorBidi" w:eastAsia="Times New Roman" w:hAnsiTheme="majorBidi" w:cstheme="majorBidi"/>
          <w:bCs/>
          <w:iCs/>
          <w:sz w:val="24"/>
          <w:szCs w:val="24"/>
        </w:rPr>
        <w:t>are</w:t>
      </w:r>
      <w:r w:rsidR="003D4BA4" w:rsidRPr="008E772B">
        <w:rPr>
          <w:rFonts w:asciiTheme="majorBidi" w:eastAsia="Times New Roman" w:hAnsiTheme="majorBidi" w:cstheme="majorBidi"/>
          <w:bCs/>
          <w:iCs/>
          <w:sz w:val="24"/>
          <w:szCs w:val="24"/>
        </w:rPr>
        <w:t xml:space="preserve"> </w:t>
      </w:r>
      <w:r w:rsidR="00295CA7" w:rsidRPr="008E772B">
        <w:rPr>
          <w:rFonts w:asciiTheme="majorBidi" w:eastAsia="Times New Roman" w:hAnsiTheme="majorBidi" w:cstheme="majorBidi"/>
          <w:bCs/>
          <w:iCs/>
          <w:sz w:val="24"/>
          <w:szCs w:val="24"/>
        </w:rPr>
        <w:t xml:space="preserve">consistent with </w:t>
      </w:r>
      <w:r w:rsidR="00A9580B" w:rsidRPr="00A9580B">
        <w:rPr>
          <w:rFonts w:asciiTheme="majorBidi" w:eastAsia="Times New Roman" w:hAnsiTheme="majorBidi" w:cstheme="majorBidi"/>
          <w:bCs/>
          <w:iCs/>
          <w:sz w:val="24"/>
          <w:szCs w:val="24"/>
        </w:rPr>
        <w:t xml:space="preserve">Ben-Hassoun </w:t>
      </w:r>
      <w:r w:rsidR="00A9580B" w:rsidRPr="002513C0">
        <w:rPr>
          <w:rFonts w:asciiTheme="majorBidi" w:eastAsia="Times New Roman" w:hAnsiTheme="majorBidi" w:cstheme="majorBidi"/>
          <w:bCs/>
          <w:i/>
          <w:iCs/>
          <w:sz w:val="24"/>
          <w:szCs w:val="24"/>
        </w:rPr>
        <w:t>et al</w:t>
      </w:r>
      <w:r w:rsidR="00A9580B" w:rsidRPr="00A9580B">
        <w:rPr>
          <w:rFonts w:asciiTheme="majorBidi" w:eastAsia="Times New Roman" w:hAnsiTheme="majorBidi" w:cstheme="majorBidi"/>
          <w:bCs/>
          <w:iCs/>
          <w:sz w:val="24"/>
          <w:szCs w:val="24"/>
        </w:rPr>
        <w:t>. (2018)</w:t>
      </w:r>
      <w:r w:rsidR="00995095">
        <w:rPr>
          <w:rFonts w:asciiTheme="majorBidi" w:eastAsia="Times New Roman" w:hAnsiTheme="majorBidi" w:cstheme="majorBidi"/>
          <w:bCs/>
          <w:iCs/>
          <w:sz w:val="24"/>
          <w:szCs w:val="24"/>
        </w:rPr>
        <w:t>,</w:t>
      </w:r>
      <w:r w:rsidR="00A9580B" w:rsidRPr="00A9580B">
        <w:rPr>
          <w:rFonts w:asciiTheme="majorBidi" w:eastAsia="Times New Roman" w:hAnsiTheme="majorBidi" w:cstheme="majorBidi"/>
          <w:bCs/>
          <w:iCs/>
          <w:sz w:val="24"/>
          <w:szCs w:val="24"/>
        </w:rPr>
        <w:t xml:space="preserve"> </w:t>
      </w:r>
      <w:r w:rsidR="00A9580B">
        <w:rPr>
          <w:rFonts w:asciiTheme="majorBidi" w:eastAsia="Times New Roman" w:hAnsiTheme="majorBidi" w:cstheme="majorBidi"/>
          <w:bCs/>
          <w:iCs/>
          <w:sz w:val="24"/>
          <w:szCs w:val="24"/>
        </w:rPr>
        <w:t xml:space="preserve">who </w:t>
      </w:r>
      <w:r w:rsidR="00A9580B" w:rsidRPr="00A9580B">
        <w:rPr>
          <w:rFonts w:asciiTheme="majorBidi" w:eastAsia="Times New Roman" w:hAnsiTheme="majorBidi" w:cstheme="majorBidi"/>
          <w:bCs/>
          <w:iCs/>
          <w:sz w:val="24"/>
          <w:szCs w:val="24"/>
        </w:rPr>
        <w:t xml:space="preserve">report </w:t>
      </w:r>
      <w:r w:rsidR="00A9580B">
        <w:rPr>
          <w:rFonts w:asciiTheme="majorBidi" w:eastAsia="Times New Roman" w:hAnsiTheme="majorBidi" w:cstheme="majorBidi"/>
          <w:bCs/>
          <w:iCs/>
          <w:sz w:val="24"/>
          <w:szCs w:val="24"/>
        </w:rPr>
        <w:t xml:space="preserve">evidence </w:t>
      </w:r>
      <w:r w:rsidR="00995095">
        <w:rPr>
          <w:rFonts w:asciiTheme="majorBidi" w:eastAsia="Times New Roman" w:hAnsiTheme="majorBidi" w:cstheme="majorBidi"/>
          <w:bCs/>
          <w:iCs/>
          <w:sz w:val="24"/>
          <w:szCs w:val="24"/>
        </w:rPr>
        <w:t>of a</w:t>
      </w:r>
      <w:r w:rsidR="00A9580B">
        <w:rPr>
          <w:rFonts w:asciiTheme="majorBidi" w:eastAsia="Times New Roman" w:hAnsiTheme="majorBidi" w:cstheme="majorBidi"/>
          <w:bCs/>
          <w:iCs/>
          <w:sz w:val="24"/>
          <w:szCs w:val="24"/>
        </w:rPr>
        <w:t xml:space="preserve"> </w:t>
      </w:r>
      <w:r w:rsidR="00A9580B" w:rsidRPr="00A9580B">
        <w:rPr>
          <w:rFonts w:asciiTheme="majorBidi" w:eastAsia="Times New Roman" w:hAnsiTheme="majorBidi" w:cstheme="majorBidi"/>
          <w:bCs/>
          <w:iCs/>
          <w:sz w:val="24"/>
          <w:szCs w:val="24"/>
        </w:rPr>
        <w:t xml:space="preserve">negative correlation </w:t>
      </w:r>
      <w:r w:rsidR="00A9580B">
        <w:rPr>
          <w:rFonts w:asciiTheme="majorBidi" w:eastAsia="Times New Roman" w:hAnsiTheme="majorBidi" w:cstheme="majorBidi"/>
          <w:bCs/>
          <w:iCs/>
          <w:sz w:val="24"/>
          <w:szCs w:val="24"/>
        </w:rPr>
        <w:t>between</w:t>
      </w:r>
      <w:r w:rsidR="00A9580B" w:rsidRPr="00A9580B">
        <w:rPr>
          <w:rFonts w:asciiTheme="majorBidi" w:eastAsia="Times New Roman" w:hAnsiTheme="majorBidi" w:cstheme="majorBidi"/>
          <w:bCs/>
          <w:iCs/>
          <w:sz w:val="24"/>
          <w:szCs w:val="24"/>
        </w:rPr>
        <w:t xml:space="preserve"> government </w:t>
      </w:r>
      <w:r w:rsidR="00A67F13">
        <w:rPr>
          <w:rFonts w:asciiTheme="majorBidi" w:eastAsia="Times New Roman" w:hAnsiTheme="majorBidi" w:cstheme="majorBidi"/>
          <w:bCs/>
          <w:iCs/>
          <w:sz w:val="24"/>
          <w:szCs w:val="24"/>
        </w:rPr>
        <w:t>shareholding</w:t>
      </w:r>
      <w:r w:rsidR="00A9580B" w:rsidRPr="00A9580B">
        <w:rPr>
          <w:rFonts w:asciiTheme="majorBidi" w:eastAsia="Times New Roman" w:hAnsiTheme="majorBidi" w:cstheme="majorBidi"/>
          <w:bCs/>
          <w:iCs/>
          <w:sz w:val="24"/>
          <w:szCs w:val="24"/>
        </w:rPr>
        <w:t xml:space="preserve"> </w:t>
      </w:r>
      <w:r w:rsidR="00A67F13">
        <w:rPr>
          <w:rFonts w:asciiTheme="majorBidi" w:eastAsia="Times New Roman" w:hAnsiTheme="majorBidi" w:cstheme="majorBidi"/>
          <w:bCs/>
          <w:iCs/>
          <w:sz w:val="24"/>
          <w:szCs w:val="24"/>
        </w:rPr>
        <w:t xml:space="preserve">and </w:t>
      </w:r>
      <w:r w:rsidR="003A4BA3">
        <w:rPr>
          <w:rFonts w:asciiTheme="majorBidi" w:eastAsia="Times New Roman" w:hAnsiTheme="majorBidi" w:cstheme="majorBidi"/>
          <w:bCs/>
          <w:iCs/>
          <w:sz w:val="24"/>
          <w:szCs w:val="24"/>
        </w:rPr>
        <w:t>audit quality in MENA countries</w:t>
      </w:r>
      <w:r w:rsidR="00A9580B" w:rsidRPr="00A9580B">
        <w:rPr>
          <w:rFonts w:asciiTheme="majorBidi" w:eastAsia="Times New Roman" w:hAnsiTheme="majorBidi" w:cstheme="majorBidi"/>
          <w:bCs/>
          <w:iCs/>
          <w:sz w:val="24"/>
          <w:szCs w:val="24"/>
        </w:rPr>
        <w:t>.</w:t>
      </w:r>
    </w:p>
    <w:p w14:paraId="30EB2AAF" w14:textId="74B3CD5C" w:rsidR="00E043BB" w:rsidRDefault="002C5445" w:rsidP="00ED4F2B">
      <w:pPr>
        <w:spacing w:after="0" w:line="360" w:lineRule="auto"/>
        <w:ind w:firstLine="720"/>
        <w:jc w:val="lowKashida"/>
        <w:rPr>
          <w:rFonts w:asciiTheme="majorBidi" w:eastAsia="Times New Roman" w:hAnsiTheme="majorBidi" w:cstheme="majorBidi"/>
          <w:bCs/>
          <w:iCs/>
          <w:sz w:val="24"/>
          <w:szCs w:val="24"/>
        </w:rPr>
      </w:pPr>
      <w:r>
        <w:rPr>
          <w:rFonts w:asciiTheme="majorBidi" w:eastAsia="Times New Roman" w:hAnsiTheme="majorBidi" w:cstheme="majorBidi"/>
          <w:bCs/>
          <w:iCs/>
          <w:sz w:val="24"/>
          <w:szCs w:val="24"/>
        </w:rPr>
        <w:t xml:space="preserve">The results </w:t>
      </w:r>
      <w:r w:rsidR="007C4420" w:rsidRPr="008E772B">
        <w:rPr>
          <w:rFonts w:asciiTheme="majorBidi" w:eastAsia="Times New Roman" w:hAnsiTheme="majorBidi" w:cstheme="majorBidi"/>
          <w:bCs/>
          <w:iCs/>
          <w:sz w:val="24"/>
          <w:szCs w:val="24"/>
        </w:rPr>
        <w:t xml:space="preserve">reveal a positive and significant relationship between </w:t>
      </w:r>
      <w:r w:rsidR="00BA0AA4" w:rsidRPr="00BA0AA4">
        <w:rPr>
          <w:rFonts w:asciiTheme="majorBidi" w:eastAsia="Times New Roman" w:hAnsiTheme="majorBidi" w:cstheme="majorBidi"/>
          <w:bCs/>
          <w:i/>
          <w:iCs/>
          <w:sz w:val="24"/>
          <w:szCs w:val="24"/>
        </w:rPr>
        <w:t>DISH</w:t>
      </w:r>
      <w:r w:rsidR="00BA0AA4" w:rsidRPr="00BA0AA4" w:rsidDel="00BA0AA4">
        <w:rPr>
          <w:rFonts w:asciiTheme="majorBidi" w:eastAsia="Times New Roman" w:hAnsiTheme="majorBidi" w:cstheme="majorBidi"/>
          <w:bCs/>
          <w:iCs/>
          <w:sz w:val="24"/>
          <w:szCs w:val="24"/>
        </w:rPr>
        <w:t xml:space="preserve"> </w:t>
      </w:r>
      <w:r w:rsidR="007C4420" w:rsidRPr="008E772B">
        <w:rPr>
          <w:rFonts w:asciiTheme="majorBidi" w:eastAsia="Times New Roman" w:hAnsiTheme="majorBidi" w:cstheme="majorBidi"/>
          <w:bCs/>
          <w:iCs/>
          <w:sz w:val="24"/>
          <w:szCs w:val="24"/>
        </w:rPr>
        <w:t xml:space="preserve">and </w:t>
      </w:r>
      <w:r w:rsidR="00BA0AA4" w:rsidRPr="00BA0AA4">
        <w:rPr>
          <w:rFonts w:asciiTheme="majorBidi" w:eastAsia="Times New Roman" w:hAnsiTheme="majorBidi" w:cstheme="majorBidi"/>
          <w:bCs/>
          <w:i/>
          <w:iCs/>
          <w:sz w:val="24"/>
          <w:szCs w:val="24"/>
        </w:rPr>
        <w:t>LNFE</w:t>
      </w:r>
      <w:r w:rsidR="00072A62">
        <w:rPr>
          <w:rFonts w:asciiTheme="majorBidi" w:eastAsia="Times New Roman" w:hAnsiTheme="majorBidi" w:cstheme="majorBidi"/>
          <w:bCs/>
          <w:i/>
          <w:iCs/>
          <w:sz w:val="24"/>
          <w:szCs w:val="24"/>
        </w:rPr>
        <w:t>,</w:t>
      </w:r>
      <w:r w:rsidR="00BA0AA4" w:rsidRPr="00BA0AA4" w:rsidDel="00BA0AA4">
        <w:rPr>
          <w:rFonts w:asciiTheme="majorBidi" w:eastAsia="Times New Roman" w:hAnsiTheme="majorBidi" w:cstheme="majorBidi"/>
          <w:bCs/>
          <w:iCs/>
          <w:sz w:val="24"/>
          <w:szCs w:val="24"/>
        </w:rPr>
        <w:t xml:space="preserve"> </w:t>
      </w:r>
      <w:r w:rsidR="007C4420" w:rsidRPr="008E772B">
        <w:rPr>
          <w:rFonts w:asciiTheme="majorBidi" w:eastAsia="Times New Roman" w:hAnsiTheme="majorBidi" w:cstheme="majorBidi"/>
          <w:bCs/>
          <w:iCs/>
          <w:sz w:val="24"/>
          <w:szCs w:val="24"/>
        </w:rPr>
        <w:t xml:space="preserve">which supports </w:t>
      </w:r>
      <w:r w:rsidR="007C4420" w:rsidRPr="008E772B">
        <w:rPr>
          <w:rFonts w:asciiTheme="majorBidi" w:eastAsia="Times New Roman" w:hAnsiTheme="majorBidi" w:cstheme="majorBidi"/>
          <w:bCs/>
          <w:i/>
          <w:sz w:val="24"/>
          <w:szCs w:val="24"/>
        </w:rPr>
        <w:t>H</w:t>
      </w:r>
      <w:r w:rsidR="004F6DFE" w:rsidRPr="008E772B">
        <w:rPr>
          <w:rFonts w:asciiTheme="majorBidi" w:eastAsia="Times New Roman" w:hAnsiTheme="majorBidi" w:cstheme="majorBidi"/>
          <w:bCs/>
          <w:i/>
          <w:sz w:val="24"/>
          <w:szCs w:val="24"/>
        </w:rPr>
        <w:t>5</w:t>
      </w:r>
      <w:r w:rsidR="007C4420" w:rsidRPr="008E772B">
        <w:rPr>
          <w:rFonts w:asciiTheme="majorBidi" w:eastAsia="Times New Roman" w:hAnsiTheme="majorBidi" w:cstheme="majorBidi"/>
          <w:bCs/>
          <w:iCs/>
          <w:sz w:val="24"/>
          <w:szCs w:val="24"/>
        </w:rPr>
        <w:t xml:space="preserve">, while it reports insignificant impact of </w:t>
      </w:r>
      <w:r w:rsidR="00915A88" w:rsidRPr="00915A88">
        <w:rPr>
          <w:rFonts w:asciiTheme="majorBidi" w:eastAsia="Times New Roman" w:hAnsiTheme="majorBidi" w:cstheme="majorBidi"/>
          <w:bCs/>
          <w:i/>
          <w:iCs/>
          <w:sz w:val="24"/>
          <w:szCs w:val="24"/>
        </w:rPr>
        <w:t>DISH</w:t>
      </w:r>
      <w:r w:rsidR="00915A88" w:rsidRPr="00915A88" w:rsidDel="00BA0AA4">
        <w:rPr>
          <w:rFonts w:asciiTheme="majorBidi" w:eastAsia="Times New Roman" w:hAnsiTheme="majorBidi" w:cstheme="majorBidi"/>
          <w:bCs/>
          <w:iCs/>
          <w:sz w:val="24"/>
          <w:szCs w:val="24"/>
        </w:rPr>
        <w:t xml:space="preserve"> </w:t>
      </w:r>
      <w:r w:rsidR="007C4420" w:rsidRPr="008E772B">
        <w:rPr>
          <w:rFonts w:asciiTheme="majorBidi" w:eastAsia="Times New Roman" w:hAnsiTheme="majorBidi" w:cstheme="majorBidi"/>
          <w:bCs/>
          <w:iCs/>
          <w:sz w:val="24"/>
          <w:szCs w:val="24"/>
        </w:rPr>
        <w:t xml:space="preserve">on </w:t>
      </w:r>
      <w:r w:rsidR="00915A88" w:rsidRPr="00915A88">
        <w:rPr>
          <w:rFonts w:asciiTheme="majorBidi" w:eastAsia="Times New Roman" w:hAnsiTheme="majorBidi" w:cstheme="majorBidi"/>
          <w:bCs/>
          <w:i/>
          <w:iCs/>
          <w:sz w:val="24"/>
          <w:szCs w:val="24"/>
        </w:rPr>
        <w:t>BIG4</w:t>
      </w:r>
      <w:r w:rsidR="007C4420" w:rsidRPr="008E772B">
        <w:rPr>
          <w:rFonts w:asciiTheme="majorBidi" w:eastAsia="Times New Roman" w:hAnsiTheme="majorBidi" w:cstheme="majorBidi"/>
          <w:bCs/>
          <w:iCs/>
          <w:sz w:val="24"/>
          <w:szCs w:val="24"/>
        </w:rPr>
        <w:t>.</w:t>
      </w:r>
      <w:r w:rsidR="007C4420" w:rsidRPr="008E772B">
        <w:rPr>
          <w:rFonts w:asciiTheme="majorBidi" w:eastAsia="Times New Roman" w:hAnsiTheme="majorBidi" w:cstheme="majorBidi"/>
          <w:bCs/>
          <w:sz w:val="24"/>
          <w:szCs w:val="24"/>
        </w:rPr>
        <w:t xml:space="preserve"> </w:t>
      </w:r>
      <w:r w:rsidR="007C4420" w:rsidRPr="008E772B">
        <w:rPr>
          <w:rFonts w:asciiTheme="majorBidi" w:eastAsia="Times New Roman" w:hAnsiTheme="majorBidi" w:cstheme="majorBidi"/>
          <w:bCs/>
          <w:iCs/>
          <w:sz w:val="24"/>
          <w:szCs w:val="24"/>
        </w:rPr>
        <w:t xml:space="preserve">These findings support the notion that in firms with high levels of </w:t>
      </w:r>
      <w:r w:rsidR="00B50D3E">
        <w:rPr>
          <w:rFonts w:asciiTheme="majorBidi" w:eastAsia="Times New Roman" w:hAnsiTheme="majorBidi" w:cstheme="majorBidi"/>
          <w:bCs/>
          <w:iCs/>
          <w:sz w:val="24"/>
          <w:szCs w:val="24"/>
        </w:rPr>
        <w:t xml:space="preserve">director </w:t>
      </w:r>
      <w:r w:rsidR="00C81356" w:rsidRPr="008E772B">
        <w:rPr>
          <w:rFonts w:asciiTheme="majorBidi" w:eastAsia="Times New Roman" w:hAnsiTheme="majorBidi" w:cstheme="majorBidi"/>
          <w:bCs/>
          <w:iCs/>
          <w:sz w:val="24"/>
          <w:szCs w:val="24"/>
        </w:rPr>
        <w:t>shareholding</w:t>
      </w:r>
      <w:r w:rsidR="007C4420" w:rsidRPr="008E772B">
        <w:rPr>
          <w:rFonts w:asciiTheme="majorBidi" w:eastAsia="Times New Roman" w:hAnsiTheme="majorBidi" w:cstheme="majorBidi"/>
          <w:bCs/>
          <w:iCs/>
          <w:sz w:val="24"/>
          <w:szCs w:val="24"/>
        </w:rPr>
        <w:t xml:space="preserve">, the agency problem shifts from the manager–stockholder relation to conflicts between the controlling owners and minority stockholders (Shleifer </w:t>
      </w:r>
      <w:r w:rsidR="00EE791F" w:rsidRPr="008E772B">
        <w:rPr>
          <w:rFonts w:asciiTheme="majorBidi" w:eastAsia="Times New Roman" w:hAnsiTheme="majorBidi" w:cstheme="majorBidi"/>
          <w:bCs/>
          <w:iCs/>
          <w:sz w:val="24"/>
          <w:szCs w:val="24"/>
        </w:rPr>
        <w:t>&amp;</w:t>
      </w:r>
      <w:r w:rsidR="007C4420" w:rsidRPr="008E772B">
        <w:rPr>
          <w:rFonts w:asciiTheme="majorBidi" w:eastAsia="Times New Roman" w:hAnsiTheme="majorBidi" w:cstheme="majorBidi"/>
          <w:bCs/>
          <w:iCs/>
          <w:sz w:val="24"/>
          <w:szCs w:val="24"/>
        </w:rPr>
        <w:t xml:space="preserve"> Vishny, 1997; Fan </w:t>
      </w:r>
      <w:r w:rsidR="00EE791F" w:rsidRPr="008E772B">
        <w:rPr>
          <w:rFonts w:asciiTheme="majorBidi" w:eastAsia="Times New Roman" w:hAnsiTheme="majorBidi" w:cstheme="majorBidi"/>
          <w:bCs/>
          <w:iCs/>
          <w:sz w:val="24"/>
          <w:szCs w:val="24"/>
        </w:rPr>
        <w:t>&amp;</w:t>
      </w:r>
      <w:r w:rsidR="007C4420" w:rsidRPr="008E772B">
        <w:rPr>
          <w:rFonts w:asciiTheme="majorBidi" w:eastAsia="Times New Roman" w:hAnsiTheme="majorBidi" w:cstheme="majorBidi"/>
          <w:bCs/>
          <w:iCs/>
          <w:sz w:val="24"/>
          <w:szCs w:val="24"/>
        </w:rPr>
        <w:t xml:space="preserve"> Wong, 2002). </w:t>
      </w:r>
      <w:r w:rsidR="00DC3B5A" w:rsidRPr="008E772B">
        <w:rPr>
          <w:rFonts w:asciiTheme="majorBidi" w:eastAsia="Times New Roman" w:hAnsiTheme="majorBidi" w:cstheme="majorBidi"/>
          <w:bCs/>
          <w:iCs/>
          <w:sz w:val="24"/>
          <w:szCs w:val="24"/>
        </w:rPr>
        <w:t xml:space="preserve">Therefore, </w:t>
      </w:r>
      <w:r w:rsidR="007C4420" w:rsidRPr="008E772B">
        <w:rPr>
          <w:rFonts w:asciiTheme="majorBidi" w:eastAsia="Times New Roman" w:hAnsiTheme="majorBidi" w:cstheme="majorBidi"/>
          <w:bCs/>
          <w:iCs/>
          <w:sz w:val="24"/>
          <w:szCs w:val="24"/>
        </w:rPr>
        <w:t>the controlling owners (directors) have an incentive to</w:t>
      </w:r>
      <w:r w:rsidR="007C4420" w:rsidRPr="008E772B">
        <w:rPr>
          <w:rFonts w:asciiTheme="majorBidi" w:hAnsiTheme="majorBidi" w:cstheme="majorBidi"/>
          <w:sz w:val="24"/>
          <w:szCs w:val="24"/>
        </w:rPr>
        <w:t xml:space="preserve"> </w:t>
      </w:r>
      <w:r w:rsidR="007C4420" w:rsidRPr="008E772B">
        <w:rPr>
          <w:rFonts w:asciiTheme="majorBidi" w:eastAsia="Times New Roman" w:hAnsiTheme="majorBidi" w:cstheme="majorBidi"/>
          <w:bCs/>
          <w:iCs/>
          <w:sz w:val="24"/>
          <w:szCs w:val="24"/>
        </w:rPr>
        <w:t>pay high audit fees in order to mitigate agency conflicts between controlling owners and the minority shareholder</w:t>
      </w:r>
      <w:r w:rsidR="00DC3B5A" w:rsidRPr="008E772B">
        <w:rPr>
          <w:rFonts w:asciiTheme="majorBidi" w:eastAsia="Times New Roman" w:hAnsiTheme="majorBidi" w:cstheme="majorBidi"/>
          <w:bCs/>
          <w:iCs/>
          <w:sz w:val="24"/>
          <w:szCs w:val="24"/>
        </w:rPr>
        <w:t>s (</w:t>
      </w:r>
      <w:r w:rsidR="007C4420" w:rsidRPr="008E772B">
        <w:rPr>
          <w:rFonts w:asciiTheme="majorBidi" w:eastAsia="Times New Roman" w:hAnsiTheme="majorBidi" w:cstheme="majorBidi"/>
          <w:bCs/>
          <w:iCs/>
          <w:sz w:val="24"/>
          <w:szCs w:val="24"/>
        </w:rPr>
        <w:t xml:space="preserve">Fan </w:t>
      </w:r>
      <w:r w:rsidR="00A44BF6" w:rsidRPr="008E772B">
        <w:rPr>
          <w:rFonts w:asciiTheme="majorBidi" w:eastAsia="Times New Roman" w:hAnsiTheme="majorBidi" w:cstheme="majorBidi"/>
          <w:bCs/>
          <w:iCs/>
          <w:sz w:val="24"/>
          <w:szCs w:val="24"/>
        </w:rPr>
        <w:t>&amp;</w:t>
      </w:r>
      <w:r w:rsidR="007C4420" w:rsidRPr="008E772B">
        <w:rPr>
          <w:rFonts w:asciiTheme="majorBidi" w:eastAsia="Times New Roman" w:hAnsiTheme="majorBidi" w:cstheme="majorBidi"/>
          <w:bCs/>
          <w:iCs/>
          <w:sz w:val="24"/>
          <w:szCs w:val="24"/>
        </w:rPr>
        <w:t xml:space="preserve"> Wong</w:t>
      </w:r>
      <w:r w:rsidR="00DC3B5A" w:rsidRPr="008E772B">
        <w:rPr>
          <w:rFonts w:asciiTheme="majorBidi" w:eastAsia="Times New Roman" w:hAnsiTheme="majorBidi" w:cstheme="majorBidi"/>
          <w:bCs/>
          <w:iCs/>
          <w:sz w:val="24"/>
          <w:szCs w:val="24"/>
        </w:rPr>
        <w:t>,</w:t>
      </w:r>
      <w:r w:rsidR="007C4420" w:rsidRPr="008E772B">
        <w:rPr>
          <w:rFonts w:asciiTheme="majorBidi" w:eastAsia="Times New Roman" w:hAnsiTheme="majorBidi" w:cstheme="majorBidi"/>
          <w:bCs/>
          <w:iCs/>
          <w:sz w:val="24"/>
          <w:szCs w:val="24"/>
        </w:rPr>
        <w:t xml:space="preserve"> 2005)</w:t>
      </w:r>
      <w:r w:rsidR="00DC3B5A" w:rsidRPr="008E772B">
        <w:rPr>
          <w:rFonts w:asciiTheme="majorBidi" w:eastAsia="Times New Roman" w:hAnsiTheme="majorBidi" w:cstheme="majorBidi"/>
          <w:bCs/>
          <w:iCs/>
          <w:sz w:val="24"/>
          <w:szCs w:val="24"/>
        </w:rPr>
        <w:t>.</w:t>
      </w:r>
      <w:r w:rsidR="00E60D42" w:rsidRPr="008E772B">
        <w:rPr>
          <w:rFonts w:asciiTheme="majorBidi" w:eastAsia="Times New Roman" w:hAnsiTheme="majorBidi" w:cstheme="majorBidi"/>
          <w:bCs/>
          <w:iCs/>
          <w:sz w:val="24"/>
          <w:szCs w:val="24"/>
        </w:rPr>
        <w:t xml:space="preserve"> Our </w:t>
      </w:r>
      <w:r>
        <w:rPr>
          <w:rFonts w:asciiTheme="majorBidi" w:eastAsia="Times New Roman" w:hAnsiTheme="majorBidi" w:cstheme="majorBidi"/>
          <w:bCs/>
          <w:iCs/>
          <w:sz w:val="24"/>
          <w:szCs w:val="24"/>
        </w:rPr>
        <w:t>findings</w:t>
      </w:r>
      <w:r w:rsidRPr="008E772B">
        <w:rPr>
          <w:rFonts w:asciiTheme="majorBidi" w:eastAsia="Times New Roman" w:hAnsiTheme="majorBidi" w:cstheme="majorBidi"/>
          <w:bCs/>
          <w:iCs/>
          <w:sz w:val="24"/>
          <w:szCs w:val="24"/>
        </w:rPr>
        <w:t xml:space="preserve"> </w:t>
      </w:r>
      <w:r w:rsidR="006E3658">
        <w:rPr>
          <w:rFonts w:asciiTheme="majorBidi" w:eastAsia="Times New Roman" w:hAnsiTheme="majorBidi" w:cstheme="majorBidi"/>
          <w:bCs/>
          <w:iCs/>
          <w:sz w:val="24"/>
          <w:szCs w:val="24"/>
        </w:rPr>
        <w:t>are</w:t>
      </w:r>
      <w:r w:rsidR="006E3658" w:rsidRPr="008E772B">
        <w:rPr>
          <w:rFonts w:asciiTheme="majorBidi" w:eastAsia="Times New Roman" w:hAnsiTheme="majorBidi" w:cstheme="majorBidi"/>
          <w:bCs/>
          <w:iCs/>
          <w:sz w:val="24"/>
          <w:szCs w:val="24"/>
        </w:rPr>
        <w:t xml:space="preserve"> </w:t>
      </w:r>
      <w:r w:rsidR="00E60D42" w:rsidRPr="008E772B">
        <w:rPr>
          <w:rFonts w:asciiTheme="majorBidi" w:eastAsia="Times New Roman" w:hAnsiTheme="majorBidi" w:cstheme="majorBidi"/>
          <w:bCs/>
          <w:iCs/>
          <w:sz w:val="24"/>
          <w:szCs w:val="24"/>
        </w:rPr>
        <w:t xml:space="preserve">inconsistent with </w:t>
      </w:r>
      <w:r w:rsidR="00E60D42" w:rsidRPr="008E772B">
        <w:rPr>
          <w:rFonts w:asciiTheme="majorBidi" w:eastAsia="Calibri" w:hAnsiTheme="majorBidi" w:cstheme="majorBidi"/>
          <w:bCs/>
          <w:iCs/>
          <w:sz w:val="24"/>
          <w:szCs w:val="24"/>
        </w:rPr>
        <w:t>O’Sullivan (2000) who reports a negative and significant link betwe</w:t>
      </w:r>
      <w:r w:rsidR="00A47022" w:rsidRPr="008E772B">
        <w:rPr>
          <w:rFonts w:asciiTheme="majorBidi" w:eastAsia="Calibri" w:hAnsiTheme="majorBidi" w:cstheme="majorBidi"/>
          <w:bCs/>
          <w:iCs/>
          <w:sz w:val="24"/>
          <w:szCs w:val="24"/>
        </w:rPr>
        <w:t>en director</w:t>
      </w:r>
      <w:r w:rsidR="00E60D42" w:rsidRPr="008E772B">
        <w:rPr>
          <w:rFonts w:asciiTheme="majorBidi" w:eastAsia="Calibri" w:hAnsiTheme="majorBidi" w:cstheme="majorBidi"/>
          <w:bCs/>
          <w:iCs/>
          <w:sz w:val="24"/>
          <w:szCs w:val="24"/>
        </w:rPr>
        <w:t xml:space="preserve"> </w:t>
      </w:r>
      <w:r w:rsidR="00C81356" w:rsidRPr="008E772B">
        <w:rPr>
          <w:rFonts w:asciiTheme="majorBidi" w:eastAsia="Times New Roman" w:hAnsiTheme="majorBidi" w:cstheme="majorBidi"/>
          <w:bCs/>
          <w:iCs/>
          <w:sz w:val="24"/>
          <w:szCs w:val="24"/>
        </w:rPr>
        <w:t>shareholding</w:t>
      </w:r>
      <w:r w:rsidR="00E60D42" w:rsidRPr="008E772B">
        <w:rPr>
          <w:rFonts w:asciiTheme="majorBidi" w:eastAsia="Calibri" w:hAnsiTheme="majorBidi" w:cstheme="majorBidi"/>
          <w:bCs/>
          <w:iCs/>
          <w:sz w:val="24"/>
          <w:szCs w:val="24"/>
        </w:rPr>
        <w:t xml:space="preserve"> and audit fees.</w:t>
      </w:r>
      <w:r w:rsidR="007C4420" w:rsidRPr="008E772B">
        <w:rPr>
          <w:rFonts w:asciiTheme="majorBidi" w:eastAsia="Times New Roman" w:hAnsiTheme="majorBidi" w:cstheme="majorBidi"/>
          <w:bCs/>
          <w:iCs/>
          <w:sz w:val="24"/>
          <w:szCs w:val="24"/>
        </w:rPr>
        <w:t xml:space="preserve"> </w:t>
      </w:r>
      <w:r w:rsidR="007909F0">
        <w:rPr>
          <w:rFonts w:asciiTheme="majorBidi" w:eastAsia="Times New Roman" w:hAnsiTheme="majorBidi" w:cstheme="majorBidi"/>
          <w:bCs/>
          <w:iCs/>
          <w:sz w:val="24"/>
          <w:szCs w:val="24"/>
        </w:rPr>
        <w:t xml:space="preserve">Furthermore, </w:t>
      </w:r>
      <w:r w:rsidR="007909F0" w:rsidRPr="000972D1">
        <w:rPr>
          <w:rFonts w:asciiTheme="majorBidi" w:eastAsia="Times New Roman" w:hAnsiTheme="majorBidi" w:cstheme="majorBidi"/>
          <w:bCs/>
          <w:iCs/>
          <w:sz w:val="24"/>
          <w:szCs w:val="24"/>
        </w:rPr>
        <w:t xml:space="preserve">the </w:t>
      </w:r>
      <w:r w:rsidR="00A8336B" w:rsidRPr="000972D1">
        <w:rPr>
          <w:rFonts w:asciiTheme="majorBidi" w:eastAsia="Times New Roman" w:hAnsiTheme="majorBidi" w:cstheme="majorBidi"/>
          <w:bCs/>
          <w:iCs/>
          <w:sz w:val="24"/>
          <w:szCs w:val="24"/>
        </w:rPr>
        <w:t xml:space="preserve">results </w:t>
      </w:r>
      <w:r w:rsidR="004F6DFE" w:rsidRPr="000972D1">
        <w:rPr>
          <w:rFonts w:asciiTheme="majorBidi" w:eastAsia="Times New Roman" w:hAnsiTheme="majorBidi" w:cstheme="majorBidi"/>
          <w:bCs/>
          <w:iCs/>
          <w:sz w:val="24"/>
          <w:szCs w:val="24"/>
        </w:rPr>
        <w:t xml:space="preserve">in Models </w:t>
      </w:r>
      <w:r w:rsidR="00F71147" w:rsidRPr="000972D1">
        <w:rPr>
          <w:rFonts w:asciiTheme="majorBidi" w:eastAsia="Times New Roman" w:hAnsiTheme="majorBidi" w:cstheme="majorBidi"/>
          <w:bCs/>
          <w:iCs/>
          <w:sz w:val="24"/>
          <w:szCs w:val="24"/>
        </w:rPr>
        <w:t>2</w:t>
      </w:r>
      <w:r w:rsidR="004F6DFE" w:rsidRPr="000972D1">
        <w:rPr>
          <w:rFonts w:asciiTheme="majorBidi" w:eastAsia="Times New Roman" w:hAnsiTheme="majorBidi" w:cstheme="majorBidi"/>
          <w:bCs/>
          <w:iCs/>
          <w:sz w:val="24"/>
          <w:szCs w:val="24"/>
        </w:rPr>
        <w:t xml:space="preserve">, </w:t>
      </w:r>
      <w:r w:rsidR="00F71147" w:rsidRPr="000972D1">
        <w:rPr>
          <w:rFonts w:asciiTheme="majorBidi" w:eastAsia="Times New Roman" w:hAnsiTheme="majorBidi" w:cstheme="majorBidi"/>
          <w:bCs/>
          <w:iCs/>
          <w:sz w:val="24"/>
          <w:szCs w:val="24"/>
        </w:rPr>
        <w:t>3</w:t>
      </w:r>
      <w:r w:rsidR="004F6DFE" w:rsidRPr="000972D1">
        <w:rPr>
          <w:rFonts w:asciiTheme="majorBidi" w:eastAsia="Times New Roman" w:hAnsiTheme="majorBidi" w:cstheme="majorBidi"/>
          <w:bCs/>
          <w:iCs/>
          <w:sz w:val="24"/>
          <w:szCs w:val="24"/>
        </w:rPr>
        <w:t xml:space="preserve">, </w:t>
      </w:r>
      <w:r w:rsidR="00F71147" w:rsidRPr="000972D1">
        <w:rPr>
          <w:rFonts w:asciiTheme="majorBidi" w:eastAsia="Times New Roman" w:hAnsiTheme="majorBidi" w:cstheme="majorBidi"/>
          <w:bCs/>
          <w:iCs/>
          <w:sz w:val="24"/>
          <w:szCs w:val="24"/>
        </w:rPr>
        <w:t xml:space="preserve">6 </w:t>
      </w:r>
      <w:r w:rsidR="004F6DFE" w:rsidRPr="000972D1">
        <w:rPr>
          <w:rFonts w:asciiTheme="majorBidi" w:eastAsia="Times New Roman" w:hAnsiTheme="majorBidi" w:cstheme="majorBidi"/>
          <w:bCs/>
          <w:iCs/>
          <w:sz w:val="24"/>
          <w:szCs w:val="24"/>
        </w:rPr>
        <w:t xml:space="preserve">and </w:t>
      </w:r>
      <w:r w:rsidR="00F71147" w:rsidRPr="000972D1">
        <w:rPr>
          <w:rFonts w:asciiTheme="majorBidi" w:eastAsia="Times New Roman" w:hAnsiTheme="majorBidi" w:cstheme="majorBidi"/>
          <w:bCs/>
          <w:iCs/>
          <w:sz w:val="24"/>
          <w:szCs w:val="24"/>
        </w:rPr>
        <w:t xml:space="preserve">7 </w:t>
      </w:r>
      <w:r w:rsidR="004F6DFE" w:rsidRPr="000972D1">
        <w:rPr>
          <w:rFonts w:asciiTheme="majorBidi" w:eastAsia="Times New Roman" w:hAnsiTheme="majorBidi" w:cstheme="majorBidi"/>
          <w:bCs/>
          <w:iCs/>
          <w:sz w:val="24"/>
          <w:szCs w:val="24"/>
        </w:rPr>
        <w:t xml:space="preserve">report empirical evidence </w:t>
      </w:r>
      <w:r w:rsidR="00B97F22" w:rsidRPr="000972D1">
        <w:rPr>
          <w:rFonts w:asciiTheme="majorBidi" w:eastAsia="Times New Roman" w:hAnsiTheme="majorBidi" w:cstheme="majorBidi"/>
          <w:bCs/>
          <w:iCs/>
          <w:sz w:val="24"/>
          <w:szCs w:val="24"/>
        </w:rPr>
        <w:t xml:space="preserve">suggesting </w:t>
      </w:r>
      <w:r w:rsidR="004F6DFE" w:rsidRPr="000972D1">
        <w:rPr>
          <w:rFonts w:asciiTheme="majorBidi" w:eastAsia="Times New Roman" w:hAnsiTheme="majorBidi" w:cstheme="majorBidi"/>
          <w:bCs/>
          <w:iCs/>
          <w:sz w:val="24"/>
          <w:szCs w:val="24"/>
        </w:rPr>
        <w:t xml:space="preserve">that </w:t>
      </w:r>
      <w:r w:rsidR="00F71147" w:rsidRPr="000972D1">
        <w:rPr>
          <w:rFonts w:asciiTheme="majorBidi" w:eastAsia="Times New Roman" w:hAnsiTheme="majorBidi" w:cstheme="majorBidi"/>
          <w:bCs/>
          <w:i/>
          <w:sz w:val="24"/>
          <w:szCs w:val="24"/>
          <w:lang w:val="en-US"/>
        </w:rPr>
        <w:t>FLSH</w:t>
      </w:r>
      <w:r w:rsidR="00F71147" w:rsidRPr="000972D1">
        <w:rPr>
          <w:rFonts w:asciiTheme="majorBidi" w:eastAsia="Times New Roman" w:hAnsiTheme="majorBidi" w:cstheme="majorBidi"/>
          <w:bCs/>
          <w:sz w:val="24"/>
          <w:szCs w:val="24"/>
        </w:rPr>
        <w:t xml:space="preserve"> </w:t>
      </w:r>
      <w:r w:rsidR="005917C1" w:rsidRPr="000972D1">
        <w:rPr>
          <w:rFonts w:asciiTheme="majorBidi" w:eastAsia="Times New Roman" w:hAnsiTheme="majorBidi" w:cstheme="majorBidi"/>
          <w:bCs/>
          <w:sz w:val="24"/>
          <w:szCs w:val="24"/>
        </w:rPr>
        <w:t xml:space="preserve">has a </w:t>
      </w:r>
      <w:r w:rsidR="00F71147" w:rsidRPr="000972D1">
        <w:rPr>
          <w:rFonts w:asciiTheme="majorBidi" w:eastAsia="Times New Roman" w:hAnsiTheme="majorBidi" w:cstheme="majorBidi"/>
          <w:bCs/>
          <w:sz w:val="24"/>
          <w:szCs w:val="24"/>
        </w:rPr>
        <w:t xml:space="preserve">negative </w:t>
      </w:r>
      <w:r w:rsidR="007C4420" w:rsidRPr="000972D1">
        <w:rPr>
          <w:rFonts w:asciiTheme="majorBidi" w:eastAsia="Times New Roman" w:hAnsiTheme="majorBidi" w:cstheme="majorBidi"/>
          <w:bCs/>
          <w:sz w:val="24"/>
          <w:szCs w:val="24"/>
        </w:rPr>
        <w:t xml:space="preserve">and significant impact </w:t>
      </w:r>
      <w:r w:rsidR="005917C1" w:rsidRPr="000972D1">
        <w:rPr>
          <w:rFonts w:asciiTheme="majorBidi" w:eastAsia="Times New Roman" w:hAnsiTheme="majorBidi" w:cstheme="majorBidi"/>
          <w:bCs/>
          <w:sz w:val="24"/>
          <w:szCs w:val="24"/>
        </w:rPr>
        <w:t xml:space="preserve">on </w:t>
      </w:r>
      <w:r w:rsidR="00F71147" w:rsidRPr="000972D1">
        <w:rPr>
          <w:rFonts w:asciiTheme="majorBidi" w:eastAsia="Times New Roman" w:hAnsiTheme="majorBidi" w:cstheme="majorBidi"/>
          <w:bCs/>
          <w:sz w:val="24"/>
          <w:szCs w:val="24"/>
        </w:rPr>
        <w:t xml:space="preserve">both </w:t>
      </w:r>
      <w:r w:rsidR="00DF35CA" w:rsidRPr="000972D1">
        <w:rPr>
          <w:rFonts w:asciiTheme="majorBidi" w:eastAsia="Times New Roman" w:hAnsiTheme="majorBidi" w:cstheme="majorBidi"/>
          <w:bCs/>
          <w:i/>
          <w:iCs/>
          <w:sz w:val="24"/>
          <w:szCs w:val="24"/>
        </w:rPr>
        <w:t>BIG4</w:t>
      </w:r>
      <w:r w:rsidR="00F71147" w:rsidRPr="000972D1">
        <w:rPr>
          <w:rFonts w:asciiTheme="majorBidi" w:eastAsia="Times New Roman" w:hAnsiTheme="majorBidi" w:cstheme="majorBidi"/>
          <w:bCs/>
          <w:i/>
          <w:iCs/>
          <w:sz w:val="24"/>
          <w:szCs w:val="24"/>
        </w:rPr>
        <w:t xml:space="preserve"> </w:t>
      </w:r>
      <w:r w:rsidR="00F71147" w:rsidRPr="000972D1">
        <w:rPr>
          <w:rFonts w:asciiTheme="majorBidi" w:eastAsia="Times New Roman" w:hAnsiTheme="majorBidi" w:cstheme="majorBidi"/>
          <w:bCs/>
          <w:iCs/>
          <w:sz w:val="24"/>
          <w:szCs w:val="24"/>
        </w:rPr>
        <w:t>and</w:t>
      </w:r>
      <w:r w:rsidR="00F71147" w:rsidRPr="000972D1">
        <w:rPr>
          <w:rFonts w:asciiTheme="majorBidi" w:eastAsia="Times New Roman" w:hAnsiTheme="majorBidi" w:cstheme="majorBidi"/>
          <w:bCs/>
          <w:i/>
          <w:iCs/>
          <w:sz w:val="24"/>
          <w:szCs w:val="24"/>
        </w:rPr>
        <w:t xml:space="preserve"> LNFE</w:t>
      </w:r>
      <w:r w:rsidR="00ED4F2B" w:rsidRPr="000972D1">
        <w:rPr>
          <w:rFonts w:asciiTheme="majorBidi" w:eastAsia="Times New Roman" w:hAnsiTheme="majorBidi" w:cstheme="majorBidi"/>
          <w:bCs/>
          <w:i/>
          <w:iCs/>
          <w:sz w:val="24"/>
          <w:szCs w:val="24"/>
        </w:rPr>
        <w:t>,</w:t>
      </w:r>
      <w:r w:rsidR="00F71147" w:rsidRPr="000972D1" w:rsidDel="00BA0AA4">
        <w:rPr>
          <w:rFonts w:asciiTheme="majorBidi" w:eastAsia="Times New Roman" w:hAnsiTheme="majorBidi" w:cstheme="majorBidi"/>
          <w:bCs/>
          <w:iCs/>
          <w:sz w:val="24"/>
          <w:szCs w:val="24"/>
        </w:rPr>
        <w:t xml:space="preserve"> </w:t>
      </w:r>
      <w:r w:rsidR="00F71147" w:rsidRPr="000972D1">
        <w:rPr>
          <w:rFonts w:asciiTheme="majorBidi" w:eastAsia="Times New Roman" w:hAnsiTheme="majorBidi" w:cstheme="majorBidi"/>
          <w:bCs/>
          <w:iCs/>
          <w:sz w:val="24"/>
          <w:szCs w:val="24"/>
        </w:rPr>
        <w:t xml:space="preserve">which supports </w:t>
      </w:r>
      <w:r w:rsidR="00F71147" w:rsidRPr="000972D1">
        <w:rPr>
          <w:rFonts w:asciiTheme="majorBidi" w:eastAsia="Times New Roman" w:hAnsiTheme="majorBidi" w:cstheme="majorBidi"/>
          <w:bCs/>
          <w:i/>
          <w:iCs/>
          <w:sz w:val="24"/>
          <w:szCs w:val="24"/>
        </w:rPr>
        <w:t>H</w:t>
      </w:r>
      <w:r w:rsidR="00383143" w:rsidRPr="000972D1">
        <w:rPr>
          <w:rFonts w:asciiTheme="majorBidi" w:eastAsia="Times New Roman" w:hAnsiTheme="majorBidi" w:cstheme="majorBidi"/>
          <w:bCs/>
          <w:i/>
          <w:iCs/>
          <w:sz w:val="24"/>
          <w:szCs w:val="24"/>
        </w:rPr>
        <w:t>6</w:t>
      </w:r>
      <w:r w:rsidR="007C4420" w:rsidRPr="000972D1">
        <w:rPr>
          <w:rFonts w:asciiTheme="majorBidi" w:eastAsia="Times New Roman" w:hAnsiTheme="majorBidi" w:cstheme="majorBidi"/>
          <w:bCs/>
          <w:sz w:val="24"/>
          <w:szCs w:val="24"/>
        </w:rPr>
        <w:t xml:space="preserve">. These findings </w:t>
      </w:r>
      <w:r w:rsidR="00ED4F2B" w:rsidRPr="000972D1">
        <w:rPr>
          <w:rFonts w:asciiTheme="majorBidi" w:eastAsia="Times New Roman" w:hAnsiTheme="majorBidi" w:cstheme="majorBidi"/>
          <w:bCs/>
          <w:sz w:val="24"/>
          <w:szCs w:val="24"/>
        </w:rPr>
        <w:t xml:space="preserve">indicate </w:t>
      </w:r>
      <w:r w:rsidR="007C4420" w:rsidRPr="000972D1">
        <w:rPr>
          <w:rFonts w:asciiTheme="majorBidi" w:eastAsia="Times New Roman" w:hAnsiTheme="majorBidi" w:cstheme="majorBidi"/>
          <w:bCs/>
          <w:sz w:val="24"/>
          <w:szCs w:val="24"/>
        </w:rPr>
        <w:t xml:space="preserve">that </w:t>
      </w:r>
      <w:r w:rsidR="005C31F2" w:rsidRPr="000972D1">
        <w:rPr>
          <w:rFonts w:asciiTheme="majorBidi" w:eastAsia="Times New Roman" w:hAnsiTheme="majorBidi" w:cstheme="majorBidi"/>
          <w:bCs/>
          <w:sz w:val="24"/>
          <w:szCs w:val="24"/>
        </w:rPr>
        <w:t xml:space="preserve">family shareholders </w:t>
      </w:r>
      <w:r w:rsidR="008F5E83" w:rsidRPr="000972D1">
        <w:rPr>
          <w:rFonts w:asciiTheme="majorBidi" w:eastAsia="Times New Roman" w:hAnsiTheme="majorBidi" w:cstheme="majorBidi"/>
          <w:bCs/>
          <w:sz w:val="24"/>
          <w:szCs w:val="24"/>
        </w:rPr>
        <w:t xml:space="preserve">in MENA countries </w:t>
      </w:r>
      <w:r w:rsidR="005C31F2" w:rsidRPr="000972D1">
        <w:rPr>
          <w:rFonts w:asciiTheme="majorBidi" w:eastAsia="Times New Roman" w:hAnsiTheme="majorBidi" w:cstheme="majorBidi"/>
          <w:bCs/>
          <w:iCs/>
          <w:sz w:val="24"/>
          <w:szCs w:val="24"/>
        </w:rPr>
        <w:t xml:space="preserve">have access to internal/private information (Chen et al., 2008). Therefore, they have low incentives to demand external auditing services/hiring top-tier auditors to monitor managers since they also bear most of the costs (Barroso </w:t>
      </w:r>
      <w:r w:rsidR="005C31F2" w:rsidRPr="00605CB1">
        <w:rPr>
          <w:rFonts w:asciiTheme="majorBidi" w:eastAsia="Times New Roman" w:hAnsiTheme="majorBidi" w:cstheme="majorBidi"/>
          <w:bCs/>
          <w:i/>
          <w:sz w:val="24"/>
          <w:szCs w:val="24"/>
        </w:rPr>
        <w:t>et al.,</w:t>
      </w:r>
      <w:r w:rsidR="005C31F2" w:rsidRPr="000972D1">
        <w:rPr>
          <w:rFonts w:asciiTheme="majorBidi" w:eastAsia="Times New Roman" w:hAnsiTheme="majorBidi" w:cstheme="majorBidi"/>
          <w:bCs/>
          <w:iCs/>
          <w:sz w:val="24"/>
          <w:szCs w:val="24"/>
        </w:rPr>
        <w:t xml:space="preserve"> 2018)</w:t>
      </w:r>
      <w:r w:rsidR="005B3813" w:rsidRPr="000972D1">
        <w:rPr>
          <w:rFonts w:asciiTheme="majorBidi" w:eastAsia="Times New Roman" w:hAnsiTheme="majorBidi" w:cstheme="majorBidi"/>
          <w:bCs/>
          <w:iCs/>
          <w:sz w:val="24"/>
          <w:szCs w:val="24"/>
        </w:rPr>
        <w:t>.</w:t>
      </w:r>
      <w:r w:rsidR="00D217E5" w:rsidRPr="000972D1">
        <w:rPr>
          <w:rFonts w:asciiTheme="majorBidi" w:eastAsia="Times New Roman" w:hAnsiTheme="majorBidi" w:cstheme="majorBidi"/>
          <w:bCs/>
          <w:iCs/>
          <w:sz w:val="24"/>
          <w:szCs w:val="24"/>
        </w:rPr>
        <w:t xml:space="preserve"> </w:t>
      </w:r>
      <w:r w:rsidR="00E043BB" w:rsidRPr="000972D1">
        <w:rPr>
          <w:rFonts w:asciiTheme="majorBidi" w:eastAsia="Times New Roman" w:hAnsiTheme="majorBidi" w:cstheme="majorBidi"/>
          <w:bCs/>
          <w:iCs/>
          <w:sz w:val="24"/>
          <w:szCs w:val="24"/>
        </w:rPr>
        <w:t xml:space="preserve">Our results are consistent with previous studies that have found </w:t>
      </w:r>
      <w:r w:rsidR="005C31F2" w:rsidRPr="000972D1">
        <w:rPr>
          <w:rFonts w:asciiTheme="majorBidi" w:eastAsia="Times New Roman" w:hAnsiTheme="majorBidi" w:cstheme="majorBidi"/>
          <w:bCs/>
          <w:iCs/>
          <w:sz w:val="24"/>
          <w:szCs w:val="24"/>
        </w:rPr>
        <w:t xml:space="preserve">negative </w:t>
      </w:r>
      <w:r w:rsidR="00E043BB" w:rsidRPr="000972D1">
        <w:rPr>
          <w:rFonts w:asciiTheme="majorBidi" w:eastAsia="Times New Roman" w:hAnsiTheme="majorBidi" w:cstheme="majorBidi"/>
          <w:bCs/>
          <w:iCs/>
          <w:sz w:val="24"/>
          <w:szCs w:val="24"/>
        </w:rPr>
        <w:t xml:space="preserve">effect of </w:t>
      </w:r>
      <w:r w:rsidR="005C31F2" w:rsidRPr="000972D1">
        <w:rPr>
          <w:rFonts w:asciiTheme="majorBidi" w:eastAsia="Times New Roman" w:hAnsiTheme="majorBidi" w:cstheme="majorBidi"/>
          <w:bCs/>
          <w:iCs/>
          <w:sz w:val="24"/>
          <w:szCs w:val="24"/>
        </w:rPr>
        <w:t xml:space="preserve">family </w:t>
      </w:r>
      <w:r w:rsidR="00E043BB" w:rsidRPr="000972D1">
        <w:rPr>
          <w:rFonts w:asciiTheme="majorBidi" w:eastAsia="Times New Roman" w:hAnsiTheme="majorBidi" w:cstheme="majorBidi"/>
          <w:bCs/>
          <w:iCs/>
          <w:sz w:val="24"/>
          <w:szCs w:val="24"/>
        </w:rPr>
        <w:t>shareholding on audit quality (</w:t>
      </w:r>
      <w:r w:rsidR="008F5E83" w:rsidRPr="000972D1">
        <w:rPr>
          <w:rFonts w:asciiTheme="majorBidi" w:eastAsia="Times New Roman" w:hAnsiTheme="majorBidi" w:cstheme="majorBidi"/>
          <w:bCs/>
          <w:iCs/>
          <w:sz w:val="24"/>
          <w:szCs w:val="24"/>
        </w:rPr>
        <w:t xml:space="preserve">e.g., Ho </w:t>
      </w:r>
      <w:r w:rsidR="0053290E" w:rsidRPr="000972D1">
        <w:rPr>
          <w:rFonts w:asciiTheme="majorBidi" w:eastAsia="Times New Roman" w:hAnsiTheme="majorBidi" w:cstheme="majorBidi"/>
          <w:bCs/>
          <w:iCs/>
          <w:sz w:val="24"/>
          <w:szCs w:val="24"/>
        </w:rPr>
        <w:t>&amp;</w:t>
      </w:r>
      <w:r w:rsidR="008F5E83" w:rsidRPr="000972D1">
        <w:rPr>
          <w:rFonts w:asciiTheme="majorBidi" w:eastAsia="Times New Roman" w:hAnsiTheme="majorBidi" w:cstheme="majorBidi"/>
          <w:bCs/>
          <w:iCs/>
          <w:sz w:val="24"/>
          <w:szCs w:val="24"/>
        </w:rPr>
        <w:t xml:space="preserve"> Kang, 2013; Barroso </w:t>
      </w:r>
      <w:r w:rsidR="008F5E83" w:rsidRPr="000972D1">
        <w:rPr>
          <w:rFonts w:asciiTheme="majorBidi" w:eastAsia="Times New Roman" w:hAnsiTheme="majorBidi" w:cstheme="majorBidi"/>
          <w:bCs/>
          <w:i/>
          <w:iCs/>
          <w:sz w:val="24"/>
          <w:szCs w:val="24"/>
        </w:rPr>
        <w:t>et al</w:t>
      </w:r>
      <w:r w:rsidR="008F5E83" w:rsidRPr="000972D1">
        <w:rPr>
          <w:rFonts w:asciiTheme="majorBidi" w:eastAsia="Times New Roman" w:hAnsiTheme="majorBidi" w:cstheme="majorBidi"/>
          <w:bCs/>
          <w:iCs/>
          <w:sz w:val="24"/>
          <w:szCs w:val="24"/>
        </w:rPr>
        <w:t>., 2018)</w:t>
      </w:r>
      <w:r w:rsidR="00ED4F2B" w:rsidRPr="000972D1">
        <w:rPr>
          <w:rFonts w:asciiTheme="majorBidi" w:eastAsia="Times New Roman" w:hAnsiTheme="majorBidi" w:cstheme="majorBidi"/>
          <w:bCs/>
          <w:iCs/>
          <w:sz w:val="24"/>
          <w:szCs w:val="24"/>
        </w:rPr>
        <w:t>.</w:t>
      </w:r>
      <w:r w:rsidR="00ED4F2B">
        <w:rPr>
          <w:rFonts w:asciiTheme="majorBidi" w:eastAsia="Times New Roman" w:hAnsiTheme="majorBidi" w:cstheme="majorBidi"/>
          <w:bCs/>
          <w:iCs/>
          <w:sz w:val="24"/>
          <w:szCs w:val="24"/>
        </w:rPr>
        <w:t xml:space="preserve"> </w:t>
      </w:r>
    </w:p>
    <w:p w14:paraId="5C3CF33C" w14:textId="3DADE74B" w:rsidR="00687338" w:rsidRPr="00687338" w:rsidRDefault="009304AA" w:rsidP="00687338">
      <w:pPr>
        <w:spacing w:after="0" w:line="360" w:lineRule="auto"/>
        <w:ind w:firstLine="720"/>
        <w:jc w:val="lowKashida"/>
        <w:rPr>
          <w:rFonts w:asciiTheme="majorBidi" w:eastAsia="Times New Roman" w:hAnsiTheme="majorBidi" w:cstheme="majorBidi"/>
          <w:bCs/>
          <w:iCs/>
          <w:sz w:val="24"/>
          <w:szCs w:val="24"/>
        </w:rPr>
      </w:pPr>
      <w:r w:rsidRPr="000972D1">
        <w:rPr>
          <w:rFonts w:asciiTheme="majorBidi" w:eastAsia="Times New Roman" w:hAnsiTheme="majorBidi" w:cstheme="majorBidi"/>
          <w:bCs/>
          <w:iCs/>
          <w:sz w:val="24"/>
          <w:szCs w:val="24"/>
        </w:rPr>
        <w:t xml:space="preserve">We develop our </w:t>
      </w:r>
      <w:r w:rsidR="00D032E9" w:rsidRPr="000972D1">
        <w:rPr>
          <w:rFonts w:asciiTheme="majorBidi" w:eastAsia="Times New Roman" w:hAnsiTheme="majorBidi" w:cstheme="majorBidi"/>
          <w:bCs/>
          <w:iCs/>
          <w:sz w:val="24"/>
          <w:szCs w:val="24"/>
        </w:rPr>
        <w:t>shareholding</w:t>
      </w:r>
      <w:r w:rsidRPr="000972D1">
        <w:rPr>
          <w:rFonts w:asciiTheme="majorBidi" w:eastAsia="Times New Roman" w:hAnsiTheme="majorBidi" w:cstheme="majorBidi"/>
          <w:bCs/>
          <w:iCs/>
          <w:sz w:val="24"/>
          <w:szCs w:val="24"/>
        </w:rPr>
        <w:t xml:space="preserve"> governance index (</w:t>
      </w:r>
      <w:r w:rsidR="00D032E9" w:rsidRPr="000972D1">
        <w:rPr>
          <w:rFonts w:asciiTheme="majorBidi" w:eastAsia="Times New Roman" w:hAnsiTheme="majorBidi" w:cstheme="majorBidi"/>
          <w:bCs/>
          <w:i/>
          <w:iCs/>
          <w:sz w:val="24"/>
          <w:szCs w:val="24"/>
        </w:rPr>
        <w:t>SHR</w:t>
      </w:r>
      <w:r w:rsidRPr="000972D1">
        <w:rPr>
          <w:rFonts w:asciiTheme="majorBidi" w:eastAsia="Times New Roman" w:hAnsiTheme="majorBidi" w:cstheme="majorBidi"/>
          <w:bCs/>
          <w:i/>
          <w:iCs/>
          <w:sz w:val="24"/>
          <w:szCs w:val="24"/>
        </w:rPr>
        <w:t>GI</w:t>
      </w:r>
      <w:r w:rsidRPr="000972D1">
        <w:rPr>
          <w:rFonts w:asciiTheme="majorBidi" w:eastAsia="Times New Roman" w:hAnsiTheme="majorBidi" w:cstheme="majorBidi"/>
          <w:bCs/>
          <w:iCs/>
          <w:sz w:val="24"/>
          <w:szCs w:val="24"/>
        </w:rPr>
        <w:t>) with the available governance variables for our sample, following previous studies (e.g., Al-Najjar, 2015</w:t>
      </w:r>
      <w:r w:rsidR="00383143" w:rsidRPr="000972D1">
        <w:rPr>
          <w:rFonts w:asciiTheme="majorBidi" w:eastAsia="Times New Roman" w:hAnsiTheme="majorBidi" w:cstheme="majorBidi"/>
          <w:bCs/>
          <w:iCs/>
          <w:sz w:val="24"/>
          <w:szCs w:val="24"/>
        </w:rPr>
        <w:t xml:space="preserve">; Ben-Hassoun </w:t>
      </w:r>
      <w:r w:rsidR="00383143" w:rsidRPr="000972D1">
        <w:rPr>
          <w:rFonts w:asciiTheme="majorBidi" w:eastAsia="Times New Roman" w:hAnsiTheme="majorBidi" w:cstheme="majorBidi"/>
          <w:bCs/>
          <w:i/>
          <w:iCs/>
          <w:sz w:val="24"/>
          <w:szCs w:val="24"/>
        </w:rPr>
        <w:t>et al</w:t>
      </w:r>
      <w:r w:rsidR="00383143" w:rsidRPr="000972D1">
        <w:rPr>
          <w:rFonts w:asciiTheme="majorBidi" w:eastAsia="Times New Roman" w:hAnsiTheme="majorBidi" w:cstheme="majorBidi"/>
          <w:bCs/>
          <w:iCs/>
          <w:sz w:val="24"/>
          <w:szCs w:val="24"/>
        </w:rPr>
        <w:t>., 2018</w:t>
      </w:r>
      <w:r w:rsidRPr="000972D1">
        <w:rPr>
          <w:rFonts w:asciiTheme="majorBidi" w:eastAsia="Times New Roman" w:hAnsiTheme="majorBidi" w:cstheme="majorBidi"/>
          <w:bCs/>
          <w:iCs/>
          <w:sz w:val="24"/>
          <w:szCs w:val="24"/>
        </w:rPr>
        <w:t xml:space="preserve">). The governance variables included in this </w:t>
      </w:r>
      <w:r w:rsidR="009D09A0" w:rsidRPr="000972D1">
        <w:rPr>
          <w:rFonts w:asciiTheme="majorBidi" w:eastAsia="Times New Roman" w:hAnsiTheme="majorBidi" w:cstheme="majorBidi"/>
          <w:bCs/>
          <w:iCs/>
          <w:sz w:val="24"/>
          <w:szCs w:val="24"/>
        </w:rPr>
        <w:t xml:space="preserve">index </w:t>
      </w:r>
      <w:r w:rsidRPr="000972D1">
        <w:rPr>
          <w:rFonts w:asciiTheme="majorBidi" w:eastAsia="Times New Roman" w:hAnsiTheme="majorBidi" w:cstheme="majorBidi"/>
          <w:bCs/>
          <w:iCs/>
          <w:sz w:val="24"/>
          <w:szCs w:val="24"/>
        </w:rPr>
        <w:t xml:space="preserve">are as follows: </w:t>
      </w:r>
      <w:r w:rsidR="00D032E9" w:rsidRPr="000972D1">
        <w:rPr>
          <w:rFonts w:asciiTheme="majorBidi" w:eastAsia="Times New Roman" w:hAnsiTheme="majorBidi" w:cstheme="majorBidi"/>
          <w:bCs/>
          <w:iCs/>
          <w:sz w:val="24"/>
          <w:szCs w:val="24"/>
        </w:rPr>
        <w:t>government shareholding, director shareholding and family shareholding</w:t>
      </w:r>
      <w:r w:rsidRPr="000972D1">
        <w:rPr>
          <w:rFonts w:asciiTheme="majorBidi" w:eastAsia="Times New Roman" w:hAnsiTheme="majorBidi" w:cstheme="majorBidi"/>
          <w:bCs/>
          <w:iCs/>
          <w:sz w:val="24"/>
          <w:szCs w:val="24"/>
        </w:rPr>
        <w:t>. The scale ranges from 0 to 3 (equal weights). If a firm in a year meets all of the components of the governance index</w:t>
      </w:r>
      <w:r w:rsidR="00FD7CF1" w:rsidRPr="000972D1">
        <w:rPr>
          <w:rFonts w:asciiTheme="majorBidi" w:eastAsia="Times New Roman" w:hAnsiTheme="majorBidi" w:cstheme="majorBidi"/>
          <w:bCs/>
          <w:iCs/>
          <w:sz w:val="24"/>
          <w:szCs w:val="24"/>
        </w:rPr>
        <w:t>,</w:t>
      </w:r>
      <w:r w:rsidRPr="000972D1">
        <w:rPr>
          <w:rFonts w:asciiTheme="majorBidi" w:eastAsia="Times New Roman" w:hAnsiTheme="majorBidi" w:cstheme="majorBidi"/>
          <w:bCs/>
          <w:iCs/>
          <w:sz w:val="24"/>
          <w:szCs w:val="24"/>
        </w:rPr>
        <w:t xml:space="preserve"> then</w:t>
      </w:r>
      <w:r w:rsidR="00FD7CF1" w:rsidRPr="000972D1">
        <w:rPr>
          <w:rFonts w:asciiTheme="majorBidi" w:eastAsia="Times New Roman" w:hAnsiTheme="majorBidi" w:cstheme="majorBidi"/>
          <w:bCs/>
          <w:iCs/>
          <w:sz w:val="24"/>
          <w:szCs w:val="24"/>
        </w:rPr>
        <w:t>,</w:t>
      </w:r>
      <w:r w:rsidRPr="000972D1">
        <w:rPr>
          <w:rFonts w:asciiTheme="majorBidi" w:eastAsia="Times New Roman" w:hAnsiTheme="majorBidi" w:cstheme="majorBidi"/>
          <w:bCs/>
          <w:iCs/>
          <w:sz w:val="24"/>
          <w:szCs w:val="24"/>
        </w:rPr>
        <w:t xml:space="preserve"> it is given an index value of 3; and for firms that meet none of the criteria</w:t>
      </w:r>
      <w:r w:rsidR="00FD7CF1" w:rsidRPr="000972D1">
        <w:rPr>
          <w:rFonts w:asciiTheme="majorBidi" w:eastAsia="Times New Roman" w:hAnsiTheme="majorBidi" w:cstheme="majorBidi"/>
          <w:bCs/>
          <w:iCs/>
          <w:sz w:val="24"/>
          <w:szCs w:val="24"/>
        </w:rPr>
        <w:t>,</w:t>
      </w:r>
      <w:r w:rsidRPr="000972D1">
        <w:rPr>
          <w:rFonts w:asciiTheme="majorBidi" w:eastAsia="Times New Roman" w:hAnsiTheme="majorBidi" w:cstheme="majorBidi"/>
          <w:bCs/>
          <w:iCs/>
          <w:sz w:val="24"/>
          <w:szCs w:val="24"/>
        </w:rPr>
        <w:t xml:space="preserve"> a value of 0 is assigned.</w:t>
      </w:r>
      <w:r w:rsidR="00D032E9" w:rsidRPr="000972D1">
        <w:rPr>
          <w:rFonts w:asciiTheme="majorBidi" w:eastAsia="Times New Roman" w:hAnsiTheme="majorBidi" w:cstheme="majorBidi"/>
          <w:bCs/>
          <w:iCs/>
          <w:sz w:val="24"/>
          <w:szCs w:val="24"/>
        </w:rPr>
        <w:t xml:space="preserve"> </w:t>
      </w:r>
      <w:r w:rsidR="00FD7CF1" w:rsidRPr="000972D1">
        <w:rPr>
          <w:rFonts w:asciiTheme="majorBidi" w:eastAsia="Times New Roman" w:hAnsiTheme="majorBidi" w:cstheme="majorBidi"/>
          <w:bCs/>
          <w:iCs/>
          <w:sz w:val="24"/>
          <w:szCs w:val="24"/>
        </w:rPr>
        <w:t>As</w:t>
      </w:r>
      <w:r w:rsidR="00BA016D" w:rsidRPr="000972D1">
        <w:rPr>
          <w:rFonts w:asciiTheme="majorBidi" w:eastAsia="Times New Roman" w:hAnsiTheme="majorBidi" w:cstheme="majorBidi"/>
          <w:bCs/>
          <w:iCs/>
          <w:sz w:val="24"/>
          <w:szCs w:val="24"/>
        </w:rPr>
        <w:t xml:space="preserve"> there is no specific indication of the recommended views on shareholding </w:t>
      </w:r>
      <w:r w:rsidR="00B94810">
        <w:rPr>
          <w:rFonts w:asciiTheme="majorBidi" w:eastAsia="Times New Roman" w:hAnsiTheme="majorBidi" w:cstheme="majorBidi"/>
          <w:bCs/>
          <w:iCs/>
          <w:sz w:val="24"/>
          <w:szCs w:val="24"/>
        </w:rPr>
        <w:t>governance</w:t>
      </w:r>
      <w:r w:rsidR="00B94810" w:rsidRPr="000972D1">
        <w:rPr>
          <w:rFonts w:asciiTheme="majorBidi" w:eastAsia="Times New Roman" w:hAnsiTheme="majorBidi" w:cstheme="majorBidi"/>
          <w:bCs/>
          <w:iCs/>
          <w:sz w:val="24"/>
          <w:szCs w:val="24"/>
        </w:rPr>
        <w:t xml:space="preserve"> </w:t>
      </w:r>
      <w:r w:rsidR="00086E18">
        <w:rPr>
          <w:rFonts w:asciiTheme="majorBidi" w:eastAsia="Times New Roman" w:hAnsiTheme="majorBidi" w:cstheme="majorBidi"/>
          <w:bCs/>
          <w:iCs/>
          <w:sz w:val="24"/>
          <w:szCs w:val="24"/>
        </w:rPr>
        <w:t xml:space="preserve">index </w:t>
      </w:r>
      <w:r w:rsidR="00BA016D" w:rsidRPr="000972D1">
        <w:rPr>
          <w:rFonts w:asciiTheme="majorBidi" w:eastAsia="Times New Roman" w:hAnsiTheme="majorBidi" w:cstheme="majorBidi"/>
          <w:bCs/>
          <w:iCs/>
          <w:sz w:val="24"/>
          <w:szCs w:val="24"/>
        </w:rPr>
        <w:t xml:space="preserve">details, the average of the shareholding variable is taken. </w:t>
      </w:r>
      <w:r w:rsidR="00687338" w:rsidRPr="000972D1">
        <w:rPr>
          <w:rFonts w:asciiTheme="majorBidi" w:eastAsia="Times New Roman" w:hAnsiTheme="majorBidi" w:cstheme="majorBidi"/>
          <w:bCs/>
          <w:i/>
          <w:iCs/>
          <w:sz w:val="24"/>
          <w:szCs w:val="24"/>
        </w:rPr>
        <w:t xml:space="preserve">SHRGI </w:t>
      </w:r>
      <w:r w:rsidR="00687338" w:rsidRPr="000972D1">
        <w:rPr>
          <w:rFonts w:asciiTheme="majorBidi" w:eastAsia="Times New Roman" w:hAnsiTheme="majorBidi" w:cstheme="majorBidi"/>
          <w:bCs/>
          <w:iCs/>
          <w:sz w:val="24"/>
          <w:szCs w:val="24"/>
        </w:rPr>
        <w:t xml:space="preserve">is equal to three (3) when </w:t>
      </w:r>
      <w:r w:rsidR="00BA016D" w:rsidRPr="000972D1">
        <w:rPr>
          <w:rFonts w:asciiTheme="majorBidi" w:eastAsia="Times New Roman" w:hAnsiTheme="majorBidi" w:cstheme="majorBidi"/>
          <w:bCs/>
          <w:iCs/>
          <w:sz w:val="24"/>
          <w:szCs w:val="24"/>
        </w:rPr>
        <w:t xml:space="preserve">a firm’s government and family shareholding </w:t>
      </w:r>
      <w:r w:rsidR="00687338" w:rsidRPr="000972D1">
        <w:rPr>
          <w:rFonts w:asciiTheme="majorBidi" w:eastAsia="Times New Roman" w:hAnsiTheme="majorBidi" w:cstheme="majorBidi"/>
          <w:bCs/>
          <w:iCs/>
          <w:sz w:val="24"/>
          <w:szCs w:val="24"/>
        </w:rPr>
        <w:t>are</w:t>
      </w:r>
      <w:r w:rsidR="00BA016D" w:rsidRPr="000972D1">
        <w:rPr>
          <w:rFonts w:asciiTheme="majorBidi" w:eastAsia="Times New Roman" w:hAnsiTheme="majorBidi" w:cstheme="majorBidi"/>
          <w:bCs/>
          <w:iCs/>
          <w:sz w:val="24"/>
          <w:szCs w:val="24"/>
        </w:rPr>
        <w:t xml:space="preserve"> </w:t>
      </w:r>
      <w:r w:rsidR="00687338" w:rsidRPr="000972D1">
        <w:rPr>
          <w:rFonts w:asciiTheme="majorBidi" w:eastAsia="Times New Roman" w:hAnsiTheme="majorBidi" w:cstheme="majorBidi"/>
          <w:bCs/>
          <w:iCs/>
          <w:sz w:val="24"/>
          <w:szCs w:val="24"/>
        </w:rPr>
        <w:t>lower</w:t>
      </w:r>
      <w:r w:rsidR="00BA016D" w:rsidRPr="000972D1">
        <w:rPr>
          <w:rFonts w:asciiTheme="majorBidi" w:eastAsia="Times New Roman" w:hAnsiTheme="majorBidi" w:cstheme="majorBidi"/>
          <w:bCs/>
          <w:iCs/>
          <w:sz w:val="24"/>
          <w:szCs w:val="24"/>
        </w:rPr>
        <w:t xml:space="preserve"> than the overall average </w:t>
      </w:r>
      <w:r w:rsidR="00383143" w:rsidRPr="000972D1">
        <w:rPr>
          <w:rFonts w:asciiTheme="majorBidi" w:eastAsia="Times New Roman" w:hAnsiTheme="majorBidi" w:cstheme="majorBidi"/>
          <w:bCs/>
          <w:iCs/>
          <w:sz w:val="24"/>
          <w:szCs w:val="24"/>
        </w:rPr>
        <w:t>in</w:t>
      </w:r>
      <w:r w:rsidR="00BA016D" w:rsidRPr="000972D1">
        <w:rPr>
          <w:rFonts w:asciiTheme="majorBidi" w:eastAsia="Times New Roman" w:hAnsiTheme="majorBidi" w:cstheme="majorBidi"/>
          <w:bCs/>
          <w:iCs/>
          <w:sz w:val="24"/>
          <w:szCs w:val="24"/>
        </w:rPr>
        <w:t xml:space="preserve"> each sampled country, </w:t>
      </w:r>
      <w:r w:rsidR="00687338" w:rsidRPr="000972D1">
        <w:rPr>
          <w:rFonts w:asciiTheme="majorBidi" w:eastAsia="Times New Roman" w:hAnsiTheme="majorBidi" w:cstheme="majorBidi"/>
          <w:bCs/>
          <w:iCs/>
          <w:sz w:val="24"/>
          <w:szCs w:val="24"/>
        </w:rPr>
        <w:t xml:space="preserve">and firm’s director shareholding is greater than the overall average </w:t>
      </w:r>
      <w:r w:rsidR="00383143" w:rsidRPr="000972D1">
        <w:rPr>
          <w:rFonts w:asciiTheme="majorBidi" w:eastAsia="Times New Roman" w:hAnsiTheme="majorBidi" w:cstheme="majorBidi"/>
          <w:bCs/>
          <w:iCs/>
          <w:sz w:val="24"/>
          <w:szCs w:val="24"/>
        </w:rPr>
        <w:t xml:space="preserve">in </w:t>
      </w:r>
      <w:r w:rsidR="00687338" w:rsidRPr="000972D1">
        <w:rPr>
          <w:rFonts w:asciiTheme="majorBidi" w:eastAsia="Times New Roman" w:hAnsiTheme="majorBidi" w:cstheme="majorBidi"/>
          <w:bCs/>
          <w:iCs/>
          <w:sz w:val="24"/>
          <w:szCs w:val="24"/>
        </w:rPr>
        <w:t>each sampled country</w:t>
      </w:r>
      <w:r w:rsidR="00BA016D" w:rsidRPr="000972D1">
        <w:rPr>
          <w:rFonts w:asciiTheme="majorBidi" w:eastAsia="Times New Roman" w:hAnsiTheme="majorBidi" w:cstheme="majorBidi"/>
          <w:bCs/>
          <w:iCs/>
          <w:sz w:val="24"/>
          <w:szCs w:val="24"/>
        </w:rPr>
        <w:t>.</w:t>
      </w:r>
      <w:r w:rsidR="00687338" w:rsidRPr="000972D1">
        <w:rPr>
          <w:rFonts w:asciiTheme="majorBidi" w:eastAsia="Times New Roman" w:hAnsiTheme="majorBidi" w:cstheme="majorBidi"/>
          <w:bCs/>
          <w:i/>
          <w:iCs/>
          <w:sz w:val="24"/>
          <w:szCs w:val="24"/>
        </w:rPr>
        <w:t xml:space="preserve"> SHRGI </w:t>
      </w:r>
      <w:r w:rsidR="00687338" w:rsidRPr="000972D1">
        <w:rPr>
          <w:rFonts w:asciiTheme="majorBidi" w:eastAsia="Times New Roman" w:hAnsiTheme="majorBidi" w:cstheme="majorBidi"/>
          <w:bCs/>
          <w:iCs/>
          <w:sz w:val="24"/>
          <w:szCs w:val="24"/>
        </w:rPr>
        <w:t>is equal to zero (0)</w:t>
      </w:r>
      <w:r w:rsidR="00FD7CF1" w:rsidRPr="000972D1">
        <w:rPr>
          <w:rFonts w:asciiTheme="majorBidi" w:eastAsia="Times New Roman" w:hAnsiTheme="majorBidi" w:cstheme="majorBidi"/>
          <w:bCs/>
          <w:iCs/>
          <w:sz w:val="24"/>
          <w:szCs w:val="24"/>
        </w:rPr>
        <w:t>,</w:t>
      </w:r>
      <w:r w:rsidR="00687338" w:rsidRPr="000972D1">
        <w:rPr>
          <w:rFonts w:asciiTheme="majorBidi" w:eastAsia="Times New Roman" w:hAnsiTheme="majorBidi" w:cstheme="majorBidi"/>
          <w:bCs/>
          <w:iCs/>
          <w:sz w:val="24"/>
          <w:szCs w:val="24"/>
        </w:rPr>
        <w:t xml:space="preserve"> when a firm’s </w:t>
      </w:r>
      <w:r w:rsidR="00687338" w:rsidRPr="000972D1">
        <w:rPr>
          <w:rFonts w:asciiTheme="majorBidi" w:eastAsia="Times New Roman" w:hAnsiTheme="majorBidi" w:cstheme="majorBidi"/>
          <w:bCs/>
          <w:iCs/>
          <w:sz w:val="24"/>
          <w:szCs w:val="24"/>
        </w:rPr>
        <w:lastRenderedPageBreak/>
        <w:t xml:space="preserve">government and family shareholding are greater than the overall average </w:t>
      </w:r>
      <w:r w:rsidR="00383143" w:rsidRPr="000972D1">
        <w:rPr>
          <w:rFonts w:asciiTheme="majorBidi" w:eastAsia="Times New Roman" w:hAnsiTheme="majorBidi" w:cstheme="majorBidi"/>
          <w:bCs/>
          <w:iCs/>
          <w:sz w:val="24"/>
          <w:szCs w:val="24"/>
        </w:rPr>
        <w:t>in</w:t>
      </w:r>
      <w:r w:rsidR="00687338" w:rsidRPr="000972D1">
        <w:rPr>
          <w:rFonts w:asciiTheme="majorBidi" w:eastAsia="Times New Roman" w:hAnsiTheme="majorBidi" w:cstheme="majorBidi"/>
          <w:bCs/>
          <w:iCs/>
          <w:sz w:val="24"/>
          <w:szCs w:val="24"/>
        </w:rPr>
        <w:t xml:space="preserve"> each sampled country, and firm’s director shareholding is lower than the overall average </w:t>
      </w:r>
      <w:r w:rsidR="00383143" w:rsidRPr="000972D1">
        <w:rPr>
          <w:rFonts w:asciiTheme="majorBidi" w:eastAsia="Times New Roman" w:hAnsiTheme="majorBidi" w:cstheme="majorBidi"/>
          <w:bCs/>
          <w:iCs/>
          <w:sz w:val="24"/>
          <w:szCs w:val="24"/>
        </w:rPr>
        <w:t>in</w:t>
      </w:r>
      <w:r w:rsidR="00687338" w:rsidRPr="000972D1">
        <w:rPr>
          <w:rFonts w:asciiTheme="majorBidi" w:eastAsia="Times New Roman" w:hAnsiTheme="majorBidi" w:cstheme="majorBidi"/>
          <w:bCs/>
          <w:iCs/>
          <w:sz w:val="24"/>
          <w:szCs w:val="24"/>
        </w:rPr>
        <w:t xml:space="preserve"> each sampled country.</w:t>
      </w:r>
      <w:r w:rsidR="006D0AA3" w:rsidRPr="000972D1">
        <w:rPr>
          <w:rFonts w:asciiTheme="majorBidi" w:eastAsia="Times New Roman" w:hAnsiTheme="majorBidi" w:cstheme="majorBidi"/>
          <w:bCs/>
          <w:iCs/>
          <w:sz w:val="24"/>
          <w:szCs w:val="24"/>
        </w:rPr>
        <w:t xml:space="preserve"> Model </w:t>
      </w:r>
      <w:r w:rsidR="0030049F" w:rsidRPr="000972D1">
        <w:rPr>
          <w:rFonts w:asciiTheme="majorBidi" w:eastAsia="Times New Roman" w:hAnsiTheme="majorBidi" w:cstheme="majorBidi"/>
          <w:bCs/>
          <w:iCs/>
          <w:sz w:val="24"/>
          <w:szCs w:val="24"/>
        </w:rPr>
        <w:t>4</w:t>
      </w:r>
      <w:r w:rsidR="006D0AA3" w:rsidRPr="000972D1">
        <w:rPr>
          <w:rFonts w:asciiTheme="majorBidi" w:eastAsia="Times New Roman" w:hAnsiTheme="majorBidi" w:cstheme="majorBidi"/>
          <w:bCs/>
          <w:iCs/>
          <w:sz w:val="24"/>
          <w:szCs w:val="24"/>
        </w:rPr>
        <w:t xml:space="preserve"> shows insignificant impact of </w:t>
      </w:r>
      <w:r w:rsidR="006D0AA3" w:rsidRPr="000972D1">
        <w:rPr>
          <w:rFonts w:asciiTheme="majorBidi" w:eastAsia="Times New Roman" w:hAnsiTheme="majorBidi" w:cstheme="majorBidi"/>
          <w:bCs/>
          <w:i/>
          <w:iCs/>
          <w:sz w:val="24"/>
          <w:szCs w:val="24"/>
        </w:rPr>
        <w:t xml:space="preserve">SHRGI </w:t>
      </w:r>
      <w:r w:rsidR="006D0AA3" w:rsidRPr="000972D1">
        <w:rPr>
          <w:rFonts w:asciiTheme="majorBidi" w:eastAsia="Times New Roman" w:hAnsiTheme="majorBidi" w:cstheme="majorBidi"/>
          <w:bCs/>
          <w:iCs/>
          <w:sz w:val="24"/>
          <w:szCs w:val="24"/>
        </w:rPr>
        <w:t xml:space="preserve">on </w:t>
      </w:r>
      <w:r w:rsidR="006D0AA3" w:rsidRPr="000972D1">
        <w:rPr>
          <w:rFonts w:asciiTheme="majorBidi" w:eastAsia="Times New Roman" w:hAnsiTheme="majorBidi" w:cstheme="majorBidi"/>
          <w:bCs/>
          <w:i/>
          <w:iCs/>
          <w:sz w:val="24"/>
          <w:szCs w:val="24"/>
        </w:rPr>
        <w:t>BIG4</w:t>
      </w:r>
      <w:r w:rsidR="006D0AA3" w:rsidRPr="000972D1">
        <w:rPr>
          <w:rFonts w:asciiTheme="majorBidi" w:eastAsia="Times New Roman" w:hAnsiTheme="majorBidi" w:cstheme="majorBidi"/>
          <w:bCs/>
          <w:iCs/>
          <w:sz w:val="24"/>
          <w:szCs w:val="24"/>
        </w:rPr>
        <w:t xml:space="preserve">, whereas </w:t>
      </w:r>
      <w:r w:rsidR="00640DAF" w:rsidRPr="000972D1">
        <w:rPr>
          <w:rFonts w:asciiTheme="majorBidi" w:eastAsia="Times New Roman" w:hAnsiTheme="majorBidi" w:cstheme="majorBidi"/>
          <w:bCs/>
          <w:iCs/>
          <w:sz w:val="24"/>
          <w:szCs w:val="24"/>
        </w:rPr>
        <w:t>Model</w:t>
      </w:r>
      <w:r w:rsidR="0030049F" w:rsidRPr="000972D1">
        <w:rPr>
          <w:rFonts w:asciiTheme="majorBidi" w:eastAsia="Times New Roman" w:hAnsiTheme="majorBidi" w:cstheme="majorBidi"/>
          <w:bCs/>
          <w:iCs/>
          <w:sz w:val="24"/>
          <w:szCs w:val="24"/>
        </w:rPr>
        <w:t xml:space="preserve"> 8 illustrates </w:t>
      </w:r>
      <w:r w:rsidR="006D0AA3" w:rsidRPr="000972D1">
        <w:rPr>
          <w:rFonts w:asciiTheme="majorBidi" w:eastAsia="Times New Roman" w:hAnsiTheme="majorBidi" w:cstheme="majorBidi"/>
          <w:bCs/>
          <w:iCs/>
          <w:sz w:val="24"/>
          <w:szCs w:val="24"/>
        </w:rPr>
        <w:t xml:space="preserve">a significant positive link between </w:t>
      </w:r>
      <w:r w:rsidR="006D0AA3" w:rsidRPr="000972D1">
        <w:rPr>
          <w:rFonts w:asciiTheme="majorBidi" w:eastAsia="Times New Roman" w:hAnsiTheme="majorBidi" w:cstheme="majorBidi"/>
          <w:bCs/>
          <w:i/>
          <w:iCs/>
          <w:sz w:val="24"/>
          <w:szCs w:val="24"/>
        </w:rPr>
        <w:t xml:space="preserve">SHRGI </w:t>
      </w:r>
      <w:r w:rsidR="006D0AA3" w:rsidRPr="000972D1">
        <w:rPr>
          <w:rFonts w:asciiTheme="majorBidi" w:eastAsia="Times New Roman" w:hAnsiTheme="majorBidi" w:cstheme="majorBidi"/>
          <w:bCs/>
          <w:iCs/>
          <w:sz w:val="24"/>
          <w:szCs w:val="24"/>
        </w:rPr>
        <w:t xml:space="preserve">and </w:t>
      </w:r>
      <w:r w:rsidR="006D0AA3" w:rsidRPr="000972D1">
        <w:rPr>
          <w:rFonts w:asciiTheme="majorBidi" w:eastAsia="Times New Roman" w:hAnsiTheme="majorBidi" w:cstheme="majorBidi"/>
          <w:bCs/>
          <w:i/>
          <w:iCs/>
          <w:sz w:val="24"/>
          <w:szCs w:val="24"/>
        </w:rPr>
        <w:t>LNFE</w:t>
      </w:r>
      <w:r w:rsidR="005E5605" w:rsidRPr="000972D1">
        <w:rPr>
          <w:rFonts w:asciiTheme="majorBidi" w:eastAsia="Times New Roman" w:hAnsiTheme="majorBidi" w:cstheme="majorBidi"/>
          <w:bCs/>
          <w:iCs/>
          <w:sz w:val="24"/>
          <w:szCs w:val="24"/>
        </w:rPr>
        <w:t>.</w:t>
      </w:r>
      <w:r w:rsidR="006D0AA3" w:rsidRPr="000972D1">
        <w:rPr>
          <w:rFonts w:asciiTheme="majorBidi" w:eastAsia="Times New Roman" w:hAnsiTheme="majorBidi" w:cstheme="majorBidi"/>
          <w:bCs/>
          <w:iCs/>
          <w:sz w:val="24"/>
          <w:szCs w:val="24"/>
        </w:rPr>
        <w:t xml:space="preserve"> </w:t>
      </w:r>
      <w:r w:rsidR="005E5605" w:rsidRPr="000972D1">
        <w:rPr>
          <w:rFonts w:asciiTheme="majorBidi" w:eastAsia="Times New Roman" w:hAnsiTheme="majorBidi" w:cstheme="majorBidi"/>
          <w:bCs/>
          <w:iCs/>
          <w:sz w:val="24"/>
          <w:szCs w:val="24"/>
        </w:rPr>
        <w:t>This result suggests that effectiveness of shareholding structure encourages firms to engage auditors to spend more effort (high-audit quality) in MENA countries</w:t>
      </w:r>
      <w:r w:rsidR="006D0AA3" w:rsidRPr="000972D1">
        <w:rPr>
          <w:rFonts w:asciiTheme="majorBidi" w:eastAsia="Times New Roman" w:hAnsiTheme="majorBidi" w:cstheme="majorBidi"/>
          <w:bCs/>
          <w:iCs/>
          <w:sz w:val="24"/>
          <w:szCs w:val="24"/>
        </w:rPr>
        <w:t>.</w:t>
      </w:r>
    </w:p>
    <w:p w14:paraId="2EF419F5" w14:textId="45B3C338" w:rsidR="00FC55FC" w:rsidRPr="008E772B" w:rsidRDefault="00BA4ED4" w:rsidP="007E6658">
      <w:pPr>
        <w:spacing w:after="0" w:line="360" w:lineRule="auto"/>
        <w:ind w:firstLine="720"/>
        <w:jc w:val="both"/>
        <w:rPr>
          <w:rFonts w:asciiTheme="majorBidi" w:eastAsia="Times New Roman" w:hAnsiTheme="majorBidi" w:cstheme="majorBidi"/>
          <w:bCs/>
          <w:iCs/>
          <w:sz w:val="24"/>
          <w:szCs w:val="24"/>
        </w:rPr>
      </w:pPr>
      <w:r w:rsidRPr="007104EA">
        <w:rPr>
          <w:rFonts w:asciiTheme="majorBidi" w:eastAsia="Times New Roman" w:hAnsiTheme="majorBidi" w:cstheme="majorBidi"/>
          <w:bCs/>
          <w:iCs/>
          <w:sz w:val="24"/>
          <w:szCs w:val="24"/>
        </w:rPr>
        <w:t xml:space="preserve">Third, </w:t>
      </w:r>
      <w:r w:rsidR="00FC55FC" w:rsidRPr="007104EA">
        <w:rPr>
          <w:rFonts w:asciiTheme="majorBidi" w:eastAsia="Times New Roman" w:hAnsiTheme="majorBidi" w:cstheme="majorBidi"/>
          <w:bCs/>
          <w:iCs/>
          <w:sz w:val="24"/>
          <w:szCs w:val="24"/>
        </w:rPr>
        <w:t>a number of</w:t>
      </w:r>
      <w:r w:rsidR="00FC55FC" w:rsidRPr="008E772B">
        <w:rPr>
          <w:rFonts w:asciiTheme="majorBidi" w:eastAsia="Times New Roman" w:hAnsiTheme="majorBidi" w:cstheme="majorBidi"/>
          <w:bCs/>
          <w:iCs/>
          <w:sz w:val="24"/>
          <w:szCs w:val="24"/>
        </w:rPr>
        <w:t xml:space="preserve"> previous studies suggest that country-level governance </w:t>
      </w:r>
      <w:r w:rsidR="00F80BDD">
        <w:rPr>
          <w:rFonts w:asciiTheme="majorBidi" w:eastAsia="Times New Roman" w:hAnsiTheme="majorBidi" w:cstheme="majorBidi"/>
          <w:bCs/>
          <w:iCs/>
          <w:sz w:val="24"/>
          <w:szCs w:val="24"/>
        </w:rPr>
        <w:t xml:space="preserve">quality </w:t>
      </w:r>
      <w:r w:rsidR="00FC55FC" w:rsidRPr="008E772B">
        <w:rPr>
          <w:rFonts w:asciiTheme="majorBidi" w:eastAsia="Times New Roman" w:hAnsiTheme="majorBidi" w:cstheme="majorBidi"/>
          <w:bCs/>
          <w:iCs/>
          <w:sz w:val="24"/>
          <w:szCs w:val="24"/>
        </w:rPr>
        <w:t>affects different corporate activities</w:t>
      </w:r>
      <w:r w:rsidR="00D96537">
        <w:rPr>
          <w:rFonts w:asciiTheme="majorBidi" w:eastAsia="Times New Roman" w:hAnsiTheme="majorBidi" w:cstheme="majorBidi"/>
          <w:bCs/>
          <w:iCs/>
          <w:sz w:val="24"/>
          <w:szCs w:val="24"/>
        </w:rPr>
        <w:t xml:space="preserve"> </w:t>
      </w:r>
      <w:r w:rsidR="00D96537" w:rsidRPr="00D96537">
        <w:rPr>
          <w:rFonts w:asciiTheme="majorBidi" w:eastAsia="Times New Roman" w:hAnsiTheme="majorBidi" w:cstheme="majorBidi"/>
          <w:bCs/>
          <w:iCs/>
          <w:sz w:val="24"/>
          <w:szCs w:val="24"/>
        </w:rPr>
        <w:t>(</w:t>
      </w:r>
      <w:r w:rsidR="00594462">
        <w:rPr>
          <w:rFonts w:asciiTheme="majorBidi" w:eastAsia="Times New Roman" w:hAnsiTheme="majorBidi" w:cstheme="majorBidi"/>
          <w:bCs/>
          <w:iCs/>
          <w:sz w:val="24"/>
          <w:szCs w:val="24"/>
        </w:rPr>
        <w:t xml:space="preserve">e.g., </w:t>
      </w:r>
      <w:r w:rsidR="00D96537" w:rsidRPr="00D96537">
        <w:rPr>
          <w:rFonts w:asciiTheme="majorBidi" w:eastAsia="Times New Roman" w:hAnsiTheme="majorBidi" w:cstheme="majorBidi"/>
          <w:bCs/>
          <w:iCs/>
          <w:sz w:val="24"/>
          <w:szCs w:val="24"/>
        </w:rPr>
        <w:t xml:space="preserve">Jaggi &amp; Low, 2000; Ioannou &amp; Serafeim, 2012; Zahra, 2014; Mateescu, 2015; Baldini </w:t>
      </w:r>
      <w:r w:rsidR="00D96537" w:rsidRPr="00D96537">
        <w:rPr>
          <w:rFonts w:asciiTheme="majorBidi" w:eastAsia="Times New Roman" w:hAnsiTheme="majorBidi" w:cstheme="majorBidi"/>
          <w:bCs/>
          <w:i/>
          <w:iCs/>
          <w:sz w:val="24"/>
          <w:szCs w:val="24"/>
        </w:rPr>
        <w:t>et al</w:t>
      </w:r>
      <w:r w:rsidR="00D96537" w:rsidRPr="00D96537">
        <w:rPr>
          <w:rFonts w:asciiTheme="majorBidi" w:eastAsia="Times New Roman" w:hAnsiTheme="majorBidi" w:cstheme="majorBidi"/>
          <w:bCs/>
          <w:iCs/>
          <w:sz w:val="24"/>
          <w:szCs w:val="24"/>
        </w:rPr>
        <w:t xml:space="preserve">., </w:t>
      </w:r>
      <w:r w:rsidR="00EA1FDF" w:rsidRPr="00D96537">
        <w:rPr>
          <w:rFonts w:asciiTheme="majorBidi" w:eastAsia="Times New Roman" w:hAnsiTheme="majorBidi" w:cstheme="majorBidi"/>
          <w:bCs/>
          <w:iCs/>
          <w:sz w:val="24"/>
          <w:szCs w:val="24"/>
        </w:rPr>
        <w:t>201</w:t>
      </w:r>
      <w:r w:rsidR="00EA1FDF">
        <w:rPr>
          <w:rFonts w:asciiTheme="majorBidi" w:eastAsia="Times New Roman" w:hAnsiTheme="majorBidi" w:cstheme="majorBidi"/>
          <w:bCs/>
          <w:iCs/>
          <w:sz w:val="24"/>
          <w:szCs w:val="24"/>
        </w:rPr>
        <w:t>8</w:t>
      </w:r>
      <w:r w:rsidR="00D96537" w:rsidRPr="00D96537">
        <w:rPr>
          <w:rFonts w:asciiTheme="majorBidi" w:eastAsia="Times New Roman" w:hAnsiTheme="majorBidi" w:cstheme="majorBidi"/>
          <w:bCs/>
          <w:iCs/>
          <w:sz w:val="24"/>
          <w:szCs w:val="24"/>
        </w:rPr>
        <w:t>)</w:t>
      </w:r>
      <w:r w:rsidR="00FC55FC" w:rsidRPr="008E772B">
        <w:rPr>
          <w:rFonts w:asciiTheme="majorBidi" w:eastAsia="Times New Roman" w:hAnsiTheme="majorBidi" w:cstheme="majorBidi"/>
          <w:bCs/>
          <w:iCs/>
          <w:sz w:val="24"/>
          <w:szCs w:val="24"/>
        </w:rPr>
        <w:t>.</w:t>
      </w:r>
      <w:r w:rsidR="006308D9" w:rsidRPr="008E772B">
        <w:rPr>
          <w:rFonts w:asciiTheme="majorBidi" w:eastAsia="Times New Roman" w:hAnsiTheme="majorBidi" w:cstheme="majorBidi"/>
          <w:bCs/>
          <w:iCs/>
          <w:sz w:val="24"/>
          <w:szCs w:val="24"/>
        </w:rPr>
        <w:t xml:space="preserve"> </w:t>
      </w:r>
      <w:r w:rsidR="00853CE3" w:rsidRPr="000972D1">
        <w:rPr>
          <w:rFonts w:asciiTheme="majorBidi" w:eastAsia="Times New Roman" w:hAnsiTheme="majorBidi" w:cstheme="majorBidi"/>
          <w:bCs/>
          <w:iCs/>
          <w:sz w:val="24"/>
          <w:szCs w:val="24"/>
        </w:rPr>
        <w:t xml:space="preserve">Therefore, in order to determine whether national governance </w:t>
      </w:r>
      <w:r w:rsidR="00F80BDD">
        <w:rPr>
          <w:rFonts w:asciiTheme="majorBidi" w:eastAsia="Times New Roman" w:hAnsiTheme="majorBidi" w:cstheme="majorBidi"/>
          <w:bCs/>
          <w:iCs/>
          <w:sz w:val="24"/>
          <w:szCs w:val="24"/>
        </w:rPr>
        <w:t xml:space="preserve">quality </w:t>
      </w:r>
      <w:r w:rsidR="00853CE3" w:rsidRPr="000972D1">
        <w:rPr>
          <w:rFonts w:asciiTheme="majorBidi" w:eastAsia="Times New Roman" w:hAnsiTheme="majorBidi" w:cstheme="majorBidi"/>
          <w:bCs/>
          <w:iCs/>
          <w:sz w:val="24"/>
          <w:szCs w:val="24"/>
        </w:rPr>
        <w:t>affect</w:t>
      </w:r>
      <w:r w:rsidR="00FD7CF1" w:rsidRPr="000972D1">
        <w:rPr>
          <w:rFonts w:asciiTheme="majorBidi" w:eastAsia="Times New Roman" w:hAnsiTheme="majorBidi" w:cstheme="majorBidi"/>
          <w:bCs/>
          <w:iCs/>
          <w:sz w:val="24"/>
          <w:szCs w:val="24"/>
        </w:rPr>
        <w:t>s</w:t>
      </w:r>
      <w:r w:rsidR="00853CE3" w:rsidRPr="000972D1">
        <w:rPr>
          <w:rFonts w:asciiTheme="majorBidi" w:eastAsia="Times New Roman" w:hAnsiTheme="majorBidi" w:cstheme="majorBidi"/>
          <w:bCs/>
          <w:iCs/>
          <w:sz w:val="24"/>
          <w:szCs w:val="24"/>
        </w:rPr>
        <w:t xml:space="preserve"> auditor choice and audit fees, Eq. 1 and 2 are estimated by including the six national governance indicators (i.e., rule of law, government effectiveness, control of corruption, voice and accountability, political stability</w:t>
      </w:r>
      <w:r w:rsidR="00055D9A">
        <w:rPr>
          <w:rFonts w:asciiTheme="majorBidi" w:eastAsia="Times New Roman" w:hAnsiTheme="majorBidi" w:cstheme="majorBidi"/>
          <w:bCs/>
          <w:iCs/>
          <w:sz w:val="24"/>
          <w:szCs w:val="24"/>
        </w:rPr>
        <w:t>,</w:t>
      </w:r>
      <w:r w:rsidR="00853CE3" w:rsidRPr="000972D1">
        <w:rPr>
          <w:rFonts w:asciiTheme="majorBidi" w:eastAsia="Times New Roman" w:hAnsiTheme="majorBidi" w:cstheme="majorBidi"/>
          <w:bCs/>
          <w:iCs/>
          <w:sz w:val="24"/>
          <w:szCs w:val="24"/>
        </w:rPr>
        <w:t xml:space="preserve"> and regulatory quality) and their average. </w:t>
      </w:r>
      <w:r w:rsidR="00E711ED" w:rsidRPr="000972D1">
        <w:rPr>
          <w:rFonts w:asciiTheme="majorBidi" w:eastAsia="Times New Roman" w:hAnsiTheme="majorBidi" w:cstheme="majorBidi"/>
          <w:bCs/>
          <w:iCs/>
          <w:sz w:val="24"/>
          <w:szCs w:val="24"/>
        </w:rPr>
        <w:t>We have include</w:t>
      </w:r>
      <w:r w:rsidR="00FD7CF1" w:rsidRPr="000972D1">
        <w:rPr>
          <w:rFonts w:asciiTheme="majorBidi" w:eastAsia="Times New Roman" w:hAnsiTheme="majorBidi" w:cstheme="majorBidi"/>
          <w:bCs/>
          <w:iCs/>
          <w:sz w:val="24"/>
          <w:szCs w:val="24"/>
        </w:rPr>
        <w:t>d</w:t>
      </w:r>
      <w:r w:rsidR="00E711ED" w:rsidRPr="000972D1">
        <w:rPr>
          <w:rFonts w:asciiTheme="majorBidi" w:eastAsia="Times New Roman" w:hAnsiTheme="majorBidi" w:cstheme="majorBidi"/>
          <w:bCs/>
          <w:iCs/>
          <w:sz w:val="24"/>
          <w:szCs w:val="24"/>
        </w:rPr>
        <w:t xml:space="preserve"> each of the six national governance </w:t>
      </w:r>
      <w:r w:rsidR="00F80BDD">
        <w:rPr>
          <w:rFonts w:asciiTheme="majorBidi" w:eastAsia="Times New Roman" w:hAnsiTheme="majorBidi" w:cstheme="majorBidi"/>
          <w:bCs/>
          <w:iCs/>
          <w:sz w:val="24"/>
          <w:szCs w:val="24"/>
        </w:rPr>
        <w:t xml:space="preserve">quality </w:t>
      </w:r>
      <w:r w:rsidR="00E711ED" w:rsidRPr="000972D1">
        <w:rPr>
          <w:rFonts w:asciiTheme="majorBidi" w:eastAsia="Times New Roman" w:hAnsiTheme="majorBidi" w:cstheme="majorBidi"/>
          <w:bCs/>
          <w:iCs/>
          <w:sz w:val="24"/>
          <w:szCs w:val="24"/>
        </w:rPr>
        <w:t xml:space="preserve">indicators and </w:t>
      </w:r>
      <w:r w:rsidR="00F80BDD">
        <w:rPr>
          <w:rFonts w:asciiTheme="majorBidi" w:eastAsia="Times New Roman" w:hAnsiTheme="majorBidi" w:cstheme="majorBidi"/>
          <w:bCs/>
          <w:iCs/>
          <w:sz w:val="24"/>
          <w:szCs w:val="24"/>
        </w:rPr>
        <w:t>their</w:t>
      </w:r>
      <w:r w:rsidR="00E711ED" w:rsidRPr="000972D1">
        <w:rPr>
          <w:rFonts w:asciiTheme="majorBidi" w:eastAsia="Times New Roman" w:hAnsiTheme="majorBidi" w:cstheme="majorBidi"/>
          <w:bCs/>
          <w:iCs/>
          <w:sz w:val="24"/>
          <w:szCs w:val="24"/>
        </w:rPr>
        <w:t xml:space="preserve"> overall average in separate modules because</w:t>
      </w:r>
      <w:r w:rsidR="00FD7CF1" w:rsidRPr="000972D1">
        <w:rPr>
          <w:rFonts w:asciiTheme="majorBidi" w:eastAsia="Times New Roman" w:hAnsiTheme="majorBidi" w:cstheme="majorBidi"/>
          <w:bCs/>
          <w:iCs/>
          <w:sz w:val="24"/>
          <w:szCs w:val="24"/>
        </w:rPr>
        <w:t xml:space="preserve"> of</w:t>
      </w:r>
      <w:r w:rsidR="00E711ED" w:rsidRPr="000972D1">
        <w:rPr>
          <w:rFonts w:asciiTheme="majorBidi" w:eastAsia="Times New Roman" w:hAnsiTheme="majorBidi" w:cstheme="majorBidi"/>
          <w:bCs/>
          <w:iCs/>
          <w:sz w:val="24"/>
          <w:szCs w:val="24"/>
        </w:rPr>
        <w:t xml:space="preserve"> the high correlation among them. </w:t>
      </w:r>
      <w:r w:rsidR="006308D9" w:rsidRPr="000972D1">
        <w:rPr>
          <w:rFonts w:asciiTheme="majorBidi" w:eastAsia="Times New Roman" w:hAnsiTheme="majorBidi" w:cstheme="majorBidi"/>
          <w:bCs/>
          <w:iCs/>
          <w:sz w:val="24"/>
          <w:szCs w:val="24"/>
        </w:rPr>
        <w:t xml:space="preserve">Generally, the </w:t>
      </w:r>
      <w:r w:rsidR="00FB682F" w:rsidRPr="000972D1">
        <w:rPr>
          <w:rFonts w:asciiTheme="majorBidi" w:eastAsia="Times New Roman" w:hAnsiTheme="majorBidi" w:cstheme="majorBidi"/>
          <w:bCs/>
          <w:iCs/>
          <w:sz w:val="24"/>
          <w:szCs w:val="24"/>
        </w:rPr>
        <w:t>findings reported</w:t>
      </w:r>
      <w:r w:rsidR="00FC55FC" w:rsidRPr="000972D1">
        <w:rPr>
          <w:rFonts w:asciiTheme="majorBidi" w:eastAsia="Times New Roman" w:hAnsiTheme="majorBidi" w:cstheme="majorBidi"/>
          <w:bCs/>
          <w:iCs/>
          <w:sz w:val="24"/>
          <w:szCs w:val="24"/>
        </w:rPr>
        <w:t xml:space="preserve"> in Table </w:t>
      </w:r>
      <w:r w:rsidR="00853CE3" w:rsidRPr="000972D1">
        <w:rPr>
          <w:rFonts w:asciiTheme="majorBidi" w:eastAsia="Times New Roman" w:hAnsiTheme="majorBidi" w:cstheme="majorBidi"/>
          <w:bCs/>
          <w:iCs/>
          <w:sz w:val="24"/>
          <w:szCs w:val="24"/>
        </w:rPr>
        <w:t>5</w:t>
      </w:r>
      <w:r w:rsidR="00FC55FC" w:rsidRPr="000972D1">
        <w:rPr>
          <w:rFonts w:asciiTheme="majorBidi" w:eastAsia="Times New Roman" w:hAnsiTheme="majorBidi" w:cstheme="majorBidi"/>
          <w:bCs/>
          <w:iCs/>
          <w:sz w:val="24"/>
          <w:szCs w:val="24"/>
        </w:rPr>
        <w:t>, M</w:t>
      </w:r>
      <w:r w:rsidR="0087075D" w:rsidRPr="000972D1">
        <w:rPr>
          <w:rFonts w:asciiTheme="majorBidi" w:eastAsia="Times New Roman" w:hAnsiTheme="majorBidi" w:cstheme="majorBidi"/>
          <w:bCs/>
          <w:iCs/>
          <w:sz w:val="24"/>
          <w:szCs w:val="24"/>
        </w:rPr>
        <w:t>odels 1</w:t>
      </w:r>
      <w:r w:rsidR="00FB682F" w:rsidRPr="000972D1">
        <w:rPr>
          <w:rFonts w:asciiTheme="majorBidi" w:eastAsia="Times New Roman" w:hAnsiTheme="majorBidi" w:cstheme="majorBidi"/>
          <w:bCs/>
          <w:iCs/>
          <w:sz w:val="24"/>
          <w:szCs w:val="24"/>
        </w:rPr>
        <w:t xml:space="preserve"> to </w:t>
      </w:r>
      <w:r w:rsidR="00853CE3" w:rsidRPr="000972D1">
        <w:rPr>
          <w:rFonts w:asciiTheme="majorBidi" w:eastAsia="Times New Roman" w:hAnsiTheme="majorBidi" w:cstheme="majorBidi"/>
          <w:bCs/>
          <w:iCs/>
          <w:sz w:val="24"/>
          <w:szCs w:val="24"/>
        </w:rPr>
        <w:t xml:space="preserve">14 </w:t>
      </w:r>
      <w:r w:rsidR="00FC55FC" w:rsidRPr="000972D1">
        <w:rPr>
          <w:rFonts w:asciiTheme="majorBidi" w:eastAsia="Times New Roman" w:hAnsiTheme="majorBidi" w:cstheme="majorBidi"/>
          <w:bCs/>
          <w:iCs/>
          <w:sz w:val="24"/>
          <w:szCs w:val="24"/>
        </w:rPr>
        <w:t>indicate that</w:t>
      </w:r>
      <w:r w:rsidR="000C07D8">
        <w:rPr>
          <w:rFonts w:asciiTheme="majorBidi" w:eastAsia="Times New Roman" w:hAnsiTheme="majorBidi" w:cstheme="majorBidi"/>
          <w:bCs/>
          <w:iCs/>
          <w:sz w:val="24"/>
          <w:szCs w:val="24"/>
        </w:rPr>
        <w:t xml:space="preserve"> the</w:t>
      </w:r>
      <w:r w:rsidR="00FC55FC" w:rsidRPr="000972D1">
        <w:rPr>
          <w:rFonts w:asciiTheme="majorBidi" w:eastAsia="Times New Roman" w:hAnsiTheme="majorBidi" w:cstheme="majorBidi"/>
          <w:bCs/>
          <w:iCs/>
          <w:sz w:val="24"/>
          <w:szCs w:val="24"/>
        </w:rPr>
        <w:t xml:space="preserve"> </w:t>
      </w:r>
      <w:r w:rsidR="003501FE" w:rsidRPr="000972D1">
        <w:rPr>
          <w:rFonts w:asciiTheme="majorBidi" w:eastAsia="Times New Roman" w:hAnsiTheme="majorBidi" w:cstheme="majorBidi"/>
          <w:bCs/>
          <w:iCs/>
          <w:sz w:val="24"/>
          <w:szCs w:val="24"/>
        </w:rPr>
        <w:t xml:space="preserve">national governance </w:t>
      </w:r>
      <w:r w:rsidR="00F80BDD">
        <w:rPr>
          <w:rFonts w:asciiTheme="majorBidi" w:eastAsia="Times New Roman" w:hAnsiTheme="majorBidi" w:cstheme="majorBidi"/>
          <w:bCs/>
          <w:iCs/>
          <w:sz w:val="24"/>
          <w:szCs w:val="24"/>
        </w:rPr>
        <w:t xml:space="preserve">quality </w:t>
      </w:r>
      <w:r w:rsidR="009A1437" w:rsidRPr="000972D1">
        <w:rPr>
          <w:rFonts w:asciiTheme="majorBidi" w:eastAsia="Times New Roman" w:hAnsiTheme="majorBidi" w:cstheme="majorBidi"/>
          <w:bCs/>
          <w:iCs/>
          <w:sz w:val="24"/>
          <w:szCs w:val="24"/>
        </w:rPr>
        <w:t>indicators</w:t>
      </w:r>
      <w:r w:rsidR="009A1437" w:rsidRPr="000972D1">
        <w:rPr>
          <w:rFonts w:asciiTheme="majorBidi" w:eastAsia="Times New Roman" w:hAnsiTheme="majorBidi" w:cstheme="majorBidi"/>
          <w:bCs/>
          <w:i/>
          <w:iCs/>
          <w:sz w:val="24"/>
          <w:szCs w:val="24"/>
        </w:rPr>
        <w:t xml:space="preserve"> </w:t>
      </w:r>
      <w:r w:rsidR="009A1437" w:rsidRPr="000972D1">
        <w:rPr>
          <w:rFonts w:asciiTheme="majorBidi" w:eastAsia="Times New Roman" w:hAnsiTheme="majorBidi" w:cstheme="majorBidi"/>
          <w:bCs/>
          <w:iCs/>
          <w:sz w:val="24"/>
          <w:szCs w:val="24"/>
        </w:rPr>
        <w:t>are</w:t>
      </w:r>
      <w:r w:rsidR="003501FE" w:rsidRPr="000972D1">
        <w:rPr>
          <w:rFonts w:asciiTheme="majorBidi" w:eastAsia="Times New Roman" w:hAnsiTheme="majorBidi" w:cstheme="majorBidi"/>
          <w:bCs/>
          <w:iCs/>
          <w:sz w:val="24"/>
          <w:szCs w:val="24"/>
        </w:rPr>
        <w:t xml:space="preserve"> </w:t>
      </w:r>
      <w:r w:rsidR="00E44EF1" w:rsidRPr="000972D1">
        <w:rPr>
          <w:rFonts w:asciiTheme="majorBidi" w:eastAsia="Times New Roman" w:hAnsiTheme="majorBidi" w:cstheme="majorBidi"/>
          <w:bCs/>
          <w:iCs/>
          <w:sz w:val="24"/>
          <w:szCs w:val="24"/>
        </w:rPr>
        <w:t xml:space="preserve">positively and significantly related to </w:t>
      </w:r>
      <w:r w:rsidR="00AA24BF" w:rsidRPr="000972D1">
        <w:rPr>
          <w:rFonts w:asciiTheme="majorBidi" w:eastAsia="Times New Roman" w:hAnsiTheme="majorBidi" w:cstheme="majorBidi"/>
          <w:bCs/>
          <w:i/>
          <w:iCs/>
          <w:sz w:val="24"/>
          <w:szCs w:val="24"/>
        </w:rPr>
        <w:t xml:space="preserve">BIG4 </w:t>
      </w:r>
      <w:r w:rsidR="00AA24BF" w:rsidRPr="000972D1">
        <w:rPr>
          <w:rFonts w:asciiTheme="majorBidi" w:eastAsia="Times New Roman" w:hAnsiTheme="majorBidi" w:cstheme="majorBidi"/>
          <w:bCs/>
          <w:iCs/>
          <w:sz w:val="24"/>
          <w:szCs w:val="24"/>
        </w:rPr>
        <w:t xml:space="preserve">and </w:t>
      </w:r>
      <w:r w:rsidR="00AA24BF" w:rsidRPr="000972D1">
        <w:rPr>
          <w:rFonts w:asciiTheme="majorBidi" w:eastAsia="Times New Roman" w:hAnsiTheme="majorBidi" w:cstheme="majorBidi"/>
          <w:bCs/>
          <w:i/>
          <w:iCs/>
          <w:sz w:val="24"/>
          <w:szCs w:val="24"/>
        </w:rPr>
        <w:t>LNFE</w:t>
      </w:r>
      <w:r w:rsidR="00E44EF1" w:rsidRPr="000972D1">
        <w:rPr>
          <w:rFonts w:asciiTheme="majorBidi" w:eastAsia="Times New Roman" w:hAnsiTheme="majorBidi" w:cstheme="majorBidi"/>
          <w:bCs/>
          <w:iCs/>
          <w:sz w:val="24"/>
          <w:szCs w:val="24"/>
        </w:rPr>
        <w:t xml:space="preserve">. </w:t>
      </w:r>
      <w:r w:rsidR="00E57B8A" w:rsidRPr="000972D1">
        <w:rPr>
          <w:rFonts w:asciiTheme="majorBidi" w:eastAsia="Times New Roman" w:hAnsiTheme="majorBidi" w:cstheme="majorBidi"/>
          <w:bCs/>
          <w:iCs/>
          <w:sz w:val="24"/>
          <w:szCs w:val="24"/>
        </w:rPr>
        <w:t>In our sampled countries</w:t>
      </w:r>
      <w:r w:rsidR="00FD7CF1" w:rsidRPr="000972D1">
        <w:rPr>
          <w:rFonts w:asciiTheme="majorBidi" w:eastAsia="Times New Roman" w:hAnsiTheme="majorBidi" w:cstheme="majorBidi"/>
          <w:bCs/>
          <w:iCs/>
          <w:sz w:val="24"/>
          <w:szCs w:val="24"/>
        </w:rPr>
        <w:t xml:space="preserve"> (based on </w:t>
      </w:r>
      <w:r w:rsidR="00E57B8A" w:rsidRPr="000972D1">
        <w:rPr>
          <w:rFonts w:asciiTheme="majorBidi" w:eastAsia="Times New Roman" w:hAnsiTheme="majorBidi" w:cstheme="majorBidi"/>
          <w:bCs/>
          <w:iCs/>
          <w:sz w:val="24"/>
          <w:szCs w:val="24"/>
        </w:rPr>
        <w:t>un-tabulated numbers</w:t>
      </w:r>
      <w:r w:rsidR="00FD7CF1" w:rsidRPr="000972D1">
        <w:rPr>
          <w:rFonts w:asciiTheme="majorBidi" w:eastAsia="Times New Roman" w:hAnsiTheme="majorBidi" w:cstheme="majorBidi"/>
          <w:bCs/>
          <w:iCs/>
          <w:sz w:val="24"/>
          <w:szCs w:val="24"/>
        </w:rPr>
        <w:t>)</w:t>
      </w:r>
      <w:r w:rsidR="00E57B8A" w:rsidRPr="000972D1">
        <w:rPr>
          <w:rFonts w:asciiTheme="majorBidi" w:eastAsia="Times New Roman" w:hAnsiTheme="majorBidi" w:cstheme="majorBidi"/>
          <w:bCs/>
          <w:iCs/>
          <w:sz w:val="24"/>
          <w:szCs w:val="24"/>
        </w:rPr>
        <w:t>, UAE and Oman</w:t>
      </w:r>
      <w:r w:rsidR="00FD7CF1" w:rsidRPr="000972D1">
        <w:rPr>
          <w:rFonts w:asciiTheme="majorBidi" w:eastAsia="Times New Roman" w:hAnsiTheme="majorBidi" w:cstheme="majorBidi"/>
          <w:bCs/>
          <w:iCs/>
          <w:sz w:val="24"/>
          <w:szCs w:val="24"/>
        </w:rPr>
        <w:t xml:space="preserve"> have </w:t>
      </w:r>
      <w:r w:rsidR="00E57B8A" w:rsidRPr="000972D1">
        <w:rPr>
          <w:rFonts w:asciiTheme="majorBidi" w:eastAsia="Times New Roman" w:hAnsiTheme="majorBidi" w:cstheme="majorBidi"/>
          <w:bCs/>
          <w:iCs/>
          <w:sz w:val="24"/>
          <w:szCs w:val="24"/>
        </w:rPr>
        <w:t>average national governance</w:t>
      </w:r>
      <w:r w:rsidR="00FD7CF1" w:rsidRPr="000972D1">
        <w:rPr>
          <w:rFonts w:asciiTheme="majorBidi" w:eastAsia="Times New Roman" w:hAnsiTheme="majorBidi" w:cstheme="majorBidi"/>
          <w:bCs/>
          <w:iCs/>
          <w:sz w:val="24"/>
          <w:szCs w:val="24"/>
        </w:rPr>
        <w:t xml:space="preserve"> quality</w:t>
      </w:r>
      <w:r w:rsidR="00E57B8A" w:rsidRPr="000972D1">
        <w:rPr>
          <w:rFonts w:asciiTheme="majorBidi" w:eastAsia="Times New Roman" w:hAnsiTheme="majorBidi" w:cstheme="majorBidi"/>
          <w:bCs/>
          <w:iCs/>
          <w:sz w:val="24"/>
          <w:szCs w:val="24"/>
        </w:rPr>
        <w:t xml:space="preserve"> of 67% and 58%</w:t>
      </w:r>
      <w:r w:rsidR="00487271" w:rsidRPr="000972D1">
        <w:rPr>
          <w:rFonts w:asciiTheme="majorBidi" w:eastAsia="Times New Roman" w:hAnsiTheme="majorBidi" w:cstheme="majorBidi"/>
          <w:bCs/>
          <w:iCs/>
          <w:sz w:val="24"/>
          <w:szCs w:val="24"/>
        </w:rPr>
        <w:t>,</w:t>
      </w:r>
      <w:r w:rsidR="00E57B8A" w:rsidRPr="000972D1">
        <w:rPr>
          <w:rFonts w:asciiTheme="majorBidi" w:eastAsia="Times New Roman" w:hAnsiTheme="majorBidi" w:cstheme="majorBidi"/>
          <w:bCs/>
          <w:iCs/>
          <w:sz w:val="24"/>
          <w:szCs w:val="24"/>
        </w:rPr>
        <w:t xml:space="preserve"> </w:t>
      </w:r>
      <w:r w:rsidR="00FD7CF1" w:rsidRPr="000972D1">
        <w:rPr>
          <w:rFonts w:asciiTheme="majorBidi" w:eastAsia="Times New Roman" w:hAnsiTheme="majorBidi" w:cstheme="majorBidi"/>
          <w:bCs/>
          <w:iCs/>
          <w:sz w:val="24"/>
          <w:szCs w:val="24"/>
        </w:rPr>
        <w:t>but</w:t>
      </w:r>
      <w:r w:rsidR="00487271" w:rsidRPr="000972D1">
        <w:rPr>
          <w:rFonts w:asciiTheme="majorBidi" w:eastAsia="Times New Roman" w:hAnsiTheme="majorBidi" w:cstheme="majorBidi"/>
          <w:bCs/>
          <w:iCs/>
          <w:sz w:val="24"/>
          <w:szCs w:val="24"/>
        </w:rPr>
        <w:t xml:space="preserve"> </w:t>
      </w:r>
      <w:r w:rsidR="00E57B8A" w:rsidRPr="000972D1">
        <w:rPr>
          <w:rFonts w:asciiTheme="majorBidi" w:eastAsia="Times New Roman" w:hAnsiTheme="majorBidi" w:cstheme="majorBidi"/>
          <w:bCs/>
          <w:iCs/>
          <w:sz w:val="24"/>
          <w:szCs w:val="24"/>
        </w:rPr>
        <w:t xml:space="preserve">average Big 4 </w:t>
      </w:r>
      <w:r w:rsidR="00FD7CF1" w:rsidRPr="000972D1">
        <w:rPr>
          <w:rFonts w:asciiTheme="majorBidi" w:eastAsia="Times New Roman" w:hAnsiTheme="majorBidi" w:cstheme="majorBidi"/>
          <w:bCs/>
          <w:iCs/>
          <w:sz w:val="24"/>
          <w:szCs w:val="24"/>
        </w:rPr>
        <w:t xml:space="preserve">usage rate </w:t>
      </w:r>
      <w:r w:rsidR="00E57B8A" w:rsidRPr="000972D1">
        <w:rPr>
          <w:rFonts w:asciiTheme="majorBidi" w:eastAsia="Times New Roman" w:hAnsiTheme="majorBidi" w:cstheme="majorBidi"/>
          <w:bCs/>
          <w:iCs/>
          <w:sz w:val="24"/>
          <w:szCs w:val="24"/>
        </w:rPr>
        <w:t xml:space="preserve">of 75% and 75%, and audit fees of $111,860 and </w:t>
      </w:r>
      <w:r w:rsidR="00C01285" w:rsidRPr="000972D1">
        <w:rPr>
          <w:rFonts w:asciiTheme="majorBidi" w:eastAsia="Times New Roman" w:hAnsiTheme="majorBidi" w:cstheme="majorBidi"/>
          <w:bCs/>
          <w:iCs/>
          <w:sz w:val="24"/>
          <w:szCs w:val="24"/>
        </w:rPr>
        <w:t>$</w:t>
      </w:r>
      <w:r w:rsidR="00E57B8A" w:rsidRPr="000972D1">
        <w:rPr>
          <w:rFonts w:asciiTheme="majorBidi" w:eastAsia="Times New Roman" w:hAnsiTheme="majorBidi" w:cstheme="majorBidi"/>
          <w:bCs/>
          <w:iCs/>
          <w:sz w:val="24"/>
          <w:szCs w:val="24"/>
        </w:rPr>
        <w:t xml:space="preserve">36,883, respectively. </w:t>
      </w:r>
      <w:r w:rsidR="00906AFB">
        <w:rPr>
          <w:rFonts w:asciiTheme="majorBidi" w:eastAsia="Times New Roman" w:hAnsiTheme="majorBidi" w:cstheme="majorBidi"/>
          <w:bCs/>
          <w:iCs/>
          <w:sz w:val="24"/>
          <w:szCs w:val="24"/>
        </w:rPr>
        <w:t>In contrast,</w:t>
      </w:r>
      <w:r w:rsidR="00E57B8A" w:rsidRPr="000972D1">
        <w:rPr>
          <w:rFonts w:asciiTheme="majorBidi" w:eastAsia="Times New Roman" w:hAnsiTheme="majorBidi" w:cstheme="majorBidi"/>
          <w:bCs/>
          <w:iCs/>
          <w:sz w:val="24"/>
          <w:szCs w:val="24"/>
        </w:rPr>
        <w:t xml:space="preserve"> Egypt </w:t>
      </w:r>
      <w:r w:rsidR="00FD7CF1" w:rsidRPr="000972D1">
        <w:rPr>
          <w:rFonts w:asciiTheme="majorBidi" w:eastAsia="Times New Roman" w:hAnsiTheme="majorBidi" w:cstheme="majorBidi"/>
          <w:bCs/>
          <w:iCs/>
          <w:sz w:val="24"/>
          <w:szCs w:val="24"/>
        </w:rPr>
        <w:t>has an</w:t>
      </w:r>
      <w:r w:rsidR="00E57B8A" w:rsidRPr="000972D1">
        <w:rPr>
          <w:rFonts w:asciiTheme="majorBidi" w:eastAsia="Times New Roman" w:hAnsiTheme="majorBidi" w:cstheme="majorBidi"/>
          <w:bCs/>
          <w:iCs/>
          <w:sz w:val="24"/>
          <w:szCs w:val="24"/>
        </w:rPr>
        <w:t xml:space="preserve"> average national governance </w:t>
      </w:r>
      <w:r w:rsidR="00FD7CF1" w:rsidRPr="000972D1">
        <w:rPr>
          <w:rFonts w:asciiTheme="majorBidi" w:eastAsia="Times New Roman" w:hAnsiTheme="majorBidi" w:cstheme="majorBidi"/>
          <w:bCs/>
          <w:iCs/>
          <w:sz w:val="24"/>
          <w:szCs w:val="24"/>
        </w:rPr>
        <w:t xml:space="preserve">quality </w:t>
      </w:r>
      <w:r w:rsidR="00E57B8A" w:rsidRPr="000972D1">
        <w:rPr>
          <w:rFonts w:asciiTheme="majorBidi" w:eastAsia="Times New Roman" w:hAnsiTheme="majorBidi" w:cstheme="majorBidi"/>
          <w:bCs/>
          <w:iCs/>
          <w:sz w:val="24"/>
          <w:szCs w:val="24"/>
        </w:rPr>
        <w:t>of 29%</w:t>
      </w:r>
      <w:r w:rsidR="00FD7CF1" w:rsidRPr="000972D1">
        <w:rPr>
          <w:rFonts w:asciiTheme="majorBidi" w:eastAsia="Times New Roman" w:hAnsiTheme="majorBidi" w:cstheme="majorBidi"/>
          <w:bCs/>
          <w:iCs/>
          <w:sz w:val="24"/>
          <w:szCs w:val="24"/>
        </w:rPr>
        <w:t>, but</w:t>
      </w:r>
      <w:r w:rsidR="00487271" w:rsidRPr="000972D1">
        <w:rPr>
          <w:rFonts w:asciiTheme="majorBidi" w:eastAsia="Times New Roman" w:hAnsiTheme="majorBidi" w:cstheme="majorBidi"/>
          <w:bCs/>
          <w:iCs/>
          <w:sz w:val="24"/>
          <w:szCs w:val="24"/>
        </w:rPr>
        <w:t xml:space="preserve"> </w:t>
      </w:r>
      <w:r w:rsidR="00E57B8A" w:rsidRPr="000972D1">
        <w:rPr>
          <w:rFonts w:asciiTheme="majorBidi" w:eastAsia="Times New Roman" w:hAnsiTheme="majorBidi" w:cstheme="majorBidi"/>
          <w:bCs/>
          <w:iCs/>
          <w:sz w:val="24"/>
          <w:szCs w:val="24"/>
        </w:rPr>
        <w:t xml:space="preserve">average Big 4 </w:t>
      </w:r>
      <w:r w:rsidR="00FD7CF1" w:rsidRPr="000972D1">
        <w:rPr>
          <w:rFonts w:asciiTheme="majorBidi" w:eastAsia="Times New Roman" w:hAnsiTheme="majorBidi" w:cstheme="majorBidi"/>
          <w:bCs/>
          <w:iCs/>
          <w:sz w:val="24"/>
          <w:szCs w:val="24"/>
        </w:rPr>
        <w:t xml:space="preserve">usage rate </w:t>
      </w:r>
      <w:r w:rsidR="00E57B8A" w:rsidRPr="000972D1">
        <w:rPr>
          <w:rFonts w:asciiTheme="majorBidi" w:eastAsia="Times New Roman" w:hAnsiTheme="majorBidi" w:cstheme="majorBidi"/>
          <w:bCs/>
          <w:iCs/>
          <w:sz w:val="24"/>
          <w:szCs w:val="24"/>
        </w:rPr>
        <w:t>of 53% and audit fees of $25,543.</w:t>
      </w:r>
      <w:r w:rsidR="00E57B8A">
        <w:rPr>
          <w:rFonts w:asciiTheme="majorBidi" w:eastAsia="Times New Roman" w:hAnsiTheme="majorBidi" w:cstheme="majorBidi"/>
          <w:bCs/>
          <w:iCs/>
          <w:sz w:val="24"/>
          <w:szCs w:val="24"/>
        </w:rPr>
        <w:t xml:space="preserve"> </w:t>
      </w:r>
      <w:r w:rsidR="00CC1BEC" w:rsidRPr="008E772B">
        <w:rPr>
          <w:rFonts w:asciiTheme="majorBidi" w:eastAsia="Times New Roman" w:hAnsiTheme="majorBidi" w:cstheme="majorBidi"/>
          <w:bCs/>
          <w:iCs/>
          <w:sz w:val="24"/>
          <w:szCs w:val="24"/>
        </w:rPr>
        <w:t xml:space="preserve">Our </w:t>
      </w:r>
      <w:r w:rsidR="00CC1BEC">
        <w:rPr>
          <w:rFonts w:asciiTheme="majorBidi" w:eastAsia="Times New Roman" w:hAnsiTheme="majorBidi" w:cstheme="majorBidi"/>
          <w:bCs/>
          <w:iCs/>
          <w:sz w:val="24"/>
          <w:szCs w:val="24"/>
        </w:rPr>
        <w:t>results</w:t>
      </w:r>
      <w:r w:rsidR="00CC1BEC" w:rsidRPr="008E772B">
        <w:rPr>
          <w:rFonts w:asciiTheme="majorBidi" w:eastAsia="Times New Roman" w:hAnsiTheme="majorBidi" w:cstheme="majorBidi"/>
          <w:bCs/>
          <w:iCs/>
          <w:sz w:val="24"/>
          <w:szCs w:val="24"/>
        </w:rPr>
        <w:t xml:space="preserve"> </w:t>
      </w:r>
      <w:r w:rsidR="00CC1BEC">
        <w:rPr>
          <w:rFonts w:asciiTheme="majorBidi" w:eastAsia="Times New Roman" w:hAnsiTheme="majorBidi" w:cstheme="majorBidi"/>
          <w:bCs/>
          <w:iCs/>
          <w:sz w:val="24"/>
          <w:szCs w:val="24"/>
        </w:rPr>
        <w:t>support the argument</w:t>
      </w:r>
      <w:r w:rsidR="00B41211" w:rsidRPr="008E772B">
        <w:rPr>
          <w:rFonts w:asciiTheme="majorBidi" w:eastAsia="Times New Roman" w:hAnsiTheme="majorBidi" w:cstheme="majorBidi"/>
          <w:bCs/>
          <w:iCs/>
          <w:sz w:val="24"/>
          <w:szCs w:val="24"/>
        </w:rPr>
        <w:t xml:space="preserve"> that country-level governance </w:t>
      </w:r>
      <w:r w:rsidR="00090239">
        <w:rPr>
          <w:rFonts w:asciiTheme="majorBidi" w:eastAsia="Times New Roman" w:hAnsiTheme="majorBidi" w:cstheme="majorBidi"/>
          <w:bCs/>
          <w:iCs/>
          <w:sz w:val="24"/>
          <w:szCs w:val="24"/>
        </w:rPr>
        <w:t xml:space="preserve">and </w:t>
      </w:r>
      <w:r w:rsidR="00090239" w:rsidRPr="00090239">
        <w:rPr>
          <w:rFonts w:asciiTheme="majorBidi" w:eastAsia="Times New Roman" w:hAnsiTheme="majorBidi" w:cstheme="majorBidi"/>
          <w:bCs/>
          <w:iCs/>
          <w:sz w:val="24"/>
          <w:szCs w:val="24"/>
        </w:rPr>
        <w:t xml:space="preserve">audit quality </w:t>
      </w:r>
      <w:r w:rsidR="00B41211" w:rsidRPr="008E772B">
        <w:rPr>
          <w:rFonts w:asciiTheme="majorBidi" w:eastAsia="Times New Roman" w:hAnsiTheme="majorBidi" w:cstheme="majorBidi"/>
          <w:bCs/>
          <w:iCs/>
          <w:sz w:val="24"/>
          <w:szCs w:val="24"/>
        </w:rPr>
        <w:t xml:space="preserve">complement each other </w:t>
      </w:r>
      <w:r w:rsidR="001258CD">
        <w:rPr>
          <w:rFonts w:asciiTheme="majorBidi" w:eastAsia="Times New Roman" w:hAnsiTheme="majorBidi" w:cstheme="majorBidi"/>
          <w:bCs/>
          <w:iCs/>
          <w:sz w:val="24"/>
          <w:szCs w:val="24"/>
        </w:rPr>
        <w:t>to</w:t>
      </w:r>
      <w:r w:rsidR="00906AFB">
        <w:rPr>
          <w:rFonts w:asciiTheme="majorBidi" w:eastAsia="Times New Roman" w:hAnsiTheme="majorBidi" w:cstheme="majorBidi"/>
          <w:bCs/>
          <w:iCs/>
          <w:sz w:val="24"/>
          <w:szCs w:val="24"/>
        </w:rPr>
        <w:t>wards</w:t>
      </w:r>
      <w:r w:rsidR="001258CD" w:rsidRPr="008E772B">
        <w:rPr>
          <w:rFonts w:asciiTheme="majorBidi" w:eastAsia="Times New Roman" w:hAnsiTheme="majorBidi" w:cstheme="majorBidi"/>
          <w:bCs/>
          <w:iCs/>
          <w:sz w:val="24"/>
          <w:szCs w:val="24"/>
        </w:rPr>
        <w:t xml:space="preserve"> </w:t>
      </w:r>
      <w:r w:rsidR="001258CD">
        <w:rPr>
          <w:rFonts w:asciiTheme="majorBidi" w:eastAsia="Times New Roman" w:hAnsiTheme="majorBidi" w:cstheme="majorBidi"/>
          <w:bCs/>
          <w:iCs/>
          <w:sz w:val="24"/>
          <w:szCs w:val="24"/>
        </w:rPr>
        <w:t>mitigat</w:t>
      </w:r>
      <w:r w:rsidR="00906AFB">
        <w:rPr>
          <w:rFonts w:asciiTheme="majorBidi" w:eastAsia="Times New Roman" w:hAnsiTheme="majorBidi" w:cstheme="majorBidi"/>
          <w:bCs/>
          <w:iCs/>
          <w:sz w:val="24"/>
          <w:szCs w:val="24"/>
        </w:rPr>
        <w:t>ing</w:t>
      </w:r>
      <w:r w:rsidR="001258CD" w:rsidRPr="008E772B">
        <w:rPr>
          <w:rFonts w:asciiTheme="majorBidi" w:eastAsia="Times New Roman" w:hAnsiTheme="majorBidi" w:cstheme="majorBidi"/>
          <w:bCs/>
          <w:iCs/>
          <w:sz w:val="24"/>
          <w:szCs w:val="24"/>
        </w:rPr>
        <w:t xml:space="preserve"> </w:t>
      </w:r>
      <w:r w:rsidR="00B41211" w:rsidRPr="008E772B">
        <w:rPr>
          <w:rFonts w:asciiTheme="majorBidi" w:eastAsia="Times New Roman" w:hAnsiTheme="majorBidi" w:cstheme="majorBidi"/>
          <w:bCs/>
          <w:iCs/>
          <w:sz w:val="24"/>
          <w:szCs w:val="24"/>
        </w:rPr>
        <w:t>agency conflicts</w:t>
      </w:r>
      <w:r w:rsidR="00906AFB">
        <w:rPr>
          <w:rFonts w:asciiTheme="majorBidi" w:eastAsia="Times New Roman" w:hAnsiTheme="majorBidi" w:cstheme="majorBidi"/>
          <w:bCs/>
          <w:iCs/>
          <w:sz w:val="24"/>
          <w:szCs w:val="24"/>
        </w:rPr>
        <w:t>,</w:t>
      </w:r>
      <w:r w:rsidR="00B41211" w:rsidRPr="008E772B">
        <w:rPr>
          <w:rFonts w:asciiTheme="majorBidi" w:eastAsia="Times New Roman" w:hAnsiTheme="majorBidi" w:cstheme="majorBidi"/>
          <w:bCs/>
          <w:iCs/>
          <w:sz w:val="24"/>
          <w:szCs w:val="24"/>
        </w:rPr>
        <w:t xml:space="preserve"> and </w:t>
      </w:r>
      <w:r w:rsidR="00906AFB">
        <w:rPr>
          <w:rFonts w:asciiTheme="majorBidi" w:eastAsia="Times New Roman" w:hAnsiTheme="majorBidi" w:cstheme="majorBidi"/>
          <w:bCs/>
          <w:iCs/>
          <w:sz w:val="24"/>
          <w:szCs w:val="24"/>
        </w:rPr>
        <w:t>thereby facilitating</w:t>
      </w:r>
      <w:r w:rsidR="001258CD" w:rsidRPr="008E772B">
        <w:rPr>
          <w:rFonts w:asciiTheme="majorBidi" w:eastAsia="Times New Roman" w:hAnsiTheme="majorBidi" w:cstheme="majorBidi"/>
          <w:bCs/>
          <w:iCs/>
          <w:sz w:val="24"/>
          <w:szCs w:val="24"/>
        </w:rPr>
        <w:t xml:space="preserve"> </w:t>
      </w:r>
      <w:r w:rsidR="0001301C">
        <w:rPr>
          <w:rFonts w:asciiTheme="majorBidi" w:eastAsia="Times New Roman" w:hAnsiTheme="majorBidi" w:cstheme="majorBidi"/>
          <w:bCs/>
          <w:iCs/>
          <w:sz w:val="24"/>
          <w:szCs w:val="24"/>
        </w:rPr>
        <w:t xml:space="preserve">a </w:t>
      </w:r>
      <w:r w:rsidR="00B41211" w:rsidRPr="008E772B">
        <w:rPr>
          <w:rFonts w:asciiTheme="majorBidi" w:eastAsia="Times New Roman" w:hAnsiTheme="majorBidi" w:cstheme="majorBidi"/>
          <w:bCs/>
          <w:iCs/>
          <w:sz w:val="24"/>
          <w:szCs w:val="24"/>
        </w:rPr>
        <w:t>more credible financial reporting</w:t>
      </w:r>
      <w:r w:rsidR="00D62077" w:rsidRPr="008E772B">
        <w:rPr>
          <w:rFonts w:asciiTheme="majorBidi" w:eastAsia="Times New Roman" w:hAnsiTheme="majorBidi" w:cstheme="majorBidi"/>
          <w:bCs/>
          <w:iCs/>
          <w:sz w:val="24"/>
          <w:szCs w:val="24"/>
        </w:rPr>
        <w:t xml:space="preserve"> (Judge </w:t>
      </w:r>
      <w:r w:rsidR="00D62077" w:rsidRPr="008E772B">
        <w:rPr>
          <w:rFonts w:asciiTheme="majorBidi" w:eastAsia="Times New Roman" w:hAnsiTheme="majorBidi" w:cstheme="majorBidi"/>
          <w:bCs/>
          <w:i/>
          <w:iCs/>
          <w:sz w:val="24"/>
          <w:szCs w:val="24"/>
        </w:rPr>
        <w:t>et al</w:t>
      </w:r>
      <w:r w:rsidR="00D62077" w:rsidRPr="008E772B">
        <w:rPr>
          <w:rFonts w:asciiTheme="majorBidi" w:eastAsia="Times New Roman" w:hAnsiTheme="majorBidi" w:cstheme="majorBidi"/>
          <w:bCs/>
          <w:iCs/>
          <w:sz w:val="24"/>
          <w:szCs w:val="24"/>
        </w:rPr>
        <w:t>., 2008; Zahra, 2014)</w:t>
      </w:r>
      <w:r w:rsidR="00B41211" w:rsidRPr="008E772B">
        <w:rPr>
          <w:rFonts w:asciiTheme="majorBidi" w:eastAsia="Times New Roman" w:hAnsiTheme="majorBidi" w:cstheme="majorBidi"/>
          <w:bCs/>
          <w:iCs/>
          <w:sz w:val="24"/>
          <w:szCs w:val="24"/>
        </w:rPr>
        <w:t xml:space="preserve">. </w:t>
      </w:r>
      <w:r w:rsidR="004E1996" w:rsidRPr="008E772B">
        <w:rPr>
          <w:rFonts w:asciiTheme="majorBidi" w:eastAsia="Times New Roman" w:hAnsiTheme="majorBidi" w:cstheme="majorBidi"/>
          <w:bCs/>
          <w:iCs/>
          <w:sz w:val="24"/>
          <w:szCs w:val="24"/>
        </w:rPr>
        <w:t xml:space="preserve">Our results are consistent with Francis </w:t>
      </w:r>
      <w:r w:rsidR="004E1996" w:rsidRPr="008E772B">
        <w:rPr>
          <w:rFonts w:asciiTheme="majorBidi" w:eastAsia="Times New Roman" w:hAnsiTheme="majorBidi" w:cstheme="majorBidi"/>
          <w:bCs/>
          <w:i/>
          <w:sz w:val="24"/>
          <w:szCs w:val="24"/>
        </w:rPr>
        <w:t>et al</w:t>
      </w:r>
      <w:r w:rsidR="004E1996" w:rsidRPr="008E772B">
        <w:rPr>
          <w:rFonts w:asciiTheme="majorBidi" w:eastAsia="Times New Roman" w:hAnsiTheme="majorBidi" w:cstheme="majorBidi"/>
          <w:bCs/>
          <w:iCs/>
          <w:sz w:val="24"/>
          <w:szCs w:val="24"/>
        </w:rPr>
        <w:t>. (2003)</w:t>
      </w:r>
      <w:r w:rsidR="009E00BF">
        <w:rPr>
          <w:rFonts w:asciiTheme="majorBidi" w:eastAsia="Times New Roman" w:hAnsiTheme="majorBidi" w:cstheme="majorBidi"/>
          <w:bCs/>
          <w:iCs/>
          <w:sz w:val="24"/>
          <w:szCs w:val="24"/>
        </w:rPr>
        <w:t>,</w:t>
      </w:r>
      <w:r w:rsidR="004E1996" w:rsidRPr="008E772B">
        <w:rPr>
          <w:rFonts w:asciiTheme="majorBidi" w:eastAsia="Times New Roman" w:hAnsiTheme="majorBidi" w:cstheme="majorBidi"/>
          <w:bCs/>
          <w:iCs/>
          <w:sz w:val="24"/>
          <w:szCs w:val="24"/>
        </w:rPr>
        <w:t xml:space="preserve"> who find </w:t>
      </w:r>
      <w:r w:rsidR="002C5445">
        <w:rPr>
          <w:rFonts w:asciiTheme="majorBidi" w:eastAsia="Times New Roman" w:hAnsiTheme="majorBidi" w:cstheme="majorBidi"/>
          <w:bCs/>
          <w:iCs/>
          <w:sz w:val="24"/>
          <w:szCs w:val="24"/>
        </w:rPr>
        <w:t xml:space="preserve">a </w:t>
      </w:r>
      <w:r w:rsidR="004E1996" w:rsidRPr="008E772B">
        <w:rPr>
          <w:rFonts w:asciiTheme="majorBidi" w:eastAsia="Times New Roman" w:hAnsiTheme="majorBidi" w:cstheme="majorBidi"/>
          <w:bCs/>
          <w:iCs/>
          <w:sz w:val="24"/>
          <w:szCs w:val="24"/>
        </w:rPr>
        <w:t xml:space="preserve">positive link between </w:t>
      </w:r>
      <w:r w:rsidR="008F7E80" w:rsidRPr="008F7E80">
        <w:rPr>
          <w:rFonts w:asciiTheme="majorBidi" w:eastAsia="Times New Roman" w:hAnsiTheme="majorBidi" w:cstheme="majorBidi"/>
          <w:bCs/>
          <w:iCs/>
          <w:sz w:val="24"/>
          <w:szCs w:val="24"/>
        </w:rPr>
        <w:t>country-level</w:t>
      </w:r>
      <w:r w:rsidR="000236E8" w:rsidRPr="008E772B">
        <w:rPr>
          <w:rFonts w:asciiTheme="majorBidi" w:eastAsia="Times New Roman" w:hAnsiTheme="majorBidi" w:cstheme="majorBidi"/>
          <w:bCs/>
          <w:iCs/>
          <w:sz w:val="24"/>
          <w:szCs w:val="24"/>
        </w:rPr>
        <w:t xml:space="preserve"> </w:t>
      </w:r>
      <w:r w:rsidR="006308D9" w:rsidRPr="008E772B">
        <w:rPr>
          <w:rFonts w:asciiTheme="majorBidi" w:eastAsia="Times New Roman" w:hAnsiTheme="majorBidi" w:cstheme="majorBidi"/>
          <w:bCs/>
          <w:iCs/>
          <w:sz w:val="24"/>
          <w:szCs w:val="24"/>
        </w:rPr>
        <w:t>governance</w:t>
      </w:r>
      <w:r w:rsidR="000236E8" w:rsidRPr="008E772B">
        <w:rPr>
          <w:rFonts w:asciiTheme="majorBidi" w:eastAsia="Times New Roman" w:hAnsiTheme="majorBidi" w:cstheme="majorBidi"/>
          <w:bCs/>
          <w:iCs/>
          <w:sz w:val="24"/>
          <w:szCs w:val="24"/>
        </w:rPr>
        <w:t xml:space="preserve"> </w:t>
      </w:r>
      <w:r w:rsidR="009E00BF">
        <w:rPr>
          <w:rFonts w:asciiTheme="majorBidi" w:eastAsia="Times New Roman" w:hAnsiTheme="majorBidi" w:cstheme="majorBidi"/>
          <w:bCs/>
          <w:iCs/>
          <w:sz w:val="24"/>
          <w:szCs w:val="24"/>
        </w:rPr>
        <w:t xml:space="preserve">quality </w:t>
      </w:r>
      <w:r w:rsidR="000236E8" w:rsidRPr="008E772B">
        <w:rPr>
          <w:rFonts w:asciiTheme="majorBidi" w:eastAsia="Times New Roman" w:hAnsiTheme="majorBidi" w:cstheme="majorBidi"/>
          <w:bCs/>
          <w:iCs/>
          <w:sz w:val="24"/>
          <w:szCs w:val="24"/>
        </w:rPr>
        <w:t>(</w:t>
      </w:r>
      <w:r w:rsidR="004E1996" w:rsidRPr="008E772B">
        <w:rPr>
          <w:rFonts w:asciiTheme="majorBidi" w:eastAsia="Times New Roman" w:hAnsiTheme="majorBidi" w:cstheme="majorBidi"/>
          <w:bCs/>
          <w:iCs/>
          <w:sz w:val="24"/>
          <w:szCs w:val="24"/>
        </w:rPr>
        <w:t>strong investor protection legal framework</w:t>
      </w:r>
      <w:r w:rsidR="000236E8" w:rsidRPr="008E772B">
        <w:rPr>
          <w:rFonts w:asciiTheme="majorBidi" w:eastAsia="Times New Roman" w:hAnsiTheme="majorBidi" w:cstheme="majorBidi"/>
          <w:bCs/>
          <w:iCs/>
          <w:sz w:val="24"/>
          <w:szCs w:val="24"/>
        </w:rPr>
        <w:t>)</w:t>
      </w:r>
      <w:r w:rsidR="004E1996" w:rsidRPr="008E772B">
        <w:rPr>
          <w:rFonts w:asciiTheme="majorBidi" w:eastAsia="Times New Roman" w:hAnsiTheme="majorBidi" w:cstheme="majorBidi"/>
          <w:bCs/>
          <w:iCs/>
          <w:sz w:val="24"/>
          <w:szCs w:val="24"/>
        </w:rPr>
        <w:t xml:space="preserve"> and auditing enforcement (</w:t>
      </w:r>
      <w:r w:rsidR="00392F72" w:rsidRPr="008E772B">
        <w:rPr>
          <w:rFonts w:asciiTheme="majorBidi" w:eastAsia="Times New Roman" w:hAnsiTheme="majorBidi" w:cstheme="majorBidi"/>
          <w:bCs/>
          <w:iCs/>
          <w:sz w:val="24"/>
          <w:szCs w:val="24"/>
        </w:rPr>
        <w:t xml:space="preserve">i.e., </w:t>
      </w:r>
      <w:r w:rsidR="009E04C4" w:rsidRPr="009E04C4">
        <w:rPr>
          <w:rFonts w:asciiTheme="majorBidi" w:eastAsia="Times New Roman" w:hAnsiTheme="majorBidi" w:cstheme="majorBidi"/>
          <w:bCs/>
          <w:iCs/>
          <w:sz w:val="24"/>
          <w:szCs w:val="24"/>
        </w:rPr>
        <w:t>hir</w:t>
      </w:r>
      <w:r w:rsidR="009E04C4">
        <w:rPr>
          <w:rFonts w:asciiTheme="majorBidi" w:eastAsia="Times New Roman" w:hAnsiTheme="majorBidi" w:cstheme="majorBidi"/>
          <w:bCs/>
          <w:iCs/>
          <w:sz w:val="24"/>
          <w:szCs w:val="24"/>
        </w:rPr>
        <w:t>ing</w:t>
      </w:r>
      <w:r w:rsidR="009E04C4" w:rsidRPr="008E772B">
        <w:rPr>
          <w:rFonts w:asciiTheme="majorBidi" w:eastAsia="Times New Roman" w:hAnsiTheme="majorBidi" w:cstheme="majorBidi"/>
          <w:bCs/>
          <w:iCs/>
          <w:sz w:val="24"/>
          <w:szCs w:val="24"/>
        </w:rPr>
        <w:t xml:space="preserve"> </w:t>
      </w:r>
      <w:r w:rsidR="006F7335">
        <w:rPr>
          <w:rFonts w:asciiTheme="majorBidi" w:eastAsia="Times New Roman" w:hAnsiTheme="majorBidi" w:cstheme="majorBidi"/>
          <w:bCs/>
          <w:iCs/>
          <w:sz w:val="24"/>
          <w:szCs w:val="24"/>
        </w:rPr>
        <w:t xml:space="preserve">a </w:t>
      </w:r>
      <w:r w:rsidR="002A3FE8" w:rsidRPr="008E772B">
        <w:rPr>
          <w:rFonts w:asciiTheme="majorBidi" w:eastAsia="Times New Roman" w:hAnsiTheme="majorBidi" w:cstheme="majorBidi"/>
          <w:bCs/>
          <w:iCs/>
          <w:sz w:val="24"/>
          <w:szCs w:val="24"/>
        </w:rPr>
        <w:t xml:space="preserve">Big </w:t>
      </w:r>
      <w:r w:rsidR="004E1996" w:rsidRPr="008E772B">
        <w:rPr>
          <w:rFonts w:asciiTheme="majorBidi" w:eastAsia="Times New Roman" w:hAnsiTheme="majorBidi" w:cstheme="majorBidi"/>
          <w:bCs/>
          <w:iCs/>
          <w:sz w:val="24"/>
          <w:szCs w:val="24"/>
        </w:rPr>
        <w:t>5 auditor and pay</w:t>
      </w:r>
      <w:r w:rsidR="009E04C4">
        <w:rPr>
          <w:rFonts w:asciiTheme="majorBidi" w:eastAsia="Times New Roman" w:hAnsiTheme="majorBidi" w:cstheme="majorBidi"/>
          <w:bCs/>
          <w:iCs/>
          <w:sz w:val="24"/>
          <w:szCs w:val="24"/>
        </w:rPr>
        <w:t>ing</w:t>
      </w:r>
      <w:r w:rsidR="004E1996" w:rsidRPr="008E772B">
        <w:rPr>
          <w:rFonts w:asciiTheme="majorBidi" w:eastAsia="Times New Roman" w:hAnsiTheme="majorBidi" w:cstheme="majorBidi"/>
          <w:bCs/>
          <w:iCs/>
          <w:sz w:val="24"/>
          <w:szCs w:val="24"/>
        </w:rPr>
        <w:t xml:space="preserve"> </w:t>
      </w:r>
      <w:r w:rsidR="006F7335">
        <w:rPr>
          <w:rFonts w:asciiTheme="majorBidi" w:eastAsia="Times New Roman" w:hAnsiTheme="majorBidi" w:cstheme="majorBidi"/>
          <w:bCs/>
          <w:iCs/>
          <w:sz w:val="24"/>
          <w:szCs w:val="24"/>
        </w:rPr>
        <w:t>higher</w:t>
      </w:r>
      <w:r w:rsidR="006F7335" w:rsidRPr="008E772B">
        <w:rPr>
          <w:rFonts w:asciiTheme="majorBidi" w:eastAsia="Times New Roman" w:hAnsiTheme="majorBidi" w:cstheme="majorBidi"/>
          <w:bCs/>
          <w:iCs/>
          <w:sz w:val="24"/>
          <w:szCs w:val="24"/>
        </w:rPr>
        <w:t xml:space="preserve"> </w:t>
      </w:r>
      <w:r w:rsidR="004E1996" w:rsidRPr="008E772B">
        <w:rPr>
          <w:rFonts w:asciiTheme="majorBidi" w:eastAsia="Times New Roman" w:hAnsiTheme="majorBidi" w:cstheme="majorBidi"/>
          <w:bCs/>
          <w:iCs/>
          <w:sz w:val="24"/>
          <w:szCs w:val="24"/>
        </w:rPr>
        <w:t xml:space="preserve">audit fees). </w:t>
      </w:r>
      <w:r w:rsidR="005E3E6E" w:rsidRPr="008E772B">
        <w:rPr>
          <w:rFonts w:asciiTheme="majorBidi" w:eastAsia="Times New Roman" w:hAnsiTheme="majorBidi" w:cstheme="majorBidi"/>
          <w:bCs/>
          <w:iCs/>
          <w:sz w:val="24"/>
          <w:szCs w:val="24"/>
        </w:rPr>
        <w:t xml:space="preserve">          </w:t>
      </w:r>
      <w:r w:rsidR="00E44EF1" w:rsidRPr="008E772B">
        <w:rPr>
          <w:rFonts w:asciiTheme="majorBidi" w:eastAsia="Times New Roman" w:hAnsiTheme="majorBidi" w:cstheme="majorBidi"/>
          <w:bCs/>
          <w:iCs/>
          <w:sz w:val="24"/>
          <w:szCs w:val="24"/>
        </w:rPr>
        <w:t xml:space="preserve">  </w:t>
      </w:r>
      <w:r w:rsidR="00FC55FC" w:rsidRPr="008E772B">
        <w:rPr>
          <w:rFonts w:asciiTheme="majorBidi" w:eastAsia="Times New Roman" w:hAnsiTheme="majorBidi" w:cstheme="majorBidi"/>
          <w:bCs/>
          <w:iCs/>
          <w:sz w:val="24"/>
          <w:szCs w:val="24"/>
        </w:rPr>
        <w:t xml:space="preserve"> </w:t>
      </w:r>
    </w:p>
    <w:p w14:paraId="11ECF188" w14:textId="47485553" w:rsidR="00CD29F4" w:rsidRPr="008E772B" w:rsidRDefault="000E5A11" w:rsidP="001314F7">
      <w:pPr>
        <w:spacing w:after="0" w:line="360" w:lineRule="auto"/>
        <w:ind w:firstLine="720"/>
        <w:jc w:val="lowKashida"/>
        <w:rPr>
          <w:rFonts w:asciiTheme="majorBidi" w:eastAsia="Times New Roman" w:hAnsiTheme="majorBidi" w:cstheme="majorBidi"/>
          <w:bCs/>
          <w:iCs/>
          <w:sz w:val="24"/>
          <w:szCs w:val="24"/>
        </w:rPr>
      </w:pPr>
      <w:r w:rsidRPr="008E772B">
        <w:rPr>
          <w:rFonts w:asciiTheme="majorBidi" w:eastAsia="Times New Roman" w:hAnsiTheme="majorBidi" w:cstheme="majorBidi"/>
          <w:bCs/>
          <w:iCs/>
          <w:sz w:val="24"/>
          <w:szCs w:val="24"/>
        </w:rPr>
        <w:t>Observably (</w:t>
      </w:r>
      <w:r w:rsidR="00185144" w:rsidRPr="008E772B">
        <w:rPr>
          <w:rFonts w:asciiTheme="majorBidi" w:eastAsia="Times New Roman" w:hAnsiTheme="majorBidi" w:cstheme="majorBidi"/>
          <w:bCs/>
          <w:iCs/>
          <w:sz w:val="24"/>
          <w:szCs w:val="24"/>
        </w:rPr>
        <w:t>although</w:t>
      </w:r>
      <w:r w:rsidRPr="008E772B">
        <w:rPr>
          <w:rFonts w:asciiTheme="majorBidi" w:eastAsia="Times New Roman" w:hAnsiTheme="majorBidi" w:cstheme="majorBidi"/>
          <w:bCs/>
          <w:iCs/>
          <w:sz w:val="24"/>
          <w:szCs w:val="24"/>
        </w:rPr>
        <w:t xml:space="preserve"> not the main focus of the study), the control variables also</w:t>
      </w:r>
      <w:r w:rsidR="00185144" w:rsidRPr="008E772B">
        <w:rPr>
          <w:rFonts w:asciiTheme="majorBidi" w:eastAsia="Times New Roman" w:hAnsiTheme="majorBidi" w:cstheme="majorBidi"/>
          <w:bCs/>
          <w:iCs/>
          <w:sz w:val="24"/>
          <w:szCs w:val="24"/>
        </w:rPr>
        <w:t xml:space="preserve"> </w:t>
      </w:r>
      <w:r w:rsidRPr="008E772B">
        <w:rPr>
          <w:rFonts w:asciiTheme="majorBidi" w:eastAsia="Times New Roman" w:hAnsiTheme="majorBidi" w:cstheme="majorBidi"/>
          <w:bCs/>
          <w:iCs/>
          <w:sz w:val="24"/>
          <w:szCs w:val="24"/>
        </w:rPr>
        <w:t>have significant relationships with the dependent variables, as expected.</w:t>
      </w:r>
      <w:r w:rsidR="00185144" w:rsidRPr="008E772B">
        <w:rPr>
          <w:rFonts w:asciiTheme="majorBidi" w:eastAsia="Times New Roman" w:hAnsiTheme="majorBidi" w:cstheme="majorBidi"/>
          <w:bCs/>
          <w:iCs/>
          <w:sz w:val="24"/>
          <w:szCs w:val="24"/>
        </w:rPr>
        <w:t xml:space="preserve"> </w:t>
      </w:r>
      <w:r w:rsidR="007C4420" w:rsidRPr="008E772B">
        <w:rPr>
          <w:rFonts w:asciiTheme="majorBidi" w:eastAsia="Times New Roman" w:hAnsiTheme="majorBidi" w:cstheme="majorBidi"/>
          <w:bCs/>
          <w:iCs/>
          <w:sz w:val="24"/>
          <w:szCs w:val="24"/>
        </w:rPr>
        <w:t>With regard to the association between control variables and audit</w:t>
      </w:r>
      <w:r w:rsidR="00185144" w:rsidRPr="008E772B">
        <w:rPr>
          <w:rFonts w:asciiTheme="majorBidi" w:eastAsia="Times New Roman" w:hAnsiTheme="majorBidi" w:cstheme="majorBidi"/>
          <w:bCs/>
          <w:iCs/>
          <w:sz w:val="24"/>
          <w:szCs w:val="24"/>
        </w:rPr>
        <w:t xml:space="preserve">or choice and </w:t>
      </w:r>
      <w:r w:rsidR="001314F7" w:rsidRPr="001314F7">
        <w:rPr>
          <w:rFonts w:asciiTheme="majorBidi" w:eastAsia="Times New Roman" w:hAnsiTheme="majorBidi" w:cstheme="majorBidi"/>
          <w:bCs/>
          <w:iCs/>
          <w:sz w:val="24"/>
          <w:szCs w:val="24"/>
        </w:rPr>
        <w:t xml:space="preserve">audit </w:t>
      </w:r>
      <w:r w:rsidR="007C4420" w:rsidRPr="008E772B">
        <w:rPr>
          <w:rFonts w:asciiTheme="majorBidi" w:eastAsia="Times New Roman" w:hAnsiTheme="majorBidi" w:cstheme="majorBidi"/>
          <w:bCs/>
          <w:iCs/>
          <w:sz w:val="24"/>
          <w:szCs w:val="24"/>
        </w:rPr>
        <w:t>fees illustrated in</w:t>
      </w:r>
      <w:r w:rsidR="006D64C6" w:rsidRPr="006D64C6">
        <w:rPr>
          <w:rFonts w:asciiTheme="majorBidi" w:eastAsia="Times New Roman" w:hAnsiTheme="majorBidi" w:cstheme="majorBidi"/>
          <w:bCs/>
          <w:iCs/>
          <w:sz w:val="24"/>
          <w:szCs w:val="24"/>
        </w:rPr>
        <w:t xml:space="preserve"> Table </w:t>
      </w:r>
      <w:r w:rsidR="00487271">
        <w:rPr>
          <w:rFonts w:asciiTheme="majorBidi" w:eastAsia="Times New Roman" w:hAnsiTheme="majorBidi" w:cstheme="majorBidi"/>
          <w:bCs/>
          <w:iCs/>
          <w:sz w:val="24"/>
          <w:szCs w:val="24"/>
        </w:rPr>
        <w:t>4</w:t>
      </w:r>
      <w:r w:rsidR="006D64C6" w:rsidRPr="006D64C6">
        <w:rPr>
          <w:rFonts w:asciiTheme="majorBidi" w:eastAsia="Times New Roman" w:hAnsiTheme="majorBidi" w:cstheme="majorBidi"/>
          <w:bCs/>
          <w:iCs/>
          <w:sz w:val="24"/>
          <w:szCs w:val="24"/>
        </w:rPr>
        <w:t>,</w:t>
      </w:r>
      <w:r w:rsidR="007C4420" w:rsidRPr="008E772B">
        <w:rPr>
          <w:rFonts w:asciiTheme="majorBidi" w:eastAsia="Times New Roman" w:hAnsiTheme="majorBidi" w:cstheme="majorBidi"/>
          <w:bCs/>
          <w:iCs/>
          <w:sz w:val="24"/>
          <w:szCs w:val="24"/>
        </w:rPr>
        <w:t xml:space="preserve"> Models 1 to </w:t>
      </w:r>
      <w:r w:rsidR="0087075D" w:rsidRPr="008E772B">
        <w:rPr>
          <w:rFonts w:asciiTheme="majorBidi" w:eastAsia="Times New Roman" w:hAnsiTheme="majorBidi" w:cstheme="majorBidi"/>
          <w:bCs/>
          <w:iCs/>
          <w:sz w:val="24"/>
          <w:szCs w:val="24"/>
        </w:rPr>
        <w:t>8</w:t>
      </w:r>
      <w:r w:rsidR="007C4420" w:rsidRPr="008E772B">
        <w:rPr>
          <w:rFonts w:asciiTheme="majorBidi" w:eastAsia="Times New Roman" w:hAnsiTheme="majorBidi" w:cstheme="majorBidi"/>
          <w:bCs/>
          <w:iCs/>
          <w:sz w:val="24"/>
          <w:szCs w:val="24"/>
        </w:rPr>
        <w:t>, the study finds mixed results. For example,</w:t>
      </w:r>
      <w:r w:rsidR="00185144" w:rsidRPr="008E772B">
        <w:rPr>
          <w:rFonts w:asciiTheme="majorBidi" w:eastAsia="Times New Roman" w:hAnsiTheme="majorBidi" w:cstheme="majorBidi"/>
          <w:bCs/>
          <w:iCs/>
          <w:sz w:val="24"/>
          <w:szCs w:val="24"/>
        </w:rPr>
        <w:t xml:space="preserve"> </w:t>
      </w:r>
      <w:r w:rsidR="00185144" w:rsidRPr="008E772B">
        <w:rPr>
          <w:rFonts w:asciiTheme="majorBidi" w:eastAsia="Times New Roman" w:hAnsiTheme="majorBidi" w:cstheme="majorBidi"/>
          <w:bCs/>
          <w:i/>
          <w:sz w:val="24"/>
          <w:szCs w:val="24"/>
        </w:rPr>
        <w:t>LN</w:t>
      </w:r>
      <w:r w:rsidR="00786A9E" w:rsidRPr="008E772B">
        <w:rPr>
          <w:rFonts w:asciiTheme="majorBidi" w:eastAsia="Times New Roman" w:hAnsiTheme="majorBidi" w:cstheme="majorBidi"/>
          <w:bCs/>
          <w:i/>
          <w:sz w:val="24"/>
          <w:szCs w:val="24"/>
        </w:rPr>
        <w:t>T</w:t>
      </w:r>
      <w:r w:rsidR="00185144" w:rsidRPr="008E772B">
        <w:rPr>
          <w:rFonts w:asciiTheme="majorBidi" w:eastAsia="Times New Roman" w:hAnsiTheme="majorBidi" w:cstheme="majorBidi"/>
          <w:bCs/>
          <w:i/>
          <w:sz w:val="24"/>
          <w:szCs w:val="24"/>
        </w:rPr>
        <w:t>A</w:t>
      </w:r>
      <w:r w:rsidR="00185144" w:rsidRPr="008E772B">
        <w:rPr>
          <w:rFonts w:asciiTheme="majorBidi" w:eastAsia="Times New Roman" w:hAnsiTheme="majorBidi" w:cstheme="majorBidi"/>
          <w:bCs/>
          <w:iCs/>
          <w:sz w:val="24"/>
          <w:szCs w:val="24"/>
        </w:rPr>
        <w:t xml:space="preserve">, </w:t>
      </w:r>
      <w:r w:rsidR="00B31397" w:rsidRPr="008E772B">
        <w:rPr>
          <w:rFonts w:asciiTheme="majorBidi" w:eastAsia="Times New Roman" w:hAnsiTheme="majorBidi" w:cstheme="majorBidi"/>
          <w:bCs/>
          <w:i/>
          <w:sz w:val="24"/>
          <w:szCs w:val="24"/>
        </w:rPr>
        <w:t>L</w:t>
      </w:r>
      <w:r w:rsidR="00185144" w:rsidRPr="008E772B">
        <w:rPr>
          <w:rFonts w:asciiTheme="majorBidi" w:eastAsia="Times New Roman" w:hAnsiTheme="majorBidi" w:cstheme="majorBidi"/>
          <w:bCs/>
          <w:i/>
          <w:sz w:val="24"/>
          <w:szCs w:val="24"/>
        </w:rPr>
        <w:t>V</w:t>
      </w:r>
      <w:r w:rsidR="00185144" w:rsidRPr="008E772B">
        <w:rPr>
          <w:rFonts w:asciiTheme="majorBidi" w:eastAsia="Times New Roman" w:hAnsiTheme="majorBidi" w:cstheme="majorBidi"/>
          <w:bCs/>
          <w:iCs/>
          <w:sz w:val="24"/>
          <w:szCs w:val="24"/>
        </w:rPr>
        <w:t xml:space="preserve">, </w:t>
      </w:r>
      <w:r w:rsidR="00861C7B" w:rsidRPr="008E772B">
        <w:rPr>
          <w:rFonts w:asciiTheme="majorBidi" w:eastAsia="Times New Roman" w:hAnsiTheme="majorBidi" w:cstheme="majorBidi"/>
          <w:bCs/>
          <w:iCs/>
          <w:sz w:val="24"/>
          <w:szCs w:val="24"/>
        </w:rPr>
        <w:t xml:space="preserve">and </w:t>
      </w:r>
      <w:r w:rsidR="00861C7B" w:rsidRPr="008E772B">
        <w:rPr>
          <w:rFonts w:asciiTheme="majorBidi" w:eastAsia="Times New Roman" w:hAnsiTheme="majorBidi" w:cstheme="majorBidi"/>
          <w:bCs/>
          <w:i/>
          <w:iCs/>
          <w:sz w:val="24"/>
          <w:szCs w:val="24"/>
        </w:rPr>
        <w:t>ROA</w:t>
      </w:r>
      <w:r w:rsidR="00861C7B" w:rsidRPr="008E772B">
        <w:rPr>
          <w:rFonts w:asciiTheme="majorBidi" w:eastAsia="Times New Roman" w:hAnsiTheme="majorBidi" w:cstheme="majorBidi"/>
          <w:bCs/>
          <w:iCs/>
          <w:sz w:val="24"/>
          <w:szCs w:val="24"/>
        </w:rPr>
        <w:t xml:space="preserve"> are positively associated with</w:t>
      </w:r>
      <w:r w:rsidR="007C4420" w:rsidRPr="008E772B">
        <w:rPr>
          <w:rFonts w:asciiTheme="majorBidi" w:eastAsia="Times New Roman" w:hAnsiTheme="majorBidi" w:cstheme="majorBidi"/>
          <w:bCs/>
          <w:iCs/>
          <w:sz w:val="24"/>
          <w:szCs w:val="24"/>
        </w:rPr>
        <w:t xml:space="preserve"> </w:t>
      </w:r>
      <w:r w:rsidR="007318E5" w:rsidRPr="007318E5">
        <w:rPr>
          <w:rFonts w:asciiTheme="majorBidi" w:eastAsia="Times New Roman" w:hAnsiTheme="majorBidi" w:cstheme="majorBidi"/>
          <w:bCs/>
          <w:i/>
          <w:iCs/>
          <w:sz w:val="24"/>
          <w:szCs w:val="24"/>
        </w:rPr>
        <w:t>BIG4</w:t>
      </w:r>
      <w:r w:rsidR="00875DF7" w:rsidRPr="008E772B">
        <w:rPr>
          <w:rFonts w:asciiTheme="majorBidi" w:eastAsia="Times New Roman" w:hAnsiTheme="majorBidi" w:cstheme="majorBidi"/>
          <w:bCs/>
          <w:iCs/>
          <w:sz w:val="24"/>
          <w:szCs w:val="24"/>
        </w:rPr>
        <w:t xml:space="preserve">. </w:t>
      </w:r>
      <w:r w:rsidR="00861C7B" w:rsidRPr="008E772B">
        <w:rPr>
          <w:rFonts w:asciiTheme="majorBidi" w:eastAsia="Times New Roman" w:hAnsiTheme="majorBidi" w:cstheme="majorBidi"/>
          <w:bCs/>
          <w:iCs/>
          <w:sz w:val="24"/>
          <w:szCs w:val="24"/>
        </w:rPr>
        <w:t>Likewise, but with regard to a</w:t>
      </w:r>
      <w:r w:rsidR="00875DF7" w:rsidRPr="008E772B">
        <w:rPr>
          <w:rFonts w:asciiTheme="majorBidi" w:eastAsia="Times New Roman" w:hAnsiTheme="majorBidi" w:cstheme="majorBidi"/>
          <w:bCs/>
          <w:iCs/>
          <w:sz w:val="24"/>
          <w:szCs w:val="24"/>
        </w:rPr>
        <w:t xml:space="preserve">udit </w:t>
      </w:r>
      <w:r w:rsidR="00786A9E" w:rsidRPr="008E772B">
        <w:rPr>
          <w:rFonts w:asciiTheme="majorBidi" w:eastAsia="Times New Roman" w:hAnsiTheme="majorBidi" w:cstheme="majorBidi"/>
          <w:bCs/>
          <w:iCs/>
          <w:sz w:val="24"/>
          <w:szCs w:val="24"/>
        </w:rPr>
        <w:t>fees</w:t>
      </w:r>
      <w:r w:rsidR="00875DF7" w:rsidRPr="008E772B">
        <w:rPr>
          <w:rFonts w:asciiTheme="majorBidi" w:eastAsia="Times New Roman" w:hAnsiTheme="majorBidi" w:cstheme="majorBidi"/>
          <w:bCs/>
          <w:iCs/>
          <w:sz w:val="24"/>
          <w:szCs w:val="24"/>
        </w:rPr>
        <w:t>,</w:t>
      </w:r>
      <w:r w:rsidR="00861C7B" w:rsidRPr="008E772B">
        <w:rPr>
          <w:rFonts w:asciiTheme="majorBidi" w:eastAsia="Times New Roman" w:hAnsiTheme="majorBidi" w:cstheme="majorBidi"/>
          <w:bCs/>
          <w:iCs/>
          <w:sz w:val="24"/>
          <w:szCs w:val="24"/>
        </w:rPr>
        <w:t xml:space="preserve"> </w:t>
      </w:r>
      <w:r w:rsidR="00861C7B" w:rsidRPr="008E772B">
        <w:rPr>
          <w:rFonts w:asciiTheme="majorBidi" w:eastAsia="Times New Roman" w:hAnsiTheme="majorBidi" w:cstheme="majorBidi"/>
          <w:bCs/>
          <w:i/>
          <w:sz w:val="24"/>
          <w:szCs w:val="24"/>
        </w:rPr>
        <w:t>BIG4</w:t>
      </w:r>
      <w:r w:rsidR="00861C7B" w:rsidRPr="008E772B">
        <w:rPr>
          <w:rFonts w:asciiTheme="majorBidi" w:eastAsia="Times New Roman" w:hAnsiTheme="majorBidi" w:cstheme="majorBidi"/>
          <w:bCs/>
          <w:iCs/>
          <w:sz w:val="24"/>
          <w:szCs w:val="24"/>
        </w:rPr>
        <w:t xml:space="preserve">, </w:t>
      </w:r>
      <w:r w:rsidR="00861C7B" w:rsidRPr="008E772B">
        <w:rPr>
          <w:rFonts w:asciiTheme="majorBidi" w:eastAsia="Times New Roman" w:hAnsiTheme="majorBidi" w:cstheme="majorBidi"/>
          <w:bCs/>
          <w:i/>
          <w:sz w:val="24"/>
          <w:szCs w:val="24"/>
        </w:rPr>
        <w:t>LN</w:t>
      </w:r>
      <w:r w:rsidR="006308D9" w:rsidRPr="008E772B">
        <w:rPr>
          <w:rFonts w:asciiTheme="majorBidi" w:eastAsia="Times New Roman" w:hAnsiTheme="majorBidi" w:cstheme="majorBidi"/>
          <w:bCs/>
          <w:i/>
          <w:sz w:val="24"/>
          <w:szCs w:val="24"/>
        </w:rPr>
        <w:t>T</w:t>
      </w:r>
      <w:r w:rsidR="00861C7B" w:rsidRPr="008E772B">
        <w:rPr>
          <w:rFonts w:asciiTheme="majorBidi" w:eastAsia="Times New Roman" w:hAnsiTheme="majorBidi" w:cstheme="majorBidi"/>
          <w:bCs/>
          <w:i/>
          <w:sz w:val="24"/>
          <w:szCs w:val="24"/>
        </w:rPr>
        <w:t>A</w:t>
      </w:r>
      <w:r w:rsidR="007318E5">
        <w:rPr>
          <w:rFonts w:asciiTheme="majorBidi" w:eastAsia="Times New Roman" w:hAnsiTheme="majorBidi" w:cstheme="majorBidi"/>
          <w:bCs/>
          <w:i/>
          <w:sz w:val="24"/>
          <w:szCs w:val="24"/>
        </w:rPr>
        <w:t>,</w:t>
      </w:r>
      <w:r w:rsidR="00E11045" w:rsidRPr="008E772B">
        <w:rPr>
          <w:rFonts w:asciiTheme="majorBidi" w:eastAsia="Times New Roman" w:hAnsiTheme="majorBidi" w:cstheme="majorBidi"/>
          <w:bCs/>
          <w:iCs/>
          <w:sz w:val="24"/>
          <w:szCs w:val="24"/>
        </w:rPr>
        <w:t xml:space="preserve"> </w:t>
      </w:r>
      <w:r w:rsidR="00803E1E">
        <w:rPr>
          <w:rFonts w:asciiTheme="majorBidi" w:eastAsia="Times New Roman" w:hAnsiTheme="majorBidi" w:cstheme="majorBidi"/>
          <w:bCs/>
          <w:iCs/>
          <w:sz w:val="24"/>
          <w:szCs w:val="24"/>
        </w:rPr>
        <w:t xml:space="preserve">and </w:t>
      </w:r>
      <w:r w:rsidR="00861C7B" w:rsidRPr="008E772B">
        <w:rPr>
          <w:rFonts w:asciiTheme="majorBidi" w:eastAsia="Times New Roman" w:hAnsiTheme="majorBidi" w:cstheme="majorBidi"/>
          <w:bCs/>
          <w:i/>
          <w:sz w:val="24"/>
          <w:szCs w:val="24"/>
        </w:rPr>
        <w:t>BUSY</w:t>
      </w:r>
      <w:r w:rsidR="00786A9E" w:rsidRPr="008E772B">
        <w:rPr>
          <w:rFonts w:asciiTheme="majorBidi" w:eastAsia="Times New Roman" w:hAnsiTheme="majorBidi" w:cstheme="majorBidi"/>
          <w:bCs/>
          <w:iCs/>
          <w:sz w:val="24"/>
          <w:szCs w:val="24"/>
        </w:rPr>
        <w:t xml:space="preserve"> </w:t>
      </w:r>
      <w:r w:rsidR="00861C7B" w:rsidRPr="008E772B">
        <w:rPr>
          <w:rFonts w:asciiTheme="majorBidi" w:eastAsia="Times New Roman" w:hAnsiTheme="majorBidi" w:cstheme="majorBidi"/>
          <w:bCs/>
          <w:iCs/>
          <w:sz w:val="24"/>
          <w:szCs w:val="24"/>
        </w:rPr>
        <w:t xml:space="preserve">are positively associated with </w:t>
      </w:r>
      <w:r w:rsidR="007318E5" w:rsidRPr="007318E5">
        <w:rPr>
          <w:rFonts w:asciiTheme="majorBidi" w:eastAsia="Times New Roman" w:hAnsiTheme="majorBidi" w:cstheme="majorBidi"/>
          <w:bCs/>
          <w:i/>
          <w:iCs/>
          <w:sz w:val="24"/>
          <w:szCs w:val="24"/>
        </w:rPr>
        <w:t>LNFE</w:t>
      </w:r>
      <w:r w:rsidR="00786A9E" w:rsidRPr="008E772B">
        <w:rPr>
          <w:rFonts w:asciiTheme="majorBidi" w:eastAsia="Times New Roman" w:hAnsiTheme="majorBidi" w:cstheme="majorBidi"/>
          <w:bCs/>
          <w:iCs/>
          <w:sz w:val="24"/>
          <w:szCs w:val="24"/>
        </w:rPr>
        <w:t xml:space="preserve">, </w:t>
      </w:r>
      <w:r w:rsidR="007318E5" w:rsidRPr="008E772B">
        <w:rPr>
          <w:rFonts w:asciiTheme="majorBidi" w:eastAsia="Times New Roman" w:hAnsiTheme="majorBidi" w:cstheme="majorBidi"/>
          <w:bCs/>
          <w:iCs/>
          <w:sz w:val="24"/>
          <w:szCs w:val="24"/>
        </w:rPr>
        <w:t xml:space="preserve">while </w:t>
      </w:r>
      <w:r w:rsidR="00B31397" w:rsidRPr="008E772B">
        <w:rPr>
          <w:rFonts w:asciiTheme="majorBidi" w:eastAsia="Times New Roman" w:hAnsiTheme="majorBidi" w:cstheme="majorBidi"/>
          <w:bCs/>
          <w:i/>
          <w:iCs/>
          <w:sz w:val="24"/>
          <w:szCs w:val="24"/>
        </w:rPr>
        <w:t>L</w:t>
      </w:r>
      <w:r w:rsidR="00786A9E" w:rsidRPr="008E772B">
        <w:rPr>
          <w:rFonts w:asciiTheme="majorBidi" w:eastAsia="Times New Roman" w:hAnsiTheme="majorBidi" w:cstheme="majorBidi"/>
          <w:bCs/>
          <w:i/>
          <w:iCs/>
          <w:sz w:val="24"/>
          <w:szCs w:val="24"/>
        </w:rPr>
        <w:t>V</w:t>
      </w:r>
      <w:r w:rsidR="00786A9E" w:rsidRPr="008E772B">
        <w:rPr>
          <w:rFonts w:asciiTheme="majorBidi" w:eastAsia="Times New Roman" w:hAnsiTheme="majorBidi" w:cstheme="majorBidi"/>
          <w:bCs/>
          <w:iCs/>
          <w:sz w:val="24"/>
          <w:szCs w:val="24"/>
        </w:rPr>
        <w:t xml:space="preserve"> and </w:t>
      </w:r>
      <w:r w:rsidR="00786A9E" w:rsidRPr="008E772B">
        <w:rPr>
          <w:rFonts w:asciiTheme="majorBidi" w:eastAsia="Times New Roman" w:hAnsiTheme="majorBidi" w:cstheme="majorBidi"/>
          <w:bCs/>
          <w:i/>
          <w:iCs/>
          <w:sz w:val="24"/>
          <w:szCs w:val="24"/>
        </w:rPr>
        <w:t>ROA</w:t>
      </w:r>
      <w:r w:rsidR="00786A9E" w:rsidRPr="008E772B">
        <w:rPr>
          <w:rFonts w:asciiTheme="majorBidi" w:eastAsia="Times New Roman" w:hAnsiTheme="majorBidi" w:cstheme="majorBidi"/>
          <w:bCs/>
          <w:iCs/>
          <w:sz w:val="24"/>
          <w:szCs w:val="24"/>
        </w:rPr>
        <w:t xml:space="preserve"> are</w:t>
      </w:r>
      <w:r w:rsidR="00875DF7" w:rsidRPr="008E772B">
        <w:rPr>
          <w:rFonts w:asciiTheme="majorBidi" w:eastAsia="Times New Roman" w:hAnsiTheme="majorBidi" w:cstheme="majorBidi"/>
          <w:bCs/>
          <w:iCs/>
          <w:sz w:val="24"/>
          <w:szCs w:val="24"/>
        </w:rPr>
        <w:t xml:space="preserve"> </w:t>
      </w:r>
      <w:r w:rsidR="00786A9E" w:rsidRPr="008E772B">
        <w:rPr>
          <w:rFonts w:asciiTheme="majorBidi" w:eastAsia="Times New Roman" w:hAnsiTheme="majorBidi" w:cstheme="majorBidi"/>
          <w:bCs/>
          <w:iCs/>
          <w:sz w:val="24"/>
          <w:szCs w:val="24"/>
        </w:rPr>
        <w:t xml:space="preserve">negatively linked to </w:t>
      </w:r>
      <w:r w:rsidR="007318E5" w:rsidRPr="007318E5">
        <w:rPr>
          <w:rFonts w:asciiTheme="majorBidi" w:eastAsia="Times New Roman" w:hAnsiTheme="majorBidi" w:cstheme="majorBidi"/>
          <w:bCs/>
          <w:i/>
          <w:iCs/>
          <w:sz w:val="24"/>
          <w:szCs w:val="24"/>
        </w:rPr>
        <w:t>LNFE</w:t>
      </w:r>
      <w:r w:rsidR="007318E5" w:rsidRPr="007318E5" w:rsidDel="007318E5">
        <w:rPr>
          <w:rFonts w:asciiTheme="majorBidi" w:eastAsia="Times New Roman" w:hAnsiTheme="majorBidi" w:cstheme="majorBidi"/>
          <w:bCs/>
          <w:iCs/>
          <w:sz w:val="24"/>
          <w:szCs w:val="24"/>
        </w:rPr>
        <w:t xml:space="preserve"> </w:t>
      </w:r>
      <w:r w:rsidR="005F4311" w:rsidRPr="008E772B">
        <w:rPr>
          <w:rFonts w:asciiTheme="majorBidi" w:eastAsia="Times New Roman" w:hAnsiTheme="majorBidi" w:cstheme="majorBidi"/>
          <w:bCs/>
          <w:iCs/>
          <w:sz w:val="24"/>
          <w:szCs w:val="24"/>
        </w:rPr>
        <w:t>(</w:t>
      </w:r>
      <w:r w:rsidR="007318E5">
        <w:rPr>
          <w:rFonts w:asciiTheme="majorBidi" w:eastAsia="Times New Roman" w:hAnsiTheme="majorBidi" w:cstheme="majorBidi"/>
          <w:bCs/>
          <w:iCs/>
          <w:sz w:val="24"/>
          <w:szCs w:val="24"/>
        </w:rPr>
        <w:t xml:space="preserve">i.e., </w:t>
      </w:r>
      <w:r w:rsidR="005F4311" w:rsidRPr="008E772B">
        <w:rPr>
          <w:rFonts w:asciiTheme="majorBidi" w:eastAsia="Times New Roman" w:hAnsiTheme="majorBidi" w:cstheme="majorBidi"/>
          <w:bCs/>
          <w:iCs/>
          <w:sz w:val="24"/>
          <w:szCs w:val="24"/>
        </w:rPr>
        <w:t>payment of low audit fees)</w:t>
      </w:r>
      <w:r w:rsidR="00875DF7" w:rsidRPr="008E772B">
        <w:rPr>
          <w:rFonts w:asciiTheme="majorBidi" w:eastAsia="Times New Roman" w:hAnsiTheme="majorBidi" w:cstheme="majorBidi"/>
          <w:bCs/>
          <w:iCs/>
          <w:sz w:val="24"/>
          <w:szCs w:val="24"/>
        </w:rPr>
        <w:t xml:space="preserve">. </w:t>
      </w:r>
      <w:r w:rsidR="007C4420" w:rsidRPr="008E772B">
        <w:rPr>
          <w:rFonts w:asciiTheme="majorBidi" w:eastAsia="Times New Roman" w:hAnsiTheme="majorBidi" w:cstheme="majorBidi"/>
          <w:bCs/>
          <w:sz w:val="24"/>
          <w:szCs w:val="24"/>
        </w:rPr>
        <w:t>In summary, the empirical results</w:t>
      </w:r>
      <w:r w:rsidR="007C4420" w:rsidRPr="008E772B">
        <w:rPr>
          <w:rFonts w:asciiTheme="majorBidi" w:eastAsia="Times New Roman" w:hAnsiTheme="majorBidi" w:cstheme="majorBidi"/>
          <w:bCs/>
          <w:iCs/>
          <w:sz w:val="24"/>
          <w:szCs w:val="24"/>
        </w:rPr>
        <w:t xml:space="preserve">, in general, </w:t>
      </w:r>
      <w:r w:rsidR="00CD29F4" w:rsidRPr="008E772B">
        <w:rPr>
          <w:rFonts w:asciiTheme="majorBidi" w:eastAsia="Times New Roman" w:hAnsiTheme="majorBidi" w:cstheme="majorBidi"/>
          <w:bCs/>
          <w:iCs/>
          <w:sz w:val="24"/>
          <w:szCs w:val="24"/>
        </w:rPr>
        <w:t>su</w:t>
      </w:r>
      <w:r w:rsidR="00CB1DF3">
        <w:rPr>
          <w:rFonts w:asciiTheme="majorBidi" w:eastAsia="Times New Roman" w:hAnsiTheme="majorBidi" w:cstheme="majorBidi"/>
          <w:bCs/>
          <w:iCs/>
          <w:sz w:val="24"/>
          <w:szCs w:val="24"/>
        </w:rPr>
        <w:t>ggest</w:t>
      </w:r>
      <w:r w:rsidR="00CD29F4" w:rsidRPr="008E772B">
        <w:rPr>
          <w:rFonts w:asciiTheme="majorBidi" w:eastAsia="Times New Roman" w:hAnsiTheme="majorBidi" w:cstheme="majorBidi"/>
          <w:bCs/>
          <w:iCs/>
          <w:sz w:val="24"/>
          <w:szCs w:val="24"/>
        </w:rPr>
        <w:t xml:space="preserve"> that external audit quality in MENA countries are affected by</w:t>
      </w:r>
      <w:r w:rsidR="00CD29F4" w:rsidRPr="008E772B">
        <w:rPr>
          <w:rFonts w:asciiTheme="majorBidi" w:eastAsia="Times New Roman" w:hAnsiTheme="majorBidi" w:cstheme="majorBidi"/>
          <w:b/>
          <w:bCs/>
          <w:iCs/>
          <w:sz w:val="24"/>
          <w:szCs w:val="24"/>
        </w:rPr>
        <w:t xml:space="preserve"> </w:t>
      </w:r>
      <w:r w:rsidR="00CD29F4" w:rsidRPr="008E772B">
        <w:rPr>
          <w:rFonts w:asciiTheme="majorBidi" w:eastAsia="Times New Roman" w:hAnsiTheme="majorBidi" w:cstheme="majorBidi"/>
          <w:bCs/>
          <w:iCs/>
          <w:sz w:val="24"/>
          <w:szCs w:val="24"/>
        </w:rPr>
        <w:t xml:space="preserve">firm- and country-level governance quality, which </w:t>
      </w:r>
      <w:r w:rsidR="00CB1DF3">
        <w:rPr>
          <w:rFonts w:asciiTheme="majorBidi" w:eastAsia="Times New Roman" w:hAnsiTheme="majorBidi" w:cstheme="majorBidi"/>
          <w:bCs/>
          <w:iCs/>
          <w:sz w:val="24"/>
          <w:szCs w:val="24"/>
        </w:rPr>
        <w:t>indicate</w:t>
      </w:r>
      <w:r w:rsidR="00CD29F4" w:rsidRPr="008E772B">
        <w:rPr>
          <w:rFonts w:asciiTheme="majorBidi" w:eastAsia="Times New Roman" w:hAnsiTheme="majorBidi" w:cstheme="majorBidi"/>
          <w:bCs/>
          <w:iCs/>
          <w:sz w:val="24"/>
          <w:szCs w:val="24"/>
        </w:rPr>
        <w:t xml:space="preserve">s that governance quality and external audit quality (i.e., </w:t>
      </w:r>
      <w:r w:rsidR="00C97A27">
        <w:rPr>
          <w:rFonts w:asciiTheme="majorBidi" w:eastAsia="Times New Roman" w:hAnsiTheme="majorBidi" w:cstheme="majorBidi"/>
          <w:bCs/>
          <w:iCs/>
          <w:sz w:val="24"/>
          <w:szCs w:val="24"/>
        </w:rPr>
        <w:t>hiring</w:t>
      </w:r>
      <w:r w:rsidR="00CD29F4" w:rsidRPr="008E772B">
        <w:rPr>
          <w:rFonts w:asciiTheme="majorBidi" w:eastAsia="Times New Roman" w:hAnsiTheme="majorBidi" w:cstheme="majorBidi"/>
          <w:bCs/>
          <w:iCs/>
          <w:sz w:val="24"/>
          <w:szCs w:val="24"/>
        </w:rPr>
        <w:t xml:space="preserve"> </w:t>
      </w:r>
      <w:r w:rsidR="00C97A27">
        <w:rPr>
          <w:rFonts w:asciiTheme="majorBidi" w:eastAsia="Times New Roman" w:hAnsiTheme="majorBidi" w:cstheme="majorBidi"/>
          <w:bCs/>
          <w:iCs/>
          <w:sz w:val="24"/>
          <w:szCs w:val="24"/>
        </w:rPr>
        <w:t>a</w:t>
      </w:r>
      <w:r w:rsidR="00C97A27" w:rsidRPr="008E772B">
        <w:rPr>
          <w:rFonts w:asciiTheme="majorBidi" w:eastAsia="Times New Roman" w:hAnsiTheme="majorBidi" w:cstheme="majorBidi"/>
          <w:bCs/>
          <w:iCs/>
          <w:sz w:val="24"/>
          <w:szCs w:val="24"/>
        </w:rPr>
        <w:t xml:space="preserve"> </w:t>
      </w:r>
      <w:r w:rsidR="00CD29F4" w:rsidRPr="008E772B">
        <w:rPr>
          <w:rFonts w:asciiTheme="majorBidi" w:eastAsia="Times New Roman" w:hAnsiTheme="majorBidi" w:cstheme="majorBidi"/>
          <w:bCs/>
          <w:iCs/>
          <w:sz w:val="24"/>
          <w:szCs w:val="24"/>
        </w:rPr>
        <w:t xml:space="preserve">Big 4 auditor and </w:t>
      </w:r>
      <w:r w:rsidR="00C97A27">
        <w:rPr>
          <w:rFonts w:asciiTheme="majorBidi" w:eastAsia="Times New Roman" w:hAnsiTheme="majorBidi" w:cstheme="majorBidi"/>
          <w:bCs/>
          <w:iCs/>
          <w:sz w:val="24"/>
          <w:szCs w:val="24"/>
        </w:rPr>
        <w:t xml:space="preserve">paying </w:t>
      </w:r>
      <w:r w:rsidR="00CD29F4" w:rsidRPr="008E772B">
        <w:rPr>
          <w:rFonts w:asciiTheme="majorBidi" w:eastAsia="Times New Roman" w:hAnsiTheme="majorBidi" w:cstheme="majorBidi"/>
          <w:bCs/>
          <w:iCs/>
          <w:sz w:val="24"/>
          <w:szCs w:val="24"/>
        </w:rPr>
        <w:t>high audit fees) are complements in playing the monitoring role in MENA countries.</w:t>
      </w:r>
    </w:p>
    <w:p w14:paraId="43076840" w14:textId="77777777" w:rsidR="001410F2" w:rsidRDefault="001410F2" w:rsidP="003D0B32">
      <w:pPr>
        <w:spacing w:after="0" w:line="360" w:lineRule="auto"/>
        <w:jc w:val="lowKashida"/>
        <w:rPr>
          <w:rFonts w:asciiTheme="majorBidi" w:eastAsia="Times New Roman" w:hAnsiTheme="majorBidi" w:cstheme="majorBidi"/>
          <w:sz w:val="24"/>
          <w:szCs w:val="24"/>
        </w:rPr>
      </w:pPr>
    </w:p>
    <w:p w14:paraId="1ED9AB1C" w14:textId="13F7E79C" w:rsidR="00073AE0" w:rsidRPr="008E772B" w:rsidRDefault="00157823" w:rsidP="003D0B32">
      <w:pPr>
        <w:spacing w:after="0" w:line="360" w:lineRule="auto"/>
        <w:jc w:val="lowKashida"/>
        <w:rPr>
          <w:rFonts w:asciiTheme="majorBidi" w:eastAsia="Times New Roman" w:hAnsiTheme="majorBidi" w:cstheme="majorBidi"/>
          <w:b/>
          <w:bCs/>
          <w:i/>
          <w:sz w:val="24"/>
          <w:szCs w:val="24"/>
        </w:rPr>
      </w:pPr>
      <w:r w:rsidRPr="00157823">
        <w:rPr>
          <w:rFonts w:asciiTheme="majorBidi" w:eastAsia="Times New Roman" w:hAnsiTheme="majorBidi" w:cstheme="majorBidi"/>
          <w:b/>
          <w:bCs/>
          <w:i/>
          <w:iCs/>
          <w:sz w:val="24"/>
          <w:szCs w:val="24"/>
        </w:rPr>
        <w:t>5.</w:t>
      </w:r>
      <w:r>
        <w:rPr>
          <w:rFonts w:asciiTheme="majorBidi" w:eastAsia="Times New Roman" w:hAnsiTheme="majorBidi" w:cstheme="majorBidi"/>
          <w:b/>
          <w:bCs/>
          <w:i/>
          <w:iCs/>
          <w:sz w:val="24"/>
          <w:szCs w:val="24"/>
        </w:rPr>
        <w:t>3</w:t>
      </w:r>
      <w:r w:rsidRPr="00157823">
        <w:rPr>
          <w:rFonts w:asciiTheme="majorBidi" w:eastAsia="Times New Roman" w:hAnsiTheme="majorBidi" w:cstheme="majorBidi"/>
          <w:b/>
          <w:bCs/>
          <w:i/>
          <w:iCs/>
          <w:sz w:val="24"/>
          <w:szCs w:val="24"/>
        </w:rPr>
        <w:t xml:space="preserve">. </w:t>
      </w:r>
      <w:r w:rsidR="003D0B32" w:rsidRPr="008E772B">
        <w:rPr>
          <w:rFonts w:asciiTheme="majorBidi" w:eastAsia="Times New Roman" w:hAnsiTheme="majorBidi" w:cstheme="majorBidi"/>
          <w:b/>
          <w:bCs/>
          <w:i/>
          <w:iCs/>
          <w:sz w:val="24"/>
          <w:szCs w:val="24"/>
        </w:rPr>
        <w:t xml:space="preserve">Additional </w:t>
      </w:r>
      <w:r w:rsidR="00C4650F">
        <w:rPr>
          <w:rFonts w:asciiTheme="majorBidi" w:eastAsia="Times New Roman" w:hAnsiTheme="majorBidi" w:cstheme="majorBidi"/>
          <w:b/>
          <w:bCs/>
          <w:i/>
          <w:iCs/>
          <w:sz w:val="24"/>
          <w:szCs w:val="24"/>
        </w:rPr>
        <w:t xml:space="preserve">analysis and </w:t>
      </w:r>
      <w:r w:rsidR="003D0B32" w:rsidRPr="008E772B">
        <w:rPr>
          <w:rFonts w:asciiTheme="majorBidi" w:eastAsia="Times New Roman" w:hAnsiTheme="majorBidi" w:cstheme="majorBidi"/>
          <w:b/>
          <w:bCs/>
          <w:i/>
          <w:iCs/>
          <w:sz w:val="24"/>
          <w:szCs w:val="24"/>
        </w:rPr>
        <w:t>sensitivity checks</w:t>
      </w:r>
    </w:p>
    <w:p w14:paraId="0CE4BF1B" w14:textId="68060BD3" w:rsidR="00BB42B1" w:rsidRPr="000972D1" w:rsidRDefault="00C4650F" w:rsidP="00BB42B1">
      <w:pPr>
        <w:spacing w:after="0" w:line="360" w:lineRule="auto"/>
        <w:jc w:val="lowKashida"/>
        <w:rPr>
          <w:rFonts w:asciiTheme="majorBidi" w:eastAsia="Times New Roman" w:hAnsiTheme="majorBidi" w:cstheme="majorBidi"/>
          <w:bCs/>
          <w:iCs/>
          <w:sz w:val="24"/>
          <w:szCs w:val="24"/>
        </w:rPr>
      </w:pPr>
      <w:r>
        <w:rPr>
          <w:rFonts w:asciiTheme="majorBidi" w:eastAsia="Times New Roman" w:hAnsiTheme="majorBidi" w:cstheme="majorBidi"/>
          <w:bCs/>
          <w:iCs/>
          <w:sz w:val="24"/>
          <w:szCs w:val="24"/>
        </w:rPr>
        <w:tab/>
      </w:r>
      <w:r w:rsidRPr="000972D1">
        <w:rPr>
          <w:rFonts w:asciiTheme="majorBidi" w:eastAsia="Times New Roman" w:hAnsiTheme="majorBidi" w:cstheme="majorBidi"/>
          <w:bCs/>
          <w:iCs/>
          <w:sz w:val="24"/>
          <w:szCs w:val="24"/>
        </w:rPr>
        <w:t xml:space="preserve">The </w:t>
      </w:r>
      <w:r w:rsidR="005A585C" w:rsidRPr="000972D1">
        <w:rPr>
          <w:rFonts w:asciiTheme="majorBidi" w:eastAsia="Times New Roman" w:hAnsiTheme="majorBidi" w:cstheme="majorBidi"/>
          <w:bCs/>
          <w:iCs/>
          <w:sz w:val="24"/>
          <w:szCs w:val="24"/>
        </w:rPr>
        <w:t>purpose</w:t>
      </w:r>
      <w:r w:rsidRPr="000972D1">
        <w:rPr>
          <w:rFonts w:asciiTheme="majorBidi" w:eastAsia="Times New Roman" w:hAnsiTheme="majorBidi" w:cstheme="majorBidi"/>
          <w:bCs/>
          <w:iCs/>
          <w:sz w:val="24"/>
          <w:szCs w:val="24"/>
        </w:rPr>
        <w:t xml:space="preserve"> of this section is to extend our analysis of the impact of firm- and country-level governance </w:t>
      </w:r>
      <w:r w:rsidR="00D7110E">
        <w:rPr>
          <w:rFonts w:asciiTheme="majorBidi" w:eastAsia="Times New Roman" w:hAnsiTheme="majorBidi" w:cstheme="majorBidi"/>
          <w:bCs/>
          <w:iCs/>
          <w:sz w:val="24"/>
          <w:szCs w:val="24"/>
        </w:rPr>
        <w:t xml:space="preserve">quality </w:t>
      </w:r>
      <w:r w:rsidRPr="000972D1">
        <w:rPr>
          <w:rFonts w:asciiTheme="majorBidi" w:eastAsia="Times New Roman" w:hAnsiTheme="majorBidi" w:cstheme="majorBidi"/>
          <w:bCs/>
          <w:iCs/>
          <w:sz w:val="24"/>
          <w:szCs w:val="24"/>
        </w:rPr>
        <w:t>on audit quality in MENA countries</w:t>
      </w:r>
      <w:r w:rsidR="00D7110E">
        <w:rPr>
          <w:rFonts w:asciiTheme="majorBidi" w:eastAsia="Times New Roman" w:hAnsiTheme="majorBidi" w:cstheme="majorBidi"/>
          <w:bCs/>
          <w:iCs/>
          <w:sz w:val="24"/>
          <w:szCs w:val="24"/>
        </w:rPr>
        <w:t>,</w:t>
      </w:r>
      <w:r w:rsidR="00941946" w:rsidRPr="000972D1">
        <w:rPr>
          <w:rFonts w:asciiTheme="majorBidi" w:eastAsia="Times New Roman" w:hAnsiTheme="majorBidi" w:cstheme="majorBidi"/>
          <w:bCs/>
          <w:iCs/>
          <w:sz w:val="24"/>
          <w:szCs w:val="24"/>
        </w:rPr>
        <w:t xml:space="preserve"> and to </w:t>
      </w:r>
      <w:r w:rsidR="00941946" w:rsidRPr="000972D1">
        <w:rPr>
          <w:rFonts w:asciiTheme="majorBidi" w:eastAsia="Times New Roman" w:hAnsiTheme="majorBidi" w:cstheme="majorBidi"/>
          <w:bCs/>
          <w:sz w:val="24"/>
          <w:szCs w:val="24"/>
        </w:rPr>
        <w:t>examine the robustness of the regression models and the empirical results of our study.</w:t>
      </w:r>
      <w:r w:rsidR="00941946" w:rsidRPr="000972D1">
        <w:rPr>
          <w:rFonts w:asciiTheme="majorBidi" w:eastAsia="Times New Roman" w:hAnsiTheme="majorBidi" w:cstheme="majorBidi"/>
          <w:bCs/>
          <w:iCs/>
          <w:sz w:val="24"/>
          <w:szCs w:val="24"/>
        </w:rPr>
        <w:t xml:space="preserve"> </w:t>
      </w:r>
      <w:r w:rsidR="00E30563" w:rsidRPr="000972D1">
        <w:rPr>
          <w:rFonts w:asciiTheme="majorBidi" w:eastAsia="Times New Roman" w:hAnsiTheme="majorBidi" w:cstheme="majorBidi"/>
          <w:bCs/>
          <w:iCs/>
          <w:sz w:val="24"/>
          <w:szCs w:val="24"/>
        </w:rPr>
        <w:t>For example, w</w:t>
      </w:r>
      <w:r w:rsidR="00BA2716" w:rsidRPr="000972D1">
        <w:rPr>
          <w:rFonts w:asciiTheme="majorBidi" w:eastAsia="Times New Roman" w:hAnsiTheme="majorBidi" w:cstheme="majorBidi"/>
          <w:bCs/>
          <w:iCs/>
          <w:sz w:val="24"/>
          <w:szCs w:val="24"/>
        </w:rPr>
        <w:t xml:space="preserve">e </w:t>
      </w:r>
      <w:r w:rsidR="00941946" w:rsidRPr="000972D1">
        <w:rPr>
          <w:rFonts w:asciiTheme="majorBidi" w:eastAsia="Times New Roman" w:hAnsiTheme="majorBidi" w:cstheme="majorBidi"/>
          <w:bCs/>
          <w:iCs/>
          <w:sz w:val="24"/>
          <w:szCs w:val="24"/>
        </w:rPr>
        <w:t>examine</w:t>
      </w:r>
      <w:r w:rsidRPr="000972D1">
        <w:rPr>
          <w:rFonts w:asciiTheme="majorBidi" w:eastAsia="Times New Roman" w:hAnsiTheme="majorBidi" w:cstheme="majorBidi"/>
          <w:bCs/>
          <w:iCs/>
          <w:sz w:val="24"/>
          <w:szCs w:val="24"/>
        </w:rPr>
        <w:t xml:space="preserve"> the substitutional or complementary effect of firm- and country-level governance </w:t>
      </w:r>
      <w:r w:rsidR="00E94427">
        <w:rPr>
          <w:rFonts w:asciiTheme="majorBidi" w:eastAsia="Times New Roman" w:hAnsiTheme="majorBidi" w:cstheme="majorBidi"/>
          <w:bCs/>
          <w:iCs/>
          <w:sz w:val="24"/>
          <w:szCs w:val="24"/>
        </w:rPr>
        <w:t xml:space="preserve">quality </w:t>
      </w:r>
      <w:r w:rsidRPr="000972D1">
        <w:rPr>
          <w:rFonts w:asciiTheme="majorBidi" w:eastAsia="Times New Roman" w:hAnsiTheme="majorBidi" w:cstheme="majorBidi"/>
          <w:bCs/>
          <w:iCs/>
          <w:sz w:val="24"/>
          <w:szCs w:val="24"/>
        </w:rPr>
        <w:t xml:space="preserve">on audit quality. We </w:t>
      </w:r>
      <w:r w:rsidR="00B242DA">
        <w:rPr>
          <w:rFonts w:asciiTheme="majorBidi" w:eastAsia="Times New Roman" w:hAnsiTheme="majorBidi" w:cstheme="majorBidi"/>
          <w:bCs/>
          <w:iCs/>
          <w:sz w:val="24"/>
          <w:szCs w:val="24"/>
        </w:rPr>
        <w:t>re-</w:t>
      </w:r>
      <w:r w:rsidR="00BB7F0D" w:rsidRPr="000972D1">
        <w:rPr>
          <w:rFonts w:asciiTheme="majorBidi" w:eastAsia="Times New Roman" w:hAnsiTheme="majorBidi" w:cstheme="majorBidi"/>
          <w:bCs/>
          <w:iCs/>
          <w:sz w:val="24"/>
          <w:szCs w:val="24"/>
        </w:rPr>
        <w:t xml:space="preserve">estimate Eq. 1 and 2 by including the board </w:t>
      </w:r>
      <w:r w:rsidR="00941946" w:rsidRPr="000972D1">
        <w:rPr>
          <w:rFonts w:asciiTheme="majorBidi" w:eastAsia="Times New Roman" w:hAnsiTheme="majorBidi" w:cstheme="majorBidi"/>
          <w:bCs/>
          <w:iCs/>
          <w:sz w:val="24"/>
          <w:szCs w:val="24"/>
        </w:rPr>
        <w:t>characteristics</w:t>
      </w:r>
      <w:r w:rsidR="00BB7F0D" w:rsidRPr="000972D1">
        <w:rPr>
          <w:rFonts w:asciiTheme="majorBidi" w:eastAsia="Times New Roman" w:hAnsiTheme="majorBidi" w:cstheme="majorBidi"/>
          <w:bCs/>
          <w:iCs/>
          <w:sz w:val="24"/>
          <w:szCs w:val="24"/>
        </w:rPr>
        <w:t xml:space="preserve"> score (</w:t>
      </w:r>
      <w:r w:rsidR="00BB7F0D" w:rsidRPr="000972D1">
        <w:rPr>
          <w:rFonts w:asciiTheme="majorBidi" w:eastAsia="Times New Roman" w:hAnsiTheme="majorBidi" w:cstheme="majorBidi"/>
          <w:bCs/>
          <w:i/>
          <w:iCs/>
          <w:sz w:val="24"/>
          <w:szCs w:val="24"/>
        </w:rPr>
        <w:t>BRDGI</w:t>
      </w:r>
      <w:r w:rsidR="00BB7F0D" w:rsidRPr="000972D1">
        <w:rPr>
          <w:rFonts w:asciiTheme="majorBidi" w:eastAsia="Times New Roman" w:hAnsiTheme="majorBidi" w:cstheme="majorBidi"/>
          <w:bCs/>
          <w:iCs/>
          <w:sz w:val="24"/>
          <w:szCs w:val="24"/>
        </w:rPr>
        <w:t xml:space="preserve">), </w:t>
      </w:r>
      <w:r w:rsidR="0086015D" w:rsidRPr="000972D1">
        <w:rPr>
          <w:rFonts w:asciiTheme="majorBidi" w:eastAsia="Times New Roman" w:hAnsiTheme="majorBidi" w:cstheme="majorBidi"/>
          <w:bCs/>
          <w:iCs/>
          <w:sz w:val="24"/>
          <w:szCs w:val="24"/>
        </w:rPr>
        <w:t xml:space="preserve">shareholding </w:t>
      </w:r>
      <w:r w:rsidR="00BB7F0D" w:rsidRPr="000972D1">
        <w:rPr>
          <w:rFonts w:asciiTheme="majorBidi" w:eastAsia="Times New Roman" w:hAnsiTheme="majorBidi" w:cstheme="majorBidi"/>
          <w:bCs/>
          <w:iCs/>
          <w:sz w:val="24"/>
          <w:szCs w:val="24"/>
        </w:rPr>
        <w:t>structure score</w:t>
      </w:r>
      <w:r w:rsidR="0086015D" w:rsidRPr="000972D1">
        <w:rPr>
          <w:rFonts w:asciiTheme="majorBidi" w:eastAsia="Times New Roman" w:hAnsiTheme="majorBidi" w:cstheme="majorBidi"/>
          <w:bCs/>
          <w:iCs/>
          <w:sz w:val="24"/>
          <w:szCs w:val="24"/>
        </w:rPr>
        <w:t xml:space="preserve"> (</w:t>
      </w:r>
      <w:r w:rsidR="0086015D" w:rsidRPr="000972D1">
        <w:rPr>
          <w:rFonts w:asciiTheme="majorBidi" w:eastAsia="Times New Roman" w:hAnsiTheme="majorBidi" w:cstheme="majorBidi"/>
          <w:bCs/>
          <w:i/>
          <w:iCs/>
          <w:sz w:val="24"/>
          <w:szCs w:val="24"/>
        </w:rPr>
        <w:t>SHRGI</w:t>
      </w:r>
      <w:r w:rsidR="0086015D" w:rsidRPr="000972D1">
        <w:rPr>
          <w:rFonts w:asciiTheme="majorBidi" w:eastAsia="Times New Roman" w:hAnsiTheme="majorBidi" w:cstheme="majorBidi"/>
          <w:bCs/>
          <w:iCs/>
          <w:sz w:val="24"/>
          <w:szCs w:val="24"/>
        </w:rPr>
        <w:t>),</w:t>
      </w:r>
      <w:r w:rsidR="00941946" w:rsidRPr="000972D1">
        <w:rPr>
          <w:rFonts w:asciiTheme="majorBidi" w:eastAsia="Times New Roman" w:hAnsiTheme="majorBidi" w:cstheme="majorBidi"/>
          <w:bCs/>
          <w:iCs/>
          <w:sz w:val="24"/>
          <w:szCs w:val="24"/>
        </w:rPr>
        <w:t xml:space="preserve"> country-level governance </w:t>
      </w:r>
      <w:r w:rsidR="00E94427">
        <w:rPr>
          <w:rFonts w:asciiTheme="majorBidi" w:eastAsia="Times New Roman" w:hAnsiTheme="majorBidi" w:cstheme="majorBidi"/>
          <w:bCs/>
          <w:iCs/>
          <w:sz w:val="24"/>
          <w:szCs w:val="24"/>
        </w:rPr>
        <w:t xml:space="preserve">index </w:t>
      </w:r>
      <w:r w:rsidR="00941946" w:rsidRPr="000972D1">
        <w:rPr>
          <w:rFonts w:asciiTheme="majorBidi" w:eastAsia="Times New Roman" w:hAnsiTheme="majorBidi" w:cstheme="majorBidi"/>
          <w:bCs/>
          <w:iCs/>
          <w:sz w:val="24"/>
          <w:szCs w:val="24"/>
        </w:rPr>
        <w:t>(</w:t>
      </w:r>
      <w:r w:rsidR="00941946" w:rsidRPr="000972D1">
        <w:rPr>
          <w:rFonts w:asciiTheme="majorBidi" w:eastAsia="Times New Roman" w:hAnsiTheme="majorBidi" w:cstheme="majorBidi"/>
          <w:bCs/>
          <w:i/>
          <w:iCs/>
          <w:sz w:val="24"/>
          <w:szCs w:val="24"/>
        </w:rPr>
        <w:t>NGI</w:t>
      </w:r>
      <w:r w:rsidR="00941946" w:rsidRPr="000972D1">
        <w:rPr>
          <w:rFonts w:asciiTheme="majorBidi" w:eastAsia="Times New Roman" w:hAnsiTheme="majorBidi" w:cstheme="majorBidi"/>
          <w:bCs/>
          <w:iCs/>
          <w:sz w:val="24"/>
          <w:szCs w:val="24"/>
        </w:rPr>
        <w:t>), and interaction terms (</w:t>
      </w:r>
      <w:r w:rsidR="00941946" w:rsidRPr="000972D1">
        <w:rPr>
          <w:rFonts w:asciiTheme="majorBidi" w:eastAsia="Times New Roman" w:hAnsiTheme="majorBidi" w:cstheme="majorBidi"/>
          <w:bCs/>
          <w:i/>
          <w:iCs/>
          <w:sz w:val="24"/>
          <w:szCs w:val="24"/>
        </w:rPr>
        <w:t>BRDGI*NGI</w:t>
      </w:r>
      <w:r w:rsidR="00941946" w:rsidRPr="000972D1">
        <w:rPr>
          <w:rFonts w:asciiTheme="majorBidi" w:eastAsia="Times New Roman" w:hAnsiTheme="majorBidi" w:cstheme="majorBidi"/>
          <w:bCs/>
          <w:iCs/>
          <w:sz w:val="24"/>
          <w:szCs w:val="24"/>
        </w:rPr>
        <w:t>) and (</w:t>
      </w:r>
      <w:r w:rsidR="00941946" w:rsidRPr="000972D1">
        <w:rPr>
          <w:rFonts w:asciiTheme="majorBidi" w:eastAsia="Times New Roman" w:hAnsiTheme="majorBidi" w:cstheme="majorBidi"/>
          <w:bCs/>
          <w:i/>
          <w:iCs/>
          <w:sz w:val="24"/>
          <w:szCs w:val="24"/>
        </w:rPr>
        <w:t>SHRGI*NGI</w:t>
      </w:r>
      <w:r w:rsidR="00941946" w:rsidRPr="000972D1">
        <w:rPr>
          <w:rFonts w:asciiTheme="majorBidi" w:eastAsia="Times New Roman" w:hAnsiTheme="majorBidi" w:cstheme="majorBidi"/>
          <w:bCs/>
          <w:iCs/>
          <w:sz w:val="24"/>
          <w:szCs w:val="24"/>
        </w:rPr>
        <w:t>)</w:t>
      </w:r>
      <w:r w:rsidR="00AE5FF2" w:rsidRPr="000972D1">
        <w:rPr>
          <w:rFonts w:asciiTheme="majorBidi" w:eastAsia="Times New Roman" w:hAnsiTheme="majorBidi" w:cstheme="majorBidi"/>
          <w:bCs/>
          <w:iCs/>
          <w:sz w:val="24"/>
          <w:szCs w:val="24"/>
        </w:rPr>
        <w:t xml:space="preserve">. The results are reported in </w:t>
      </w:r>
      <w:r w:rsidR="00C73469" w:rsidRPr="000972D1">
        <w:rPr>
          <w:rFonts w:asciiTheme="majorBidi" w:eastAsia="Times New Roman" w:hAnsiTheme="majorBidi" w:cstheme="majorBidi"/>
          <w:bCs/>
          <w:iCs/>
          <w:sz w:val="24"/>
          <w:szCs w:val="24"/>
        </w:rPr>
        <w:t xml:space="preserve">Models 1 and 2 of </w:t>
      </w:r>
      <w:r w:rsidR="00AE5FF2" w:rsidRPr="000972D1">
        <w:rPr>
          <w:rFonts w:asciiTheme="majorBidi" w:eastAsia="Times New Roman" w:hAnsiTheme="majorBidi" w:cstheme="majorBidi"/>
          <w:bCs/>
          <w:iCs/>
          <w:sz w:val="24"/>
          <w:szCs w:val="24"/>
        </w:rPr>
        <w:t xml:space="preserve">Table </w:t>
      </w:r>
      <w:r w:rsidR="00697AC9" w:rsidRPr="000972D1">
        <w:rPr>
          <w:rFonts w:asciiTheme="majorBidi" w:eastAsia="Times New Roman" w:hAnsiTheme="majorBidi" w:cstheme="majorBidi"/>
          <w:bCs/>
          <w:iCs/>
          <w:sz w:val="24"/>
          <w:szCs w:val="24"/>
        </w:rPr>
        <w:t>6</w:t>
      </w:r>
      <w:r w:rsidR="00AE5FF2" w:rsidRPr="000972D1">
        <w:rPr>
          <w:rFonts w:asciiTheme="majorBidi" w:eastAsia="Times New Roman" w:hAnsiTheme="majorBidi" w:cstheme="majorBidi"/>
          <w:bCs/>
          <w:iCs/>
          <w:sz w:val="24"/>
          <w:szCs w:val="24"/>
        </w:rPr>
        <w:t xml:space="preserve">. </w:t>
      </w:r>
      <w:r w:rsidR="00C73469" w:rsidRPr="000972D1">
        <w:rPr>
          <w:rFonts w:asciiTheme="majorBidi" w:eastAsia="Times New Roman" w:hAnsiTheme="majorBidi" w:cstheme="majorBidi"/>
          <w:bCs/>
          <w:iCs/>
          <w:sz w:val="24"/>
          <w:szCs w:val="24"/>
        </w:rPr>
        <w:t xml:space="preserve">The results </w:t>
      </w:r>
      <w:r w:rsidR="00AE5FF2" w:rsidRPr="000972D1">
        <w:rPr>
          <w:rFonts w:asciiTheme="majorBidi" w:eastAsia="Times New Roman" w:hAnsiTheme="majorBidi" w:cstheme="majorBidi"/>
          <w:bCs/>
          <w:iCs/>
          <w:sz w:val="24"/>
          <w:szCs w:val="24"/>
        </w:rPr>
        <w:t xml:space="preserve">show that the coefficient for </w:t>
      </w:r>
      <w:r w:rsidR="00AE5FF2" w:rsidRPr="000972D1">
        <w:rPr>
          <w:rFonts w:asciiTheme="majorBidi" w:eastAsia="Times New Roman" w:hAnsiTheme="majorBidi" w:cstheme="majorBidi"/>
          <w:bCs/>
          <w:i/>
          <w:iCs/>
          <w:sz w:val="24"/>
          <w:szCs w:val="24"/>
        </w:rPr>
        <w:t>SHRGI*NGI</w:t>
      </w:r>
      <w:r w:rsidR="00AE5FF2" w:rsidRPr="000972D1">
        <w:rPr>
          <w:rFonts w:asciiTheme="majorBidi" w:eastAsia="Times New Roman" w:hAnsiTheme="majorBidi" w:cstheme="majorBidi"/>
          <w:bCs/>
          <w:iCs/>
          <w:sz w:val="24"/>
          <w:szCs w:val="24"/>
        </w:rPr>
        <w:t xml:space="preserve"> is </w:t>
      </w:r>
      <w:r w:rsidR="00C73469" w:rsidRPr="000972D1">
        <w:rPr>
          <w:rFonts w:asciiTheme="majorBidi" w:eastAsia="Times New Roman" w:hAnsiTheme="majorBidi" w:cstheme="majorBidi"/>
          <w:bCs/>
          <w:iCs/>
          <w:sz w:val="24"/>
          <w:szCs w:val="24"/>
        </w:rPr>
        <w:t>positive</w:t>
      </w:r>
      <w:r w:rsidR="00AE5FF2" w:rsidRPr="000972D1">
        <w:rPr>
          <w:rFonts w:asciiTheme="majorBidi" w:eastAsia="Times New Roman" w:hAnsiTheme="majorBidi" w:cstheme="majorBidi"/>
          <w:bCs/>
          <w:iCs/>
          <w:sz w:val="24"/>
          <w:szCs w:val="24"/>
        </w:rPr>
        <w:t xml:space="preserve"> and significant at the </w:t>
      </w:r>
      <w:r w:rsidR="00C73469" w:rsidRPr="000972D1">
        <w:rPr>
          <w:rFonts w:asciiTheme="majorBidi" w:eastAsia="Times New Roman" w:hAnsiTheme="majorBidi" w:cstheme="majorBidi"/>
          <w:bCs/>
          <w:iCs/>
          <w:sz w:val="24"/>
          <w:szCs w:val="24"/>
        </w:rPr>
        <w:t>5</w:t>
      </w:r>
      <w:r w:rsidR="00AE5FF2" w:rsidRPr="000972D1">
        <w:rPr>
          <w:rFonts w:asciiTheme="majorBidi" w:eastAsia="Times New Roman" w:hAnsiTheme="majorBidi" w:cstheme="majorBidi"/>
          <w:bCs/>
          <w:iCs/>
          <w:sz w:val="24"/>
          <w:szCs w:val="24"/>
        </w:rPr>
        <w:t xml:space="preserve">% level, suggesting that the shareholding </w:t>
      </w:r>
      <w:r w:rsidR="00C73469" w:rsidRPr="000972D1">
        <w:rPr>
          <w:rFonts w:asciiTheme="majorBidi" w:eastAsia="Times New Roman" w:hAnsiTheme="majorBidi" w:cstheme="majorBidi"/>
          <w:bCs/>
          <w:iCs/>
          <w:sz w:val="24"/>
          <w:szCs w:val="24"/>
        </w:rPr>
        <w:t xml:space="preserve">governance quality </w:t>
      </w:r>
      <w:r w:rsidR="00DD2819" w:rsidRPr="000972D1">
        <w:rPr>
          <w:rFonts w:asciiTheme="majorBidi" w:eastAsia="Times New Roman" w:hAnsiTheme="majorBidi" w:cstheme="majorBidi"/>
          <w:bCs/>
          <w:iCs/>
          <w:sz w:val="24"/>
          <w:szCs w:val="24"/>
        </w:rPr>
        <w:t xml:space="preserve">appears to </w:t>
      </w:r>
      <w:r w:rsidR="00C73469" w:rsidRPr="000972D1">
        <w:rPr>
          <w:rFonts w:asciiTheme="majorBidi" w:eastAsia="Times New Roman" w:hAnsiTheme="majorBidi" w:cstheme="majorBidi"/>
          <w:bCs/>
          <w:iCs/>
          <w:sz w:val="24"/>
          <w:szCs w:val="24"/>
        </w:rPr>
        <w:t>complement</w:t>
      </w:r>
      <w:r w:rsidR="00AE5FF2" w:rsidRPr="000972D1">
        <w:rPr>
          <w:rFonts w:asciiTheme="majorBidi" w:eastAsia="Times New Roman" w:hAnsiTheme="majorBidi" w:cstheme="majorBidi"/>
          <w:bCs/>
          <w:iCs/>
          <w:sz w:val="24"/>
          <w:szCs w:val="24"/>
        </w:rPr>
        <w:t xml:space="preserve"> the </w:t>
      </w:r>
      <w:r w:rsidR="00C73469" w:rsidRPr="000972D1">
        <w:rPr>
          <w:rFonts w:asciiTheme="majorBidi" w:eastAsia="Times New Roman" w:hAnsiTheme="majorBidi" w:cstheme="majorBidi"/>
          <w:bCs/>
          <w:iCs/>
          <w:sz w:val="24"/>
          <w:szCs w:val="24"/>
        </w:rPr>
        <w:t>c</w:t>
      </w:r>
      <w:r w:rsidR="00AE5FF2" w:rsidRPr="000972D1">
        <w:rPr>
          <w:rFonts w:asciiTheme="majorBidi" w:eastAsia="Times New Roman" w:hAnsiTheme="majorBidi" w:cstheme="majorBidi"/>
          <w:bCs/>
          <w:iCs/>
          <w:sz w:val="24"/>
          <w:szCs w:val="24"/>
        </w:rPr>
        <w:t xml:space="preserve">ountry-level governance </w:t>
      </w:r>
      <w:r w:rsidR="00C73469" w:rsidRPr="000972D1">
        <w:rPr>
          <w:rFonts w:asciiTheme="majorBidi" w:eastAsia="Times New Roman" w:hAnsiTheme="majorBidi" w:cstheme="majorBidi"/>
          <w:bCs/>
          <w:iCs/>
          <w:sz w:val="24"/>
          <w:szCs w:val="24"/>
        </w:rPr>
        <w:t xml:space="preserve">quality </w:t>
      </w:r>
      <w:r w:rsidR="00AE5FF2" w:rsidRPr="000972D1">
        <w:rPr>
          <w:rFonts w:asciiTheme="majorBidi" w:eastAsia="Times New Roman" w:hAnsiTheme="majorBidi" w:cstheme="majorBidi"/>
          <w:bCs/>
          <w:iCs/>
          <w:sz w:val="24"/>
          <w:szCs w:val="24"/>
        </w:rPr>
        <w:t>in engaging high</w:t>
      </w:r>
      <w:r w:rsidR="009D753C" w:rsidRPr="000972D1">
        <w:rPr>
          <w:rFonts w:asciiTheme="majorBidi" w:eastAsia="Times New Roman" w:hAnsiTheme="majorBidi" w:cstheme="majorBidi"/>
          <w:bCs/>
          <w:iCs/>
          <w:sz w:val="24"/>
          <w:szCs w:val="24"/>
        </w:rPr>
        <w:t xml:space="preserve"> </w:t>
      </w:r>
      <w:r w:rsidR="00AE5FF2" w:rsidRPr="000972D1">
        <w:rPr>
          <w:rFonts w:asciiTheme="majorBidi" w:eastAsia="Times New Roman" w:hAnsiTheme="majorBidi" w:cstheme="majorBidi"/>
          <w:bCs/>
          <w:iCs/>
          <w:sz w:val="24"/>
          <w:szCs w:val="24"/>
        </w:rPr>
        <w:t>quality audit (LNFE).</w:t>
      </w:r>
      <w:r w:rsidR="00EB1A0A" w:rsidRPr="000972D1">
        <w:rPr>
          <w:rFonts w:asciiTheme="majorBidi" w:eastAsia="Times New Roman" w:hAnsiTheme="majorBidi" w:cstheme="majorBidi"/>
          <w:bCs/>
          <w:iCs/>
          <w:sz w:val="24"/>
          <w:szCs w:val="24"/>
        </w:rPr>
        <w:t xml:space="preserve"> </w:t>
      </w:r>
    </w:p>
    <w:p w14:paraId="5BA31857" w14:textId="4B899C6A" w:rsidR="00634DFE" w:rsidRPr="008E772B" w:rsidRDefault="002138AB" w:rsidP="00C4650F">
      <w:pPr>
        <w:spacing w:after="0" w:line="360" w:lineRule="auto"/>
        <w:ind w:firstLine="720"/>
        <w:jc w:val="lowKashida"/>
        <w:rPr>
          <w:rFonts w:asciiTheme="majorBidi" w:eastAsia="Times New Roman" w:hAnsiTheme="majorBidi" w:cstheme="majorBidi"/>
          <w:bCs/>
          <w:sz w:val="24"/>
          <w:szCs w:val="24"/>
        </w:rPr>
      </w:pPr>
      <w:r w:rsidRPr="000972D1">
        <w:rPr>
          <w:rFonts w:asciiTheme="majorBidi" w:eastAsia="Times New Roman" w:hAnsiTheme="majorBidi" w:cstheme="majorBidi"/>
          <w:bCs/>
          <w:sz w:val="24"/>
          <w:szCs w:val="24"/>
        </w:rPr>
        <w:t>Second</w:t>
      </w:r>
      <w:r w:rsidR="00F83282" w:rsidRPr="000972D1">
        <w:rPr>
          <w:rFonts w:asciiTheme="majorBidi" w:eastAsia="Times New Roman" w:hAnsiTheme="majorBidi" w:cstheme="majorBidi"/>
          <w:bCs/>
          <w:sz w:val="24"/>
          <w:szCs w:val="24"/>
        </w:rPr>
        <w:t>, we use alternative proxy to measure audit quality. We employ the audit report lag (</w:t>
      </w:r>
      <w:r w:rsidR="00F83282" w:rsidRPr="000972D1">
        <w:rPr>
          <w:rFonts w:asciiTheme="majorBidi" w:eastAsia="Times New Roman" w:hAnsiTheme="majorBidi" w:cstheme="majorBidi"/>
          <w:bCs/>
          <w:i/>
          <w:sz w:val="24"/>
          <w:szCs w:val="24"/>
        </w:rPr>
        <w:t>ARLAG</w:t>
      </w:r>
      <w:r w:rsidR="00F83282" w:rsidRPr="00B242DA">
        <w:rPr>
          <w:rFonts w:asciiTheme="majorBidi" w:eastAsia="Times New Roman" w:hAnsiTheme="majorBidi" w:cstheme="majorBidi"/>
          <w:bCs/>
          <w:i/>
          <w:sz w:val="24"/>
          <w:szCs w:val="24"/>
        </w:rPr>
        <w:t>)</w:t>
      </w:r>
      <w:r w:rsidR="00F83282" w:rsidRPr="000972D1">
        <w:rPr>
          <w:rFonts w:asciiTheme="majorBidi" w:eastAsia="Times New Roman" w:hAnsiTheme="majorBidi" w:cstheme="majorBidi"/>
          <w:bCs/>
          <w:sz w:val="24"/>
          <w:szCs w:val="24"/>
        </w:rPr>
        <w:t xml:space="preserve"> measured as the number of days between the end of the fiscal year and the audit report date. </w:t>
      </w:r>
      <w:r w:rsidR="00B05BA9" w:rsidRPr="000972D1">
        <w:rPr>
          <w:rFonts w:asciiTheme="majorBidi" w:eastAsia="Times New Roman" w:hAnsiTheme="majorBidi" w:cstheme="majorBidi"/>
          <w:bCs/>
          <w:sz w:val="24"/>
          <w:szCs w:val="24"/>
        </w:rPr>
        <w:t>Model 3</w:t>
      </w:r>
      <w:r w:rsidR="00697AC9" w:rsidRPr="000972D1">
        <w:rPr>
          <w:rFonts w:asciiTheme="majorBidi" w:eastAsia="Times New Roman" w:hAnsiTheme="majorBidi" w:cstheme="majorBidi"/>
          <w:bCs/>
          <w:sz w:val="24"/>
          <w:szCs w:val="24"/>
        </w:rPr>
        <w:t xml:space="preserve"> of Table 6</w:t>
      </w:r>
      <w:r w:rsidR="00B05BA9" w:rsidRPr="000972D1">
        <w:rPr>
          <w:rFonts w:asciiTheme="majorBidi" w:eastAsia="Times New Roman" w:hAnsiTheme="majorBidi" w:cstheme="majorBidi"/>
          <w:bCs/>
          <w:sz w:val="24"/>
          <w:szCs w:val="24"/>
        </w:rPr>
        <w:t xml:space="preserve"> </w:t>
      </w:r>
      <w:r w:rsidR="00697AC9" w:rsidRPr="000972D1">
        <w:rPr>
          <w:rFonts w:asciiTheme="majorBidi" w:eastAsia="Times New Roman" w:hAnsiTheme="majorBidi" w:cstheme="majorBidi"/>
          <w:bCs/>
          <w:sz w:val="24"/>
          <w:szCs w:val="24"/>
        </w:rPr>
        <w:t xml:space="preserve">indicates that </w:t>
      </w:r>
      <w:r w:rsidR="00697AC9" w:rsidRPr="000972D1">
        <w:rPr>
          <w:rFonts w:asciiTheme="majorBidi" w:eastAsia="Times New Roman" w:hAnsiTheme="majorBidi" w:cstheme="majorBidi"/>
          <w:bCs/>
          <w:i/>
          <w:sz w:val="24"/>
          <w:szCs w:val="24"/>
        </w:rPr>
        <w:t>BRDS</w:t>
      </w:r>
      <w:r w:rsidR="00697AC9" w:rsidRPr="000972D1">
        <w:rPr>
          <w:rFonts w:asciiTheme="majorBidi" w:eastAsia="Times New Roman" w:hAnsiTheme="majorBidi" w:cstheme="majorBidi"/>
          <w:bCs/>
          <w:sz w:val="24"/>
          <w:szCs w:val="24"/>
        </w:rPr>
        <w:t xml:space="preserve">, </w:t>
      </w:r>
      <w:r w:rsidR="00697AC9" w:rsidRPr="000972D1">
        <w:rPr>
          <w:rFonts w:asciiTheme="majorBidi" w:eastAsia="Times New Roman" w:hAnsiTheme="majorBidi" w:cstheme="majorBidi"/>
          <w:bCs/>
          <w:i/>
          <w:sz w:val="24"/>
          <w:szCs w:val="24"/>
        </w:rPr>
        <w:t>UBL</w:t>
      </w:r>
      <w:r w:rsidR="00697AC9" w:rsidRPr="000972D1">
        <w:rPr>
          <w:rFonts w:asciiTheme="majorBidi" w:eastAsia="Times New Roman" w:hAnsiTheme="majorBidi" w:cstheme="majorBidi"/>
          <w:bCs/>
          <w:sz w:val="24"/>
          <w:szCs w:val="24"/>
        </w:rPr>
        <w:t xml:space="preserve"> and </w:t>
      </w:r>
      <w:r w:rsidR="00697AC9" w:rsidRPr="000972D1">
        <w:rPr>
          <w:rFonts w:asciiTheme="majorBidi" w:eastAsia="Times New Roman" w:hAnsiTheme="majorBidi" w:cstheme="majorBidi"/>
          <w:bCs/>
          <w:i/>
          <w:sz w:val="24"/>
          <w:szCs w:val="24"/>
        </w:rPr>
        <w:t>GOSH</w:t>
      </w:r>
      <w:r w:rsidR="00697AC9" w:rsidRPr="000972D1">
        <w:rPr>
          <w:rFonts w:asciiTheme="majorBidi" w:eastAsia="Times New Roman" w:hAnsiTheme="majorBidi" w:cstheme="majorBidi"/>
          <w:bCs/>
          <w:sz w:val="24"/>
          <w:szCs w:val="24"/>
        </w:rPr>
        <w:t xml:space="preserve"> have a positive and significant effect on</w:t>
      </w:r>
      <w:r w:rsidR="00697AC9" w:rsidRPr="000972D1">
        <w:rPr>
          <w:rFonts w:asciiTheme="majorBidi" w:eastAsia="Times New Roman" w:hAnsiTheme="majorBidi" w:cstheme="majorBidi"/>
          <w:bCs/>
          <w:i/>
          <w:sz w:val="24"/>
          <w:szCs w:val="24"/>
        </w:rPr>
        <w:t xml:space="preserve"> ARLAG, </w:t>
      </w:r>
      <w:r w:rsidR="00697AC9" w:rsidRPr="000972D1">
        <w:rPr>
          <w:rFonts w:asciiTheme="majorBidi" w:eastAsia="Times New Roman" w:hAnsiTheme="majorBidi" w:cstheme="majorBidi"/>
          <w:bCs/>
          <w:sz w:val="24"/>
          <w:szCs w:val="24"/>
        </w:rPr>
        <w:t xml:space="preserve">while </w:t>
      </w:r>
      <w:r w:rsidR="00697AC9" w:rsidRPr="000972D1">
        <w:rPr>
          <w:rFonts w:asciiTheme="majorBidi" w:eastAsia="Times New Roman" w:hAnsiTheme="majorBidi" w:cstheme="majorBidi"/>
          <w:bCs/>
          <w:i/>
          <w:sz w:val="24"/>
          <w:szCs w:val="24"/>
        </w:rPr>
        <w:t>IND</w:t>
      </w:r>
      <w:r w:rsidR="00697AC9" w:rsidRPr="000972D1">
        <w:rPr>
          <w:rFonts w:asciiTheme="majorBidi" w:eastAsia="Times New Roman" w:hAnsiTheme="majorBidi" w:cstheme="majorBidi"/>
          <w:bCs/>
          <w:sz w:val="24"/>
          <w:szCs w:val="24"/>
        </w:rPr>
        <w:t xml:space="preserve"> has a negative and significant link with </w:t>
      </w:r>
      <w:r w:rsidR="00697AC9" w:rsidRPr="000972D1">
        <w:rPr>
          <w:rFonts w:asciiTheme="majorBidi" w:eastAsia="Times New Roman" w:hAnsiTheme="majorBidi" w:cstheme="majorBidi"/>
          <w:bCs/>
          <w:i/>
          <w:sz w:val="24"/>
          <w:szCs w:val="24"/>
        </w:rPr>
        <w:t>ARLAG</w:t>
      </w:r>
      <w:r w:rsidR="00697AC9" w:rsidRPr="000972D1">
        <w:rPr>
          <w:rFonts w:asciiTheme="majorBidi" w:eastAsia="Times New Roman" w:hAnsiTheme="majorBidi" w:cstheme="majorBidi"/>
          <w:bCs/>
          <w:sz w:val="24"/>
          <w:szCs w:val="24"/>
        </w:rPr>
        <w:t xml:space="preserve">. These results </w:t>
      </w:r>
      <w:r w:rsidR="00570C5F" w:rsidRPr="000972D1">
        <w:rPr>
          <w:rFonts w:asciiTheme="majorBidi" w:eastAsia="Times New Roman" w:hAnsiTheme="majorBidi" w:cstheme="majorBidi"/>
          <w:bCs/>
          <w:sz w:val="24"/>
          <w:szCs w:val="24"/>
        </w:rPr>
        <w:t>indicate</w:t>
      </w:r>
      <w:r w:rsidR="00697AC9" w:rsidRPr="000972D1">
        <w:rPr>
          <w:rFonts w:asciiTheme="majorBidi" w:eastAsia="Times New Roman" w:hAnsiTheme="majorBidi" w:cstheme="majorBidi"/>
          <w:bCs/>
          <w:sz w:val="24"/>
          <w:szCs w:val="24"/>
        </w:rPr>
        <w:t xml:space="preserve"> that</w:t>
      </w:r>
      <w:r w:rsidR="00C45418" w:rsidRPr="000972D1">
        <w:rPr>
          <w:rFonts w:asciiTheme="majorBidi" w:eastAsia="Times New Roman" w:hAnsiTheme="majorBidi" w:cstheme="majorBidi"/>
          <w:bCs/>
          <w:sz w:val="24"/>
          <w:szCs w:val="24"/>
        </w:rPr>
        <w:t xml:space="preserve"> board size, </w:t>
      </w:r>
      <w:r w:rsidR="00697AC9" w:rsidRPr="000972D1">
        <w:rPr>
          <w:rFonts w:asciiTheme="majorBidi" w:eastAsia="Times New Roman" w:hAnsiTheme="majorBidi" w:cstheme="majorBidi"/>
          <w:bCs/>
          <w:sz w:val="24"/>
          <w:szCs w:val="24"/>
        </w:rPr>
        <w:t>board independence, separate board chairperson/CEO roles</w:t>
      </w:r>
      <w:r w:rsidR="00C45418" w:rsidRPr="000972D1">
        <w:rPr>
          <w:rFonts w:asciiTheme="majorBidi" w:eastAsia="Times New Roman" w:hAnsiTheme="majorBidi" w:cstheme="majorBidi"/>
          <w:bCs/>
          <w:sz w:val="24"/>
          <w:szCs w:val="24"/>
        </w:rPr>
        <w:t xml:space="preserve"> and government ownership </w:t>
      </w:r>
      <w:r w:rsidR="00570C5F" w:rsidRPr="000972D1">
        <w:rPr>
          <w:rFonts w:asciiTheme="majorBidi" w:eastAsia="Times New Roman" w:hAnsiTheme="majorBidi" w:cstheme="majorBidi"/>
          <w:bCs/>
          <w:sz w:val="24"/>
          <w:szCs w:val="24"/>
        </w:rPr>
        <w:t>determine</w:t>
      </w:r>
      <w:r w:rsidR="00C45418" w:rsidRPr="000972D1">
        <w:rPr>
          <w:rFonts w:asciiTheme="majorBidi" w:eastAsia="Times New Roman" w:hAnsiTheme="majorBidi" w:cstheme="majorBidi"/>
          <w:bCs/>
          <w:sz w:val="24"/>
          <w:szCs w:val="24"/>
        </w:rPr>
        <w:t xml:space="preserve"> audit quality (</w:t>
      </w:r>
      <w:r w:rsidR="00C45418" w:rsidRPr="000972D1">
        <w:rPr>
          <w:rFonts w:asciiTheme="majorBidi" w:eastAsia="Times New Roman" w:hAnsiTheme="majorBidi" w:cstheme="majorBidi"/>
          <w:bCs/>
          <w:i/>
          <w:sz w:val="24"/>
          <w:szCs w:val="24"/>
        </w:rPr>
        <w:t>ARLAG</w:t>
      </w:r>
      <w:r w:rsidR="00C45418" w:rsidRPr="000972D1">
        <w:rPr>
          <w:rFonts w:asciiTheme="majorBidi" w:eastAsia="Times New Roman" w:hAnsiTheme="majorBidi" w:cstheme="majorBidi"/>
          <w:bCs/>
          <w:sz w:val="24"/>
          <w:szCs w:val="24"/>
        </w:rPr>
        <w:t>). These results are mostly in line with prior studies from MENA countries (e.g., Afify, 2009)</w:t>
      </w:r>
      <w:r w:rsidR="00A90C2D" w:rsidRPr="000972D1">
        <w:rPr>
          <w:rFonts w:asciiTheme="majorBidi" w:eastAsia="Times New Roman" w:hAnsiTheme="majorBidi" w:cstheme="majorBidi"/>
          <w:bCs/>
          <w:sz w:val="24"/>
          <w:szCs w:val="24"/>
        </w:rPr>
        <w:t xml:space="preserve">. </w:t>
      </w:r>
      <w:r w:rsidRPr="000972D1">
        <w:rPr>
          <w:rFonts w:asciiTheme="majorBidi" w:eastAsia="Times New Roman" w:hAnsiTheme="majorBidi" w:cstheme="majorBidi"/>
          <w:bCs/>
          <w:sz w:val="24"/>
          <w:szCs w:val="24"/>
        </w:rPr>
        <w:t>Third</w:t>
      </w:r>
      <w:r w:rsidR="004D11D3" w:rsidRPr="000972D1">
        <w:rPr>
          <w:rFonts w:asciiTheme="majorBidi" w:eastAsia="Times New Roman" w:hAnsiTheme="majorBidi" w:cstheme="majorBidi"/>
          <w:bCs/>
          <w:sz w:val="24"/>
          <w:szCs w:val="24"/>
        </w:rPr>
        <w:t xml:space="preserve">, we use audit fees </w:t>
      </w:r>
      <w:r w:rsidR="002A0479" w:rsidRPr="000972D1">
        <w:rPr>
          <w:rFonts w:asciiTheme="majorBidi" w:eastAsia="Times New Roman" w:hAnsiTheme="majorBidi" w:cstheme="majorBidi"/>
          <w:bCs/>
          <w:sz w:val="24"/>
          <w:szCs w:val="24"/>
        </w:rPr>
        <w:t>deflated by</w:t>
      </w:r>
      <w:r w:rsidR="002A0479" w:rsidRPr="000972D1">
        <w:rPr>
          <w:rFonts w:asciiTheme="majorBidi" w:eastAsia="Times New Roman" w:hAnsiTheme="majorBidi" w:cstheme="majorBidi"/>
          <w:b/>
          <w:bCs/>
          <w:sz w:val="24"/>
          <w:szCs w:val="24"/>
        </w:rPr>
        <w:t xml:space="preserve"> </w:t>
      </w:r>
      <w:r w:rsidR="004D11D3" w:rsidRPr="000972D1">
        <w:rPr>
          <w:rFonts w:asciiTheme="majorBidi" w:eastAsia="Times New Roman" w:hAnsiTheme="majorBidi" w:cstheme="majorBidi"/>
          <w:bCs/>
          <w:sz w:val="24"/>
          <w:szCs w:val="24"/>
        </w:rPr>
        <w:t>total assets</w:t>
      </w:r>
      <w:r w:rsidR="002E4B97" w:rsidRPr="000972D1">
        <w:rPr>
          <w:rFonts w:asciiTheme="majorBidi" w:eastAsia="Times New Roman" w:hAnsiTheme="majorBidi" w:cstheme="majorBidi"/>
          <w:bCs/>
          <w:sz w:val="24"/>
          <w:szCs w:val="24"/>
        </w:rPr>
        <w:t xml:space="preserve"> (</w:t>
      </w:r>
      <w:r w:rsidR="002E4B97" w:rsidRPr="000972D1">
        <w:rPr>
          <w:rFonts w:asciiTheme="majorBidi" w:eastAsia="Times New Roman" w:hAnsiTheme="majorBidi" w:cstheme="majorBidi"/>
          <w:bCs/>
          <w:i/>
          <w:sz w:val="24"/>
          <w:szCs w:val="24"/>
        </w:rPr>
        <w:t>AF/TA</w:t>
      </w:r>
      <w:r w:rsidR="002E4B97" w:rsidRPr="000972D1">
        <w:rPr>
          <w:rFonts w:asciiTheme="majorBidi" w:eastAsia="Times New Roman" w:hAnsiTheme="majorBidi" w:cstheme="majorBidi"/>
          <w:bCs/>
          <w:sz w:val="24"/>
          <w:szCs w:val="24"/>
        </w:rPr>
        <w:t>)</w:t>
      </w:r>
      <w:r w:rsidR="00F82676" w:rsidRPr="000972D1">
        <w:rPr>
          <w:rFonts w:asciiTheme="majorBidi" w:eastAsia="Times New Roman" w:hAnsiTheme="majorBidi" w:cstheme="majorBidi"/>
          <w:bCs/>
          <w:sz w:val="24"/>
          <w:szCs w:val="24"/>
        </w:rPr>
        <w:t>,</w:t>
      </w:r>
      <w:r w:rsidR="002A0479" w:rsidRPr="000972D1">
        <w:rPr>
          <w:rFonts w:asciiTheme="majorBidi" w:eastAsia="Times New Roman" w:hAnsiTheme="majorBidi" w:cstheme="majorBidi"/>
          <w:bCs/>
          <w:sz w:val="24"/>
          <w:szCs w:val="24"/>
        </w:rPr>
        <w:t xml:space="preserve"> following previous studies </w:t>
      </w:r>
      <w:r w:rsidR="00F82676" w:rsidRPr="000972D1">
        <w:rPr>
          <w:rFonts w:asciiTheme="majorBidi" w:eastAsia="Times New Roman" w:hAnsiTheme="majorBidi" w:cstheme="majorBidi"/>
          <w:bCs/>
          <w:sz w:val="24"/>
          <w:szCs w:val="24"/>
        </w:rPr>
        <w:t>(</w:t>
      </w:r>
      <w:r w:rsidR="002A0479" w:rsidRPr="000972D1">
        <w:rPr>
          <w:rFonts w:asciiTheme="majorBidi" w:eastAsia="Times New Roman" w:hAnsiTheme="majorBidi" w:cstheme="majorBidi"/>
          <w:bCs/>
          <w:sz w:val="24"/>
          <w:szCs w:val="24"/>
        </w:rPr>
        <w:t>e.g., Simunic 1980)</w:t>
      </w:r>
      <w:r w:rsidR="00F82676" w:rsidRPr="000972D1">
        <w:rPr>
          <w:rFonts w:asciiTheme="majorBidi" w:eastAsia="Times New Roman" w:hAnsiTheme="majorBidi" w:cstheme="majorBidi"/>
          <w:bCs/>
          <w:sz w:val="24"/>
          <w:szCs w:val="24"/>
        </w:rPr>
        <w:t>,</w:t>
      </w:r>
      <w:r w:rsidR="002E4B97" w:rsidRPr="000972D1">
        <w:rPr>
          <w:rFonts w:asciiTheme="majorBidi" w:eastAsia="Times New Roman" w:hAnsiTheme="majorBidi" w:cstheme="majorBidi"/>
          <w:bCs/>
          <w:sz w:val="24"/>
          <w:szCs w:val="24"/>
        </w:rPr>
        <w:t xml:space="preserve"> as</w:t>
      </w:r>
      <w:r w:rsidR="004D11D3" w:rsidRPr="000972D1">
        <w:rPr>
          <w:rFonts w:asciiTheme="majorBidi" w:eastAsia="Times New Roman" w:hAnsiTheme="majorBidi" w:cstheme="majorBidi"/>
          <w:bCs/>
          <w:sz w:val="24"/>
          <w:szCs w:val="24"/>
        </w:rPr>
        <w:t xml:space="preserve"> alternative proxy</w:t>
      </w:r>
      <w:r w:rsidR="002E4B97" w:rsidRPr="000972D1">
        <w:rPr>
          <w:rFonts w:asciiTheme="majorBidi" w:eastAsia="Times New Roman" w:hAnsiTheme="majorBidi" w:cstheme="majorBidi"/>
          <w:bCs/>
          <w:sz w:val="24"/>
          <w:szCs w:val="24"/>
        </w:rPr>
        <w:t xml:space="preserve"> to measure </w:t>
      </w:r>
      <w:r w:rsidR="004D11D3" w:rsidRPr="000972D1">
        <w:rPr>
          <w:rFonts w:asciiTheme="majorBidi" w:eastAsia="Times New Roman" w:hAnsiTheme="majorBidi" w:cstheme="majorBidi"/>
          <w:bCs/>
          <w:sz w:val="24"/>
          <w:szCs w:val="24"/>
        </w:rPr>
        <w:t>audit fees</w:t>
      </w:r>
      <w:r w:rsidR="002E4B97" w:rsidRPr="000972D1">
        <w:rPr>
          <w:rFonts w:asciiTheme="majorBidi" w:eastAsia="Times New Roman" w:hAnsiTheme="majorBidi" w:cstheme="majorBidi"/>
          <w:bCs/>
          <w:sz w:val="24"/>
          <w:szCs w:val="24"/>
        </w:rPr>
        <w:t xml:space="preserve">. The results reported in Model </w:t>
      </w:r>
      <w:r w:rsidR="00B242DA">
        <w:rPr>
          <w:rFonts w:asciiTheme="majorBidi" w:eastAsia="Times New Roman" w:hAnsiTheme="majorBidi" w:cstheme="majorBidi"/>
          <w:bCs/>
          <w:sz w:val="24"/>
          <w:szCs w:val="24"/>
        </w:rPr>
        <w:t>4</w:t>
      </w:r>
      <w:r w:rsidR="00B242DA" w:rsidRPr="000972D1">
        <w:rPr>
          <w:rFonts w:asciiTheme="majorBidi" w:eastAsia="Times New Roman" w:hAnsiTheme="majorBidi" w:cstheme="majorBidi"/>
          <w:bCs/>
          <w:sz w:val="24"/>
          <w:szCs w:val="24"/>
        </w:rPr>
        <w:t xml:space="preserve"> </w:t>
      </w:r>
      <w:r w:rsidR="002E4B97" w:rsidRPr="000972D1">
        <w:rPr>
          <w:rFonts w:asciiTheme="majorBidi" w:eastAsia="Times New Roman" w:hAnsiTheme="majorBidi" w:cstheme="majorBidi"/>
          <w:bCs/>
          <w:sz w:val="24"/>
          <w:szCs w:val="24"/>
        </w:rPr>
        <w:t xml:space="preserve">of Table 6 show that </w:t>
      </w:r>
      <w:r w:rsidR="00F82676" w:rsidRPr="000972D1">
        <w:rPr>
          <w:rFonts w:asciiTheme="majorBidi" w:eastAsia="Times New Roman" w:hAnsiTheme="majorBidi" w:cstheme="majorBidi"/>
          <w:bCs/>
          <w:sz w:val="24"/>
          <w:szCs w:val="24"/>
        </w:rPr>
        <w:t>firms with large</w:t>
      </w:r>
      <w:r w:rsidR="002E4B97" w:rsidRPr="000972D1">
        <w:rPr>
          <w:rFonts w:asciiTheme="majorBidi" w:eastAsia="Times New Roman" w:hAnsiTheme="majorBidi" w:cstheme="majorBidi"/>
          <w:bCs/>
          <w:sz w:val="24"/>
          <w:szCs w:val="24"/>
        </w:rPr>
        <w:t xml:space="preserve"> board size, separate board chairperson /CEO roles and </w:t>
      </w:r>
      <w:r w:rsidR="00DB5BB2" w:rsidRPr="000972D1">
        <w:rPr>
          <w:rFonts w:asciiTheme="majorBidi" w:eastAsia="Times New Roman" w:hAnsiTheme="majorBidi" w:cstheme="majorBidi"/>
          <w:bCs/>
          <w:sz w:val="24"/>
          <w:szCs w:val="24"/>
        </w:rPr>
        <w:t>low</w:t>
      </w:r>
      <w:r w:rsidR="0052392A" w:rsidRPr="000972D1">
        <w:rPr>
          <w:rFonts w:asciiTheme="majorBidi" w:eastAsia="Times New Roman" w:hAnsiTheme="majorBidi" w:cstheme="majorBidi"/>
          <w:bCs/>
          <w:sz w:val="24"/>
          <w:szCs w:val="24"/>
        </w:rPr>
        <w:t xml:space="preserve"> family</w:t>
      </w:r>
      <w:r w:rsidR="002E4B97" w:rsidRPr="000972D1">
        <w:rPr>
          <w:rFonts w:asciiTheme="majorBidi" w:eastAsia="Times New Roman" w:hAnsiTheme="majorBidi" w:cstheme="majorBidi"/>
          <w:bCs/>
          <w:sz w:val="24"/>
          <w:szCs w:val="24"/>
        </w:rPr>
        <w:t xml:space="preserve"> shareholdings pay higher audit fees.</w:t>
      </w:r>
      <w:r w:rsidR="00DB5BB2">
        <w:rPr>
          <w:rFonts w:asciiTheme="majorBidi" w:eastAsia="Times New Roman" w:hAnsiTheme="majorBidi" w:cstheme="majorBidi"/>
          <w:bCs/>
          <w:sz w:val="24"/>
          <w:szCs w:val="24"/>
        </w:rPr>
        <w:t xml:space="preserve"> </w:t>
      </w:r>
      <w:r>
        <w:rPr>
          <w:rFonts w:asciiTheme="majorBidi" w:eastAsia="Times New Roman" w:hAnsiTheme="majorBidi" w:cstheme="majorBidi"/>
          <w:bCs/>
          <w:sz w:val="24"/>
          <w:szCs w:val="24"/>
        </w:rPr>
        <w:t>Fourth</w:t>
      </w:r>
      <w:r w:rsidR="00E22DC9" w:rsidRPr="008E772B">
        <w:rPr>
          <w:rFonts w:asciiTheme="majorBidi" w:eastAsia="Times New Roman" w:hAnsiTheme="majorBidi" w:cstheme="majorBidi"/>
          <w:bCs/>
          <w:sz w:val="24"/>
          <w:szCs w:val="24"/>
        </w:rPr>
        <w:t xml:space="preserve">, </w:t>
      </w:r>
      <w:r w:rsidR="00E862EA">
        <w:rPr>
          <w:rFonts w:asciiTheme="majorBidi" w:eastAsia="Times New Roman" w:hAnsiTheme="majorBidi" w:cstheme="majorBidi"/>
          <w:bCs/>
          <w:sz w:val="24"/>
          <w:szCs w:val="24"/>
        </w:rPr>
        <w:t>we use</w:t>
      </w:r>
      <w:r w:rsidR="00C84CF3" w:rsidRPr="008E772B">
        <w:rPr>
          <w:rFonts w:asciiTheme="majorBidi" w:eastAsia="Times New Roman" w:hAnsiTheme="majorBidi" w:cstheme="majorBidi"/>
          <w:bCs/>
          <w:sz w:val="24"/>
          <w:szCs w:val="24"/>
        </w:rPr>
        <w:t xml:space="preserve"> </w:t>
      </w:r>
      <w:r w:rsidR="00073AE0" w:rsidRPr="008E772B">
        <w:rPr>
          <w:rFonts w:asciiTheme="majorBidi" w:eastAsia="Times New Roman" w:hAnsiTheme="majorBidi" w:cstheme="majorBidi"/>
          <w:bCs/>
          <w:sz w:val="24"/>
          <w:szCs w:val="24"/>
        </w:rPr>
        <w:t xml:space="preserve">alternative proxies to measure the control variables. </w:t>
      </w:r>
      <w:r w:rsidR="002C5445">
        <w:rPr>
          <w:rFonts w:asciiTheme="majorBidi" w:eastAsia="Times New Roman" w:hAnsiTheme="majorBidi" w:cstheme="majorBidi"/>
          <w:bCs/>
          <w:sz w:val="24"/>
          <w:szCs w:val="24"/>
        </w:rPr>
        <w:t xml:space="preserve">We employ </w:t>
      </w:r>
      <w:r w:rsidR="00073AE0" w:rsidRPr="008E772B">
        <w:rPr>
          <w:rFonts w:asciiTheme="majorBidi" w:eastAsia="Times New Roman" w:hAnsiTheme="majorBidi" w:cstheme="majorBidi"/>
          <w:bCs/>
          <w:sz w:val="24"/>
          <w:szCs w:val="24"/>
        </w:rPr>
        <w:t>the log of revenues (</w:t>
      </w:r>
      <w:r w:rsidR="00073AE0" w:rsidRPr="008E772B">
        <w:rPr>
          <w:rFonts w:asciiTheme="majorBidi" w:eastAsia="Times New Roman" w:hAnsiTheme="majorBidi" w:cstheme="majorBidi"/>
          <w:bCs/>
          <w:i/>
          <w:iCs/>
          <w:sz w:val="24"/>
          <w:szCs w:val="24"/>
        </w:rPr>
        <w:t>LNTS</w:t>
      </w:r>
      <w:r w:rsidR="00073AE0" w:rsidRPr="008E772B">
        <w:rPr>
          <w:rFonts w:asciiTheme="majorBidi" w:eastAsia="Times New Roman" w:hAnsiTheme="majorBidi" w:cstheme="majorBidi"/>
          <w:bCs/>
          <w:sz w:val="24"/>
          <w:szCs w:val="24"/>
        </w:rPr>
        <w:t>) to proxy for firm size, the current ratio (</w:t>
      </w:r>
      <w:r w:rsidR="00073AE0" w:rsidRPr="008E772B">
        <w:rPr>
          <w:rFonts w:asciiTheme="majorBidi" w:eastAsia="Times New Roman" w:hAnsiTheme="majorBidi" w:cstheme="majorBidi"/>
          <w:bCs/>
          <w:i/>
          <w:iCs/>
          <w:sz w:val="24"/>
          <w:szCs w:val="24"/>
        </w:rPr>
        <w:t>CURRENT</w:t>
      </w:r>
      <w:r w:rsidR="00073AE0" w:rsidRPr="008E772B">
        <w:rPr>
          <w:rFonts w:asciiTheme="majorBidi" w:eastAsia="Times New Roman" w:hAnsiTheme="majorBidi" w:cstheme="majorBidi"/>
          <w:bCs/>
          <w:sz w:val="24"/>
          <w:szCs w:val="24"/>
        </w:rPr>
        <w:t>) to proxy for firm-</w:t>
      </w:r>
      <w:r w:rsidR="00E05DB8">
        <w:rPr>
          <w:rFonts w:asciiTheme="majorBidi" w:eastAsia="Times New Roman" w:hAnsiTheme="majorBidi" w:cstheme="majorBidi"/>
          <w:bCs/>
          <w:sz w:val="24"/>
          <w:szCs w:val="24"/>
        </w:rPr>
        <w:t>level</w:t>
      </w:r>
      <w:r w:rsidR="00073AE0" w:rsidRPr="008E772B">
        <w:rPr>
          <w:rFonts w:asciiTheme="majorBidi" w:eastAsia="Times New Roman" w:hAnsiTheme="majorBidi" w:cstheme="majorBidi"/>
          <w:bCs/>
          <w:sz w:val="24"/>
          <w:szCs w:val="24"/>
        </w:rPr>
        <w:t xml:space="preserve"> risk, the market</w:t>
      </w:r>
      <w:r w:rsidR="005519BD">
        <w:rPr>
          <w:rFonts w:asciiTheme="majorBidi" w:eastAsia="Times New Roman" w:hAnsiTheme="majorBidi" w:cstheme="majorBidi"/>
          <w:bCs/>
          <w:sz w:val="24"/>
          <w:szCs w:val="24"/>
        </w:rPr>
        <w:t>-</w:t>
      </w:r>
      <w:r w:rsidR="00073AE0" w:rsidRPr="008E772B">
        <w:rPr>
          <w:rFonts w:asciiTheme="majorBidi" w:eastAsia="Times New Roman" w:hAnsiTheme="majorBidi" w:cstheme="majorBidi"/>
          <w:bCs/>
          <w:sz w:val="24"/>
          <w:szCs w:val="24"/>
        </w:rPr>
        <w:t>to</w:t>
      </w:r>
      <w:r w:rsidR="005519BD">
        <w:rPr>
          <w:rFonts w:asciiTheme="majorBidi" w:eastAsia="Times New Roman" w:hAnsiTheme="majorBidi" w:cstheme="majorBidi"/>
          <w:bCs/>
          <w:sz w:val="24"/>
          <w:szCs w:val="24"/>
        </w:rPr>
        <w:t>-</w:t>
      </w:r>
      <w:r w:rsidR="00073AE0" w:rsidRPr="008E772B">
        <w:rPr>
          <w:rFonts w:asciiTheme="majorBidi" w:eastAsia="Times New Roman" w:hAnsiTheme="majorBidi" w:cstheme="majorBidi"/>
          <w:bCs/>
          <w:sz w:val="24"/>
          <w:szCs w:val="24"/>
        </w:rPr>
        <w:t>book value of equity</w:t>
      </w:r>
      <w:r w:rsidR="002345D5" w:rsidRPr="008E772B">
        <w:rPr>
          <w:rFonts w:asciiTheme="majorBidi" w:eastAsia="Times New Roman" w:hAnsiTheme="majorBidi" w:cstheme="majorBidi"/>
          <w:bCs/>
          <w:sz w:val="24"/>
          <w:szCs w:val="24"/>
        </w:rPr>
        <w:t xml:space="preserve"> ratio</w:t>
      </w:r>
      <w:r w:rsidR="00073AE0" w:rsidRPr="008E772B">
        <w:rPr>
          <w:rFonts w:asciiTheme="majorBidi" w:eastAsia="Times New Roman" w:hAnsiTheme="majorBidi" w:cstheme="majorBidi"/>
          <w:bCs/>
          <w:sz w:val="24"/>
          <w:szCs w:val="24"/>
        </w:rPr>
        <w:t xml:space="preserve"> (</w:t>
      </w:r>
      <w:r w:rsidR="00073AE0" w:rsidRPr="008E772B">
        <w:rPr>
          <w:rFonts w:asciiTheme="majorBidi" w:eastAsia="Times New Roman" w:hAnsiTheme="majorBidi" w:cstheme="majorBidi"/>
          <w:bCs/>
          <w:i/>
          <w:iCs/>
          <w:sz w:val="24"/>
          <w:szCs w:val="24"/>
        </w:rPr>
        <w:t>MTB</w:t>
      </w:r>
      <w:r w:rsidR="00073AE0" w:rsidRPr="008E772B">
        <w:rPr>
          <w:rFonts w:asciiTheme="majorBidi" w:eastAsia="Times New Roman" w:hAnsiTheme="majorBidi" w:cstheme="majorBidi"/>
          <w:bCs/>
          <w:sz w:val="24"/>
          <w:szCs w:val="24"/>
        </w:rPr>
        <w:t>) to proxy for firm growth opportunity</w:t>
      </w:r>
      <w:r w:rsidR="00132F3D" w:rsidRPr="008E772B">
        <w:rPr>
          <w:rFonts w:asciiTheme="majorBidi" w:eastAsia="Times New Roman" w:hAnsiTheme="majorBidi" w:cstheme="majorBidi"/>
          <w:bCs/>
          <w:sz w:val="24"/>
          <w:szCs w:val="24"/>
        </w:rPr>
        <w:t>, and the return on equity (</w:t>
      </w:r>
      <w:r w:rsidR="00132F3D" w:rsidRPr="008E772B">
        <w:rPr>
          <w:rFonts w:asciiTheme="majorBidi" w:eastAsia="Times New Roman" w:hAnsiTheme="majorBidi" w:cstheme="majorBidi"/>
          <w:bCs/>
          <w:i/>
          <w:iCs/>
          <w:sz w:val="24"/>
          <w:szCs w:val="24"/>
        </w:rPr>
        <w:t>ROE</w:t>
      </w:r>
      <w:r w:rsidR="00132F3D" w:rsidRPr="008E772B">
        <w:rPr>
          <w:rFonts w:asciiTheme="majorBidi" w:eastAsia="Times New Roman" w:hAnsiTheme="majorBidi" w:cstheme="majorBidi"/>
          <w:bCs/>
          <w:sz w:val="24"/>
          <w:szCs w:val="24"/>
        </w:rPr>
        <w:t>) to proxy for profitability</w:t>
      </w:r>
      <w:r w:rsidR="00073AE0" w:rsidRPr="008E772B">
        <w:rPr>
          <w:rFonts w:asciiTheme="majorBidi" w:eastAsia="Times New Roman" w:hAnsiTheme="majorBidi" w:cstheme="majorBidi"/>
          <w:bCs/>
          <w:sz w:val="24"/>
          <w:szCs w:val="24"/>
        </w:rPr>
        <w:t xml:space="preserve">. Models </w:t>
      </w:r>
      <w:r w:rsidR="00290201">
        <w:rPr>
          <w:rFonts w:asciiTheme="majorBidi" w:eastAsia="Times New Roman" w:hAnsiTheme="majorBidi" w:cstheme="majorBidi"/>
          <w:bCs/>
          <w:sz w:val="24"/>
          <w:szCs w:val="24"/>
        </w:rPr>
        <w:t>5</w:t>
      </w:r>
      <w:r w:rsidR="00290201" w:rsidRPr="008E772B">
        <w:rPr>
          <w:rFonts w:asciiTheme="majorBidi" w:eastAsia="Times New Roman" w:hAnsiTheme="majorBidi" w:cstheme="majorBidi"/>
          <w:bCs/>
          <w:sz w:val="24"/>
          <w:szCs w:val="24"/>
        </w:rPr>
        <w:t xml:space="preserve"> </w:t>
      </w:r>
      <w:r w:rsidR="00073AE0" w:rsidRPr="008E772B">
        <w:rPr>
          <w:rFonts w:asciiTheme="majorBidi" w:eastAsia="Times New Roman" w:hAnsiTheme="majorBidi" w:cstheme="majorBidi"/>
          <w:bCs/>
          <w:sz w:val="24"/>
          <w:szCs w:val="24"/>
        </w:rPr>
        <w:t xml:space="preserve">and </w:t>
      </w:r>
      <w:r w:rsidR="00290201">
        <w:rPr>
          <w:rFonts w:asciiTheme="majorBidi" w:eastAsia="Times New Roman" w:hAnsiTheme="majorBidi" w:cstheme="majorBidi"/>
          <w:bCs/>
          <w:sz w:val="24"/>
          <w:szCs w:val="24"/>
        </w:rPr>
        <w:t>6</w:t>
      </w:r>
      <w:r w:rsidR="00290201" w:rsidRPr="008E772B">
        <w:rPr>
          <w:rFonts w:asciiTheme="majorBidi" w:eastAsia="Times New Roman" w:hAnsiTheme="majorBidi" w:cstheme="majorBidi"/>
          <w:bCs/>
          <w:sz w:val="24"/>
          <w:szCs w:val="24"/>
        </w:rPr>
        <w:t xml:space="preserve"> </w:t>
      </w:r>
      <w:r w:rsidR="00B838DD">
        <w:rPr>
          <w:rFonts w:asciiTheme="majorBidi" w:eastAsia="Times New Roman" w:hAnsiTheme="majorBidi" w:cstheme="majorBidi"/>
          <w:bCs/>
          <w:sz w:val="24"/>
          <w:szCs w:val="24"/>
        </w:rPr>
        <w:t>of</w:t>
      </w:r>
      <w:r w:rsidR="00B838DD" w:rsidRPr="008E772B">
        <w:rPr>
          <w:rFonts w:asciiTheme="majorBidi" w:eastAsia="Times New Roman" w:hAnsiTheme="majorBidi" w:cstheme="majorBidi"/>
          <w:bCs/>
          <w:sz w:val="24"/>
          <w:szCs w:val="24"/>
        </w:rPr>
        <w:t xml:space="preserve"> </w:t>
      </w:r>
      <w:r w:rsidR="00073AE0" w:rsidRPr="008E772B">
        <w:rPr>
          <w:rFonts w:asciiTheme="majorBidi" w:eastAsia="Times New Roman" w:hAnsiTheme="majorBidi" w:cstheme="majorBidi"/>
          <w:bCs/>
          <w:sz w:val="24"/>
          <w:szCs w:val="24"/>
        </w:rPr>
        <w:t xml:space="preserve">Table </w:t>
      </w:r>
      <w:r w:rsidR="00290201">
        <w:rPr>
          <w:rFonts w:asciiTheme="majorBidi" w:eastAsia="Times New Roman" w:hAnsiTheme="majorBidi" w:cstheme="majorBidi"/>
          <w:bCs/>
          <w:sz w:val="24"/>
          <w:szCs w:val="24"/>
        </w:rPr>
        <w:t xml:space="preserve">6 </w:t>
      </w:r>
      <w:r w:rsidR="00073AE0" w:rsidRPr="008E772B">
        <w:rPr>
          <w:rFonts w:asciiTheme="majorBidi" w:eastAsia="Times New Roman" w:hAnsiTheme="majorBidi" w:cstheme="majorBidi"/>
          <w:bCs/>
          <w:sz w:val="24"/>
          <w:szCs w:val="24"/>
        </w:rPr>
        <w:t xml:space="preserve">show </w:t>
      </w:r>
      <w:r w:rsidR="00270565" w:rsidRPr="008E772B">
        <w:rPr>
          <w:rFonts w:asciiTheme="majorBidi" w:eastAsia="Times New Roman" w:hAnsiTheme="majorBidi" w:cstheme="majorBidi"/>
          <w:bCs/>
          <w:sz w:val="24"/>
          <w:szCs w:val="24"/>
        </w:rPr>
        <w:t>that our</w:t>
      </w:r>
      <w:r w:rsidR="0052392A" w:rsidRPr="008E772B">
        <w:rPr>
          <w:rFonts w:asciiTheme="majorBidi" w:eastAsia="Times New Roman" w:hAnsiTheme="majorBidi" w:cstheme="majorBidi"/>
          <w:bCs/>
          <w:sz w:val="24"/>
          <w:szCs w:val="24"/>
        </w:rPr>
        <w:t xml:space="preserve"> </w:t>
      </w:r>
      <w:r w:rsidR="00073AE0" w:rsidRPr="008E772B">
        <w:rPr>
          <w:rFonts w:asciiTheme="majorBidi" w:eastAsia="Times New Roman" w:hAnsiTheme="majorBidi" w:cstheme="majorBidi"/>
          <w:bCs/>
          <w:sz w:val="24"/>
          <w:szCs w:val="24"/>
        </w:rPr>
        <w:t xml:space="preserve">results documented in Models </w:t>
      </w:r>
      <w:r w:rsidR="00290201">
        <w:rPr>
          <w:rFonts w:asciiTheme="majorBidi" w:eastAsia="Times New Roman" w:hAnsiTheme="majorBidi" w:cstheme="majorBidi"/>
          <w:bCs/>
          <w:sz w:val="24"/>
          <w:szCs w:val="24"/>
        </w:rPr>
        <w:t>3</w:t>
      </w:r>
      <w:r w:rsidR="00290201" w:rsidRPr="008E772B">
        <w:rPr>
          <w:rFonts w:asciiTheme="majorBidi" w:eastAsia="Times New Roman" w:hAnsiTheme="majorBidi" w:cstheme="majorBidi"/>
          <w:bCs/>
          <w:sz w:val="24"/>
          <w:szCs w:val="24"/>
        </w:rPr>
        <w:t xml:space="preserve"> </w:t>
      </w:r>
      <w:r w:rsidR="00073AE0" w:rsidRPr="008E772B">
        <w:rPr>
          <w:rFonts w:asciiTheme="majorBidi" w:eastAsia="Times New Roman" w:hAnsiTheme="majorBidi" w:cstheme="majorBidi"/>
          <w:bCs/>
          <w:sz w:val="24"/>
          <w:szCs w:val="24"/>
        </w:rPr>
        <w:t xml:space="preserve">and </w:t>
      </w:r>
      <w:r w:rsidR="00290201">
        <w:rPr>
          <w:rFonts w:asciiTheme="majorBidi" w:eastAsia="Times New Roman" w:hAnsiTheme="majorBidi" w:cstheme="majorBidi"/>
          <w:bCs/>
          <w:sz w:val="24"/>
          <w:szCs w:val="24"/>
        </w:rPr>
        <w:t>7</w:t>
      </w:r>
      <w:r w:rsidR="00290201" w:rsidRPr="008E772B">
        <w:rPr>
          <w:rFonts w:asciiTheme="majorBidi" w:eastAsia="Times New Roman" w:hAnsiTheme="majorBidi" w:cstheme="majorBidi"/>
          <w:bCs/>
          <w:sz w:val="24"/>
          <w:szCs w:val="24"/>
        </w:rPr>
        <w:t xml:space="preserve"> </w:t>
      </w:r>
      <w:r w:rsidR="00B838DD">
        <w:rPr>
          <w:rFonts w:asciiTheme="majorBidi" w:eastAsia="Times New Roman" w:hAnsiTheme="majorBidi" w:cstheme="majorBidi"/>
          <w:bCs/>
          <w:sz w:val="24"/>
          <w:szCs w:val="24"/>
        </w:rPr>
        <w:t>of</w:t>
      </w:r>
      <w:r w:rsidR="00B838DD" w:rsidRPr="008E772B">
        <w:rPr>
          <w:rFonts w:asciiTheme="majorBidi" w:eastAsia="Times New Roman" w:hAnsiTheme="majorBidi" w:cstheme="majorBidi"/>
          <w:bCs/>
          <w:sz w:val="24"/>
          <w:szCs w:val="24"/>
        </w:rPr>
        <w:t xml:space="preserve"> </w:t>
      </w:r>
      <w:r w:rsidR="00073AE0" w:rsidRPr="008E772B">
        <w:rPr>
          <w:rFonts w:asciiTheme="majorBidi" w:eastAsia="Times New Roman" w:hAnsiTheme="majorBidi" w:cstheme="majorBidi"/>
          <w:bCs/>
          <w:sz w:val="24"/>
          <w:szCs w:val="24"/>
        </w:rPr>
        <w:t xml:space="preserve">Table </w:t>
      </w:r>
      <w:r w:rsidR="00315498">
        <w:rPr>
          <w:rFonts w:asciiTheme="majorBidi" w:eastAsia="Times New Roman" w:hAnsiTheme="majorBidi" w:cstheme="majorBidi"/>
          <w:bCs/>
          <w:sz w:val="24"/>
          <w:szCs w:val="24"/>
        </w:rPr>
        <w:t>4</w:t>
      </w:r>
      <w:r w:rsidR="005F5308" w:rsidRPr="008E772B">
        <w:rPr>
          <w:rFonts w:asciiTheme="majorBidi" w:eastAsia="Times New Roman" w:hAnsiTheme="majorBidi" w:cstheme="majorBidi"/>
          <w:bCs/>
          <w:sz w:val="24"/>
          <w:szCs w:val="24"/>
        </w:rPr>
        <w:t xml:space="preserve"> </w:t>
      </w:r>
      <w:r w:rsidR="00073AE0" w:rsidRPr="008E772B">
        <w:rPr>
          <w:rFonts w:asciiTheme="majorBidi" w:eastAsia="Times New Roman" w:hAnsiTheme="majorBidi" w:cstheme="majorBidi"/>
          <w:bCs/>
          <w:sz w:val="24"/>
          <w:szCs w:val="24"/>
        </w:rPr>
        <w:t xml:space="preserve">are </w:t>
      </w:r>
      <w:r w:rsidR="00290201">
        <w:rPr>
          <w:rFonts w:asciiTheme="majorBidi" w:eastAsia="Times New Roman" w:hAnsiTheme="majorBidi" w:cstheme="majorBidi"/>
          <w:bCs/>
          <w:sz w:val="24"/>
          <w:szCs w:val="24"/>
        </w:rPr>
        <w:t xml:space="preserve">mostly </w:t>
      </w:r>
      <w:r w:rsidR="00990C04" w:rsidRPr="008E772B">
        <w:rPr>
          <w:rFonts w:asciiTheme="majorBidi" w:eastAsia="Times New Roman" w:hAnsiTheme="majorBidi" w:cstheme="majorBidi"/>
          <w:bCs/>
          <w:sz w:val="24"/>
          <w:szCs w:val="24"/>
        </w:rPr>
        <w:t xml:space="preserve">insensitive </w:t>
      </w:r>
      <w:r w:rsidR="00073AE0" w:rsidRPr="008E772B">
        <w:rPr>
          <w:rFonts w:asciiTheme="majorBidi" w:eastAsia="Times New Roman" w:hAnsiTheme="majorBidi" w:cstheme="majorBidi"/>
          <w:bCs/>
          <w:sz w:val="24"/>
          <w:szCs w:val="24"/>
        </w:rPr>
        <w:t xml:space="preserve">to the use of alternative control variables. </w:t>
      </w:r>
    </w:p>
    <w:p w14:paraId="500D0730" w14:textId="4B850764" w:rsidR="00073AE0" w:rsidRPr="008E772B" w:rsidRDefault="007104EA" w:rsidP="00AA6E4E">
      <w:pPr>
        <w:spacing w:after="0" w:line="360" w:lineRule="auto"/>
        <w:ind w:firstLine="720"/>
        <w:jc w:val="lowKashida"/>
        <w:rPr>
          <w:rFonts w:asciiTheme="majorBidi" w:eastAsia="Times New Roman" w:hAnsiTheme="majorBidi" w:cstheme="majorBidi"/>
          <w:bCs/>
          <w:sz w:val="24"/>
          <w:szCs w:val="24"/>
        </w:rPr>
      </w:pPr>
      <w:r>
        <w:rPr>
          <w:rFonts w:asciiTheme="majorBidi" w:eastAsia="Times New Roman" w:hAnsiTheme="majorBidi" w:cstheme="majorBidi"/>
          <w:bCs/>
          <w:iCs/>
          <w:sz w:val="24"/>
          <w:szCs w:val="24"/>
        </w:rPr>
        <w:t>F</w:t>
      </w:r>
      <w:r w:rsidR="002138AB">
        <w:rPr>
          <w:rFonts w:asciiTheme="majorBidi" w:eastAsia="Times New Roman" w:hAnsiTheme="majorBidi" w:cstheme="majorBidi"/>
          <w:bCs/>
          <w:iCs/>
          <w:sz w:val="24"/>
          <w:szCs w:val="24"/>
        </w:rPr>
        <w:t>ifth</w:t>
      </w:r>
      <w:r w:rsidR="00634DFE" w:rsidRPr="008E772B">
        <w:rPr>
          <w:rFonts w:asciiTheme="majorBidi" w:eastAsia="Times New Roman" w:hAnsiTheme="majorBidi" w:cstheme="majorBidi"/>
          <w:bCs/>
          <w:iCs/>
          <w:sz w:val="24"/>
          <w:szCs w:val="24"/>
        </w:rPr>
        <w:t xml:space="preserve">, </w:t>
      </w:r>
      <w:r w:rsidR="00073AE0" w:rsidRPr="008E772B">
        <w:rPr>
          <w:rFonts w:asciiTheme="majorBidi" w:eastAsia="Times New Roman" w:hAnsiTheme="majorBidi" w:cstheme="majorBidi"/>
          <w:bCs/>
          <w:sz w:val="24"/>
          <w:szCs w:val="24"/>
        </w:rPr>
        <w:t xml:space="preserve">a number of previous studies suggest that some of </w:t>
      </w:r>
      <w:r w:rsidR="00006CE9">
        <w:rPr>
          <w:rFonts w:asciiTheme="majorBidi" w:eastAsia="Times New Roman" w:hAnsiTheme="majorBidi" w:cstheme="majorBidi"/>
          <w:bCs/>
          <w:sz w:val="24"/>
          <w:szCs w:val="24"/>
        </w:rPr>
        <w:t xml:space="preserve">the </w:t>
      </w:r>
      <w:r w:rsidR="00073AE0" w:rsidRPr="008E772B">
        <w:rPr>
          <w:rFonts w:asciiTheme="majorBidi" w:eastAsia="Times New Roman" w:hAnsiTheme="majorBidi" w:cstheme="majorBidi"/>
          <w:bCs/>
          <w:sz w:val="24"/>
          <w:szCs w:val="24"/>
        </w:rPr>
        <w:t xml:space="preserve">corporate board characteristics (e.g., board size) and </w:t>
      </w:r>
      <w:r w:rsidR="00673DFD" w:rsidRPr="008E772B">
        <w:rPr>
          <w:rFonts w:asciiTheme="majorBidi" w:eastAsia="Times New Roman" w:hAnsiTheme="majorBidi" w:cstheme="majorBidi"/>
          <w:bCs/>
          <w:iCs/>
          <w:sz w:val="24"/>
          <w:szCs w:val="24"/>
        </w:rPr>
        <w:t>shareholding</w:t>
      </w:r>
      <w:r w:rsidR="00073AE0" w:rsidRPr="008E772B">
        <w:rPr>
          <w:rFonts w:asciiTheme="majorBidi" w:eastAsia="Times New Roman" w:hAnsiTheme="majorBidi" w:cstheme="majorBidi"/>
          <w:bCs/>
          <w:iCs/>
          <w:sz w:val="24"/>
          <w:szCs w:val="24"/>
        </w:rPr>
        <w:t xml:space="preserve"> structure mechanisms </w:t>
      </w:r>
      <w:r w:rsidR="00073AE0" w:rsidRPr="008E772B">
        <w:rPr>
          <w:rFonts w:asciiTheme="majorBidi" w:eastAsia="Times New Roman" w:hAnsiTheme="majorBidi" w:cstheme="majorBidi"/>
          <w:bCs/>
          <w:sz w:val="24"/>
          <w:szCs w:val="24"/>
        </w:rPr>
        <w:t>(e.g., government, director</w:t>
      </w:r>
      <w:r w:rsidR="00900480">
        <w:rPr>
          <w:rFonts w:asciiTheme="majorBidi" w:eastAsia="Times New Roman" w:hAnsiTheme="majorBidi" w:cstheme="majorBidi"/>
          <w:bCs/>
          <w:sz w:val="24"/>
          <w:szCs w:val="24"/>
        </w:rPr>
        <w:t>,</w:t>
      </w:r>
      <w:r w:rsidR="00073AE0" w:rsidRPr="008E772B">
        <w:rPr>
          <w:rFonts w:asciiTheme="majorBidi" w:eastAsia="Times New Roman" w:hAnsiTheme="majorBidi" w:cstheme="majorBidi"/>
          <w:bCs/>
          <w:sz w:val="24"/>
          <w:szCs w:val="24"/>
        </w:rPr>
        <w:t xml:space="preserve"> and </w:t>
      </w:r>
      <w:r w:rsidR="004376A0">
        <w:rPr>
          <w:rFonts w:asciiTheme="majorBidi" w:eastAsia="Times New Roman" w:hAnsiTheme="majorBidi" w:cstheme="majorBidi"/>
          <w:bCs/>
          <w:sz w:val="24"/>
          <w:szCs w:val="24"/>
        </w:rPr>
        <w:t>family</w:t>
      </w:r>
      <w:r w:rsidR="004376A0" w:rsidRPr="008E772B">
        <w:rPr>
          <w:rFonts w:asciiTheme="majorBidi" w:eastAsia="Times New Roman" w:hAnsiTheme="majorBidi" w:cstheme="majorBidi"/>
          <w:bCs/>
          <w:sz w:val="24"/>
          <w:szCs w:val="24"/>
        </w:rPr>
        <w:t xml:space="preserve"> </w:t>
      </w:r>
      <w:r w:rsidR="00673DFD" w:rsidRPr="008E772B">
        <w:rPr>
          <w:rFonts w:asciiTheme="majorBidi" w:eastAsia="Times New Roman" w:hAnsiTheme="majorBidi" w:cstheme="majorBidi"/>
          <w:bCs/>
          <w:iCs/>
          <w:sz w:val="24"/>
          <w:szCs w:val="24"/>
        </w:rPr>
        <w:t>shareholding</w:t>
      </w:r>
      <w:r w:rsidR="00073AE0" w:rsidRPr="008E772B">
        <w:rPr>
          <w:rFonts w:asciiTheme="majorBidi" w:eastAsia="Times New Roman" w:hAnsiTheme="majorBidi" w:cstheme="majorBidi"/>
          <w:bCs/>
          <w:sz w:val="24"/>
          <w:szCs w:val="24"/>
        </w:rPr>
        <w:t xml:space="preserve">) have non-linear relationship with financial reporting </w:t>
      </w:r>
      <w:r w:rsidR="00F53500">
        <w:rPr>
          <w:rFonts w:asciiTheme="majorBidi" w:eastAsia="Times New Roman" w:hAnsiTheme="majorBidi" w:cstheme="majorBidi"/>
          <w:bCs/>
          <w:sz w:val="24"/>
          <w:szCs w:val="24"/>
        </w:rPr>
        <w:t xml:space="preserve">and audit </w:t>
      </w:r>
      <w:r w:rsidR="00073AE0" w:rsidRPr="008E772B">
        <w:rPr>
          <w:rFonts w:asciiTheme="majorBidi" w:eastAsia="Times New Roman" w:hAnsiTheme="majorBidi" w:cstheme="majorBidi"/>
          <w:bCs/>
          <w:sz w:val="24"/>
          <w:szCs w:val="24"/>
        </w:rPr>
        <w:t>quality (</w:t>
      </w:r>
      <w:r w:rsidR="007F3597">
        <w:rPr>
          <w:rFonts w:asciiTheme="majorBidi" w:eastAsia="Times New Roman" w:hAnsiTheme="majorBidi" w:cstheme="majorBidi"/>
          <w:bCs/>
          <w:sz w:val="24"/>
          <w:szCs w:val="24"/>
        </w:rPr>
        <w:t xml:space="preserve">e.g., </w:t>
      </w:r>
      <w:r w:rsidR="008D4AB5" w:rsidRPr="008D4AB5">
        <w:rPr>
          <w:rFonts w:asciiTheme="majorBidi" w:eastAsia="Times New Roman" w:hAnsiTheme="majorBidi" w:cstheme="majorBidi"/>
          <w:bCs/>
          <w:iCs/>
          <w:sz w:val="24"/>
          <w:szCs w:val="24"/>
        </w:rPr>
        <w:t>Chau &amp; Leung</w:t>
      </w:r>
      <w:r w:rsidR="008D4AB5">
        <w:rPr>
          <w:rFonts w:asciiTheme="majorBidi" w:eastAsia="Times New Roman" w:hAnsiTheme="majorBidi" w:cstheme="majorBidi"/>
          <w:bCs/>
          <w:iCs/>
          <w:sz w:val="24"/>
          <w:szCs w:val="24"/>
        </w:rPr>
        <w:t xml:space="preserve">, </w:t>
      </w:r>
      <w:r w:rsidR="008D4AB5" w:rsidRPr="008D4AB5">
        <w:rPr>
          <w:rFonts w:asciiTheme="majorBidi" w:eastAsia="Times New Roman" w:hAnsiTheme="majorBidi" w:cstheme="majorBidi"/>
          <w:bCs/>
          <w:iCs/>
          <w:sz w:val="24"/>
          <w:szCs w:val="24"/>
        </w:rPr>
        <w:t>2006</w:t>
      </w:r>
      <w:r w:rsidR="008D4AB5">
        <w:rPr>
          <w:rFonts w:asciiTheme="majorBidi" w:eastAsia="Times New Roman" w:hAnsiTheme="majorBidi" w:cstheme="majorBidi"/>
          <w:bCs/>
          <w:iCs/>
          <w:sz w:val="24"/>
          <w:szCs w:val="24"/>
        </w:rPr>
        <w:t xml:space="preserve">; </w:t>
      </w:r>
      <w:r w:rsidR="00073AE0" w:rsidRPr="008E772B">
        <w:rPr>
          <w:rFonts w:asciiTheme="majorBidi" w:eastAsia="Times New Roman" w:hAnsiTheme="majorBidi" w:cstheme="majorBidi"/>
          <w:bCs/>
          <w:sz w:val="24"/>
          <w:szCs w:val="24"/>
        </w:rPr>
        <w:t xml:space="preserve">Elmagrhi </w:t>
      </w:r>
      <w:r w:rsidR="00073AE0" w:rsidRPr="008E772B">
        <w:rPr>
          <w:rFonts w:asciiTheme="majorBidi" w:eastAsia="Times New Roman" w:hAnsiTheme="majorBidi" w:cstheme="majorBidi"/>
          <w:bCs/>
          <w:i/>
          <w:sz w:val="24"/>
          <w:szCs w:val="24"/>
        </w:rPr>
        <w:t>et al</w:t>
      </w:r>
      <w:r w:rsidR="00073AE0" w:rsidRPr="008E772B">
        <w:rPr>
          <w:rFonts w:asciiTheme="majorBidi" w:eastAsia="Times New Roman" w:hAnsiTheme="majorBidi" w:cstheme="majorBidi"/>
          <w:bCs/>
          <w:sz w:val="24"/>
          <w:szCs w:val="24"/>
        </w:rPr>
        <w:t>., 2016</w:t>
      </w:r>
      <w:r w:rsidR="004376A0">
        <w:rPr>
          <w:rFonts w:asciiTheme="majorBidi" w:eastAsia="Times New Roman" w:hAnsiTheme="majorBidi" w:cstheme="majorBidi"/>
          <w:bCs/>
          <w:sz w:val="24"/>
          <w:szCs w:val="24"/>
        </w:rPr>
        <w:t xml:space="preserve">; </w:t>
      </w:r>
      <w:r w:rsidR="004376A0" w:rsidRPr="00190ECD">
        <w:rPr>
          <w:rFonts w:asciiTheme="majorBidi" w:eastAsia="Times New Roman" w:hAnsiTheme="majorBidi" w:cstheme="majorBidi"/>
          <w:bCs/>
          <w:iCs/>
          <w:sz w:val="24"/>
          <w:szCs w:val="24"/>
        </w:rPr>
        <w:t>Barroso</w:t>
      </w:r>
      <w:r w:rsidR="004376A0">
        <w:rPr>
          <w:rFonts w:asciiTheme="majorBidi" w:eastAsia="Times New Roman" w:hAnsiTheme="majorBidi" w:cstheme="majorBidi"/>
          <w:bCs/>
          <w:iCs/>
          <w:sz w:val="24"/>
          <w:szCs w:val="24"/>
        </w:rPr>
        <w:t xml:space="preserve"> </w:t>
      </w:r>
      <w:r w:rsidR="004376A0" w:rsidRPr="0053290E">
        <w:rPr>
          <w:rFonts w:asciiTheme="majorBidi" w:eastAsia="Times New Roman" w:hAnsiTheme="majorBidi" w:cstheme="majorBidi"/>
          <w:bCs/>
          <w:i/>
          <w:iCs/>
          <w:sz w:val="24"/>
          <w:szCs w:val="24"/>
        </w:rPr>
        <w:t>et al.,</w:t>
      </w:r>
      <w:r w:rsidR="004376A0">
        <w:rPr>
          <w:rFonts w:asciiTheme="majorBidi" w:eastAsia="Times New Roman" w:hAnsiTheme="majorBidi" w:cstheme="majorBidi"/>
          <w:bCs/>
          <w:iCs/>
          <w:sz w:val="24"/>
          <w:szCs w:val="24"/>
        </w:rPr>
        <w:t xml:space="preserve"> </w:t>
      </w:r>
      <w:r w:rsidR="004376A0" w:rsidRPr="00190ECD">
        <w:rPr>
          <w:rFonts w:asciiTheme="majorBidi" w:eastAsia="Times New Roman" w:hAnsiTheme="majorBidi" w:cstheme="majorBidi"/>
          <w:bCs/>
          <w:iCs/>
          <w:sz w:val="24"/>
          <w:szCs w:val="24"/>
        </w:rPr>
        <w:t>2018</w:t>
      </w:r>
      <w:r w:rsidR="00073AE0" w:rsidRPr="008E772B">
        <w:rPr>
          <w:rFonts w:asciiTheme="majorBidi" w:eastAsia="Times New Roman" w:hAnsiTheme="majorBidi" w:cstheme="majorBidi"/>
          <w:bCs/>
          <w:sz w:val="24"/>
          <w:szCs w:val="24"/>
        </w:rPr>
        <w:t xml:space="preserve">). This suggests that the extent of external auditing and ultimately the auditor choice </w:t>
      </w:r>
      <w:r w:rsidR="009A7986">
        <w:rPr>
          <w:rFonts w:asciiTheme="majorBidi" w:eastAsia="Times New Roman" w:hAnsiTheme="majorBidi" w:cstheme="majorBidi"/>
          <w:bCs/>
          <w:sz w:val="24"/>
          <w:szCs w:val="24"/>
        </w:rPr>
        <w:t xml:space="preserve">and </w:t>
      </w:r>
      <w:r w:rsidR="009A7986" w:rsidRPr="009A7986">
        <w:rPr>
          <w:rFonts w:asciiTheme="majorBidi" w:eastAsia="Times New Roman" w:hAnsiTheme="majorBidi" w:cstheme="majorBidi"/>
          <w:bCs/>
          <w:sz w:val="24"/>
          <w:szCs w:val="24"/>
        </w:rPr>
        <w:t xml:space="preserve">audit fees </w:t>
      </w:r>
      <w:r w:rsidR="00073AE0" w:rsidRPr="008E772B">
        <w:rPr>
          <w:rFonts w:asciiTheme="majorBidi" w:eastAsia="Times New Roman" w:hAnsiTheme="majorBidi" w:cstheme="majorBidi"/>
          <w:bCs/>
          <w:sz w:val="24"/>
          <w:szCs w:val="24"/>
        </w:rPr>
        <w:t xml:space="preserve">may have a nonlinear association with board characteristics and </w:t>
      </w:r>
      <w:r w:rsidR="00673DFD" w:rsidRPr="008E772B">
        <w:rPr>
          <w:rFonts w:asciiTheme="majorBidi" w:eastAsia="Times New Roman" w:hAnsiTheme="majorBidi" w:cstheme="majorBidi"/>
          <w:bCs/>
          <w:iCs/>
          <w:sz w:val="24"/>
          <w:szCs w:val="24"/>
        </w:rPr>
        <w:t>shareholding</w:t>
      </w:r>
      <w:r w:rsidR="00073AE0" w:rsidRPr="008E772B">
        <w:rPr>
          <w:rFonts w:asciiTheme="majorBidi" w:eastAsia="Times New Roman" w:hAnsiTheme="majorBidi" w:cstheme="majorBidi"/>
          <w:bCs/>
          <w:iCs/>
          <w:sz w:val="24"/>
          <w:szCs w:val="24"/>
        </w:rPr>
        <w:t xml:space="preserve"> structure mechanisms </w:t>
      </w:r>
      <w:r w:rsidR="00073AE0" w:rsidRPr="008E772B">
        <w:rPr>
          <w:rFonts w:asciiTheme="majorBidi" w:eastAsia="Times New Roman" w:hAnsiTheme="majorBidi" w:cstheme="majorBidi"/>
          <w:bCs/>
          <w:sz w:val="24"/>
          <w:szCs w:val="24"/>
        </w:rPr>
        <w:t xml:space="preserve">(O’Sullivan, 2000). To identify the existence </w:t>
      </w:r>
      <w:r w:rsidR="00073AE0" w:rsidRPr="008E772B">
        <w:rPr>
          <w:rFonts w:asciiTheme="majorBidi" w:eastAsia="Times New Roman" w:hAnsiTheme="majorBidi" w:cstheme="majorBidi"/>
          <w:bCs/>
          <w:sz w:val="24"/>
          <w:szCs w:val="24"/>
        </w:rPr>
        <w:lastRenderedPageBreak/>
        <w:t xml:space="preserve">of non-linear relationship between </w:t>
      </w:r>
      <w:r w:rsidR="00CD0B52" w:rsidRPr="008E772B">
        <w:rPr>
          <w:rFonts w:asciiTheme="majorBidi" w:eastAsia="Times New Roman" w:hAnsiTheme="majorBidi" w:cstheme="majorBidi"/>
          <w:bCs/>
          <w:i/>
          <w:iCs/>
          <w:sz w:val="24"/>
          <w:szCs w:val="24"/>
          <w:lang w:val="en-US"/>
        </w:rPr>
        <w:t>BRDS</w:t>
      </w:r>
      <w:r w:rsidR="00073AE0" w:rsidRPr="008E772B">
        <w:rPr>
          <w:rFonts w:asciiTheme="majorBidi" w:eastAsia="Times New Roman" w:hAnsiTheme="majorBidi" w:cstheme="majorBidi"/>
          <w:bCs/>
          <w:iCs/>
          <w:sz w:val="24"/>
          <w:szCs w:val="24"/>
        </w:rPr>
        <w:t xml:space="preserve">, </w:t>
      </w:r>
      <w:r w:rsidR="004039E0" w:rsidRPr="008E772B">
        <w:rPr>
          <w:rFonts w:asciiTheme="majorBidi" w:eastAsia="Times New Roman" w:hAnsiTheme="majorBidi" w:cstheme="majorBidi"/>
          <w:bCs/>
          <w:i/>
          <w:iCs/>
          <w:sz w:val="24"/>
          <w:szCs w:val="24"/>
          <w:lang w:val="en-US"/>
        </w:rPr>
        <w:t>GOSH</w:t>
      </w:r>
      <w:r w:rsidR="00073AE0" w:rsidRPr="008E772B">
        <w:rPr>
          <w:rFonts w:asciiTheme="majorBidi" w:eastAsia="Times New Roman" w:hAnsiTheme="majorBidi" w:cstheme="majorBidi"/>
          <w:bCs/>
          <w:iCs/>
          <w:sz w:val="24"/>
          <w:szCs w:val="24"/>
        </w:rPr>
        <w:t xml:space="preserve">, </w:t>
      </w:r>
      <w:r w:rsidR="00203345" w:rsidRPr="008E772B">
        <w:rPr>
          <w:rFonts w:asciiTheme="majorBidi" w:eastAsia="Times New Roman" w:hAnsiTheme="majorBidi" w:cstheme="majorBidi"/>
          <w:bCs/>
          <w:i/>
          <w:iCs/>
          <w:sz w:val="24"/>
          <w:szCs w:val="24"/>
          <w:lang w:val="en-US"/>
        </w:rPr>
        <w:t>DISH</w:t>
      </w:r>
      <w:r w:rsidR="005B066B">
        <w:rPr>
          <w:rFonts w:asciiTheme="majorBidi" w:eastAsia="Times New Roman" w:hAnsiTheme="majorBidi" w:cstheme="majorBidi"/>
          <w:bCs/>
          <w:i/>
          <w:iCs/>
          <w:sz w:val="24"/>
          <w:szCs w:val="24"/>
          <w:lang w:val="en-US"/>
        </w:rPr>
        <w:t>,</w:t>
      </w:r>
      <w:r w:rsidR="00073AE0" w:rsidRPr="008E772B">
        <w:rPr>
          <w:rFonts w:asciiTheme="majorBidi" w:eastAsia="Times New Roman" w:hAnsiTheme="majorBidi" w:cstheme="majorBidi"/>
          <w:bCs/>
          <w:iCs/>
          <w:sz w:val="24"/>
          <w:szCs w:val="24"/>
        </w:rPr>
        <w:t xml:space="preserve"> and </w:t>
      </w:r>
      <w:r w:rsidR="008D4AB5">
        <w:rPr>
          <w:rFonts w:asciiTheme="majorBidi" w:eastAsia="Times New Roman" w:hAnsiTheme="majorBidi" w:cstheme="majorBidi"/>
          <w:bCs/>
          <w:i/>
          <w:iCs/>
          <w:sz w:val="24"/>
          <w:szCs w:val="24"/>
          <w:lang w:val="en-US"/>
        </w:rPr>
        <w:t>F</w:t>
      </w:r>
      <w:r w:rsidR="008D4AB5" w:rsidRPr="008E772B">
        <w:rPr>
          <w:rFonts w:asciiTheme="majorBidi" w:eastAsia="Times New Roman" w:hAnsiTheme="majorBidi" w:cstheme="majorBidi"/>
          <w:bCs/>
          <w:i/>
          <w:iCs/>
          <w:sz w:val="24"/>
          <w:szCs w:val="24"/>
          <w:lang w:val="en-US"/>
        </w:rPr>
        <w:t>LSH</w:t>
      </w:r>
      <w:r w:rsidR="008D4AB5" w:rsidRPr="008E772B">
        <w:rPr>
          <w:rFonts w:asciiTheme="majorBidi" w:eastAsia="Times New Roman" w:hAnsiTheme="majorBidi" w:cstheme="majorBidi"/>
          <w:bCs/>
          <w:sz w:val="24"/>
          <w:szCs w:val="24"/>
        </w:rPr>
        <w:t xml:space="preserve"> </w:t>
      </w:r>
      <w:r w:rsidR="00073AE0" w:rsidRPr="008E772B">
        <w:rPr>
          <w:rFonts w:asciiTheme="majorBidi" w:eastAsia="Times New Roman" w:hAnsiTheme="majorBidi" w:cstheme="majorBidi"/>
          <w:bCs/>
          <w:sz w:val="24"/>
          <w:szCs w:val="24"/>
        </w:rPr>
        <w:t xml:space="preserve">on the one hand, and </w:t>
      </w:r>
      <w:r w:rsidR="009A7986" w:rsidRPr="009A7986">
        <w:rPr>
          <w:rFonts w:asciiTheme="majorBidi" w:eastAsia="Times New Roman" w:hAnsiTheme="majorBidi" w:cstheme="majorBidi"/>
          <w:bCs/>
          <w:i/>
          <w:iCs/>
          <w:sz w:val="24"/>
          <w:szCs w:val="24"/>
        </w:rPr>
        <w:t>BIG4</w:t>
      </w:r>
      <w:r w:rsidR="009A7986">
        <w:rPr>
          <w:rFonts w:asciiTheme="majorBidi" w:eastAsia="Times New Roman" w:hAnsiTheme="majorBidi" w:cstheme="majorBidi"/>
          <w:bCs/>
          <w:i/>
          <w:iCs/>
          <w:sz w:val="24"/>
          <w:szCs w:val="24"/>
        </w:rPr>
        <w:t xml:space="preserve"> </w:t>
      </w:r>
      <w:r w:rsidR="005513F9" w:rsidRPr="008E772B">
        <w:rPr>
          <w:rFonts w:asciiTheme="majorBidi" w:eastAsia="Times New Roman" w:hAnsiTheme="majorBidi" w:cstheme="majorBidi"/>
          <w:bCs/>
          <w:sz w:val="24"/>
          <w:szCs w:val="24"/>
        </w:rPr>
        <w:t xml:space="preserve">and </w:t>
      </w:r>
      <w:r w:rsidR="009A7986" w:rsidRPr="009A7986">
        <w:rPr>
          <w:rFonts w:asciiTheme="majorBidi" w:eastAsia="Times New Roman" w:hAnsiTheme="majorBidi" w:cstheme="majorBidi"/>
          <w:bCs/>
          <w:i/>
          <w:iCs/>
          <w:sz w:val="24"/>
          <w:szCs w:val="24"/>
        </w:rPr>
        <w:t>LNFE</w:t>
      </w:r>
      <w:r w:rsidR="00073AE0" w:rsidRPr="008E772B">
        <w:rPr>
          <w:rFonts w:asciiTheme="majorBidi" w:eastAsia="Times New Roman" w:hAnsiTheme="majorBidi" w:cstheme="majorBidi"/>
          <w:bCs/>
          <w:sz w:val="24"/>
          <w:szCs w:val="24"/>
        </w:rPr>
        <w:t xml:space="preserve"> on the other hand, </w:t>
      </w:r>
      <w:r w:rsidR="00130DE0" w:rsidRPr="008E772B">
        <w:rPr>
          <w:rFonts w:asciiTheme="majorBidi" w:eastAsia="Times New Roman" w:hAnsiTheme="majorBidi" w:cstheme="majorBidi"/>
          <w:bCs/>
          <w:sz w:val="24"/>
          <w:szCs w:val="24"/>
        </w:rPr>
        <w:t xml:space="preserve">Models </w:t>
      </w:r>
      <w:r w:rsidR="00F53500">
        <w:rPr>
          <w:rFonts w:asciiTheme="majorBidi" w:eastAsia="Times New Roman" w:hAnsiTheme="majorBidi" w:cstheme="majorBidi"/>
          <w:bCs/>
          <w:sz w:val="24"/>
          <w:szCs w:val="24"/>
        </w:rPr>
        <w:t>3</w:t>
      </w:r>
      <w:r w:rsidR="00F53500" w:rsidRPr="008E772B">
        <w:rPr>
          <w:rFonts w:asciiTheme="majorBidi" w:eastAsia="Times New Roman" w:hAnsiTheme="majorBidi" w:cstheme="majorBidi"/>
          <w:bCs/>
          <w:sz w:val="24"/>
          <w:szCs w:val="24"/>
        </w:rPr>
        <w:t xml:space="preserve"> </w:t>
      </w:r>
      <w:r w:rsidR="00130DE0" w:rsidRPr="008E772B">
        <w:rPr>
          <w:rFonts w:asciiTheme="majorBidi" w:eastAsia="Times New Roman" w:hAnsiTheme="majorBidi" w:cstheme="majorBidi"/>
          <w:bCs/>
          <w:sz w:val="24"/>
          <w:szCs w:val="24"/>
        </w:rPr>
        <w:t xml:space="preserve">and </w:t>
      </w:r>
      <w:r w:rsidR="00F53500">
        <w:rPr>
          <w:rFonts w:asciiTheme="majorBidi" w:eastAsia="Times New Roman" w:hAnsiTheme="majorBidi" w:cstheme="majorBidi"/>
          <w:bCs/>
          <w:sz w:val="24"/>
          <w:szCs w:val="24"/>
        </w:rPr>
        <w:t>7</w:t>
      </w:r>
      <w:r w:rsidR="00F53500" w:rsidRPr="008E772B">
        <w:rPr>
          <w:rFonts w:asciiTheme="majorBidi" w:eastAsia="Times New Roman" w:hAnsiTheme="majorBidi" w:cstheme="majorBidi"/>
          <w:bCs/>
          <w:sz w:val="24"/>
          <w:szCs w:val="24"/>
        </w:rPr>
        <w:t xml:space="preserve"> </w:t>
      </w:r>
      <w:r w:rsidR="006370DE">
        <w:rPr>
          <w:rFonts w:asciiTheme="majorBidi" w:eastAsia="Times New Roman" w:hAnsiTheme="majorBidi" w:cstheme="majorBidi"/>
          <w:bCs/>
          <w:sz w:val="24"/>
          <w:szCs w:val="24"/>
        </w:rPr>
        <w:t>of</w:t>
      </w:r>
      <w:r w:rsidR="006370DE" w:rsidRPr="008E772B">
        <w:rPr>
          <w:rFonts w:asciiTheme="majorBidi" w:eastAsia="Times New Roman" w:hAnsiTheme="majorBidi" w:cstheme="majorBidi"/>
          <w:bCs/>
          <w:sz w:val="24"/>
          <w:szCs w:val="24"/>
        </w:rPr>
        <w:t xml:space="preserve"> </w:t>
      </w:r>
      <w:r w:rsidR="00073AE0" w:rsidRPr="008E772B">
        <w:rPr>
          <w:rFonts w:asciiTheme="majorBidi" w:eastAsia="Times New Roman" w:hAnsiTheme="majorBidi" w:cstheme="majorBidi"/>
          <w:bCs/>
          <w:sz w:val="24"/>
          <w:szCs w:val="24"/>
        </w:rPr>
        <w:t xml:space="preserve">Table </w:t>
      </w:r>
      <w:r w:rsidR="00F53500">
        <w:rPr>
          <w:rFonts w:asciiTheme="majorBidi" w:eastAsia="Times New Roman" w:hAnsiTheme="majorBidi" w:cstheme="majorBidi"/>
          <w:bCs/>
          <w:sz w:val="24"/>
          <w:szCs w:val="24"/>
        </w:rPr>
        <w:t>4</w:t>
      </w:r>
      <w:r w:rsidR="00F53500" w:rsidRPr="008E772B">
        <w:rPr>
          <w:rFonts w:asciiTheme="majorBidi" w:eastAsia="Times New Roman" w:hAnsiTheme="majorBidi" w:cstheme="majorBidi"/>
          <w:bCs/>
          <w:sz w:val="24"/>
          <w:szCs w:val="24"/>
        </w:rPr>
        <w:t xml:space="preserve"> </w:t>
      </w:r>
      <w:r w:rsidR="00073AE0" w:rsidRPr="008E772B">
        <w:rPr>
          <w:rFonts w:asciiTheme="majorBidi" w:eastAsia="Times New Roman" w:hAnsiTheme="majorBidi" w:cstheme="majorBidi"/>
          <w:bCs/>
          <w:sz w:val="24"/>
          <w:szCs w:val="24"/>
        </w:rPr>
        <w:t xml:space="preserve">have been re-estimated by adding the square root of </w:t>
      </w:r>
      <w:r w:rsidR="00CD0B52" w:rsidRPr="008E772B">
        <w:rPr>
          <w:rFonts w:asciiTheme="majorBidi" w:eastAsia="Times New Roman" w:hAnsiTheme="majorBidi" w:cstheme="majorBidi"/>
          <w:bCs/>
          <w:i/>
          <w:iCs/>
          <w:sz w:val="24"/>
          <w:szCs w:val="24"/>
          <w:lang w:val="en-US"/>
        </w:rPr>
        <w:t>BRDS</w:t>
      </w:r>
      <w:r w:rsidR="00073AE0" w:rsidRPr="008E772B">
        <w:rPr>
          <w:rFonts w:asciiTheme="majorBidi" w:eastAsia="Times New Roman" w:hAnsiTheme="majorBidi" w:cstheme="majorBidi"/>
          <w:bCs/>
          <w:i/>
          <w:iCs/>
          <w:sz w:val="24"/>
          <w:szCs w:val="24"/>
        </w:rPr>
        <w:t xml:space="preserve">, </w:t>
      </w:r>
      <w:r w:rsidR="004039E0" w:rsidRPr="008E772B">
        <w:rPr>
          <w:rFonts w:asciiTheme="majorBidi" w:eastAsia="Times New Roman" w:hAnsiTheme="majorBidi" w:cstheme="majorBidi"/>
          <w:bCs/>
          <w:i/>
          <w:iCs/>
          <w:sz w:val="24"/>
          <w:szCs w:val="24"/>
          <w:lang w:val="en-US"/>
        </w:rPr>
        <w:t>GOSH</w:t>
      </w:r>
      <w:r w:rsidR="00073AE0" w:rsidRPr="008E772B">
        <w:rPr>
          <w:rFonts w:asciiTheme="majorBidi" w:eastAsia="Times New Roman" w:hAnsiTheme="majorBidi" w:cstheme="majorBidi"/>
          <w:bCs/>
          <w:i/>
          <w:iCs/>
          <w:sz w:val="24"/>
          <w:szCs w:val="24"/>
        </w:rPr>
        <w:t xml:space="preserve">, </w:t>
      </w:r>
      <w:r w:rsidR="00203345" w:rsidRPr="008E772B">
        <w:rPr>
          <w:rFonts w:asciiTheme="majorBidi" w:eastAsia="Times New Roman" w:hAnsiTheme="majorBidi" w:cstheme="majorBidi"/>
          <w:bCs/>
          <w:i/>
          <w:iCs/>
          <w:sz w:val="24"/>
          <w:szCs w:val="24"/>
          <w:lang w:val="en-US"/>
        </w:rPr>
        <w:t>DISH</w:t>
      </w:r>
      <w:r w:rsidR="00B43904">
        <w:rPr>
          <w:rFonts w:asciiTheme="majorBidi" w:eastAsia="Times New Roman" w:hAnsiTheme="majorBidi" w:cstheme="majorBidi"/>
          <w:bCs/>
          <w:i/>
          <w:iCs/>
          <w:sz w:val="24"/>
          <w:szCs w:val="24"/>
          <w:lang w:val="en-US"/>
        </w:rPr>
        <w:t>,</w:t>
      </w:r>
      <w:r w:rsidR="00073AE0" w:rsidRPr="008E772B">
        <w:rPr>
          <w:rFonts w:asciiTheme="majorBidi" w:eastAsia="Times New Roman" w:hAnsiTheme="majorBidi" w:cstheme="majorBidi"/>
          <w:bCs/>
          <w:i/>
          <w:iCs/>
          <w:sz w:val="24"/>
          <w:szCs w:val="24"/>
        </w:rPr>
        <w:t xml:space="preserve"> and </w:t>
      </w:r>
      <w:r w:rsidR="008D4AB5">
        <w:rPr>
          <w:rFonts w:asciiTheme="majorBidi" w:eastAsia="Times New Roman" w:hAnsiTheme="majorBidi" w:cstheme="majorBidi"/>
          <w:bCs/>
          <w:i/>
          <w:iCs/>
          <w:sz w:val="24"/>
          <w:szCs w:val="24"/>
          <w:lang w:val="en-US"/>
        </w:rPr>
        <w:t>F</w:t>
      </w:r>
      <w:r w:rsidR="008D4AB5" w:rsidRPr="008E772B">
        <w:rPr>
          <w:rFonts w:asciiTheme="majorBidi" w:eastAsia="Times New Roman" w:hAnsiTheme="majorBidi" w:cstheme="majorBidi"/>
          <w:bCs/>
          <w:i/>
          <w:iCs/>
          <w:sz w:val="24"/>
          <w:szCs w:val="24"/>
          <w:lang w:val="en-US"/>
        </w:rPr>
        <w:t>LSH</w:t>
      </w:r>
      <w:r w:rsidR="00073AE0" w:rsidRPr="008E772B">
        <w:rPr>
          <w:rFonts w:asciiTheme="majorBidi" w:eastAsia="Times New Roman" w:hAnsiTheme="majorBidi" w:cstheme="majorBidi"/>
          <w:bCs/>
          <w:sz w:val="24"/>
          <w:szCs w:val="24"/>
        </w:rPr>
        <w:t>. The findings are repor</w:t>
      </w:r>
      <w:r w:rsidR="00130DE0" w:rsidRPr="008E772B">
        <w:rPr>
          <w:rFonts w:asciiTheme="majorBidi" w:eastAsia="Times New Roman" w:hAnsiTheme="majorBidi" w:cstheme="majorBidi"/>
          <w:bCs/>
          <w:sz w:val="24"/>
          <w:szCs w:val="24"/>
        </w:rPr>
        <w:t xml:space="preserve">ted in Models </w:t>
      </w:r>
      <w:r w:rsidR="00F53500">
        <w:rPr>
          <w:rFonts w:asciiTheme="majorBidi" w:eastAsia="Times New Roman" w:hAnsiTheme="majorBidi" w:cstheme="majorBidi"/>
          <w:bCs/>
          <w:sz w:val="24"/>
          <w:szCs w:val="24"/>
        </w:rPr>
        <w:t>7</w:t>
      </w:r>
      <w:r w:rsidR="00F53500" w:rsidRPr="008E772B">
        <w:rPr>
          <w:rFonts w:asciiTheme="majorBidi" w:eastAsia="Times New Roman" w:hAnsiTheme="majorBidi" w:cstheme="majorBidi"/>
          <w:bCs/>
          <w:sz w:val="24"/>
          <w:szCs w:val="24"/>
        </w:rPr>
        <w:t xml:space="preserve"> </w:t>
      </w:r>
      <w:r w:rsidR="00130DE0" w:rsidRPr="008E772B">
        <w:rPr>
          <w:rFonts w:asciiTheme="majorBidi" w:eastAsia="Times New Roman" w:hAnsiTheme="majorBidi" w:cstheme="majorBidi"/>
          <w:bCs/>
          <w:sz w:val="24"/>
          <w:szCs w:val="24"/>
        </w:rPr>
        <w:t xml:space="preserve">and </w:t>
      </w:r>
      <w:r w:rsidR="00F53500">
        <w:rPr>
          <w:rFonts w:asciiTheme="majorBidi" w:eastAsia="Times New Roman" w:hAnsiTheme="majorBidi" w:cstheme="majorBidi"/>
          <w:bCs/>
          <w:sz w:val="24"/>
          <w:szCs w:val="24"/>
        </w:rPr>
        <w:t>8</w:t>
      </w:r>
      <w:r w:rsidR="00F53500" w:rsidRPr="008E772B">
        <w:rPr>
          <w:rFonts w:asciiTheme="majorBidi" w:eastAsia="Times New Roman" w:hAnsiTheme="majorBidi" w:cstheme="majorBidi"/>
          <w:bCs/>
          <w:sz w:val="24"/>
          <w:szCs w:val="24"/>
        </w:rPr>
        <w:t xml:space="preserve"> </w:t>
      </w:r>
      <w:r w:rsidR="004973F6">
        <w:rPr>
          <w:rFonts w:asciiTheme="majorBidi" w:eastAsia="Times New Roman" w:hAnsiTheme="majorBidi" w:cstheme="majorBidi"/>
          <w:bCs/>
          <w:sz w:val="24"/>
          <w:szCs w:val="24"/>
        </w:rPr>
        <w:t>of</w:t>
      </w:r>
      <w:r w:rsidR="004973F6" w:rsidRPr="008E772B">
        <w:rPr>
          <w:rFonts w:asciiTheme="majorBidi" w:eastAsia="Times New Roman" w:hAnsiTheme="majorBidi" w:cstheme="majorBidi"/>
          <w:bCs/>
          <w:sz w:val="24"/>
          <w:szCs w:val="24"/>
        </w:rPr>
        <w:t xml:space="preserve"> </w:t>
      </w:r>
      <w:r w:rsidR="00130DE0" w:rsidRPr="008E772B">
        <w:rPr>
          <w:rFonts w:asciiTheme="majorBidi" w:eastAsia="Times New Roman" w:hAnsiTheme="majorBidi" w:cstheme="majorBidi"/>
          <w:bCs/>
          <w:sz w:val="24"/>
          <w:szCs w:val="24"/>
        </w:rPr>
        <w:t xml:space="preserve">Table </w:t>
      </w:r>
      <w:r w:rsidR="00F53500">
        <w:rPr>
          <w:rFonts w:asciiTheme="majorBidi" w:eastAsia="Times New Roman" w:hAnsiTheme="majorBidi" w:cstheme="majorBidi"/>
          <w:bCs/>
          <w:sz w:val="24"/>
          <w:szCs w:val="24"/>
        </w:rPr>
        <w:t>6</w:t>
      </w:r>
      <w:r w:rsidR="00073AE0" w:rsidRPr="008E772B">
        <w:rPr>
          <w:rFonts w:asciiTheme="majorBidi" w:eastAsia="Times New Roman" w:hAnsiTheme="majorBidi" w:cstheme="majorBidi"/>
          <w:bCs/>
          <w:sz w:val="24"/>
          <w:szCs w:val="24"/>
        </w:rPr>
        <w:t xml:space="preserve">. The results generally indicate that there is a </w:t>
      </w:r>
      <w:r w:rsidR="007B7F40" w:rsidRPr="007B7F40">
        <w:rPr>
          <w:rFonts w:asciiTheme="majorBidi" w:eastAsia="Times New Roman" w:hAnsiTheme="majorBidi" w:cstheme="majorBidi"/>
          <w:bCs/>
          <w:sz w:val="24"/>
          <w:szCs w:val="24"/>
        </w:rPr>
        <w:t>nonlinear</w:t>
      </w:r>
      <w:r w:rsidR="007B7F40" w:rsidRPr="007B7F40" w:rsidDel="007B7F40">
        <w:rPr>
          <w:rFonts w:asciiTheme="majorBidi" w:eastAsia="Times New Roman" w:hAnsiTheme="majorBidi" w:cstheme="majorBidi"/>
          <w:bCs/>
          <w:sz w:val="24"/>
          <w:szCs w:val="24"/>
        </w:rPr>
        <w:t xml:space="preserve"> </w:t>
      </w:r>
      <w:r w:rsidR="00073AE0" w:rsidRPr="008E772B">
        <w:rPr>
          <w:rFonts w:asciiTheme="majorBidi" w:eastAsia="Times New Roman" w:hAnsiTheme="majorBidi" w:cstheme="majorBidi"/>
          <w:bCs/>
          <w:sz w:val="24"/>
          <w:szCs w:val="24"/>
        </w:rPr>
        <w:t xml:space="preserve">relationship between </w:t>
      </w:r>
      <w:r w:rsidR="00F53500">
        <w:rPr>
          <w:rFonts w:asciiTheme="majorBidi" w:eastAsia="Times New Roman" w:hAnsiTheme="majorBidi" w:cstheme="majorBidi"/>
          <w:bCs/>
          <w:sz w:val="24"/>
          <w:szCs w:val="24"/>
        </w:rPr>
        <w:t>government shareholding</w:t>
      </w:r>
      <w:r w:rsidR="001612C2">
        <w:rPr>
          <w:rFonts w:asciiTheme="majorBidi" w:eastAsia="Times New Roman" w:hAnsiTheme="majorBidi" w:cstheme="majorBidi"/>
          <w:bCs/>
          <w:sz w:val="24"/>
          <w:szCs w:val="24"/>
        </w:rPr>
        <w:t>/</w:t>
      </w:r>
      <w:r w:rsidR="00F53500">
        <w:rPr>
          <w:rFonts w:asciiTheme="majorBidi" w:eastAsia="Times New Roman" w:hAnsiTheme="majorBidi" w:cstheme="majorBidi"/>
          <w:bCs/>
          <w:sz w:val="24"/>
          <w:szCs w:val="24"/>
        </w:rPr>
        <w:t xml:space="preserve">director shareholding </w:t>
      </w:r>
      <w:r w:rsidR="00073AE0" w:rsidRPr="008E772B">
        <w:rPr>
          <w:rFonts w:asciiTheme="majorBidi" w:eastAsia="Times New Roman" w:hAnsiTheme="majorBidi" w:cstheme="majorBidi"/>
          <w:bCs/>
          <w:sz w:val="24"/>
          <w:szCs w:val="24"/>
        </w:rPr>
        <w:t>and auditor choice decision</w:t>
      </w:r>
      <w:r w:rsidR="001612C2">
        <w:rPr>
          <w:rFonts w:asciiTheme="majorBidi" w:eastAsia="Times New Roman" w:hAnsiTheme="majorBidi" w:cstheme="majorBidi"/>
          <w:bCs/>
          <w:sz w:val="24"/>
          <w:szCs w:val="24"/>
        </w:rPr>
        <w:t>,</w:t>
      </w:r>
      <w:r w:rsidR="00073AE0" w:rsidRPr="008E772B">
        <w:rPr>
          <w:rFonts w:asciiTheme="majorBidi" w:eastAsia="Times New Roman" w:hAnsiTheme="majorBidi" w:cstheme="majorBidi"/>
          <w:bCs/>
          <w:sz w:val="24"/>
          <w:szCs w:val="24"/>
        </w:rPr>
        <w:t xml:space="preserve"> which suggests that </w:t>
      </w:r>
      <w:r w:rsidR="00F53500">
        <w:rPr>
          <w:rFonts w:asciiTheme="majorBidi" w:eastAsia="Times New Roman" w:hAnsiTheme="majorBidi" w:cstheme="majorBidi"/>
          <w:bCs/>
          <w:sz w:val="24"/>
          <w:szCs w:val="24"/>
        </w:rPr>
        <w:t xml:space="preserve">entrenched </w:t>
      </w:r>
      <w:r w:rsidR="00F53500" w:rsidRPr="00F53500">
        <w:rPr>
          <w:rFonts w:asciiTheme="majorBidi" w:eastAsia="Times New Roman" w:hAnsiTheme="majorBidi" w:cstheme="majorBidi"/>
          <w:bCs/>
          <w:sz w:val="24"/>
          <w:szCs w:val="24"/>
        </w:rPr>
        <w:t>government shareholding and director shareholding</w:t>
      </w:r>
      <w:r w:rsidR="00F53500">
        <w:rPr>
          <w:rFonts w:asciiTheme="majorBidi" w:eastAsia="Times New Roman" w:hAnsiTheme="majorBidi" w:cstheme="majorBidi"/>
          <w:bCs/>
          <w:sz w:val="24"/>
          <w:szCs w:val="24"/>
        </w:rPr>
        <w:t xml:space="preserve"> </w:t>
      </w:r>
      <w:r w:rsidR="00313615">
        <w:rPr>
          <w:rFonts w:asciiTheme="majorBidi" w:eastAsia="Times New Roman" w:hAnsiTheme="majorBidi" w:cstheme="majorBidi"/>
          <w:bCs/>
          <w:iCs/>
          <w:sz w:val="24"/>
          <w:szCs w:val="24"/>
        </w:rPr>
        <w:t xml:space="preserve">have access to </w:t>
      </w:r>
      <w:r w:rsidR="00313615" w:rsidRPr="00313615">
        <w:rPr>
          <w:rFonts w:asciiTheme="majorBidi" w:eastAsia="Times New Roman" w:hAnsiTheme="majorBidi" w:cstheme="majorBidi"/>
          <w:bCs/>
          <w:iCs/>
          <w:sz w:val="24"/>
          <w:szCs w:val="24"/>
        </w:rPr>
        <w:t xml:space="preserve">private information. Therefore, they have lower incentives to demand external auditing services/hiring </w:t>
      </w:r>
      <w:r w:rsidR="008472CE">
        <w:rPr>
          <w:rFonts w:asciiTheme="majorBidi" w:eastAsia="Times New Roman" w:hAnsiTheme="majorBidi" w:cstheme="majorBidi"/>
          <w:bCs/>
          <w:iCs/>
          <w:sz w:val="24"/>
          <w:szCs w:val="24"/>
        </w:rPr>
        <w:t>high-quality</w:t>
      </w:r>
      <w:r w:rsidR="00313615" w:rsidRPr="00313615">
        <w:rPr>
          <w:rFonts w:asciiTheme="majorBidi" w:eastAsia="Times New Roman" w:hAnsiTheme="majorBidi" w:cstheme="majorBidi"/>
          <w:bCs/>
          <w:iCs/>
          <w:sz w:val="24"/>
          <w:szCs w:val="24"/>
        </w:rPr>
        <w:t xml:space="preserve"> auditor to monitor managers</w:t>
      </w:r>
      <w:r w:rsidR="00313615">
        <w:rPr>
          <w:rFonts w:asciiTheme="majorBidi" w:eastAsia="Times New Roman" w:hAnsiTheme="majorBidi" w:cstheme="majorBidi"/>
          <w:bCs/>
          <w:iCs/>
          <w:sz w:val="24"/>
          <w:szCs w:val="24"/>
        </w:rPr>
        <w:t xml:space="preserve"> (</w:t>
      </w:r>
      <w:r w:rsidR="00313615" w:rsidRPr="00313615">
        <w:rPr>
          <w:rFonts w:asciiTheme="majorBidi" w:eastAsia="Times New Roman" w:hAnsiTheme="majorBidi" w:cstheme="majorBidi"/>
          <w:bCs/>
          <w:iCs/>
          <w:sz w:val="24"/>
          <w:szCs w:val="24"/>
        </w:rPr>
        <w:t>Niemi</w:t>
      </w:r>
      <w:r w:rsidR="00313615">
        <w:rPr>
          <w:rFonts w:asciiTheme="majorBidi" w:eastAsia="Times New Roman" w:hAnsiTheme="majorBidi" w:cstheme="majorBidi"/>
          <w:bCs/>
          <w:iCs/>
          <w:sz w:val="24"/>
          <w:szCs w:val="24"/>
        </w:rPr>
        <w:t>,</w:t>
      </w:r>
      <w:r w:rsidR="00313615" w:rsidRPr="00313615">
        <w:rPr>
          <w:rFonts w:asciiTheme="majorBidi" w:eastAsia="Times New Roman" w:hAnsiTheme="majorBidi" w:cstheme="majorBidi"/>
          <w:bCs/>
          <w:iCs/>
          <w:sz w:val="24"/>
          <w:szCs w:val="24"/>
        </w:rPr>
        <w:t xml:space="preserve"> 2005</w:t>
      </w:r>
      <w:r w:rsidR="00313615">
        <w:rPr>
          <w:rFonts w:asciiTheme="majorBidi" w:eastAsia="Times New Roman" w:hAnsiTheme="majorBidi" w:cstheme="majorBidi"/>
          <w:bCs/>
          <w:iCs/>
          <w:sz w:val="24"/>
          <w:szCs w:val="24"/>
        </w:rPr>
        <w:t xml:space="preserve">; </w:t>
      </w:r>
      <w:r w:rsidR="00313615" w:rsidRPr="00313615">
        <w:rPr>
          <w:rFonts w:asciiTheme="majorBidi" w:eastAsia="Times New Roman" w:hAnsiTheme="majorBidi" w:cstheme="majorBidi"/>
          <w:bCs/>
          <w:iCs/>
          <w:sz w:val="24"/>
          <w:szCs w:val="24"/>
        </w:rPr>
        <w:t xml:space="preserve">Ho </w:t>
      </w:r>
      <w:r w:rsidR="0053290E">
        <w:rPr>
          <w:rFonts w:asciiTheme="majorBidi" w:eastAsia="Times New Roman" w:hAnsiTheme="majorBidi" w:cstheme="majorBidi"/>
          <w:bCs/>
          <w:iCs/>
          <w:sz w:val="24"/>
          <w:szCs w:val="24"/>
        </w:rPr>
        <w:t>&amp;</w:t>
      </w:r>
      <w:r w:rsidR="00313615" w:rsidRPr="00313615">
        <w:rPr>
          <w:rFonts w:asciiTheme="majorBidi" w:eastAsia="Times New Roman" w:hAnsiTheme="majorBidi" w:cstheme="majorBidi"/>
          <w:bCs/>
          <w:iCs/>
          <w:sz w:val="24"/>
          <w:szCs w:val="24"/>
        </w:rPr>
        <w:t xml:space="preserve"> Kang</w:t>
      </w:r>
      <w:r w:rsidR="00313615">
        <w:rPr>
          <w:rFonts w:asciiTheme="majorBidi" w:eastAsia="Times New Roman" w:hAnsiTheme="majorBidi" w:cstheme="majorBidi"/>
          <w:bCs/>
          <w:iCs/>
          <w:sz w:val="24"/>
          <w:szCs w:val="24"/>
        </w:rPr>
        <w:t>,</w:t>
      </w:r>
      <w:r w:rsidR="00313615" w:rsidRPr="00313615">
        <w:rPr>
          <w:rFonts w:asciiTheme="majorBidi" w:eastAsia="Times New Roman" w:hAnsiTheme="majorBidi" w:cstheme="majorBidi"/>
          <w:bCs/>
          <w:iCs/>
          <w:sz w:val="24"/>
          <w:szCs w:val="24"/>
        </w:rPr>
        <w:t xml:space="preserve"> 2013)</w:t>
      </w:r>
      <w:r w:rsidR="004B1C21">
        <w:rPr>
          <w:rFonts w:asciiTheme="majorBidi" w:eastAsia="Times New Roman" w:hAnsiTheme="majorBidi" w:cstheme="majorBidi"/>
          <w:bCs/>
          <w:iCs/>
          <w:sz w:val="24"/>
          <w:szCs w:val="24"/>
        </w:rPr>
        <w:t>.</w:t>
      </w:r>
    </w:p>
    <w:p w14:paraId="4B2E0BAC" w14:textId="19275E2F" w:rsidR="00623A70" w:rsidRPr="008E772B" w:rsidRDefault="00623A70" w:rsidP="00361281">
      <w:pPr>
        <w:spacing w:after="0" w:line="360" w:lineRule="auto"/>
        <w:jc w:val="center"/>
        <w:rPr>
          <w:rFonts w:asciiTheme="majorBidi" w:eastAsia="Times New Roman" w:hAnsiTheme="majorBidi" w:cstheme="majorBidi"/>
          <w:b/>
          <w:bCs/>
          <w:sz w:val="24"/>
          <w:szCs w:val="24"/>
        </w:rPr>
      </w:pPr>
      <w:r w:rsidRPr="008E772B">
        <w:rPr>
          <w:rFonts w:asciiTheme="majorBidi" w:eastAsia="Times New Roman" w:hAnsiTheme="majorBidi" w:cstheme="majorBidi"/>
          <w:b/>
          <w:bCs/>
          <w:sz w:val="24"/>
          <w:szCs w:val="24"/>
        </w:rPr>
        <w:t xml:space="preserve">[Insert table </w:t>
      </w:r>
      <w:r w:rsidR="00CF4E37">
        <w:rPr>
          <w:rFonts w:asciiTheme="majorBidi" w:eastAsia="Times New Roman" w:hAnsiTheme="majorBidi" w:cstheme="majorBidi"/>
          <w:b/>
          <w:bCs/>
          <w:sz w:val="24"/>
          <w:szCs w:val="24"/>
        </w:rPr>
        <w:t>5</w:t>
      </w:r>
      <w:r w:rsidR="00361281" w:rsidRPr="008E772B">
        <w:rPr>
          <w:rFonts w:asciiTheme="majorBidi" w:eastAsia="Times New Roman" w:hAnsiTheme="majorBidi" w:cstheme="majorBidi"/>
          <w:b/>
          <w:bCs/>
          <w:sz w:val="24"/>
          <w:szCs w:val="24"/>
        </w:rPr>
        <w:t xml:space="preserve"> </w:t>
      </w:r>
      <w:r w:rsidRPr="008E772B">
        <w:rPr>
          <w:rFonts w:asciiTheme="majorBidi" w:eastAsia="Times New Roman" w:hAnsiTheme="majorBidi" w:cstheme="majorBidi"/>
          <w:b/>
          <w:bCs/>
          <w:sz w:val="24"/>
          <w:szCs w:val="24"/>
        </w:rPr>
        <w:t>about here]</w:t>
      </w:r>
    </w:p>
    <w:p w14:paraId="757B5AF6" w14:textId="4979727A" w:rsidR="00543744" w:rsidRDefault="002138AB" w:rsidP="001908B3">
      <w:pPr>
        <w:spacing w:after="0" w:line="360" w:lineRule="auto"/>
        <w:ind w:firstLine="720"/>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t>Sixth</w:t>
      </w:r>
      <w:r w:rsidR="00944232" w:rsidRPr="008E772B">
        <w:rPr>
          <w:rFonts w:asciiTheme="majorBidi" w:eastAsia="Times New Roman" w:hAnsiTheme="majorBidi" w:cstheme="majorBidi"/>
          <w:bCs/>
          <w:sz w:val="24"/>
          <w:szCs w:val="24"/>
        </w:rPr>
        <w:t xml:space="preserve">, </w:t>
      </w:r>
      <w:r w:rsidR="00577CA9" w:rsidRPr="008E772B">
        <w:rPr>
          <w:rFonts w:asciiTheme="majorBidi" w:eastAsia="Times New Roman" w:hAnsiTheme="majorBidi" w:cstheme="majorBidi"/>
          <w:bCs/>
          <w:sz w:val="24"/>
          <w:szCs w:val="24"/>
        </w:rPr>
        <w:t xml:space="preserve">in line with the suggestions of Lin </w:t>
      </w:r>
      <w:r w:rsidR="00577CA9" w:rsidRPr="008E772B">
        <w:rPr>
          <w:rFonts w:asciiTheme="majorBidi" w:eastAsia="Times New Roman" w:hAnsiTheme="majorBidi" w:cstheme="majorBidi"/>
          <w:bCs/>
          <w:iCs/>
          <w:sz w:val="24"/>
          <w:szCs w:val="24"/>
        </w:rPr>
        <w:t>and</w:t>
      </w:r>
      <w:r w:rsidR="00577CA9" w:rsidRPr="008E772B">
        <w:rPr>
          <w:rFonts w:asciiTheme="majorBidi" w:eastAsia="Times New Roman" w:hAnsiTheme="majorBidi" w:cstheme="majorBidi"/>
          <w:bCs/>
          <w:sz w:val="24"/>
          <w:szCs w:val="24"/>
        </w:rPr>
        <w:t xml:space="preserve"> Liu (2010), we estimate a lagged governance </w:t>
      </w:r>
      <w:r w:rsidR="003E16F9">
        <w:rPr>
          <w:rFonts w:asciiTheme="majorBidi" w:eastAsia="Times New Roman" w:hAnsiTheme="majorBidi" w:cstheme="majorBidi"/>
          <w:bCs/>
          <w:sz w:val="24"/>
          <w:szCs w:val="24"/>
        </w:rPr>
        <w:t>quality</w:t>
      </w:r>
      <w:r w:rsidR="00577CA9" w:rsidRPr="008E772B">
        <w:rPr>
          <w:rFonts w:asciiTheme="majorBidi" w:eastAsia="Times New Roman" w:hAnsiTheme="majorBidi" w:cstheme="majorBidi"/>
          <w:bCs/>
          <w:sz w:val="24"/>
          <w:szCs w:val="24"/>
        </w:rPr>
        <w:t xml:space="preserve">–audit quality connection in order to resolve the existence of a potential simultaneous relationship between governance quality and audit quality. Eq. 1 and 2 are re-estimated by introducing a 1-year lag between </w:t>
      </w:r>
      <w:r w:rsidR="00D851ED" w:rsidRPr="008E772B">
        <w:rPr>
          <w:rFonts w:asciiTheme="majorBidi" w:eastAsia="Times New Roman" w:hAnsiTheme="majorBidi" w:cstheme="majorBidi"/>
          <w:bCs/>
          <w:sz w:val="24"/>
          <w:szCs w:val="24"/>
        </w:rPr>
        <w:t xml:space="preserve">governance </w:t>
      </w:r>
      <w:r w:rsidR="003E16F9">
        <w:rPr>
          <w:rFonts w:asciiTheme="majorBidi" w:eastAsia="Times New Roman" w:hAnsiTheme="majorBidi" w:cstheme="majorBidi"/>
          <w:bCs/>
          <w:sz w:val="24"/>
          <w:szCs w:val="24"/>
        </w:rPr>
        <w:t xml:space="preserve">quality </w:t>
      </w:r>
      <w:r w:rsidR="00D851ED" w:rsidRPr="008E772B">
        <w:rPr>
          <w:rFonts w:asciiTheme="majorBidi" w:eastAsia="Times New Roman" w:hAnsiTheme="majorBidi" w:cstheme="majorBidi"/>
          <w:bCs/>
          <w:sz w:val="24"/>
          <w:szCs w:val="24"/>
        </w:rPr>
        <w:t>and audit quality</w:t>
      </w:r>
      <w:r w:rsidR="00577CA9" w:rsidRPr="008E772B">
        <w:rPr>
          <w:rFonts w:asciiTheme="majorBidi" w:eastAsia="Times New Roman" w:hAnsiTheme="majorBidi" w:cstheme="majorBidi"/>
          <w:bCs/>
          <w:sz w:val="24"/>
          <w:szCs w:val="24"/>
        </w:rPr>
        <w:t>.</w:t>
      </w:r>
      <w:r w:rsidR="007C4420" w:rsidRPr="008E772B">
        <w:rPr>
          <w:rFonts w:asciiTheme="majorBidi" w:eastAsia="Times New Roman" w:hAnsiTheme="majorBidi" w:cstheme="majorBidi"/>
          <w:bCs/>
          <w:sz w:val="24"/>
          <w:szCs w:val="24"/>
        </w:rPr>
        <w:t xml:space="preserve"> In general, the findings presented in Models </w:t>
      </w:r>
      <w:r w:rsidR="00E862EA">
        <w:rPr>
          <w:rFonts w:asciiTheme="majorBidi" w:eastAsia="Times New Roman" w:hAnsiTheme="majorBidi" w:cstheme="majorBidi"/>
          <w:bCs/>
          <w:sz w:val="24"/>
          <w:szCs w:val="24"/>
        </w:rPr>
        <w:t>1</w:t>
      </w:r>
      <w:r w:rsidR="00634DFE" w:rsidRPr="008E772B">
        <w:rPr>
          <w:rFonts w:asciiTheme="majorBidi" w:eastAsia="Times New Roman" w:hAnsiTheme="majorBidi" w:cstheme="majorBidi"/>
          <w:bCs/>
          <w:sz w:val="24"/>
          <w:szCs w:val="24"/>
        </w:rPr>
        <w:t xml:space="preserve"> </w:t>
      </w:r>
      <w:r w:rsidR="007C4420" w:rsidRPr="008E772B">
        <w:rPr>
          <w:rFonts w:asciiTheme="majorBidi" w:eastAsia="Times New Roman" w:hAnsiTheme="majorBidi" w:cstheme="majorBidi"/>
          <w:bCs/>
          <w:sz w:val="24"/>
          <w:szCs w:val="24"/>
        </w:rPr>
        <w:t xml:space="preserve">and </w:t>
      </w:r>
      <w:r w:rsidR="00E862EA">
        <w:rPr>
          <w:rFonts w:asciiTheme="majorBidi" w:eastAsia="Times New Roman" w:hAnsiTheme="majorBidi" w:cstheme="majorBidi"/>
          <w:bCs/>
          <w:sz w:val="24"/>
          <w:szCs w:val="24"/>
        </w:rPr>
        <w:t>2</w:t>
      </w:r>
      <w:r w:rsidR="00634DFE" w:rsidRPr="008E772B">
        <w:rPr>
          <w:rFonts w:asciiTheme="majorBidi" w:eastAsia="Times New Roman" w:hAnsiTheme="majorBidi" w:cstheme="majorBidi"/>
          <w:bCs/>
          <w:sz w:val="24"/>
          <w:szCs w:val="24"/>
        </w:rPr>
        <w:t xml:space="preserve"> </w:t>
      </w:r>
      <w:r w:rsidR="00D851ED" w:rsidRPr="008E772B">
        <w:rPr>
          <w:rFonts w:asciiTheme="majorBidi" w:eastAsia="Times New Roman" w:hAnsiTheme="majorBidi" w:cstheme="majorBidi"/>
          <w:bCs/>
          <w:sz w:val="24"/>
          <w:szCs w:val="24"/>
        </w:rPr>
        <w:t>of</w:t>
      </w:r>
      <w:r w:rsidR="007C4420" w:rsidRPr="008E772B">
        <w:rPr>
          <w:rFonts w:asciiTheme="majorBidi" w:eastAsia="Times New Roman" w:hAnsiTheme="majorBidi" w:cstheme="majorBidi"/>
          <w:bCs/>
          <w:sz w:val="24"/>
          <w:szCs w:val="24"/>
        </w:rPr>
        <w:t xml:space="preserve"> Table </w:t>
      </w:r>
      <w:r w:rsidR="00543744">
        <w:rPr>
          <w:rFonts w:asciiTheme="majorBidi" w:eastAsia="Times New Roman" w:hAnsiTheme="majorBidi" w:cstheme="majorBidi"/>
          <w:bCs/>
          <w:sz w:val="24"/>
          <w:szCs w:val="24"/>
        </w:rPr>
        <w:t>7</w:t>
      </w:r>
      <w:r w:rsidR="00543744" w:rsidRPr="008E772B">
        <w:rPr>
          <w:rFonts w:asciiTheme="majorBidi" w:eastAsia="Times New Roman" w:hAnsiTheme="majorBidi" w:cstheme="majorBidi"/>
          <w:bCs/>
          <w:sz w:val="24"/>
          <w:szCs w:val="24"/>
        </w:rPr>
        <w:t xml:space="preserve"> </w:t>
      </w:r>
      <w:r w:rsidR="007C4420" w:rsidRPr="008E772B">
        <w:rPr>
          <w:rFonts w:asciiTheme="majorBidi" w:eastAsia="Times New Roman" w:hAnsiTheme="majorBidi" w:cstheme="majorBidi"/>
          <w:bCs/>
          <w:sz w:val="24"/>
          <w:szCs w:val="24"/>
        </w:rPr>
        <w:t xml:space="preserve">support the robustness of </w:t>
      </w:r>
      <w:r w:rsidR="00D851ED" w:rsidRPr="008E772B">
        <w:rPr>
          <w:rFonts w:asciiTheme="majorBidi" w:eastAsia="Times New Roman" w:hAnsiTheme="majorBidi" w:cstheme="majorBidi"/>
          <w:bCs/>
          <w:sz w:val="24"/>
          <w:szCs w:val="24"/>
        </w:rPr>
        <w:t xml:space="preserve">the results reported in Models </w:t>
      </w:r>
      <w:r w:rsidR="00543744">
        <w:rPr>
          <w:rFonts w:asciiTheme="majorBidi" w:eastAsia="Times New Roman" w:hAnsiTheme="majorBidi" w:cstheme="majorBidi"/>
          <w:bCs/>
          <w:sz w:val="24"/>
          <w:szCs w:val="24"/>
        </w:rPr>
        <w:t>3</w:t>
      </w:r>
      <w:r w:rsidR="00543744" w:rsidRPr="008E772B">
        <w:rPr>
          <w:rFonts w:asciiTheme="majorBidi" w:eastAsia="Times New Roman" w:hAnsiTheme="majorBidi" w:cstheme="majorBidi"/>
          <w:bCs/>
          <w:sz w:val="24"/>
          <w:szCs w:val="24"/>
        </w:rPr>
        <w:t xml:space="preserve"> </w:t>
      </w:r>
      <w:r w:rsidR="00D851ED" w:rsidRPr="008E772B">
        <w:rPr>
          <w:rFonts w:asciiTheme="majorBidi" w:eastAsia="Times New Roman" w:hAnsiTheme="majorBidi" w:cstheme="majorBidi"/>
          <w:bCs/>
          <w:sz w:val="24"/>
          <w:szCs w:val="24"/>
        </w:rPr>
        <w:t xml:space="preserve">and </w:t>
      </w:r>
      <w:r w:rsidR="00543744">
        <w:rPr>
          <w:rFonts w:asciiTheme="majorBidi" w:eastAsia="Times New Roman" w:hAnsiTheme="majorBidi" w:cstheme="majorBidi"/>
          <w:bCs/>
          <w:sz w:val="24"/>
          <w:szCs w:val="24"/>
        </w:rPr>
        <w:t>7</w:t>
      </w:r>
      <w:r w:rsidR="00543744" w:rsidRPr="008E772B">
        <w:rPr>
          <w:rFonts w:asciiTheme="majorBidi" w:eastAsia="Times New Roman" w:hAnsiTheme="majorBidi" w:cstheme="majorBidi"/>
          <w:bCs/>
          <w:sz w:val="24"/>
          <w:szCs w:val="24"/>
        </w:rPr>
        <w:t xml:space="preserve"> </w:t>
      </w:r>
      <w:r w:rsidR="004973F6">
        <w:rPr>
          <w:rFonts w:asciiTheme="majorBidi" w:eastAsia="Times New Roman" w:hAnsiTheme="majorBidi" w:cstheme="majorBidi"/>
          <w:bCs/>
          <w:sz w:val="24"/>
          <w:szCs w:val="24"/>
        </w:rPr>
        <w:t>of</w:t>
      </w:r>
      <w:r w:rsidR="004973F6" w:rsidRPr="008E772B">
        <w:rPr>
          <w:rFonts w:asciiTheme="majorBidi" w:eastAsia="Times New Roman" w:hAnsiTheme="majorBidi" w:cstheme="majorBidi"/>
          <w:bCs/>
          <w:sz w:val="24"/>
          <w:szCs w:val="24"/>
        </w:rPr>
        <w:t xml:space="preserve"> </w:t>
      </w:r>
      <w:r w:rsidR="007C4420" w:rsidRPr="008E772B">
        <w:rPr>
          <w:rFonts w:asciiTheme="majorBidi" w:eastAsia="Times New Roman" w:hAnsiTheme="majorBidi" w:cstheme="majorBidi"/>
          <w:bCs/>
          <w:sz w:val="24"/>
          <w:szCs w:val="24"/>
        </w:rPr>
        <w:t xml:space="preserve">Table </w:t>
      </w:r>
      <w:r w:rsidR="00CF4E37">
        <w:rPr>
          <w:rFonts w:asciiTheme="majorBidi" w:eastAsia="Times New Roman" w:hAnsiTheme="majorBidi" w:cstheme="majorBidi"/>
          <w:bCs/>
          <w:sz w:val="24"/>
          <w:szCs w:val="24"/>
        </w:rPr>
        <w:t>4</w:t>
      </w:r>
      <w:r w:rsidR="005F5308" w:rsidRPr="008E772B">
        <w:rPr>
          <w:rFonts w:asciiTheme="majorBidi" w:eastAsia="Times New Roman" w:hAnsiTheme="majorBidi" w:cstheme="majorBidi"/>
          <w:bCs/>
          <w:sz w:val="24"/>
          <w:szCs w:val="24"/>
        </w:rPr>
        <w:t xml:space="preserve"> </w:t>
      </w:r>
      <w:r w:rsidR="007C4420" w:rsidRPr="008E772B">
        <w:rPr>
          <w:rFonts w:asciiTheme="majorBidi" w:eastAsia="Times New Roman" w:hAnsiTheme="majorBidi" w:cstheme="majorBidi"/>
          <w:bCs/>
          <w:sz w:val="24"/>
          <w:szCs w:val="24"/>
        </w:rPr>
        <w:t xml:space="preserve">on the </w:t>
      </w:r>
      <w:r w:rsidR="00104C8E" w:rsidRPr="008E772B">
        <w:rPr>
          <w:rFonts w:asciiTheme="majorBidi" w:eastAsia="Times New Roman" w:hAnsiTheme="majorBidi" w:cstheme="majorBidi"/>
          <w:bCs/>
          <w:sz w:val="24"/>
          <w:szCs w:val="24"/>
        </w:rPr>
        <w:t>influence</w:t>
      </w:r>
      <w:r w:rsidR="007C4420" w:rsidRPr="008E772B">
        <w:rPr>
          <w:rFonts w:asciiTheme="majorBidi" w:eastAsia="Times New Roman" w:hAnsiTheme="majorBidi" w:cstheme="majorBidi"/>
          <w:bCs/>
          <w:sz w:val="24"/>
          <w:szCs w:val="24"/>
        </w:rPr>
        <w:t xml:space="preserve"> of lagged effect</w:t>
      </w:r>
      <w:r w:rsidR="00ED1D64" w:rsidRPr="008E772B">
        <w:rPr>
          <w:rFonts w:asciiTheme="majorBidi" w:eastAsia="Times New Roman" w:hAnsiTheme="majorBidi" w:cstheme="majorBidi"/>
          <w:bCs/>
          <w:sz w:val="24"/>
          <w:szCs w:val="24"/>
        </w:rPr>
        <w:t>.</w:t>
      </w:r>
      <w:r w:rsidR="007C4420" w:rsidRPr="008E772B">
        <w:rPr>
          <w:rFonts w:asciiTheme="majorBidi" w:eastAsia="Times New Roman" w:hAnsiTheme="majorBidi" w:cstheme="majorBidi"/>
          <w:bCs/>
          <w:sz w:val="24"/>
          <w:szCs w:val="24"/>
        </w:rPr>
        <w:t xml:space="preserve"> </w:t>
      </w:r>
      <w:r w:rsidR="00630D57" w:rsidRPr="000972D1">
        <w:rPr>
          <w:rFonts w:asciiTheme="majorBidi" w:eastAsia="Times New Roman" w:hAnsiTheme="majorBidi" w:cstheme="majorBidi"/>
          <w:bCs/>
          <w:sz w:val="24"/>
          <w:szCs w:val="24"/>
        </w:rPr>
        <w:t>S</w:t>
      </w:r>
      <w:r w:rsidRPr="000972D1">
        <w:rPr>
          <w:rFonts w:asciiTheme="majorBidi" w:eastAsia="Times New Roman" w:hAnsiTheme="majorBidi" w:cstheme="majorBidi"/>
          <w:bCs/>
          <w:sz w:val="24"/>
          <w:szCs w:val="24"/>
        </w:rPr>
        <w:t>eventh</w:t>
      </w:r>
      <w:r w:rsidR="00630D57" w:rsidRPr="000972D1">
        <w:rPr>
          <w:rFonts w:asciiTheme="majorBidi" w:eastAsia="Times New Roman" w:hAnsiTheme="majorBidi" w:cstheme="majorBidi"/>
          <w:bCs/>
          <w:sz w:val="24"/>
          <w:szCs w:val="24"/>
        </w:rPr>
        <w:t>,</w:t>
      </w:r>
      <w:r w:rsidR="00D3586C" w:rsidRPr="000972D1">
        <w:rPr>
          <w:rFonts w:asciiTheme="majorBidi" w:eastAsia="Times New Roman" w:hAnsiTheme="majorBidi" w:cstheme="majorBidi"/>
          <w:bCs/>
          <w:iCs/>
          <w:sz w:val="24"/>
          <w:szCs w:val="24"/>
        </w:rPr>
        <w:t xml:space="preserve"> in order to test</w:t>
      </w:r>
      <w:r w:rsidR="00570C5F" w:rsidRPr="000972D1">
        <w:rPr>
          <w:rFonts w:asciiTheme="majorBidi" w:eastAsia="Times New Roman" w:hAnsiTheme="majorBidi" w:cstheme="majorBidi"/>
          <w:bCs/>
          <w:iCs/>
          <w:sz w:val="24"/>
          <w:szCs w:val="24"/>
        </w:rPr>
        <w:t xml:space="preserve"> the</w:t>
      </w:r>
      <w:r w:rsidR="00D3586C" w:rsidRPr="000972D1">
        <w:rPr>
          <w:rFonts w:asciiTheme="majorBidi" w:eastAsia="Times New Roman" w:hAnsiTheme="majorBidi" w:cstheme="majorBidi"/>
          <w:bCs/>
          <w:iCs/>
          <w:sz w:val="24"/>
          <w:szCs w:val="24"/>
        </w:rPr>
        <w:t xml:space="preserve"> sensitivity of our findings to the use a different measure of auditor quality (instead of </w:t>
      </w:r>
      <w:r w:rsidR="00D3586C" w:rsidRPr="000972D1">
        <w:rPr>
          <w:rFonts w:asciiTheme="majorBidi" w:eastAsia="Times New Roman" w:hAnsiTheme="majorBidi" w:cstheme="majorBidi"/>
          <w:bCs/>
          <w:i/>
          <w:sz w:val="24"/>
          <w:szCs w:val="24"/>
        </w:rPr>
        <w:t>BIG4</w:t>
      </w:r>
      <w:r w:rsidR="00D3586C" w:rsidRPr="000972D1">
        <w:rPr>
          <w:rFonts w:asciiTheme="majorBidi" w:eastAsia="Times New Roman" w:hAnsiTheme="majorBidi" w:cstheme="majorBidi"/>
          <w:bCs/>
          <w:iCs/>
          <w:sz w:val="24"/>
          <w:szCs w:val="24"/>
        </w:rPr>
        <w:t>), we use another proxy that captures that the auditor being a part of an international network and thus arguably subject to greater regulatory processes and requirements that are associated with being a part of such a network (Al-Ajmi, 2009; Samaha &amp; Hegazy, 2010; El-Dyasty, 2017). This alternative audit firm quality (</w:t>
      </w:r>
      <w:r w:rsidR="006B4C19" w:rsidRPr="000972D1">
        <w:rPr>
          <w:rFonts w:asciiTheme="majorBidi" w:eastAsia="Times New Roman" w:hAnsiTheme="majorBidi" w:cstheme="majorBidi"/>
          <w:bCs/>
          <w:i/>
          <w:sz w:val="24"/>
          <w:szCs w:val="24"/>
        </w:rPr>
        <w:t>IAF</w:t>
      </w:r>
      <w:r w:rsidR="00D3586C" w:rsidRPr="000972D1">
        <w:rPr>
          <w:rFonts w:asciiTheme="majorBidi" w:eastAsia="Times New Roman" w:hAnsiTheme="majorBidi" w:cstheme="majorBidi"/>
          <w:bCs/>
          <w:iCs/>
          <w:sz w:val="24"/>
          <w:szCs w:val="24"/>
        </w:rPr>
        <w:t xml:space="preserve">) is a </w:t>
      </w:r>
      <w:r w:rsidR="00D3586C" w:rsidRPr="000972D1">
        <w:rPr>
          <w:rFonts w:asciiTheme="majorBidi" w:eastAsia="Times New Roman" w:hAnsiTheme="majorBidi" w:cstheme="majorBidi"/>
          <w:bCs/>
          <w:iCs/>
          <w:sz w:val="24"/>
          <w:szCs w:val="24"/>
          <w:lang w:val="en-US"/>
        </w:rPr>
        <w:t>dummy variable that takes the value of 1 if a firm is audited by</w:t>
      </w:r>
      <w:r w:rsidR="00D3586C" w:rsidRPr="000972D1">
        <w:rPr>
          <w:rFonts w:asciiTheme="majorBidi" w:eastAsia="Times New Roman" w:hAnsiTheme="majorBidi" w:cstheme="majorBidi"/>
          <w:bCs/>
          <w:iCs/>
          <w:sz w:val="24"/>
          <w:szCs w:val="24"/>
        </w:rPr>
        <w:t xml:space="preserve"> audit firm that is part of an international network, including</w:t>
      </w:r>
      <w:r w:rsidR="00D3586C" w:rsidRPr="000972D1">
        <w:rPr>
          <w:rFonts w:asciiTheme="majorBidi" w:eastAsia="Times New Roman" w:hAnsiTheme="majorBidi" w:cstheme="majorBidi"/>
          <w:bCs/>
          <w:iCs/>
          <w:sz w:val="24"/>
          <w:szCs w:val="24"/>
          <w:lang w:val="en-US"/>
        </w:rPr>
        <w:t xml:space="preserve"> Big 4 audit firms (PricewaterhouseCoopers, Deloitte &amp; Touche, Ernst &amp; Young, and KPMG), 0 otherwise.</w:t>
      </w:r>
      <w:r w:rsidR="00D3586C" w:rsidRPr="000972D1">
        <w:rPr>
          <w:rFonts w:asciiTheme="majorBidi" w:eastAsia="Times New Roman" w:hAnsiTheme="majorBidi" w:cstheme="majorBidi"/>
          <w:bCs/>
          <w:sz w:val="24"/>
          <w:szCs w:val="24"/>
        </w:rPr>
        <w:t xml:space="preserve"> </w:t>
      </w:r>
      <w:r w:rsidR="00D3586C" w:rsidRPr="000972D1">
        <w:rPr>
          <w:rFonts w:asciiTheme="majorBidi" w:eastAsia="Times New Roman" w:hAnsiTheme="majorBidi" w:cstheme="majorBidi"/>
          <w:bCs/>
          <w:iCs/>
          <w:sz w:val="24"/>
          <w:szCs w:val="24"/>
        </w:rPr>
        <w:t xml:space="preserve">Generally, the findings presented in Models 3 and 4 of Table 7 are largely similar to our results reported in Models 3 and </w:t>
      </w:r>
      <w:r w:rsidR="006B4C19" w:rsidRPr="000972D1">
        <w:rPr>
          <w:rFonts w:asciiTheme="majorBidi" w:eastAsia="Times New Roman" w:hAnsiTheme="majorBidi" w:cstheme="majorBidi"/>
          <w:bCs/>
          <w:iCs/>
          <w:sz w:val="24"/>
          <w:szCs w:val="24"/>
        </w:rPr>
        <w:t>7</w:t>
      </w:r>
      <w:r w:rsidR="00D3586C" w:rsidRPr="000972D1">
        <w:rPr>
          <w:rFonts w:asciiTheme="majorBidi" w:eastAsia="Times New Roman" w:hAnsiTheme="majorBidi" w:cstheme="majorBidi"/>
          <w:bCs/>
          <w:iCs/>
          <w:sz w:val="24"/>
          <w:szCs w:val="24"/>
        </w:rPr>
        <w:t xml:space="preserve"> of Table </w:t>
      </w:r>
      <w:r w:rsidR="006B4C19" w:rsidRPr="000972D1">
        <w:rPr>
          <w:rFonts w:asciiTheme="majorBidi" w:eastAsia="Times New Roman" w:hAnsiTheme="majorBidi" w:cstheme="majorBidi"/>
          <w:bCs/>
          <w:iCs/>
          <w:sz w:val="24"/>
          <w:szCs w:val="24"/>
        </w:rPr>
        <w:t>4</w:t>
      </w:r>
      <w:r w:rsidR="00D3586C" w:rsidRPr="000972D1">
        <w:rPr>
          <w:rFonts w:asciiTheme="majorBidi" w:eastAsia="Times New Roman" w:hAnsiTheme="majorBidi" w:cstheme="majorBidi"/>
          <w:bCs/>
          <w:iCs/>
          <w:sz w:val="24"/>
          <w:szCs w:val="24"/>
        </w:rPr>
        <w:t>.</w:t>
      </w:r>
    </w:p>
    <w:p w14:paraId="4FB72B20" w14:textId="5099BD12" w:rsidR="00995451" w:rsidRDefault="007C4420" w:rsidP="001908B3">
      <w:pPr>
        <w:spacing w:after="0" w:line="360" w:lineRule="auto"/>
        <w:ind w:firstLine="720"/>
        <w:jc w:val="both"/>
        <w:rPr>
          <w:rFonts w:asciiTheme="majorBidi" w:eastAsia="Times New Roman" w:hAnsiTheme="majorBidi" w:cstheme="majorBidi"/>
          <w:bCs/>
          <w:iCs/>
          <w:sz w:val="24"/>
          <w:szCs w:val="24"/>
        </w:rPr>
      </w:pPr>
      <w:r w:rsidRPr="008E772B">
        <w:rPr>
          <w:rFonts w:asciiTheme="majorBidi" w:eastAsia="Times New Roman" w:hAnsiTheme="majorBidi" w:cstheme="majorBidi"/>
          <w:bCs/>
          <w:sz w:val="24"/>
          <w:szCs w:val="24"/>
        </w:rPr>
        <w:t xml:space="preserve">The </w:t>
      </w:r>
      <w:r w:rsidR="002138AB">
        <w:rPr>
          <w:rFonts w:asciiTheme="majorBidi" w:eastAsia="Times New Roman" w:hAnsiTheme="majorBidi" w:cstheme="majorBidi"/>
          <w:bCs/>
          <w:sz w:val="24"/>
          <w:szCs w:val="24"/>
        </w:rPr>
        <w:t>eighth</w:t>
      </w:r>
      <w:r w:rsidR="00630D57" w:rsidRPr="008E772B">
        <w:rPr>
          <w:rFonts w:asciiTheme="majorBidi" w:eastAsia="Times New Roman" w:hAnsiTheme="majorBidi" w:cstheme="majorBidi"/>
          <w:bCs/>
          <w:sz w:val="24"/>
          <w:szCs w:val="24"/>
        </w:rPr>
        <w:t xml:space="preserve"> </w:t>
      </w:r>
      <w:r w:rsidRPr="008E772B">
        <w:rPr>
          <w:rFonts w:asciiTheme="majorBidi" w:eastAsia="Times New Roman" w:hAnsiTheme="majorBidi" w:cstheme="majorBidi"/>
          <w:bCs/>
          <w:sz w:val="24"/>
          <w:szCs w:val="24"/>
        </w:rPr>
        <w:t xml:space="preserve">sensitivity test is related to the </w:t>
      </w:r>
      <w:r w:rsidR="004153E4" w:rsidRPr="008E772B">
        <w:rPr>
          <w:rFonts w:asciiTheme="majorBidi" w:eastAsia="Times New Roman" w:hAnsiTheme="majorBidi" w:cstheme="majorBidi"/>
          <w:bCs/>
          <w:sz w:val="24"/>
          <w:szCs w:val="24"/>
        </w:rPr>
        <w:t xml:space="preserve">suggested </w:t>
      </w:r>
      <w:r w:rsidRPr="008E772B">
        <w:rPr>
          <w:rFonts w:asciiTheme="majorBidi" w:eastAsia="Times New Roman" w:hAnsiTheme="majorBidi" w:cstheme="majorBidi"/>
          <w:bCs/>
          <w:sz w:val="24"/>
          <w:szCs w:val="24"/>
        </w:rPr>
        <w:t xml:space="preserve">moderating effect of client size on the relationship </w:t>
      </w:r>
      <w:r w:rsidR="00013CB5" w:rsidRPr="008E772B">
        <w:rPr>
          <w:rFonts w:asciiTheme="majorBidi" w:eastAsia="Times New Roman" w:hAnsiTheme="majorBidi" w:cstheme="majorBidi"/>
          <w:bCs/>
          <w:sz w:val="24"/>
          <w:szCs w:val="24"/>
        </w:rPr>
        <w:t>between</w:t>
      </w:r>
      <w:r w:rsidRPr="008E772B">
        <w:rPr>
          <w:rFonts w:asciiTheme="majorBidi" w:eastAsia="Times New Roman" w:hAnsiTheme="majorBidi" w:cstheme="majorBidi"/>
          <w:bCs/>
          <w:sz w:val="24"/>
          <w:szCs w:val="24"/>
        </w:rPr>
        <w:t xml:space="preserve"> firm-</w:t>
      </w:r>
      <w:r w:rsidR="00013CB5" w:rsidRPr="008E772B">
        <w:rPr>
          <w:rFonts w:asciiTheme="majorBidi" w:eastAsia="Times New Roman" w:hAnsiTheme="majorBidi" w:cstheme="majorBidi"/>
          <w:bCs/>
          <w:sz w:val="24"/>
          <w:szCs w:val="24"/>
        </w:rPr>
        <w:t xml:space="preserve">and </w:t>
      </w:r>
      <w:r w:rsidR="00F35AA8" w:rsidRPr="008E772B">
        <w:rPr>
          <w:rFonts w:asciiTheme="majorBidi" w:eastAsia="Times New Roman" w:hAnsiTheme="majorBidi" w:cstheme="majorBidi"/>
          <w:bCs/>
          <w:sz w:val="24"/>
          <w:szCs w:val="24"/>
        </w:rPr>
        <w:t>country</w:t>
      </w:r>
      <w:r w:rsidR="00F35AA8">
        <w:rPr>
          <w:rFonts w:asciiTheme="majorBidi" w:eastAsia="Times New Roman" w:hAnsiTheme="majorBidi" w:cstheme="majorBidi"/>
          <w:bCs/>
          <w:sz w:val="24"/>
          <w:szCs w:val="24"/>
        </w:rPr>
        <w:t>-</w:t>
      </w:r>
      <w:r w:rsidR="00013CB5" w:rsidRPr="008E772B">
        <w:rPr>
          <w:rFonts w:asciiTheme="majorBidi" w:eastAsia="Times New Roman" w:hAnsiTheme="majorBidi" w:cstheme="majorBidi"/>
          <w:bCs/>
          <w:sz w:val="24"/>
          <w:szCs w:val="24"/>
        </w:rPr>
        <w:t>level governance</w:t>
      </w:r>
      <w:r w:rsidR="005D2182">
        <w:rPr>
          <w:rFonts w:asciiTheme="majorBidi" w:eastAsia="Times New Roman" w:hAnsiTheme="majorBidi" w:cstheme="majorBidi"/>
          <w:bCs/>
          <w:sz w:val="24"/>
          <w:szCs w:val="24"/>
        </w:rPr>
        <w:t>,</w:t>
      </w:r>
      <w:r w:rsidR="00013CB5" w:rsidRPr="008E772B">
        <w:rPr>
          <w:rFonts w:asciiTheme="majorBidi" w:eastAsia="Times New Roman" w:hAnsiTheme="majorBidi" w:cstheme="majorBidi"/>
          <w:bCs/>
          <w:sz w:val="24"/>
          <w:szCs w:val="24"/>
        </w:rPr>
        <w:t xml:space="preserve"> and </w:t>
      </w:r>
      <w:r w:rsidR="005B066B">
        <w:rPr>
          <w:rFonts w:asciiTheme="majorBidi" w:eastAsia="Times New Roman" w:hAnsiTheme="majorBidi" w:cstheme="majorBidi"/>
          <w:bCs/>
          <w:sz w:val="24"/>
          <w:szCs w:val="24"/>
        </w:rPr>
        <w:t>audit quality</w:t>
      </w:r>
      <w:r w:rsidRPr="008E772B">
        <w:rPr>
          <w:rFonts w:asciiTheme="majorBidi" w:eastAsia="Times New Roman" w:hAnsiTheme="majorBidi" w:cstheme="majorBidi"/>
          <w:bCs/>
          <w:sz w:val="24"/>
          <w:szCs w:val="24"/>
        </w:rPr>
        <w:t xml:space="preserve"> (Carcello </w:t>
      </w:r>
      <w:r w:rsidRPr="008E772B">
        <w:rPr>
          <w:rFonts w:asciiTheme="majorBidi" w:eastAsia="Times New Roman" w:hAnsiTheme="majorBidi" w:cstheme="majorBidi"/>
          <w:bCs/>
          <w:i/>
          <w:sz w:val="24"/>
          <w:szCs w:val="24"/>
        </w:rPr>
        <w:t>et al</w:t>
      </w:r>
      <w:r w:rsidRPr="008E772B">
        <w:rPr>
          <w:rFonts w:asciiTheme="majorBidi" w:eastAsia="Times New Roman" w:hAnsiTheme="majorBidi" w:cstheme="majorBidi"/>
          <w:bCs/>
          <w:sz w:val="24"/>
          <w:szCs w:val="24"/>
        </w:rPr>
        <w:t xml:space="preserve">., 2002). Following Carcello </w:t>
      </w:r>
      <w:r w:rsidRPr="008E772B">
        <w:rPr>
          <w:rFonts w:asciiTheme="majorBidi" w:eastAsia="Times New Roman" w:hAnsiTheme="majorBidi" w:cstheme="majorBidi"/>
          <w:bCs/>
          <w:i/>
          <w:sz w:val="24"/>
          <w:szCs w:val="24"/>
        </w:rPr>
        <w:t>et al</w:t>
      </w:r>
      <w:r w:rsidRPr="008E772B">
        <w:rPr>
          <w:rFonts w:asciiTheme="majorBidi" w:eastAsia="Times New Roman" w:hAnsiTheme="majorBidi" w:cstheme="majorBidi"/>
          <w:bCs/>
          <w:sz w:val="24"/>
          <w:szCs w:val="24"/>
        </w:rPr>
        <w:t xml:space="preserve">. (2002), the study sample was split at the median to test </w:t>
      </w:r>
      <w:r w:rsidR="00013CB5" w:rsidRPr="008E772B">
        <w:rPr>
          <w:rFonts w:asciiTheme="majorBidi" w:eastAsia="Times New Roman" w:hAnsiTheme="majorBidi" w:cstheme="majorBidi"/>
          <w:bCs/>
          <w:sz w:val="24"/>
          <w:szCs w:val="24"/>
        </w:rPr>
        <w:t xml:space="preserve">Eq. 1 and 2 </w:t>
      </w:r>
      <w:r w:rsidRPr="008E772B">
        <w:rPr>
          <w:rFonts w:asciiTheme="majorBidi" w:eastAsia="Times New Roman" w:hAnsiTheme="majorBidi" w:cstheme="majorBidi"/>
          <w:bCs/>
          <w:sz w:val="24"/>
          <w:szCs w:val="24"/>
        </w:rPr>
        <w:t xml:space="preserve">within each subset of the data. </w:t>
      </w:r>
      <w:r w:rsidR="00EB5B56" w:rsidRPr="008E772B">
        <w:rPr>
          <w:rFonts w:asciiTheme="majorBidi" w:eastAsia="Times New Roman" w:hAnsiTheme="majorBidi" w:cstheme="majorBidi"/>
          <w:bCs/>
          <w:sz w:val="24"/>
          <w:szCs w:val="24"/>
        </w:rPr>
        <w:t>In general</w:t>
      </w:r>
      <w:r w:rsidRPr="008E772B">
        <w:rPr>
          <w:rFonts w:asciiTheme="majorBidi" w:eastAsia="Times New Roman" w:hAnsiTheme="majorBidi" w:cstheme="majorBidi"/>
          <w:bCs/>
          <w:iCs/>
          <w:sz w:val="24"/>
          <w:szCs w:val="24"/>
        </w:rPr>
        <w:t>,</w:t>
      </w:r>
      <w:r w:rsidRPr="008E772B">
        <w:rPr>
          <w:rFonts w:asciiTheme="majorBidi" w:eastAsia="Times New Roman" w:hAnsiTheme="majorBidi" w:cstheme="majorBidi"/>
          <w:bCs/>
          <w:sz w:val="24"/>
          <w:szCs w:val="24"/>
        </w:rPr>
        <w:t xml:space="preserve"> Models </w:t>
      </w:r>
      <w:r w:rsidR="006B4C19">
        <w:rPr>
          <w:rFonts w:asciiTheme="majorBidi" w:eastAsia="Times New Roman" w:hAnsiTheme="majorBidi" w:cstheme="majorBidi"/>
          <w:bCs/>
          <w:sz w:val="24"/>
          <w:szCs w:val="24"/>
        </w:rPr>
        <w:t>5</w:t>
      </w:r>
      <w:r w:rsidR="006B4C19" w:rsidRPr="008E772B">
        <w:rPr>
          <w:rFonts w:asciiTheme="majorBidi" w:eastAsia="Times New Roman" w:hAnsiTheme="majorBidi" w:cstheme="majorBidi"/>
          <w:bCs/>
          <w:sz w:val="24"/>
          <w:szCs w:val="24"/>
        </w:rPr>
        <w:t xml:space="preserve"> </w:t>
      </w:r>
      <w:r w:rsidR="00013CB5" w:rsidRPr="008E772B">
        <w:rPr>
          <w:rFonts w:asciiTheme="majorBidi" w:eastAsia="Times New Roman" w:hAnsiTheme="majorBidi" w:cstheme="majorBidi"/>
          <w:bCs/>
          <w:sz w:val="24"/>
          <w:szCs w:val="24"/>
        </w:rPr>
        <w:t xml:space="preserve">to </w:t>
      </w:r>
      <w:r w:rsidR="006B4C19">
        <w:rPr>
          <w:rFonts w:asciiTheme="majorBidi" w:eastAsia="Times New Roman" w:hAnsiTheme="majorBidi" w:cstheme="majorBidi"/>
          <w:bCs/>
          <w:sz w:val="24"/>
          <w:szCs w:val="24"/>
        </w:rPr>
        <w:t>8</w:t>
      </w:r>
      <w:r w:rsidR="006B4C19" w:rsidRPr="008E772B">
        <w:rPr>
          <w:rFonts w:asciiTheme="majorBidi" w:eastAsia="Times New Roman" w:hAnsiTheme="majorBidi" w:cstheme="majorBidi"/>
          <w:bCs/>
          <w:sz w:val="24"/>
          <w:szCs w:val="24"/>
        </w:rPr>
        <w:t xml:space="preserve"> </w:t>
      </w:r>
      <w:r w:rsidR="004973F6">
        <w:rPr>
          <w:rFonts w:asciiTheme="majorBidi" w:eastAsia="Times New Roman" w:hAnsiTheme="majorBidi" w:cstheme="majorBidi"/>
          <w:bCs/>
          <w:sz w:val="24"/>
          <w:szCs w:val="24"/>
        </w:rPr>
        <w:t>of</w:t>
      </w:r>
      <w:r w:rsidR="004973F6" w:rsidRPr="008E772B">
        <w:rPr>
          <w:rFonts w:asciiTheme="majorBidi" w:eastAsia="Times New Roman" w:hAnsiTheme="majorBidi" w:cstheme="majorBidi"/>
          <w:bCs/>
          <w:sz w:val="24"/>
          <w:szCs w:val="24"/>
        </w:rPr>
        <w:t xml:space="preserve"> </w:t>
      </w:r>
      <w:r w:rsidRPr="008E772B">
        <w:rPr>
          <w:rFonts w:asciiTheme="majorBidi" w:eastAsia="Times New Roman" w:hAnsiTheme="majorBidi" w:cstheme="majorBidi"/>
          <w:bCs/>
          <w:sz w:val="24"/>
          <w:szCs w:val="24"/>
        </w:rPr>
        <w:t xml:space="preserve">Table </w:t>
      </w:r>
      <w:r w:rsidR="006B4C19">
        <w:rPr>
          <w:rFonts w:asciiTheme="majorBidi" w:eastAsia="Times New Roman" w:hAnsiTheme="majorBidi" w:cstheme="majorBidi"/>
          <w:bCs/>
          <w:sz w:val="24"/>
          <w:szCs w:val="24"/>
        </w:rPr>
        <w:t>7</w:t>
      </w:r>
      <w:r w:rsidR="006B4C19" w:rsidRPr="008E772B">
        <w:rPr>
          <w:rFonts w:asciiTheme="majorBidi" w:eastAsia="Times New Roman" w:hAnsiTheme="majorBidi" w:cstheme="majorBidi"/>
          <w:bCs/>
          <w:sz w:val="24"/>
          <w:szCs w:val="24"/>
        </w:rPr>
        <w:t xml:space="preserve"> </w:t>
      </w:r>
      <w:r w:rsidRPr="008E772B">
        <w:rPr>
          <w:rFonts w:asciiTheme="majorBidi" w:eastAsia="Times New Roman" w:hAnsiTheme="majorBidi" w:cstheme="majorBidi"/>
          <w:bCs/>
          <w:sz w:val="24"/>
          <w:szCs w:val="24"/>
        </w:rPr>
        <w:t>support</w:t>
      </w:r>
      <w:r w:rsidR="00101C93" w:rsidRPr="008E772B">
        <w:rPr>
          <w:rFonts w:asciiTheme="majorBidi" w:eastAsia="Times New Roman" w:hAnsiTheme="majorBidi" w:cstheme="majorBidi"/>
          <w:bCs/>
          <w:sz w:val="24"/>
          <w:szCs w:val="24"/>
        </w:rPr>
        <w:t xml:space="preserve"> that our findings are insensitive to differences in firm size</w:t>
      </w:r>
      <w:r w:rsidR="00602986" w:rsidRPr="008E772B">
        <w:rPr>
          <w:rFonts w:asciiTheme="majorBidi" w:eastAsia="Times New Roman" w:hAnsiTheme="majorBidi" w:cstheme="majorBidi"/>
          <w:bCs/>
          <w:iCs/>
          <w:sz w:val="24"/>
          <w:szCs w:val="24"/>
        </w:rPr>
        <w:t xml:space="preserve">. </w:t>
      </w:r>
      <w:r w:rsidR="00CF4E37">
        <w:rPr>
          <w:rFonts w:asciiTheme="majorBidi" w:eastAsia="Times New Roman" w:hAnsiTheme="majorBidi" w:cstheme="majorBidi"/>
          <w:bCs/>
          <w:iCs/>
          <w:sz w:val="24"/>
          <w:szCs w:val="24"/>
        </w:rPr>
        <w:t>Finally</w:t>
      </w:r>
      <w:r w:rsidR="002C5445" w:rsidRPr="007E5F24">
        <w:rPr>
          <w:rFonts w:asciiTheme="majorBidi" w:eastAsia="Times New Roman" w:hAnsiTheme="majorBidi" w:cstheme="majorBidi"/>
          <w:bCs/>
          <w:iCs/>
          <w:sz w:val="24"/>
          <w:szCs w:val="24"/>
        </w:rPr>
        <w:t>,</w:t>
      </w:r>
      <w:r w:rsidR="00E862EA" w:rsidRPr="007E5F24">
        <w:rPr>
          <w:rFonts w:asciiTheme="majorBidi" w:eastAsia="Times New Roman" w:hAnsiTheme="majorBidi" w:cstheme="majorBidi"/>
          <w:bCs/>
          <w:iCs/>
          <w:sz w:val="24"/>
          <w:szCs w:val="24"/>
        </w:rPr>
        <w:t xml:space="preserve"> </w:t>
      </w:r>
      <w:r w:rsidR="00EF0B2A" w:rsidRPr="007E5F24">
        <w:rPr>
          <w:rFonts w:asciiTheme="majorBidi" w:eastAsia="Times New Roman" w:hAnsiTheme="majorBidi" w:cstheme="majorBidi"/>
          <w:bCs/>
          <w:iCs/>
          <w:sz w:val="24"/>
          <w:szCs w:val="24"/>
        </w:rPr>
        <w:t xml:space="preserve">to </w:t>
      </w:r>
      <w:r w:rsidR="00995451" w:rsidRPr="007E5F24">
        <w:rPr>
          <w:rFonts w:asciiTheme="majorBidi" w:eastAsia="Times New Roman" w:hAnsiTheme="majorBidi" w:cstheme="majorBidi"/>
          <w:bCs/>
          <w:iCs/>
          <w:sz w:val="24"/>
          <w:szCs w:val="24"/>
        </w:rPr>
        <w:t xml:space="preserve">consider the economic development in each country, we adopted the approach of </w:t>
      </w:r>
      <w:r w:rsidR="007906BB" w:rsidRPr="007E5F24">
        <w:rPr>
          <w:rFonts w:asciiTheme="majorBidi" w:eastAsia="Times New Roman" w:hAnsiTheme="majorBidi" w:cstheme="majorBidi"/>
          <w:bCs/>
          <w:iCs/>
          <w:sz w:val="24"/>
          <w:szCs w:val="24"/>
        </w:rPr>
        <w:t xml:space="preserve">Chung and Narasimhan (2002) </w:t>
      </w:r>
      <w:r w:rsidR="007E5F24" w:rsidRPr="007E5F24">
        <w:rPr>
          <w:rFonts w:asciiTheme="majorBidi" w:eastAsia="Times New Roman" w:hAnsiTheme="majorBidi" w:cstheme="majorBidi"/>
          <w:bCs/>
          <w:iCs/>
          <w:sz w:val="24"/>
          <w:szCs w:val="24"/>
        </w:rPr>
        <w:t>by adjusting</w:t>
      </w:r>
      <w:r w:rsidR="00995451" w:rsidRPr="007E5F24">
        <w:rPr>
          <w:rFonts w:asciiTheme="majorBidi" w:eastAsia="Times New Roman" w:hAnsiTheme="majorBidi" w:cstheme="majorBidi"/>
          <w:bCs/>
          <w:iCs/>
          <w:sz w:val="24"/>
          <w:szCs w:val="24"/>
        </w:rPr>
        <w:t xml:space="preserve"> </w:t>
      </w:r>
      <w:r w:rsidR="00E862EA" w:rsidRPr="007E5F24">
        <w:rPr>
          <w:rFonts w:asciiTheme="majorBidi" w:eastAsia="Times New Roman" w:hAnsiTheme="majorBidi" w:cstheme="majorBidi"/>
          <w:bCs/>
          <w:iCs/>
          <w:sz w:val="24"/>
          <w:szCs w:val="24"/>
        </w:rPr>
        <w:t xml:space="preserve">the </w:t>
      </w:r>
      <w:r w:rsidR="00995451" w:rsidRPr="007E5F24">
        <w:rPr>
          <w:rFonts w:asciiTheme="majorBidi" w:eastAsia="Times New Roman" w:hAnsiTheme="majorBidi" w:cstheme="majorBidi"/>
          <w:bCs/>
          <w:iCs/>
          <w:sz w:val="24"/>
          <w:szCs w:val="24"/>
        </w:rPr>
        <w:t xml:space="preserve">exchange rates </w:t>
      </w:r>
      <w:r w:rsidR="00E862EA" w:rsidRPr="007E5F24">
        <w:rPr>
          <w:rFonts w:asciiTheme="majorBidi" w:eastAsia="Times New Roman" w:hAnsiTheme="majorBidi" w:cstheme="majorBidi"/>
          <w:bCs/>
          <w:iCs/>
          <w:sz w:val="24"/>
          <w:szCs w:val="24"/>
        </w:rPr>
        <w:t xml:space="preserve">in </w:t>
      </w:r>
      <w:r w:rsidR="00995451" w:rsidRPr="007E5F24">
        <w:rPr>
          <w:rFonts w:asciiTheme="majorBidi" w:eastAsia="Times New Roman" w:hAnsiTheme="majorBidi" w:cstheme="majorBidi"/>
          <w:bCs/>
          <w:iCs/>
          <w:sz w:val="24"/>
          <w:szCs w:val="24"/>
        </w:rPr>
        <w:t xml:space="preserve">the </w:t>
      </w:r>
      <w:r w:rsidR="00E862EA" w:rsidRPr="007E5F24">
        <w:rPr>
          <w:rFonts w:asciiTheme="majorBidi" w:eastAsia="Times New Roman" w:hAnsiTheme="majorBidi" w:cstheme="majorBidi"/>
          <w:bCs/>
          <w:iCs/>
          <w:sz w:val="24"/>
          <w:szCs w:val="24"/>
        </w:rPr>
        <w:t>US dollars</w:t>
      </w:r>
      <w:r w:rsidR="008F20FC" w:rsidRPr="007E5F24">
        <w:rPr>
          <w:rFonts w:asciiTheme="majorBidi" w:eastAsia="Times New Roman" w:hAnsiTheme="majorBidi" w:cstheme="majorBidi"/>
          <w:bCs/>
          <w:iCs/>
          <w:sz w:val="24"/>
          <w:szCs w:val="24"/>
        </w:rPr>
        <w:t xml:space="preserve"> </w:t>
      </w:r>
      <w:r w:rsidR="007E5F24" w:rsidRPr="007E5F24">
        <w:rPr>
          <w:rFonts w:asciiTheme="majorBidi" w:eastAsia="Times New Roman" w:hAnsiTheme="majorBidi" w:cstheme="majorBidi"/>
          <w:bCs/>
          <w:iCs/>
          <w:sz w:val="24"/>
          <w:szCs w:val="24"/>
        </w:rPr>
        <w:t>with the</w:t>
      </w:r>
      <w:r w:rsidR="002C5445" w:rsidRPr="007E5F24">
        <w:rPr>
          <w:rFonts w:asciiTheme="majorBidi" w:eastAsia="Times New Roman" w:hAnsiTheme="majorBidi" w:cstheme="majorBidi"/>
          <w:bCs/>
          <w:iCs/>
          <w:sz w:val="24"/>
          <w:szCs w:val="24"/>
        </w:rPr>
        <w:t xml:space="preserve"> country’s </w:t>
      </w:r>
      <w:r w:rsidR="00E862EA" w:rsidRPr="007E5F24">
        <w:rPr>
          <w:rFonts w:asciiTheme="majorBidi" w:eastAsia="Times New Roman" w:hAnsiTheme="majorBidi" w:cstheme="majorBidi"/>
          <w:bCs/>
          <w:iCs/>
          <w:sz w:val="24"/>
          <w:szCs w:val="24"/>
        </w:rPr>
        <w:t>Purchasing Power Parity</w:t>
      </w:r>
      <w:r w:rsidR="001908B3">
        <w:rPr>
          <w:rFonts w:asciiTheme="majorBidi" w:eastAsia="Times New Roman" w:hAnsiTheme="majorBidi" w:cstheme="majorBidi"/>
          <w:bCs/>
          <w:iCs/>
          <w:sz w:val="24"/>
          <w:szCs w:val="24"/>
        </w:rPr>
        <w:t xml:space="preserve"> (PPP)</w:t>
      </w:r>
      <w:r w:rsidR="00E862EA" w:rsidRPr="007E5F24">
        <w:rPr>
          <w:rFonts w:asciiTheme="majorBidi" w:eastAsia="Times New Roman" w:hAnsiTheme="majorBidi" w:cstheme="majorBidi"/>
          <w:bCs/>
          <w:iCs/>
          <w:sz w:val="24"/>
          <w:szCs w:val="24"/>
        </w:rPr>
        <w:t xml:space="preserve"> </w:t>
      </w:r>
      <w:r w:rsidR="00995451" w:rsidRPr="007E5F24">
        <w:rPr>
          <w:rFonts w:asciiTheme="majorBidi" w:eastAsia="Times New Roman" w:hAnsiTheme="majorBidi" w:cstheme="majorBidi"/>
          <w:bCs/>
          <w:iCs/>
          <w:sz w:val="24"/>
          <w:szCs w:val="24"/>
        </w:rPr>
        <w:t>(</w:t>
      </w:r>
      <w:r w:rsidR="00E862EA" w:rsidRPr="007E5F24">
        <w:rPr>
          <w:rFonts w:asciiTheme="majorBidi" w:eastAsia="Times New Roman" w:hAnsiTheme="majorBidi" w:cstheme="majorBidi"/>
          <w:bCs/>
          <w:iCs/>
          <w:sz w:val="24"/>
          <w:szCs w:val="24"/>
        </w:rPr>
        <w:t>obtained</w:t>
      </w:r>
      <w:r w:rsidR="008F20FC" w:rsidRPr="007E5F24">
        <w:rPr>
          <w:rFonts w:asciiTheme="majorBidi" w:eastAsia="Times New Roman" w:hAnsiTheme="majorBidi" w:cstheme="majorBidi"/>
          <w:bCs/>
          <w:iCs/>
          <w:sz w:val="24"/>
          <w:szCs w:val="24"/>
        </w:rPr>
        <w:t xml:space="preserve"> </w:t>
      </w:r>
      <w:r w:rsidR="00E862EA" w:rsidRPr="007E5F24">
        <w:rPr>
          <w:rFonts w:asciiTheme="majorBidi" w:eastAsia="Times New Roman" w:hAnsiTheme="majorBidi" w:cstheme="majorBidi"/>
          <w:bCs/>
          <w:iCs/>
          <w:sz w:val="24"/>
          <w:szCs w:val="24"/>
        </w:rPr>
        <w:t xml:space="preserve">from the </w:t>
      </w:r>
      <w:r w:rsidR="00E862EA" w:rsidRPr="007E5F24">
        <w:rPr>
          <w:rFonts w:asciiTheme="majorBidi" w:eastAsia="Times New Roman" w:hAnsiTheme="majorBidi" w:cstheme="majorBidi"/>
          <w:bCs/>
          <w:sz w:val="24"/>
          <w:szCs w:val="24"/>
        </w:rPr>
        <w:t>World Bank</w:t>
      </w:r>
      <w:r w:rsidR="00995451" w:rsidRPr="007E5F24">
        <w:rPr>
          <w:rFonts w:asciiTheme="majorBidi" w:eastAsia="Times New Roman" w:hAnsiTheme="majorBidi" w:cstheme="majorBidi"/>
          <w:bCs/>
          <w:sz w:val="24"/>
          <w:szCs w:val="24"/>
        </w:rPr>
        <w:t>)</w:t>
      </w:r>
      <w:r w:rsidR="00E862EA" w:rsidRPr="007E5F24">
        <w:rPr>
          <w:rFonts w:asciiTheme="majorBidi" w:eastAsia="Times New Roman" w:hAnsiTheme="majorBidi" w:cstheme="majorBidi"/>
          <w:bCs/>
          <w:iCs/>
          <w:sz w:val="24"/>
          <w:szCs w:val="24"/>
        </w:rPr>
        <w:t xml:space="preserve">. </w:t>
      </w:r>
      <w:r w:rsidR="006636E5" w:rsidRPr="007E5F24">
        <w:rPr>
          <w:rFonts w:asciiTheme="majorBidi" w:eastAsia="Times New Roman" w:hAnsiTheme="majorBidi" w:cstheme="majorBidi"/>
          <w:bCs/>
          <w:iCs/>
          <w:sz w:val="24"/>
          <w:szCs w:val="24"/>
        </w:rPr>
        <w:t xml:space="preserve">Model </w:t>
      </w:r>
      <w:r w:rsidR="00EF0B2A">
        <w:rPr>
          <w:rFonts w:asciiTheme="majorBidi" w:eastAsia="Times New Roman" w:hAnsiTheme="majorBidi" w:cstheme="majorBidi"/>
          <w:bCs/>
          <w:iCs/>
          <w:sz w:val="24"/>
          <w:szCs w:val="24"/>
        </w:rPr>
        <w:t>9</w:t>
      </w:r>
      <w:r w:rsidR="00EF0B2A" w:rsidRPr="007E5F24">
        <w:rPr>
          <w:rFonts w:asciiTheme="majorBidi" w:eastAsia="Times New Roman" w:hAnsiTheme="majorBidi" w:cstheme="majorBidi"/>
          <w:bCs/>
          <w:iCs/>
          <w:sz w:val="24"/>
          <w:szCs w:val="24"/>
        </w:rPr>
        <w:t xml:space="preserve"> </w:t>
      </w:r>
      <w:r w:rsidR="002C5445" w:rsidRPr="007E5F24">
        <w:rPr>
          <w:rFonts w:asciiTheme="majorBidi" w:eastAsia="Times New Roman" w:hAnsiTheme="majorBidi" w:cstheme="majorBidi"/>
          <w:bCs/>
          <w:iCs/>
          <w:sz w:val="24"/>
          <w:szCs w:val="24"/>
        </w:rPr>
        <w:t xml:space="preserve">in </w:t>
      </w:r>
      <w:r w:rsidR="006636E5" w:rsidRPr="007E5F24">
        <w:rPr>
          <w:rFonts w:asciiTheme="majorBidi" w:eastAsia="Times New Roman" w:hAnsiTheme="majorBidi" w:cstheme="majorBidi"/>
          <w:bCs/>
          <w:iCs/>
          <w:sz w:val="24"/>
          <w:szCs w:val="24"/>
        </w:rPr>
        <w:t xml:space="preserve">Table </w:t>
      </w:r>
      <w:r w:rsidR="00EF0B2A">
        <w:rPr>
          <w:rFonts w:asciiTheme="majorBidi" w:eastAsia="Times New Roman" w:hAnsiTheme="majorBidi" w:cstheme="majorBidi"/>
          <w:bCs/>
          <w:iCs/>
          <w:sz w:val="24"/>
          <w:szCs w:val="24"/>
        </w:rPr>
        <w:t>7</w:t>
      </w:r>
      <w:r w:rsidR="00EF0B2A" w:rsidRPr="007E5F24">
        <w:rPr>
          <w:rFonts w:asciiTheme="majorBidi" w:eastAsia="Times New Roman" w:hAnsiTheme="majorBidi" w:cstheme="majorBidi"/>
          <w:bCs/>
          <w:iCs/>
          <w:sz w:val="24"/>
          <w:szCs w:val="24"/>
        </w:rPr>
        <w:t xml:space="preserve"> </w:t>
      </w:r>
      <w:r w:rsidR="006044A4" w:rsidRPr="007E5F24">
        <w:rPr>
          <w:rFonts w:asciiTheme="majorBidi" w:eastAsia="Times New Roman" w:hAnsiTheme="majorBidi" w:cstheme="majorBidi"/>
          <w:bCs/>
          <w:iCs/>
          <w:sz w:val="24"/>
          <w:szCs w:val="24"/>
        </w:rPr>
        <w:t>show</w:t>
      </w:r>
      <w:r w:rsidR="007E5F24">
        <w:rPr>
          <w:rFonts w:asciiTheme="majorBidi" w:eastAsia="Times New Roman" w:hAnsiTheme="majorBidi" w:cstheme="majorBidi"/>
          <w:bCs/>
          <w:iCs/>
          <w:sz w:val="24"/>
          <w:szCs w:val="24"/>
        </w:rPr>
        <w:t>s</w:t>
      </w:r>
      <w:r w:rsidR="006044A4" w:rsidRPr="007E5F24">
        <w:rPr>
          <w:rFonts w:asciiTheme="majorBidi" w:eastAsia="Times New Roman" w:hAnsiTheme="majorBidi" w:cstheme="majorBidi"/>
          <w:bCs/>
          <w:iCs/>
          <w:sz w:val="24"/>
          <w:szCs w:val="24"/>
        </w:rPr>
        <w:t xml:space="preserve"> that </w:t>
      </w:r>
      <w:r w:rsidR="00272697" w:rsidRPr="007E5F24">
        <w:rPr>
          <w:rFonts w:asciiTheme="majorBidi" w:eastAsia="Times New Roman" w:hAnsiTheme="majorBidi" w:cstheme="majorBidi"/>
          <w:bCs/>
          <w:iCs/>
          <w:sz w:val="24"/>
          <w:szCs w:val="24"/>
        </w:rPr>
        <w:t>board size</w:t>
      </w:r>
      <w:r w:rsidR="00EF0B2A">
        <w:rPr>
          <w:rFonts w:asciiTheme="majorBidi" w:eastAsia="Times New Roman" w:hAnsiTheme="majorBidi" w:cstheme="majorBidi"/>
          <w:bCs/>
          <w:iCs/>
          <w:sz w:val="24"/>
          <w:szCs w:val="24"/>
        </w:rPr>
        <w:t xml:space="preserve">, board independence, director shareholding </w:t>
      </w:r>
      <w:r w:rsidR="00272697" w:rsidRPr="007E5F24">
        <w:rPr>
          <w:rFonts w:asciiTheme="majorBidi" w:eastAsia="Times New Roman" w:hAnsiTheme="majorBidi" w:cstheme="majorBidi"/>
          <w:bCs/>
          <w:iCs/>
          <w:sz w:val="24"/>
          <w:szCs w:val="24"/>
        </w:rPr>
        <w:t xml:space="preserve">and </w:t>
      </w:r>
      <w:r w:rsidR="002F1799" w:rsidRPr="007E5F24">
        <w:rPr>
          <w:rFonts w:asciiTheme="majorBidi" w:eastAsia="Times New Roman" w:hAnsiTheme="majorBidi" w:cstheme="majorBidi"/>
          <w:bCs/>
          <w:iCs/>
          <w:sz w:val="24"/>
          <w:szCs w:val="24"/>
        </w:rPr>
        <w:t>country-level governance</w:t>
      </w:r>
      <w:r w:rsidR="00272697" w:rsidRPr="007E5F24">
        <w:rPr>
          <w:rFonts w:asciiTheme="majorBidi" w:eastAsia="Times New Roman" w:hAnsiTheme="majorBidi" w:cstheme="majorBidi"/>
          <w:bCs/>
          <w:iCs/>
          <w:sz w:val="24"/>
          <w:szCs w:val="24"/>
        </w:rPr>
        <w:t xml:space="preserve"> </w:t>
      </w:r>
      <w:r w:rsidR="00A32EFB">
        <w:rPr>
          <w:rFonts w:asciiTheme="majorBidi" w:eastAsia="Times New Roman" w:hAnsiTheme="majorBidi" w:cstheme="majorBidi"/>
          <w:bCs/>
          <w:iCs/>
          <w:sz w:val="24"/>
          <w:szCs w:val="24"/>
        </w:rPr>
        <w:t xml:space="preserve">quality </w:t>
      </w:r>
      <w:r w:rsidR="006044A4" w:rsidRPr="007E5F24">
        <w:rPr>
          <w:rFonts w:asciiTheme="majorBidi" w:eastAsia="Times New Roman" w:hAnsiTheme="majorBidi" w:cstheme="majorBidi"/>
          <w:bCs/>
          <w:iCs/>
          <w:sz w:val="24"/>
          <w:szCs w:val="24"/>
        </w:rPr>
        <w:t>have significant positive effect on audit fees</w:t>
      </w:r>
      <w:r w:rsidR="00EF0B2A">
        <w:rPr>
          <w:rFonts w:asciiTheme="majorBidi" w:eastAsia="Times New Roman" w:hAnsiTheme="majorBidi" w:cstheme="majorBidi"/>
          <w:bCs/>
          <w:iCs/>
          <w:sz w:val="24"/>
          <w:szCs w:val="24"/>
        </w:rPr>
        <w:t>, while family shareholding</w:t>
      </w:r>
      <w:r w:rsidR="00EF0B2A" w:rsidRPr="00EF0B2A">
        <w:rPr>
          <w:rFonts w:asciiTheme="majorBidi" w:eastAsia="Times New Roman" w:hAnsiTheme="majorBidi" w:cstheme="majorBidi"/>
          <w:bCs/>
          <w:iCs/>
          <w:sz w:val="24"/>
          <w:szCs w:val="24"/>
        </w:rPr>
        <w:t xml:space="preserve"> </w:t>
      </w:r>
      <w:r w:rsidR="00EF0B2A">
        <w:rPr>
          <w:rFonts w:asciiTheme="majorBidi" w:eastAsia="Times New Roman" w:hAnsiTheme="majorBidi" w:cstheme="majorBidi"/>
          <w:bCs/>
          <w:iCs/>
          <w:sz w:val="24"/>
          <w:szCs w:val="24"/>
        </w:rPr>
        <w:t>has</w:t>
      </w:r>
      <w:r w:rsidR="00EF0B2A" w:rsidRPr="00EF0B2A">
        <w:rPr>
          <w:rFonts w:asciiTheme="majorBidi" w:eastAsia="Times New Roman" w:hAnsiTheme="majorBidi" w:cstheme="majorBidi"/>
          <w:bCs/>
          <w:iCs/>
          <w:sz w:val="24"/>
          <w:szCs w:val="24"/>
        </w:rPr>
        <w:t xml:space="preserve"> significant </w:t>
      </w:r>
      <w:r w:rsidR="00EF0B2A">
        <w:rPr>
          <w:rFonts w:asciiTheme="majorBidi" w:eastAsia="Times New Roman" w:hAnsiTheme="majorBidi" w:cstheme="majorBidi"/>
          <w:bCs/>
          <w:iCs/>
          <w:sz w:val="24"/>
          <w:szCs w:val="24"/>
        </w:rPr>
        <w:lastRenderedPageBreak/>
        <w:t>negative link</w:t>
      </w:r>
      <w:r w:rsidR="00EF0B2A" w:rsidRPr="00EF0B2A">
        <w:rPr>
          <w:rFonts w:asciiTheme="majorBidi" w:eastAsia="Times New Roman" w:hAnsiTheme="majorBidi" w:cstheme="majorBidi"/>
          <w:bCs/>
          <w:iCs/>
          <w:sz w:val="24"/>
          <w:szCs w:val="24"/>
        </w:rPr>
        <w:t xml:space="preserve"> </w:t>
      </w:r>
      <w:r w:rsidR="00EF0B2A">
        <w:rPr>
          <w:rFonts w:asciiTheme="majorBidi" w:eastAsia="Times New Roman" w:hAnsiTheme="majorBidi" w:cstheme="majorBidi"/>
          <w:bCs/>
          <w:iCs/>
          <w:sz w:val="24"/>
          <w:szCs w:val="24"/>
        </w:rPr>
        <w:t>with</w:t>
      </w:r>
      <w:r w:rsidR="00EF0B2A" w:rsidRPr="00EF0B2A">
        <w:rPr>
          <w:rFonts w:asciiTheme="majorBidi" w:eastAsia="Times New Roman" w:hAnsiTheme="majorBidi" w:cstheme="majorBidi"/>
          <w:bCs/>
          <w:iCs/>
          <w:sz w:val="24"/>
          <w:szCs w:val="24"/>
        </w:rPr>
        <w:t xml:space="preserve"> audit fees</w:t>
      </w:r>
      <w:r w:rsidR="006044A4" w:rsidRPr="007E5F24">
        <w:rPr>
          <w:rFonts w:asciiTheme="majorBidi" w:eastAsia="Times New Roman" w:hAnsiTheme="majorBidi" w:cstheme="majorBidi"/>
          <w:bCs/>
          <w:iCs/>
          <w:sz w:val="24"/>
          <w:szCs w:val="24"/>
        </w:rPr>
        <w:t>.</w:t>
      </w:r>
      <w:r w:rsidR="00272697" w:rsidRPr="007E5F24">
        <w:rPr>
          <w:rFonts w:asciiTheme="majorBidi" w:eastAsia="Times New Roman" w:hAnsiTheme="majorBidi" w:cstheme="majorBidi"/>
          <w:bCs/>
          <w:iCs/>
          <w:sz w:val="24"/>
          <w:szCs w:val="24"/>
        </w:rPr>
        <w:t xml:space="preserve"> </w:t>
      </w:r>
      <w:r w:rsidR="00995451" w:rsidRPr="007E5F24">
        <w:rPr>
          <w:rFonts w:asciiTheme="majorBidi" w:eastAsia="Times New Roman" w:hAnsiTheme="majorBidi" w:cstheme="majorBidi"/>
          <w:bCs/>
          <w:iCs/>
          <w:sz w:val="24"/>
          <w:szCs w:val="24"/>
        </w:rPr>
        <w:t>This is in line with our previous findings</w:t>
      </w:r>
      <w:r w:rsidR="00EF0B2A" w:rsidRPr="00EF0B2A">
        <w:rPr>
          <w:rFonts w:asciiTheme="majorBidi" w:eastAsia="Times New Roman" w:hAnsiTheme="majorBidi" w:cstheme="majorBidi"/>
          <w:bCs/>
          <w:iCs/>
          <w:sz w:val="24"/>
          <w:szCs w:val="24"/>
        </w:rPr>
        <w:t xml:space="preserve"> </w:t>
      </w:r>
      <w:r w:rsidR="00EF0B2A">
        <w:rPr>
          <w:rFonts w:asciiTheme="majorBidi" w:eastAsia="Times New Roman" w:hAnsiTheme="majorBidi" w:cstheme="majorBidi"/>
          <w:bCs/>
          <w:iCs/>
          <w:sz w:val="24"/>
          <w:szCs w:val="24"/>
        </w:rPr>
        <w:t>reported in Model</w:t>
      </w:r>
      <w:r w:rsidR="00EF0B2A" w:rsidRPr="00EF0B2A">
        <w:rPr>
          <w:rFonts w:asciiTheme="majorBidi" w:eastAsia="Times New Roman" w:hAnsiTheme="majorBidi" w:cstheme="majorBidi"/>
          <w:bCs/>
          <w:iCs/>
          <w:sz w:val="24"/>
          <w:szCs w:val="24"/>
        </w:rPr>
        <w:t xml:space="preserve"> 7 of Table 4</w:t>
      </w:r>
      <w:r w:rsidR="00995451" w:rsidRPr="007E5F24">
        <w:rPr>
          <w:rFonts w:asciiTheme="majorBidi" w:eastAsia="Times New Roman" w:hAnsiTheme="majorBidi" w:cstheme="majorBidi"/>
          <w:bCs/>
          <w:iCs/>
          <w:sz w:val="24"/>
          <w:szCs w:val="24"/>
        </w:rPr>
        <w:t>.</w:t>
      </w:r>
    </w:p>
    <w:p w14:paraId="45FFEA0B" w14:textId="37EDBE8B" w:rsidR="009C31FD" w:rsidRPr="009C31FD" w:rsidRDefault="009C31FD" w:rsidP="009C31FD">
      <w:pPr>
        <w:spacing w:after="0" w:line="360" w:lineRule="auto"/>
        <w:ind w:firstLine="720"/>
        <w:jc w:val="center"/>
        <w:rPr>
          <w:rFonts w:asciiTheme="majorBidi" w:eastAsia="Times New Roman" w:hAnsiTheme="majorBidi" w:cstheme="majorBidi"/>
          <w:b/>
          <w:bCs/>
          <w:iCs/>
          <w:sz w:val="24"/>
          <w:szCs w:val="24"/>
        </w:rPr>
      </w:pPr>
      <w:r w:rsidRPr="009C31FD">
        <w:rPr>
          <w:rFonts w:asciiTheme="majorBidi" w:eastAsia="Times New Roman" w:hAnsiTheme="majorBidi" w:cstheme="majorBidi"/>
          <w:b/>
          <w:bCs/>
          <w:iCs/>
          <w:sz w:val="24"/>
          <w:szCs w:val="24"/>
        </w:rPr>
        <w:t xml:space="preserve">[Insert table </w:t>
      </w:r>
      <w:r w:rsidR="00CF4E37">
        <w:rPr>
          <w:rFonts w:asciiTheme="majorBidi" w:eastAsia="Times New Roman" w:hAnsiTheme="majorBidi" w:cstheme="majorBidi"/>
          <w:b/>
          <w:bCs/>
          <w:iCs/>
          <w:sz w:val="24"/>
          <w:szCs w:val="24"/>
        </w:rPr>
        <w:t>6</w:t>
      </w:r>
      <w:r w:rsidRPr="009C31FD">
        <w:rPr>
          <w:rFonts w:asciiTheme="majorBidi" w:eastAsia="Times New Roman" w:hAnsiTheme="majorBidi" w:cstheme="majorBidi"/>
          <w:b/>
          <w:bCs/>
          <w:iCs/>
          <w:sz w:val="24"/>
          <w:szCs w:val="24"/>
        </w:rPr>
        <w:t xml:space="preserve"> about here]</w:t>
      </w:r>
    </w:p>
    <w:p w14:paraId="12737A57" w14:textId="18914F07" w:rsidR="003D5648" w:rsidRPr="008E772B" w:rsidRDefault="00334746" w:rsidP="00EA59E4">
      <w:pPr>
        <w:spacing w:after="0" w:line="360" w:lineRule="auto"/>
        <w:ind w:firstLine="720"/>
        <w:jc w:val="both"/>
        <w:rPr>
          <w:rFonts w:asciiTheme="majorBidi" w:eastAsia="Times New Roman" w:hAnsiTheme="majorBidi" w:cstheme="majorBidi"/>
          <w:bCs/>
          <w:iCs/>
          <w:sz w:val="24"/>
          <w:szCs w:val="24"/>
        </w:rPr>
      </w:pPr>
      <w:r w:rsidRPr="00334746">
        <w:rPr>
          <w:rFonts w:asciiTheme="majorBidi" w:eastAsia="Times New Roman" w:hAnsiTheme="majorBidi" w:cstheme="majorBidi"/>
          <w:bCs/>
          <w:iCs/>
          <w:sz w:val="24"/>
          <w:szCs w:val="24"/>
        </w:rPr>
        <w:t>In conclusion, a number of additional tests were conducted to examine the robustness of the regression models and the empirical results.</w:t>
      </w:r>
      <w:r>
        <w:rPr>
          <w:rFonts w:asciiTheme="majorBidi" w:eastAsia="Times New Roman" w:hAnsiTheme="majorBidi" w:cstheme="majorBidi"/>
          <w:bCs/>
          <w:iCs/>
          <w:sz w:val="24"/>
          <w:szCs w:val="24"/>
        </w:rPr>
        <w:t xml:space="preserve"> </w:t>
      </w:r>
      <w:r w:rsidR="002A3E8E" w:rsidRPr="002A3E8E">
        <w:rPr>
          <w:rFonts w:asciiTheme="majorBidi" w:eastAsia="Times New Roman" w:hAnsiTheme="majorBidi" w:cstheme="majorBidi"/>
          <w:bCs/>
          <w:iCs/>
          <w:sz w:val="24"/>
          <w:szCs w:val="24"/>
        </w:rPr>
        <w:t>Overall</w:t>
      </w:r>
      <w:r w:rsidR="007C4420" w:rsidRPr="008E772B">
        <w:rPr>
          <w:rFonts w:asciiTheme="majorBidi" w:eastAsia="Times New Roman" w:hAnsiTheme="majorBidi" w:cstheme="majorBidi"/>
          <w:bCs/>
          <w:iCs/>
          <w:sz w:val="24"/>
          <w:szCs w:val="24"/>
        </w:rPr>
        <w:t>, the findings are fairly robust across these econometric models</w:t>
      </w:r>
      <w:r w:rsidR="002A3E8E">
        <w:rPr>
          <w:rFonts w:asciiTheme="majorBidi" w:eastAsia="Times New Roman" w:hAnsiTheme="majorBidi" w:cstheme="majorBidi"/>
          <w:bCs/>
          <w:iCs/>
          <w:sz w:val="24"/>
          <w:szCs w:val="24"/>
        </w:rPr>
        <w:t xml:space="preserve"> and </w:t>
      </w:r>
      <w:r w:rsidR="007C4420" w:rsidRPr="008E772B">
        <w:rPr>
          <w:rFonts w:asciiTheme="majorBidi" w:eastAsia="Times New Roman" w:hAnsiTheme="majorBidi" w:cstheme="majorBidi"/>
          <w:bCs/>
          <w:iCs/>
          <w:sz w:val="24"/>
          <w:szCs w:val="24"/>
        </w:rPr>
        <w:t>generally consistent with the predictions of agency theory.</w:t>
      </w:r>
      <w:r w:rsidR="00CC0898" w:rsidRPr="008E772B">
        <w:rPr>
          <w:rFonts w:asciiTheme="majorBidi" w:eastAsia="Times New Roman" w:hAnsiTheme="majorBidi" w:cstheme="majorBidi"/>
          <w:bCs/>
          <w:iCs/>
          <w:sz w:val="24"/>
          <w:szCs w:val="24"/>
        </w:rPr>
        <w:t xml:space="preserve"> </w:t>
      </w:r>
    </w:p>
    <w:p w14:paraId="661FBC30" w14:textId="77777777" w:rsidR="00AB1866" w:rsidRPr="00C257D6" w:rsidRDefault="00AB1866" w:rsidP="001E3C94">
      <w:pPr>
        <w:spacing w:after="0" w:line="360" w:lineRule="auto"/>
        <w:jc w:val="lowKashida"/>
        <w:rPr>
          <w:rFonts w:asciiTheme="majorBidi" w:eastAsia="Times New Roman" w:hAnsiTheme="majorBidi" w:cstheme="majorBidi"/>
          <w:sz w:val="24"/>
          <w:szCs w:val="24"/>
        </w:rPr>
      </w:pPr>
    </w:p>
    <w:p w14:paraId="482C7736" w14:textId="6DBF855C" w:rsidR="00451555" w:rsidRPr="00C257D6" w:rsidRDefault="00157823" w:rsidP="001E3C94">
      <w:pPr>
        <w:spacing w:after="0" w:line="360" w:lineRule="auto"/>
        <w:jc w:val="lowKashida"/>
        <w:rPr>
          <w:rFonts w:asciiTheme="majorBidi" w:eastAsia="Times New Roman" w:hAnsiTheme="majorBidi" w:cstheme="majorBidi"/>
          <w:sz w:val="24"/>
          <w:szCs w:val="24"/>
        </w:rPr>
      </w:pPr>
      <w:r w:rsidRPr="00157823">
        <w:rPr>
          <w:rFonts w:asciiTheme="majorBidi" w:eastAsia="Times New Roman" w:hAnsiTheme="majorBidi" w:cstheme="majorBidi"/>
          <w:b/>
          <w:bCs/>
          <w:iCs/>
          <w:sz w:val="24"/>
          <w:szCs w:val="24"/>
        </w:rPr>
        <w:t>5.</w:t>
      </w:r>
      <w:r w:rsidRPr="00157823">
        <w:rPr>
          <w:rFonts w:asciiTheme="majorBidi" w:eastAsia="Times New Roman" w:hAnsiTheme="majorBidi" w:cstheme="majorBidi"/>
          <w:b/>
          <w:bCs/>
          <w:i/>
          <w:iCs/>
          <w:sz w:val="24"/>
          <w:szCs w:val="24"/>
        </w:rPr>
        <w:t xml:space="preserve"> </w:t>
      </w:r>
      <w:r w:rsidRPr="00157823">
        <w:rPr>
          <w:rFonts w:asciiTheme="majorBidi" w:eastAsia="Times New Roman" w:hAnsiTheme="majorBidi" w:cstheme="majorBidi"/>
          <w:b/>
          <w:sz w:val="24"/>
          <w:szCs w:val="24"/>
        </w:rPr>
        <w:t>Summary and Conclusions</w:t>
      </w:r>
    </w:p>
    <w:p w14:paraId="6CE636CB" w14:textId="34F74304" w:rsidR="00451555" w:rsidRPr="008E772B" w:rsidRDefault="00451555" w:rsidP="007C24B6">
      <w:pPr>
        <w:spacing w:after="0" w:line="360" w:lineRule="auto"/>
        <w:ind w:firstLine="720"/>
        <w:jc w:val="lowKashida"/>
        <w:rPr>
          <w:rFonts w:asciiTheme="majorBidi" w:eastAsia="Times New Roman" w:hAnsiTheme="majorBidi" w:cstheme="majorBidi"/>
          <w:bCs/>
          <w:iCs/>
          <w:sz w:val="24"/>
          <w:szCs w:val="24"/>
        </w:rPr>
      </w:pPr>
      <w:r w:rsidRPr="008E772B">
        <w:rPr>
          <w:rFonts w:asciiTheme="majorBidi" w:eastAsia="Times New Roman" w:hAnsiTheme="majorBidi" w:cstheme="majorBidi"/>
          <w:bCs/>
          <w:iCs/>
          <w:sz w:val="24"/>
          <w:szCs w:val="24"/>
        </w:rPr>
        <w:t xml:space="preserve">The audit profession in MENA countries is less established </w:t>
      </w:r>
      <w:r w:rsidR="00570C5F">
        <w:rPr>
          <w:rFonts w:asciiTheme="majorBidi" w:eastAsia="Times New Roman" w:hAnsiTheme="majorBidi" w:cstheme="majorBidi"/>
          <w:bCs/>
          <w:iCs/>
          <w:sz w:val="24"/>
          <w:szCs w:val="24"/>
        </w:rPr>
        <w:t>when</w:t>
      </w:r>
      <w:r w:rsidR="002866F3">
        <w:rPr>
          <w:rFonts w:asciiTheme="majorBidi" w:eastAsia="Times New Roman" w:hAnsiTheme="majorBidi" w:cstheme="majorBidi"/>
          <w:bCs/>
          <w:iCs/>
          <w:sz w:val="24"/>
          <w:szCs w:val="24"/>
        </w:rPr>
        <w:t xml:space="preserve"> compared to</w:t>
      </w:r>
      <w:r w:rsidRPr="008E772B">
        <w:rPr>
          <w:rFonts w:asciiTheme="majorBidi" w:eastAsia="Times New Roman" w:hAnsiTheme="majorBidi" w:cstheme="majorBidi"/>
          <w:bCs/>
          <w:iCs/>
          <w:sz w:val="24"/>
          <w:szCs w:val="24"/>
        </w:rPr>
        <w:t xml:space="preserve"> developed countries. There is </w:t>
      </w:r>
      <w:r w:rsidR="0014008D">
        <w:rPr>
          <w:rFonts w:asciiTheme="majorBidi" w:eastAsia="Times New Roman" w:hAnsiTheme="majorBidi" w:cstheme="majorBidi"/>
          <w:bCs/>
          <w:iCs/>
          <w:sz w:val="24"/>
          <w:szCs w:val="24"/>
        </w:rPr>
        <w:t xml:space="preserve">often </w:t>
      </w:r>
      <w:r w:rsidRPr="008E772B">
        <w:rPr>
          <w:rFonts w:asciiTheme="majorBidi" w:eastAsia="Times New Roman" w:hAnsiTheme="majorBidi" w:cstheme="majorBidi"/>
          <w:bCs/>
          <w:iCs/>
          <w:sz w:val="24"/>
          <w:szCs w:val="24"/>
        </w:rPr>
        <w:t>no effective code of professional ethics governing accountants’ and auditors’ work and practice, and no powerful professional organisations responsible for the development of the auditing profession. However, MENA countries have recently experienced a rapid shift in economic development</w:t>
      </w:r>
      <w:r w:rsidR="0019429C">
        <w:rPr>
          <w:rFonts w:asciiTheme="majorBidi" w:eastAsia="Times New Roman" w:hAnsiTheme="majorBidi" w:cstheme="majorBidi"/>
          <w:bCs/>
          <w:iCs/>
          <w:sz w:val="24"/>
          <w:szCs w:val="24"/>
        </w:rPr>
        <w:t>. In particular,</w:t>
      </w:r>
      <w:r w:rsidRPr="008E772B">
        <w:rPr>
          <w:rFonts w:asciiTheme="majorBidi" w:eastAsia="Times New Roman" w:hAnsiTheme="majorBidi" w:cstheme="majorBidi"/>
          <w:bCs/>
          <w:iCs/>
          <w:sz w:val="24"/>
          <w:szCs w:val="24"/>
        </w:rPr>
        <w:t xml:space="preserve"> the</w:t>
      </w:r>
      <w:r w:rsidR="0019429C">
        <w:rPr>
          <w:rFonts w:asciiTheme="majorBidi" w:eastAsia="Times New Roman" w:hAnsiTheme="majorBidi" w:cstheme="majorBidi"/>
          <w:bCs/>
          <w:iCs/>
          <w:sz w:val="24"/>
          <w:szCs w:val="24"/>
        </w:rPr>
        <w:t>re is a</w:t>
      </w:r>
      <w:r w:rsidRPr="008E772B">
        <w:rPr>
          <w:rFonts w:asciiTheme="majorBidi" w:eastAsia="Times New Roman" w:hAnsiTheme="majorBidi" w:cstheme="majorBidi"/>
          <w:bCs/>
          <w:iCs/>
          <w:sz w:val="24"/>
          <w:szCs w:val="24"/>
        </w:rPr>
        <w:t xml:space="preserve"> strong presence of multinational firms and international financial institutions, requiring better protection of their investments through better-quality audit performed by </w:t>
      </w:r>
      <w:r w:rsidR="007C24B6">
        <w:rPr>
          <w:rFonts w:asciiTheme="majorBidi" w:eastAsia="Times New Roman" w:hAnsiTheme="majorBidi" w:cstheme="majorBidi"/>
          <w:bCs/>
          <w:iCs/>
          <w:sz w:val="24"/>
          <w:szCs w:val="24"/>
        </w:rPr>
        <w:t>higher</w:t>
      </w:r>
      <w:r w:rsidR="007C24B6" w:rsidRPr="008E772B">
        <w:rPr>
          <w:rFonts w:asciiTheme="majorBidi" w:eastAsia="Times New Roman" w:hAnsiTheme="majorBidi" w:cstheme="majorBidi"/>
          <w:bCs/>
          <w:iCs/>
          <w:sz w:val="24"/>
          <w:szCs w:val="24"/>
        </w:rPr>
        <w:t xml:space="preserve"> </w:t>
      </w:r>
      <w:r w:rsidRPr="008E772B">
        <w:rPr>
          <w:rFonts w:asciiTheme="majorBidi" w:eastAsia="Times New Roman" w:hAnsiTheme="majorBidi" w:cstheme="majorBidi"/>
          <w:bCs/>
          <w:iCs/>
          <w:sz w:val="24"/>
          <w:szCs w:val="24"/>
        </w:rPr>
        <w:t xml:space="preserve">reputable auditors. Therefore, the purpose of this study is to examine the </w:t>
      </w:r>
      <w:r w:rsidR="002866F3">
        <w:rPr>
          <w:rFonts w:asciiTheme="majorBidi" w:eastAsia="Times New Roman" w:hAnsiTheme="majorBidi" w:cstheme="majorBidi"/>
          <w:bCs/>
          <w:iCs/>
          <w:sz w:val="24"/>
          <w:szCs w:val="24"/>
        </w:rPr>
        <w:t xml:space="preserve">impact of </w:t>
      </w:r>
      <w:r w:rsidR="002866F3" w:rsidRPr="008E772B">
        <w:rPr>
          <w:rFonts w:asciiTheme="majorBidi" w:eastAsia="Times New Roman" w:hAnsiTheme="majorBidi" w:cstheme="majorBidi"/>
          <w:bCs/>
          <w:iCs/>
          <w:sz w:val="24"/>
          <w:szCs w:val="24"/>
        </w:rPr>
        <w:t>firm</w:t>
      </w:r>
      <w:r w:rsidR="00F60501" w:rsidRPr="008E772B">
        <w:rPr>
          <w:rFonts w:asciiTheme="majorBidi" w:eastAsia="Times New Roman" w:hAnsiTheme="majorBidi" w:cstheme="majorBidi"/>
          <w:bCs/>
          <w:iCs/>
          <w:sz w:val="24"/>
          <w:szCs w:val="24"/>
        </w:rPr>
        <w:t>- and country-level governance</w:t>
      </w:r>
      <w:r w:rsidR="00300B62">
        <w:rPr>
          <w:rFonts w:asciiTheme="majorBidi" w:eastAsia="Times New Roman" w:hAnsiTheme="majorBidi" w:cstheme="majorBidi"/>
          <w:bCs/>
          <w:iCs/>
          <w:sz w:val="24"/>
          <w:szCs w:val="24"/>
        </w:rPr>
        <w:t xml:space="preserve"> structures</w:t>
      </w:r>
      <w:r w:rsidR="002866F3">
        <w:rPr>
          <w:rFonts w:asciiTheme="majorBidi" w:eastAsia="Times New Roman" w:hAnsiTheme="majorBidi" w:cstheme="majorBidi"/>
          <w:bCs/>
          <w:iCs/>
          <w:sz w:val="24"/>
          <w:szCs w:val="24"/>
        </w:rPr>
        <w:t xml:space="preserve"> on audit</w:t>
      </w:r>
      <w:r w:rsidR="00F60501" w:rsidRPr="008E772B">
        <w:rPr>
          <w:rFonts w:asciiTheme="majorBidi" w:eastAsia="Times New Roman" w:hAnsiTheme="majorBidi" w:cstheme="majorBidi"/>
          <w:bCs/>
          <w:iCs/>
          <w:sz w:val="24"/>
          <w:szCs w:val="24"/>
        </w:rPr>
        <w:t xml:space="preserve"> </w:t>
      </w:r>
      <w:r w:rsidR="002866F3" w:rsidRPr="008E772B">
        <w:rPr>
          <w:rFonts w:asciiTheme="majorBidi" w:eastAsia="Times New Roman" w:hAnsiTheme="majorBidi" w:cstheme="majorBidi"/>
          <w:bCs/>
          <w:iCs/>
          <w:sz w:val="24"/>
          <w:szCs w:val="24"/>
        </w:rPr>
        <w:t>quality</w:t>
      </w:r>
      <w:r w:rsidR="002866F3">
        <w:rPr>
          <w:rFonts w:asciiTheme="majorBidi" w:eastAsia="Times New Roman" w:hAnsiTheme="majorBidi" w:cstheme="majorBidi"/>
          <w:bCs/>
          <w:iCs/>
          <w:sz w:val="24"/>
          <w:szCs w:val="24"/>
        </w:rPr>
        <w:t xml:space="preserve">, </w:t>
      </w:r>
      <w:r w:rsidR="00134D86">
        <w:rPr>
          <w:rFonts w:asciiTheme="majorBidi" w:eastAsia="Times New Roman" w:hAnsiTheme="majorBidi" w:cstheme="majorBidi"/>
          <w:bCs/>
          <w:iCs/>
          <w:sz w:val="24"/>
          <w:szCs w:val="24"/>
        </w:rPr>
        <w:t xml:space="preserve">as </w:t>
      </w:r>
      <w:r w:rsidR="002866F3">
        <w:rPr>
          <w:rFonts w:asciiTheme="majorBidi" w:eastAsia="Times New Roman" w:hAnsiTheme="majorBidi" w:cstheme="majorBidi"/>
          <w:bCs/>
          <w:iCs/>
          <w:sz w:val="24"/>
          <w:szCs w:val="24"/>
        </w:rPr>
        <w:t>measured</w:t>
      </w:r>
      <w:r w:rsidR="0019429C">
        <w:rPr>
          <w:rFonts w:asciiTheme="majorBidi" w:eastAsia="Times New Roman" w:hAnsiTheme="majorBidi" w:cstheme="majorBidi"/>
          <w:bCs/>
          <w:iCs/>
          <w:sz w:val="24"/>
          <w:szCs w:val="24"/>
        </w:rPr>
        <w:t xml:space="preserve"> by </w:t>
      </w:r>
      <w:r w:rsidRPr="008E772B">
        <w:rPr>
          <w:rFonts w:asciiTheme="majorBidi" w:eastAsia="Times New Roman" w:hAnsiTheme="majorBidi" w:cstheme="majorBidi"/>
          <w:bCs/>
          <w:iCs/>
          <w:sz w:val="24"/>
          <w:szCs w:val="24"/>
        </w:rPr>
        <w:t xml:space="preserve">auditor choice and </w:t>
      </w:r>
      <w:r w:rsidR="00A20BEB">
        <w:rPr>
          <w:rFonts w:asciiTheme="majorBidi" w:eastAsia="Times New Roman" w:hAnsiTheme="majorBidi" w:cstheme="majorBidi"/>
          <w:bCs/>
          <w:iCs/>
          <w:sz w:val="24"/>
          <w:szCs w:val="24"/>
        </w:rPr>
        <w:t xml:space="preserve">audit </w:t>
      </w:r>
      <w:r w:rsidRPr="008E772B">
        <w:rPr>
          <w:rFonts w:asciiTheme="majorBidi" w:eastAsia="Times New Roman" w:hAnsiTheme="majorBidi" w:cstheme="majorBidi"/>
          <w:bCs/>
          <w:iCs/>
          <w:sz w:val="24"/>
          <w:szCs w:val="24"/>
        </w:rPr>
        <w:t xml:space="preserve">fees </w:t>
      </w:r>
      <w:r w:rsidR="00B20814">
        <w:rPr>
          <w:rFonts w:asciiTheme="majorBidi" w:eastAsia="Times New Roman" w:hAnsiTheme="majorBidi" w:cstheme="majorBidi"/>
          <w:bCs/>
          <w:iCs/>
          <w:sz w:val="24"/>
          <w:szCs w:val="24"/>
        </w:rPr>
        <w:t>in</w:t>
      </w:r>
      <w:r w:rsidRPr="008E772B">
        <w:rPr>
          <w:rFonts w:asciiTheme="majorBidi" w:eastAsia="Times New Roman" w:hAnsiTheme="majorBidi" w:cstheme="majorBidi"/>
          <w:bCs/>
          <w:iCs/>
          <w:sz w:val="24"/>
          <w:szCs w:val="24"/>
        </w:rPr>
        <w:t xml:space="preserve"> </w:t>
      </w:r>
      <w:r w:rsidR="002866F3">
        <w:rPr>
          <w:rFonts w:asciiTheme="majorBidi" w:eastAsia="Times New Roman" w:hAnsiTheme="majorBidi" w:cstheme="majorBidi"/>
          <w:bCs/>
          <w:iCs/>
          <w:sz w:val="24"/>
          <w:szCs w:val="24"/>
        </w:rPr>
        <w:t xml:space="preserve">5 selected countries within the MENA region. </w:t>
      </w:r>
    </w:p>
    <w:p w14:paraId="67ED6CEB" w14:textId="3B7BAAD4" w:rsidR="00647090" w:rsidRDefault="00451555" w:rsidP="00647090">
      <w:pPr>
        <w:spacing w:after="0" w:line="360" w:lineRule="auto"/>
        <w:jc w:val="lowKashida"/>
        <w:rPr>
          <w:rFonts w:asciiTheme="majorBidi" w:eastAsia="Times New Roman" w:hAnsiTheme="majorBidi" w:cstheme="majorBidi"/>
          <w:bCs/>
          <w:sz w:val="24"/>
          <w:szCs w:val="24"/>
        </w:rPr>
      </w:pPr>
      <w:r w:rsidRPr="008E772B">
        <w:rPr>
          <w:rFonts w:asciiTheme="majorBidi" w:eastAsia="Times New Roman" w:hAnsiTheme="majorBidi" w:cstheme="majorBidi"/>
          <w:bCs/>
          <w:iCs/>
          <w:sz w:val="24"/>
          <w:szCs w:val="24"/>
        </w:rPr>
        <w:t xml:space="preserve"> </w:t>
      </w:r>
      <w:r w:rsidR="00757584" w:rsidRPr="008E772B">
        <w:rPr>
          <w:rFonts w:asciiTheme="majorBidi" w:eastAsia="Times New Roman" w:hAnsiTheme="majorBidi" w:cstheme="majorBidi"/>
          <w:bCs/>
          <w:iCs/>
          <w:sz w:val="24"/>
          <w:szCs w:val="24"/>
        </w:rPr>
        <w:tab/>
      </w:r>
      <w:r w:rsidR="002866F3">
        <w:rPr>
          <w:rFonts w:asciiTheme="majorBidi" w:eastAsia="Times New Roman" w:hAnsiTheme="majorBidi" w:cstheme="majorBidi"/>
          <w:bCs/>
          <w:sz w:val="24"/>
          <w:szCs w:val="24"/>
        </w:rPr>
        <w:t xml:space="preserve">Our results </w:t>
      </w:r>
      <w:r w:rsidR="00134D86">
        <w:rPr>
          <w:rFonts w:asciiTheme="majorBidi" w:eastAsia="Times New Roman" w:hAnsiTheme="majorBidi" w:cstheme="majorBidi"/>
          <w:bCs/>
          <w:sz w:val="24"/>
          <w:szCs w:val="24"/>
        </w:rPr>
        <w:t>indicate</w:t>
      </w:r>
      <w:r w:rsidRPr="008E772B">
        <w:rPr>
          <w:rFonts w:asciiTheme="majorBidi" w:eastAsia="Times New Roman" w:hAnsiTheme="majorBidi" w:cstheme="majorBidi"/>
          <w:bCs/>
          <w:sz w:val="24"/>
          <w:szCs w:val="24"/>
        </w:rPr>
        <w:t xml:space="preserve"> that</w:t>
      </w:r>
      <w:r w:rsidR="00064EE0" w:rsidRPr="008E772B">
        <w:rPr>
          <w:rFonts w:asciiTheme="majorBidi" w:eastAsia="Times New Roman" w:hAnsiTheme="majorBidi" w:cstheme="majorBidi"/>
          <w:bCs/>
          <w:sz w:val="24"/>
          <w:szCs w:val="24"/>
        </w:rPr>
        <w:t xml:space="preserve"> </w:t>
      </w:r>
      <w:r w:rsidR="0090532E" w:rsidRPr="008E772B">
        <w:rPr>
          <w:rFonts w:asciiTheme="majorBidi" w:eastAsia="Times New Roman" w:hAnsiTheme="majorBidi" w:cstheme="majorBidi"/>
          <w:bCs/>
          <w:sz w:val="24"/>
          <w:szCs w:val="24"/>
        </w:rPr>
        <w:t xml:space="preserve">firm- and country-level governance </w:t>
      </w:r>
      <w:r w:rsidR="00D77605" w:rsidRPr="008E772B">
        <w:rPr>
          <w:rFonts w:asciiTheme="majorBidi" w:eastAsia="Times New Roman" w:hAnsiTheme="majorBidi" w:cstheme="majorBidi"/>
          <w:bCs/>
          <w:sz w:val="24"/>
          <w:szCs w:val="24"/>
        </w:rPr>
        <w:t>mechanisms</w:t>
      </w:r>
      <w:r w:rsidR="0090532E" w:rsidRPr="008E772B">
        <w:rPr>
          <w:rFonts w:asciiTheme="majorBidi" w:eastAsia="Times New Roman" w:hAnsiTheme="majorBidi" w:cstheme="majorBidi"/>
          <w:bCs/>
          <w:sz w:val="24"/>
          <w:szCs w:val="24"/>
        </w:rPr>
        <w:t xml:space="preserve"> affect </w:t>
      </w:r>
      <w:r w:rsidR="009E3254">
        <w:rPr>
          <w:rFonts w:asciiTheme="majorBidi" w:eastAsia="Times New Roman" w:hAnsiTheme="majorBidi" w:cstheme="majorBidi"/>
          <w:bCs/>
          <w:sz w:val="24"/>
          <w:szCs w:val="24"/>
        </w:rPr>
        <w:t>audit quality</w:t>
      </w:r>
      <w:r w:rsidRPr="008E772B">
        <w:rPr>
          <w:rFonts w:asciiTheme="majorBidi" w:eastAsia="Times New Roman" w:hAnsiTheme="majorBidi" w:cstheme="majorBidi"/>
          <w:bCs/>
          <w:sz w:val="24"/>
          <w:szCs w:val="24"/>
        </w:rPr>
        <w:t xml:space="preserve"> </w:t>
      </w:r>
      <w:r w:rsidR="002866F3" w:rsidRPr="008E772B">
        <w:rPr>
          <w:rFonts w:asciiTheme="majorBidi" w:eastAsia="Times New Roman" w:hAnsiTheme="majorBidi" w:cstheme="majorBidi"/>
          <w:bCs/>
          <w:sz w:val="24"/>
          <w:szCs w:val="24"/>
        </w:rPr>
        <w:t xml:space="preserve">in </w:t>
      </w:r>
      <w:r w:rsidR="002866F3">
        <w:rPr>
          <w:rFonts w:asciiTheme="majorBidi" w:eastAsia="Times New Roman" w:hAnsiTheme="majorBidi" w:cstheme="majorBidi"/>
          <w:bCs/>
          <w:sz w:val="24"/>
          <w:szCs w:val="24"/>
        </w:rPr>
        <w:t xml:space="preserve">our sample of </w:t>
      </w:r>
      <w:r w:rsidR="0090532E" w:rsidRPr="008E772B">
        <w:rPr>
          <w:rFonts w:asciiTheme="majorBidi" w:eastAsia="Times New Roman" w:hAnsiTheme="majorBidi" w:cstheme="majorBidi"/>
          <w:bCs/>
          <w:sz w:val="24"/>
          <w:szCs w:val="24"/>
        </w:rPr>
        <w:t>MENA countries</w:t>
      </w:r>
      <w:r w:rsidRPr="008E772B">
        <w:rPr>
          <w:rFonts w:asciiTheme="majorBidi" w:eastAsia="Times New Roman" w:hAnsiTheme="majorBidi" w:cstheme="majorBidi"/>
          <w:bCs/>
          <w:sz w:val="24"/>
          <w:szCs w:val="24"/>
        </w:rPr>
        <w:t xml:space="preserve">. </w:t>
      </w:r>
      <w:r w:rsidR="00123F16">
        <w:rPr>
          <w:rFonts w:asciiTheme="majorBidi" w:eastAsia="Times New Roman" w:hAnsiTheme="majorBidi" w:cstheme="majorBidi"/>
          <w:bCs/>
          <w:sz w:val="24"/>
          <w:szCs w:val="24"/>
        </w:rPr>
        <w:t>Specifically, w</w:t>
      </w:r>
      <w:r w:rsidR="002866F3">
        <w:rPr>
          <w:rFonts w:asciiTheme="majorBidi" w:eastAsia="Times New Roman" w:hAnsiTheme="majorBidi" w:cstheme="majorBidi"/>
          <w:bCs/>
          <w:sz w:val="24"/>
          <w:szCs w:val="24"/>
        </w:rPr>
        <w:t xml:space="preserve">e report </w:t>
      </w:r>
      <w:r w:rsidR="0069548D">
        <w:rPr>
          <w:rFonts w:asciiTheme="majorBidi" w:eastAsia="Times New Roman" w:hAnsiTheme="majorBidi" w:cstheme="majorBidi"/>
          <w:bCs/>
          <w:sz w:val="24"/>
          <w:szCs w:val="24"/>
        </w:rPr>
        <w:t xml:space="preserve">that </w:t>
      </w:r>
      <w:r w:rsidR="0069548D" w:rsidRPr="0069548D">
        <w:rPr>
          <w:rFonts w:asciiTheme="majorBidi" w:eastAsia="Times New Roman" w:hAnsiTheme="majorBidi" w:cstheme="majorBidi"/>
          <w:bCs/>
          <w:sz w:val="24"/>
          <w:szCs w:val="24"/>
        </w:rPr>
        <w:t>board independence is positively related to engaging a Big 4 auditor, while family shareholdings show a negative relation</w:t>
      </w:r>
      <w:r w:rsidR="00123F16">
        <w:rPr>
          <w:rFonts w:asciiTheme="majorBidi" w:eastAsia="Times New Roman" w:hAnsiTheme="majorBidi" w:cstheme="majorBidi"/>
          <w:bCs/>
          <w:sz w:val="24"/>
          <w:szCs w:val="24"/>
        </w:rPr>
        <w:t>ship with</w:t>
      </w:r>
      <w:r w:rsidR="0069548D" w:rsidRPr="0069548D">
        <w:rPr>
          <w:rFonts w:asciiTheme="majorBidi" w:eastAsia="Times New Roman" w:hAnsiTheme="majorBidi" w:cstheme="majorBidi"/>
          <w:bCs/>
          <w:sz w:val="24"/>
          <w:szCs w:val="24"/>
        </w:rPr>
        <w:t xml:space="preserve"> hiring a Big 4 auditor.</w:t>
      </w:r>
      <w:r w:rsidRPr="008E772B">
        <w:rPr>
          <w:rFonts w:asciiTheme="majorBidi" w:eastAsia="Times New Roman" w:hAnsiTheme="majorBidi" w:cstheme="majorBidi"/>
          <w:bCs/>
          <w:sz w:val="24"/>
          <w:szCs w:val="24"/>
        </w:rPr>
        <w:t xml:space="preserve"> </w:t>
      </w:r>
      <w:r w:rsidR="002866F3">
        <w:rPr>
          <w:rFonts w:asciiTheme="majorBidi" w:eastAsia="Times New Roman" w:hAnsiTheme="majorBidi" w:cstheme="majorBidi"/>
          <w:bCs/>
          <w:sz w:val="24"/>
          <w:szCs w:val="24"/>
        </w:rPr>
        <w:t>In addition</w:t>
      </w:r>
      <w:r w:rsidR="00EB6FDE" w:rsidRPr="008E772B">
        <w:rPr>
          <w:rFonts w:asciiTheme="majorBidi" w:eastAsia="Times New Roman" w:hAnsiTheme="majorBidi" w:cstheme="majorBidi"/>
          <w:bCs/>
          <w:sz w:val="24"/>
          <w:szCs w:val="24"/>
        </w:rPr>
        <w:t xml:space="preserve">, </w:t>
      </w:r>
      <w:r w:rsidR="002866F3">
        <w:rPr>
          <w:rFonts w:asciiTheme="majorBidi" w:eastAsia="Times New Roman" w:hAnsiTheme="majorBidi" w:cstheme="majorBidi"/>
          <w:bCs/>
          <w:sz w:val="24"/>
          <w:szCs w:val="24"/>
        </w:rPr>
        <w:t xml:space="preserve">we </w:t>
      </w:r>
      <w:r w:rsidR="00123F16">
        <w:rPr>
          <w:rFonts w:asciiTheme="majorBidi" w:eastAsia="Times New Roman" w:hAnsiTheme="majorBidi" w:cstheme="majorBidi"/>
          <w:bCs/>
          <w:sz w:val="24"/>
          <w:szCs w:val="24"/>
        </w:rPr>
        <w:t>find</w:t>
      </w:r>
      <w:r w:rsidRPr="008E772B">
        <w:rPr>
          <w:rFonts w:asciiTheme="majorBidi" w:eastAsia="Times New Roman" w:hAnsiTheme="majorBidi" w:cstheme="majorBidi"/>
          <w:bCs/>
          <w:sz w:val="24"/>
          <w:szCs w:val="24"/>
        </w:rPr>
        <w:t xml:space="preserve"> that </w:t>
      </w:r>
      <w:r w:rsidR="0069548D" w:rsidRPr="0069548D">
        <w:rPr>
          <w:rFonts w:asciiTheme="majorBidi" w:eastAsia="Times New Roman" w:hAnsiTheme="majorBidi" w:cstheme="majorBidi"/>
          <w:bCs/>
          <w:sz w:val="24"/>
          <w:szCs w:val="24"/>
        </w:rPr>
        <w:t>board size, board independence and director shareholdings are positively related to audit fees, while government and family shareholding show a negative relation</w:t>
      </w:r>
      <w:r w:rsidR="006564E8">
        <w:rPr>
          <w:rFonts w:asciiTheme="majorBidi" w:eastAsia="Times New Roman" w:hAnsiTheme="majorBidi" w:cstheme="majorBidi"/>
          <w:bCs/>
          <w:sz w:val="24"/>
          <w:szCs w:val="24"/>
        </w:rPr>
        <w:t>ship</w:t>
      </w:r>
      <w:r w:rsidR="0069548D" w:rsidRPr="0069548D">
        <w:rPr>
          <w:rFonts w:asciiTheme="majorBidi" w:eastAsia="Times New Roman" w:hAnsiTheme="majorBidi" w:cstheme="majorBidi"/>
          <w:bCs/>
          <w:sz w:val="24"/>
          <w:szCs w:val="24"/>
        </w:rPr>
        <w:t xml:space="preserve"> </w:t>
      </w:r>
      <w:r w:rsidR="006564E8">
        <w:rPr>
          <w:rFonts w:asciiTheme="majorBidi" w:eastAsia="Times New Roman" w:hAnsiTheme="majorBidi" w:cstheme="majorBidi"/>
          <w:bCs/>
          <w:sz w:val="24"/>
          <w:szCs w:val="24"/>
        </w:rPr>
        <w:t>with</w:t>
      </w:r>
      <w:r w:rsidR="0069548D" w:rsidRPr="0069548D">
        <w:rPr>
          <w:rFonts w:asciiTheme="majorBidi" w:eastAsia="Times New Roman" w:hAnsiTheme="majorBidi" w:cstheme="majorBidi"/>
          <w:bCs/>
          <w:sz w:val="24"/>
          <w:szCs w:val="24"/>
        </w:rPr>
        <w:t xml:space="preserve"> audit fees</w:t>
      </w:r>
      <w:r w:rsidRPr="008E772B">
        <w:rPr>
          <w:rFonts w:asciiTheme="majorBidi" w:eastAsia="Times New Roman" w:hAnsiTheme="majorBidi" w:cstheme="majorBidi"/>
          <w:bCs/>
          <w:sz w:val="24"/>
          <w:szCs w:val="24"/>
        </w:rPr>
        <w:t xml:space="preserve">. </w:t>
      </w:r>
      <w:r w:rsidR="002866F3">
        <w:rPr>
          <w:rFonts w:asciiTheme="majorBidi" w:eastAsia="Times New Roman" w:hAnsiTheme="majorBidi" w:cstheme="majorBidi"/>
          <w:bCs/>
          <w:sz w:val="24"/>
          <w:szCs w:val="24"/>
        </w:rPr>
        <w:t>Finally</w:t>
      </w:r>
      <w:r w:rsidR="00194651" w:rsidRPr="008E772B">
        <w:rPr>
          <w:rFonts w:asciiTheme="majorBidi" w:eastAsia="Times New Roman" w:hAnsiTheme="majorBidi" w:cstheme="majorBidi"/>
          <w:bCs/>
          <w:sz w:val="24"/>
          <w:szCs w:val="24"/>
        </w:rPr>
        <w:t>, country</w:t>
      </w:r>
      <w:r w:rsidR="00234DE9" w:rsidRPr="008E772B">
        <w:rPr>
          <w:rFonts w:asciiTheme="majorBidi" w:eastAsia="Times New Roman" w:hAnsiTheme="majorBidi" w:cstheme="majorBidi"/>
          <w:bCs/>
          <w:sz w:val="24"/>
          <w:szCs w:val="24"/>
        </w:rPr>
        <w:t xml:space="preserve">-level governance quality </w:t>
      </w:r>
      <w:r w:rsidR="00064EE0" w:rsidRPr="008E772B">
        <w:rPr>
          <w:rFonts w:asciiTheme="majorBidi" w:eastAsia="Times New Roman" w:hAnsiTheme="majorBidi" w:cstheme="majorBidi"/>
          <w:bCs/>
          <w:sz w:val="24"/>
          <w:szCs w:val="24"/>
        </w:rPr>
        <w:t xml:space="preserve">is </w:t>
      </w:r>
      <w:r w:rsidR="0069548D">
        <w:rPr>
          <w:rFonts w:asciiTheme="majorBidi" w:eastAsia="Times New Roman" w:hAnsiTheme="majorBidi" w:cstheme="majorBidi"/>
          <w:bCs/>
          <w:sz w:val="24"/>
          <w:szCs w:val="24"/>
        </w:rPr>
        <w:t xml:space="preserve">positively </w:t>
      </w:r>
      <w:r w:rsidR="00064EE0" w:rsidRPr="008E772B">
        <w:rPr>
          <w:rFonts w:asciiTheme="majorBidi" w:eastAsia="Times New Roman" w:hAnsiTheme="majorBidi" w:cstheme="majorBidi"/>
          <w:bCs/>
          <w:sz w:val="24"/>
          <w:szCs w:val="24"/>
        </w:rPr>
        <w:t>associat</w:t>
      </w:r>
      <w:r w:rsidR="005C1C54">
        <w:rPr>
          <w:rFonts w:asciiTheme="majorBidi" w:eastAsia="Times New Roman" w:hAnsiTheme="majorBidi" w:cstheme="majorBidi"/>
          <w:bCs/>
          <w:sz w:val="24"/>
          <w:szCs w:val="24"/>
        </w:rPr>
        <w:t>e</w:t>
      </w:r>
      <w:r w:rsidR="00492041">
        <w:rPr>
          <w:rFonts w:asciiTheme="majorBidi" w:eastAsia="Times New Roman" w:hAnsiTheme="majorBidi" w:cstheme="majorBidi"/>
          <w:bCs/>
          <w:sz w:val="24"/>
          <w:szCs w:val="24"/>
        </w:rPr>
        <w:t>d</w:t>
      </w:r>
      <w:r w:rsidR="00064EE0" w:rsidRPr="008E772B">
        <w:rPr>
          <w:rFonts w:asciiTheme="majorBidi" w:eastAsia="Times New Roman" w:hAnsiTheme="majorBidi" w:cstheme="majorBidi"/>
          <w:bCs/>
          <w:sz w:val="24"/>
          <w:szCs w:val="24"/>
        </w:rPr>
        <w:t xml:space="preserve"> with hiring a Big 4 audi</w:t>
      </w:r>
      <w:r w:rsidR="002866F3">
        <w:rPr>
          <w:rFonts w:asciiTheme="majorBidi" w:eastAsia="Times New Roman" w:hAnsiTheme="majorBidi" w:cstheme="majorBidi"/>
          <w:bCs/>
          <w:sz w:val="24"/>
          <w:szCs w:val="24"/>
        </w:rPr>
        <w:t>t firm</w:t>
      </w:r>
      <w:r w:rsidR="00064EE0" w:rsidRPr="008E772B">
        <w:rPr>
          <w:rFonts w:asciiTheme="majorBidi" w:eastAsia="Times New Roman" w:hAnsiTheme="majorBidi" w:cstheme="majorBidi"/>
          <w:bCs/>
          <w:sz w:val="24"/>
          <w:szCs w:val="24"/>
        </w:rPr>
        <w:t xml:space="preserve"> and </w:t>
      </w:r>
      <w:r w:rsidR="002866F3">
        <w:rPr>
          <w:rFonts w:asciiTheme="majorBidi" w:eastAsia="Times New Roman" w:hAnsiTheme="majorBidi" w:cstheme="majorBidi"/>
          <w:bCs/>
          <w:sz w:val="24"/>
          <w:szCs w:val="24"/>
        </w:rPr>
        <w:t xml:space="preserve">the </w:t>
      </w:r>
      <w:r w:rsidR="00064EE0" w:rsidRPr="008E772B">
        <w:rPr>
          <w:rFonts w:asciiTheme="majorBidi" w:eastAsia="Times New Roman" w:hAnsiTheme="majorBidi" w:cstheme="majorBidi"/>
          <w:bCs/>
          <w:sz w:val="24"/>
          <w:szCs w:val="24"/>
        </w:rPr>
        <w:t xml:space="preserve">payment of </w:t>
      </w:r>
      <w:r w:rsidR="003C3979">
        <w:rPr>
          <w:rFonts w:asciiTheme="majorBidi" w:eastAsia="Times New Roman" w:hAnsiTheme="majorBidi" w:cstheme="majorBidi"/>
          <w:bCs/>
          <w:sz w:val="24"/>
          <w:szCs w:val="24"/>
        </w:rPr>
        <w:t>higher</w:t>
      </w:r>
      <w:r w:rsidR="00064EE0" w:rsidRPr="008E772B">
        <w:rPr>
          <w:rFonts w:asciiTheme="majorBidi" w:eastAsia="Times New Roman" w:hAnsiTheme="majorBidi" w:cstheme="majorBidi"/>
          <w:bCs/>
          <w:sz w:val="24"/>
          <w:szCs w:val="24"/>
        </w:rPr>
        <w:t xml:space="preserve"> audit fees</w:t>
      </w:r>
      <w:r w:rsidR="00234DE9" w:rsidRPr="008E772B">
        <w:rPr>
          <w:rFonts w:asciiTheme="majorBidi" w:eastAsia="Times New Roman" w:hAnsiTheme="majorBidi" w:cstheme="majorBidi"/>
          <w:bCs/>
          <w:sz w:val="24"/>
          <w:szCs w:val="24"/>
        </w:rPr>
        <w:t xml:space="preserve">. </w:t>
      </w:r>
      <w:r w:rsidR="002866F3">
        <w:rPr>
          <w:rFonts w:asciiTheme="majorBidi" w:eastAsia="Times New Roman" w:hAnsiTheme="majorBidi" w:cstheme="majorBidi"/>
          <w:bCs/>
          <w:sz w:val="24"/>
          <w:szCs w:val="24"/>
        </w:rPr>
        <w:t>Thus, we argue</w:t>
      </w:r>
      <w:r w:rsidR="00E12F7A" w:rsidRPr="008E772B">
        <w:rPr>
          <w:rFonts w:asciiTheme="majorBidi" w:eastAsia="Times New Roman" w:hAnsiTheme="majorBidi" w:cstheme="majorBidi"/>
          <w:bCs/>
          <w:sz w:val="24"/>
          <w:szCs w:val="24"/>
        </w:rPr>
        <w:t xml:space="preserve"> that both </w:t>
      </w:r>
      <w:r w:rsidR="00ED1F6D" w:rsidRPr="008E772B">
        <w:rPr>
          <w:rFonts w:asciiTheme="majorBidi" w:eastAsia="Times New Roman" w:hAnsiTheme="majorBidi" w:cstheme="majorBidi"/>
          <w:bCs/>
          <w:sz w:val="24"/>
          <w:szCs w:val="24"/>
        </w:rPr>
        <w:t xml:space="preserve">firm- </w:t>
      </w:r>
      <w:r w:rsidR="00E12F7A" w:rsidRPr="008E772B">
        <w:rPr>
          <w:rFonts w:asciiTheme="majorBidi" w:eastAsia="Times New Roman" w:hAnsiTheme="majorBidi" w:cstheme="majorBidi"/>
          <w:bCs/>
          <w:sz w:val="24"/>
          <w:szCs w:val="24"/>
        </w:rPr>
        <w:t xml:space="preserve">and </w:t>
      </w:r>
      <w:r w:rsidR="00ED1F6D" w:rsidRPr="008E772B">
        <w:rPr>
          <w:rFonts w:asciiTheme="majorBidi" w:eastAsia="Times New Roman" w:hAnsiTheme="majorBidi" w:cstheme="majorBidi"/>
          <w:bCs/>
          <w:sz w:val="24"/>
          <w:szCs w:val="24"/>
        </w:rPr>
        <w:t xml:space="preserve">country-level </w:t>
      </w:r>
      <w:r w:rsidR="00E12F7A" w:rsidRPr="008E772B">
        <w:rPr>
          <w:rFonts w:asciiTheme="majorBidi" w:eastAsia="Times New Roman" w:hAnsiTheme="majorBidi" w:cstheme="majorBidi"/>
          <w:bCs/>
          <w:sz w:val="24"/>
          <w:szCs w:val="24"/>
        </w:rPr>
        <w:t>governance</w:t>
      </w:r>
      <w:r w:rsidR="00903C54">
        <w:rPr>
          <w:rFonts w:asciiTheme="majorBidi" w:eastAsia="Times New Roman" w:hAnsiTheme="majorBidi" w:cstheme="majorBidi"/>
          <w:bCs/>
          <w:sz w:val="24"/>
          <w:szCs w:val="24"/>
        </w:rPr>
        <w:t xml:space="preserve"> structures</w:t>
      </w:r>
      <w:r w:rsidR="00E12F7A" w:rsidRPr="008E772B">
        <w:rPr>
          <w:rFonts w:asciiTheme="majorBidi" w:eastAsia="Times New Roman" w:hAnsiTheme="majorBidi" w:cstheme="majorBidi"/>
          <w:bCs/>
          <w:sz w:val="24"/>
          <w:szCs w:val="24"/>
        </w:rPr>
        <w:t xml:space="preserve"> </w:t>
      </w:r>
      <w:r w:rsidR="00CD46D6" w:rsidRPr="008E772B">
        <w:rPr>
          <w:rFonts w:asciiTheme="majorBidi" w:eastAsia="Times New Roman" w:hAnsiTheme="majorBidi" w:cstheme="majorBidi"/>
          <w:bCs/>
          <w:sz w:val="24"/>
          <w:szCs w:val="24"/>
        </w:rPr>
        <w:t>encourag</w:t>
      </w:r>
      <w:r w:rsidR="00CD46D6">
        <w:rPr>
          <w:rFonts w:asciiTheme="majorBidi" w:eastAsia="Times New Roman" w:hAnsiTheme="majorBidi" w:cstheme="majorBidi"/>
          <w:bCs/>
          <w:sz w:val="24"/>
          <w:szCs w:val="24"/>
        </w:rPr>
        <w:t>e</w:t>
      </w:r>
      <w:r w:rsidR="00CD46D6" w:rsidRPr="008E772B">
        <w:rPr>
          <w:rFonts w:asciiTheme="majorBidi" w:eastAsia="Times New Roman" w:hAnsiTheme="majorBidi" w:cstheme="majorBidi"/>
          <w:bCs/>
          <w:sz w:val="24"/>
          <w:szCs w:val="24"/>
        </w:rPr>
        <w:t xml:space="preserve"> </w:t>
      </w:r>
      <w:r w:rsidR="00E12F7A" w:rsidRPr="008E772B">
        <w:rPr>
          <w:rFonts w:asciiTheme="majorBidi" w:eastAsia="Times New Roman" w:hAnsiTheme="majorBidi" w:cstheme="majorBidi"/>
          <w:bCs/>
          <w:sz w:val="24"/>
          <w:szCs w:val="24"/>
        </w:rPr>
        <w:t xml:space="preserve">firms to </w:t>
      </w:r>
      <w:r w:rsidR="00E5588B">
        <w:rPr>
          <w:rFonts w:asciiTheme="majorBidi" w:eastAsia="Times New Roman" w:hAnsiTheme="majorBidi" w:cstheme="majorBidi"/>
          <w:bCs/>
          <w:sz w:val="24"/>
          <w:szCs w:val="24"/>
        </w:rPr>
        <w:t>commit to higher</w:t>
      </w:r>
      <w:r w:rsidR="00647090">
        <w:rPr>
          <w:rFonts w:asciiTheme="majorBidi" w:eastAsia="Times New Roman" w:hAnsiTheme="majorBidi" w:cstheme="majorBidi"/>
          <w:bCs/>
          <w:sz w:val="24"/>
          <w:szCs w:val="24"/>
        </w:rPr>
        <w:t xml:space="preserve"> standards of</w:t>
      </w:r>
      <w:r w:rsidR="00E12F7A" w:rsidRPr="008E772B">
        <w:rPr>
          <w:rFonts w:asciiTheme="majorBidi" w:eastAsia="Times New Roman" w:hAnsiTheme="majorBidi" w:cstheme="majorBidi"/>
          <w:bCs/>
          <w:sz w:val="24"/>
          <w:szCs w:val="24"/>
        </w:rPr>
        <w:t xml:space="preserve"> audit quality. </w:t>
      </w:r>
    </w:p>
    <w:p w14:paraId="7041676B" w14:textId="3DB35B90" w:rsidR="00804BE0" w:rsidRPr="008E772B" w:rsidRDefault="002C5445" w:rsidP="005D5FBD">
      <w:pPr>
        <w:spacing w:after="0" w:line="360" w:lineRule="auto"/>
        <w:ind w:firstLine="720"/>
        <w:jc w:val="lowKashida"/>
        <w:rPr>
          <w:rFonts w:asciiTheme="majorBidi" w:eastAsia="Times New Roman" w:hAnsiTheme="majorBidi" w:cstheme="majorBidi"/>
          <w:bCs/>
          <w:sz w:val="24"/>
          <w:szCs w:val="24"/>
        </w:rPr>
      </w:pPr>
      <w:r>
        <w:rPr>
          <w:rFonts w:asciiTheme="majorBidi" w:eastAsia="Times New Roman" w:hAnsiTheme="majorBidi" w:cstheme="majorBidi"/>
          <w:bCs/>
          <w:sz w:val="24"/>
          <w:szCs w:val="24"/>
        </w:rPr>
        <w:t>The results of this paper</w:t>
      </w:r>
      <w:r w:rsidR="00A82AAD">
        <w:rPr>
          <w:rFonts w:asciiTheme="majorBidi" w:eastAsia="Times New Roman" w:hAnsiTheme="majorBidi" w:cstheme="majorBidi"/>
          <w:bCs/>
          <w:sz w:val="24"/>
          <w:szCs w:val="24"/>
        </w:rPr>
        <w:t xml:space="preserve"> </w:t>
      </w:r>
      <w:r w:rsidR="00F644DA">
        <w:rPr>
          <w:rFonts w:asciiTheme="majorBidi" w:eastAsia="Times New Roman" w:hAnsiTheme="majorBidi" w:cstheme="majorBidi"/>
          <w:bCs/>
          <w:sz w:val="24"/>
          <w:szCs w:val="24"/>
        </w:rPr>
        <w:t>have implications for policy</w:t>
      </w:r>
      <w:r w:rsidR="008452AC" w:rsidRPr="008E772B">
        <w:rPr>
          <w:rFonts w:asciiTheme="majorBidi" w:eastAsia="Times New Roman" w:hAnsiTheme="majorBidi" w:cstheme="majorBidi"/>
          <w:bCs/>
          <w:sz w:val="24"/>
          <w:szCs w:val="24"/>
        </w:rPr>
        <w:t xml:space="preserve"> makers and regulators </w:t>
      </w:r>
      <w:r w:rsidR="00F644DA">
        <w:rPr>
          <w:rFonts w:asciiTheme="majorBidi" w:eastAsia="Times New Roman" w:hAnsiTheme="majorBidi" w:cstheme="majorBidi"/>
          <w:bCs/>
          <w:sz w:val="24"/>
          <w:szCs w:val="24"/>
        </w:rPr>
        <w:t xml:space="preserve">in </w:t>
      </w:r>
      <w:r w:rsidR="00647090">
        <w:rPr>
          <w:rFonts w:asciiTheme="majorBidi" w:eastAsia="Times New Roman" w:hAnsiTheme="majorBidi" w:cstheme="majorBidi"/>
          <w:bCs/>
          <w:sz w:val="24"/>
          <w:szCs w:val="24"/>
        </w:rPr>
        <w:t xml:space="preserve">charge </w:t>
      </w:r>
      <w:r w:rsidR="00F644DA">
        <w:rPr>
          <w:rFonts w:asciiTheme="majorBidi" w:eastAsia="Times New Roman" w:hAnsiTheme="majorBidi" w:cstheme="majorBidi"/>
          <w:bCs/>
          <w:sz w:val="24"/>
          <w:szCs w:val="24"/>
        </w:rPr>
        <w:t>of improving</w:t>
      </w:r>
      <w:r w:rsidR="008452AC" w:rsidRPr="008E772B">
        <w:rPr>
          <w:rFonts w:asciiTheme="majorBidi" w:eastAsia="Times New Roman" w:hAnsiTheme="majorBidi" w:cstheme="majorBidi"/>
          <w:bCs/>
          <w:sz w:val="24"/>
          <w:szCs w:val="24"/>
        </w:rPr>
        <w:t xml:space="preserve"> the process of issuing/refining </w:t>
      </w:r>
      <w:r w:rsidR="00A82AAD">
        <w:rPr>
          <w:rFonts w:asciiTheme="majorBidi" w:eastAsia="Times New Roman" w:hAnsiTheme="majorBidi" w:cstheme="majorBidi"/>
          <w:bCs/>
          <w:sz w:val="24"/>
          <w:szCs w:val="24"/>
        </w:rPr>
        <w:t>governance</w:t>
      </w:r>
      <w:r w:rsidR="008452AC" w:rsidRPr="008E772B">
        <w:rPr>
          <w:rFonts w:asciiTheme="majorBidi" w:eastAsia="Times New Roman" w:hAnsiTheme="majorBidi" w:cstheme="majorBidi"/>
          <w:bCs/>
          <w:sz w:val="24"/>
          <w:szCs w:val="24"/>
        </w:rPr>
        <w:t xml:space="preserve"> codes</w:t>
      </w:r>
      <w:r w:rsidR="000012BA">
        <w:rPr>
          <w:rFonts w:asciiTheme="majorBidi" w:eastAsia="Times New Roman" w:hAnsiTheme="majorBidi" w:cstheme="majorBidi"/>
          <w:bCs/>
          <w:sz w:val="24"/>
          <w:szCs w:val="24"/>
        </w:rPr>
        <w:t>, regulatory</w:t>
      </w:r>
      <w:r w:rsidR="008452AC" w:rsidRPr="008E772B">
        <w:rPr>
          <w:rFonts w:asciiTheme="majorBidi" w:eastAsia="Times New Roman" w:hAnsiTheme="majorBidi" w:cstheme="majorBidi"/>
          <w:bCs/>
          <w:sz w:val="24"/>
          <w:szCs w:val="24"/>
        </w:rPr>
        <w:t xml:space="preserve"> system and legislative processes </w:t>
      </w:r>
      <w:r w:rsidR="00647090">
        <w:rPr>
          <w:rFonts w:asciiTheme="majorBidi" w:eastAsia="Times New Roman" w:hAnsiTheme="majorBidi" w:cstheme="majorBidi"/>
          <w:bCs/>
          <w:sz w:val="24"/>
          <w:szCs w:val="24"/>
        </w:rPr>
        <w:t xml:space="preserve">that are often aimed at </w:t>
      </w:r>
      <w:r w:rsidR="000012BA">
        <w:rPr>
          <w:rFonts w:asciiTheme="majorBidi" w:eastAsia="Times New Roman" w:hAnsiTheme="majorBidi" w:cstheme="majorBidi"/>
          <w:bCs/>
          <w:sz w:val="24"/>
          <w:szCs w:val="24"/>
        </w:rPr>
        <w:t xml:space="preserve">protecting the interests of different stakeholders by promoting </w:t>
      </w:r>
      <w:r w:rsidR="00647090">
        <w:rPr>
          <w:rFonts w:asciiTheme="majorBidi" w:eastAsia="Times New Roman" w:hAnsiTheme="majorBidi" w:cstheme="majorBidi"/>
          <w:bCs/>
          <w:sz w:val="24"/>
          <w:szCs w:val="24"/>
        </w:rPr>
        <w:t xml:space="preserve">higher standards of </w:t>
      </w:r>
      <w:r w:rsidR="008452AC" w:rsidRPr="008E772B">
        <w:rPr>
          <w:rFonts w:asciiTheme="majorBidi" w:eastAsia="Times New Roman" w:hAnsiTheme="majorBidi" w:cstheme="majorBidi"/>
          <w:bCs/>
          <w:sz w:val="24"/>
          <w:szCs w:val="24"/>
        </w:rPr>
        <w:t>audit qua</w:t>
      </w:r>
      <w:r w:rsidR="004D695F">
        <w:rPr>
          <w:rFonts w:asciiTheme="majorBidi" w:eastAsia="Times New Roman" w:hAnsiTheme="majorBidi" w:cstheme="majorBidi"/>
          <w:bCs/>
          <w:sz w:val="24"/>
          <w:szCs w:val="24"/>
        </w:rPr>
        <w:t>l</w:t>
      </w:r>
      <w:r w:rsidR="000012BA">
        <w:rPr>
          <w:rFonts w:asciiTheme="majorBidi" w:eastAsia="Times New Roman" w:hAnsiTheme="majorBidi" w:cstheme="majorBidi"/>
          <w:bCs/>
          <w:sz w:val="24"/>
          <w:szCs w:val="24"/>
        </w:rPr>
        <w:t>ity</w:t>
      </w:r>
      <w:r w:rsidR="008452AC" w:rsidRPr="008E772B">
        <w:rPr>
          <w:rFonts w:asciiTheme="majorBidi" w:eastAsia="Times New Roman" w:hAnsiTheme="majorBidi" w:cstheme="majorBidi"/>
          <w:bCs/>
          <w:sz w:val="24"/>
          <w:szCs w:val="24"/>
        </w:rPr>
        <w:t>.</w:t>
      </w:r>
      <w:r w:rsidR="005D5FBD" w:rsidRPr="005D5FBD">
        <w:rPr>
          <w:rFonts w:asciiTheme="majorBidi" w:eastAsia="Times New Roman" w:hAnsiTheme="majorBidi" w:cstheme="majorBidi"/>
          <w:bCs/>
          <w:sz w:val="24"/>
          <w:szCs w:val="24"/>
        </w:rPr>
        <w:t xml:space="preserve"> </w:t>
      </w:r>
      <w:r w:rsidR="00570C5F" w:rsidRPr="000972D1">
        <w:rPr>
          <w:rFonts w:asciiTheme="majorBidi" w:eastAsia="Times New Roman" w:hAnsiTheme="majorBidi" w:cstheme="majorBidi"/>
          <w:bCs/>
          <w:sz w:val="24"/>
          <w:szCs w:val="24"/>
        </w:rPr>
        <w:t>Despite</w:t>
      </w:r>
      <w:r w:rsidR="005D5FBD" w:rsidRPr="000972D1">
        <w:rPr>
          <w:rFonts w:asciiTheme="majorBidi" w:eastAsia="Times New Roman" w:hAnsiTheme="majorBidi" w:cstheme="majorBidi"/>
          <w:bCs/>
          <w:sz w:val="24"/>
          <w:szCs w:val="24"/>
        </w:rPr>
        <w:t xml:space="preserve"> the underdeveloped nature of accounting and </w:t>
      </w:r>
      <w:r w:rsidR="005D5FBD" w:rsidRPr="000972D1">
        <w:rPr>
          <w:rFonts w:asciiTheme="majorBidi" w:eastAsia="Times New Roman" w:hAnsiTheme="majorBidi" w:cstheme="majorBidi"/>
          <w:bCs/>
          <w:iCs/>
          <w:sz w:val="24"/>
          <w:szCs w:val="24"/>
        </w:rPr>
        <w:t>auditing profession</w:t>
      </w:r>
      <w:r w:rsidR="0069548D" w:rsidRPr="000972D1">
        <w:rPr>
          <w:rFonts w:asciiTheme="majorBidi" w:eastAsia="Times New Roman" w:hAnsiTheme="majorBidi" w:cstheme="majorBidi"/>
          <w:bCs/>
          <w:iCs/>
          <w:sz w:val="24"/>
          <w:szCs w:val="24"/>
        </w:rPr>
        <w:t>,</w:t>
      </w:r>
      <w:r w:rsidR="005D5FBD" w:rsidRPr="000972D1">
        <w:rPr>
          <w:rFonts w:asciiTheme="majorBidi" w:eastAsia="Times New Roman" w:hAnsiTheme="majorBidi" w:cstheme="majorBidi"/>
          <w:bCs/>
          <w:iCs/>
          <w:sz w:val="24"/>
          <w:szCs w:val="24"/>
        </w:rPr>
        <w:t xml:space="preserve"> MENA countries </w:t>
      </w:r>
      <w:r w:rsidR="005D5FBD" w:rsidRPr="000972D1">
        <w:rPr>
          <w:rFonts w:asciiTheme="majorBidi" w:eastAsia="Times New Roman" w:hAnsiTheme="majorBidi" w:cstheme="majorBidi"/>
          <w:bCs/>
          <w:sz w:val="24"/>
          <w:szCs w:val="24"/>
        </w:rPr>
        <w:t>recent</w:t>
      </w:r>
      <w:r w:rsidR="0069548D" w:rsidRPr="000972D1">
        <w:rPr>
          <w:rFonts w:asciiTheme="majorBidi" w:eastAsia="Times New Roman" w:hAnsiTheme="majorBidi" w:cstheme="majorBidi"/>
          <w:bCs/>
          <w:sz w:val="24"/>
          <w:szCs w:val="24"/>
        </w:rPr>
        <w:t>ly</w:t>
      </w:r>
      <w:r w:rsidR="005D5FBD" w:rsidRPr="000972D1">
        <w:rPr>
          <w:rFonts w:asciiTheme="majorBidi" w:eastAsia="Times New Roman" w:hAnsiTheme="majorBidi" w:cstheme="majorBidi"/>
          <w:bCs/>
          <w:sz w:val="24"/>
          <w:szCs w:val="24"/>
        </w:rPr>
        <w:t xml:space="preserve"> adopted and issued </w:t>
      </w:r>
      <w:r w:rsidR="00B94810">
        <w:rPr>
          <w:rFonts w:asciiTheme="majorBidi" w:eastAsia="Times New Roman" w:hAnsiTheme="majorBidi" w:cstheme="majorBidi"/>
          <w:bCs/>
          <w:sz w:val="24"/>
          <w:szCs w:val="24"/>
        </w:rPr>
        <w:t>corporate governance</w:t>
      </w:r>
      <w:r w:rsidR="00B94810" w:rsidRPr="000972D1">
        <w:rPr>
          <w:rFonts w:asciiTheme="majorBidi" w:eastAsia="Times New Roman" w:hAnsiTheme="majorBidi" w:cstheme="majorBidi"/>
          <w:bCs/>
          <w:sz w:val="24"/>
          <w:szCs w:val="24"/>
        </w:rPr>
        <w:t xml:space="preserve"> </w:t>
      </w:r>
      <w:r w:rsidR="005D5FBD" w:rsidRPr="000972D1">
        <w:rPr>
          <w:rFonts w:asciiTheme="majorBidi" w:eastAsia="Times New Roman" w:hAnsiTheme="majorBidi" w:cstheme="majorBidi"/>
          <w:bCs/>
          <w:sz w:val="24"/>
          <w:szCs w:val="24"/>
        </w:rPr>
        <w:t xml:space="preserve">codes based on international </w:t>
      </w:r>
      <w:r w:rsidR="00B94810">
        <w:rPr>
          <w:rFonts w:asciiTheme="majorBidi" w:eastAsia="Times New Roman" w:hAnsiTheme="majorBidi" w:cstheme="majorBidi"/>
          <w:bCs/>
          <w:sz w:val="24"/>
          <w:szCs w:val="24"/>
        </w:rPr>
        <w:t>corporate governance</w:t>
      </w:r>
      <w:r w:rsidR="00B94810" w:rsidRPr="000972D1">
        <w:rPr>
          <w:rFonts w:asciiTheme="majorBidi" w:eastAsia="Times New Roman" w:hAnsiTheme="majorBidi" w:cstheme="majorBidi"/>
          <w:bCs/>
          <w:sz w:val="24"/>
          <w:szCs w:val="24"/>
        </w:rPr>
        <w:t xml:space="preserve"> </w:t>
      </w:r>
      <w:r w:rsidR="005D5FBD" w:rsidRPr="000972D1">
        <w:rPr>
          <w:rFonts w:asciiTheme="majorBidi" w:eastAsia="Times New Roman" w:hAnsiTheme="majorBidi" w:cstheme="majorBidi"/>
          <w:bCs/>
          <w:sz w:val="24"/>
          <w:szCs w:val="24"/>
        </w:rPr>
        <w:t>best practices recommendations. Thus</w:t>
      </w:r>
      <w:r w:rsidR="006E31D3" w:rsidRPr="000972D1">
        <w:rPr>
          <w:rFonts w:asciiTheme="majorBidi" w:eastAsia="Times New Roman" w:hAnsiTheme="majorBidi" w:cstheme="majorBidi"/>
          <w:bCs/>
          <w:sz w:val="24"/>
          <w:szCs w:val="24"/>
        </w:rPr>
        <w:t>,</w:t>
      </w:r>
      <w:r w:rsidR="005D5FBD" w:rsidRPr="000972D1">
        <w:rPr>
          <w:rFonts w:asciiTheme="majorBidi" w:eastAsia="Times New Roman" w:hAnsiTheme="majorBidi" w:cstheme="majorBidi"/>
          <w:bCs/>
          <w:sz w:val="24"/>
          <w:szCs w:val="24"/>
        </w:rPr>
        <w:t xml:space="preserve"> our results support the positive effect of</w:t>
      </w:r>
      <w:r w:rsidR="002A6857">
        <w:rPr>
          <w:rFonts w:asciiTheme="majorBidi" w:eastAsia="Times New Roman" w:hAnsiTheme="majorBidi" w:cstheme="majorBidi"/>
          <w:bCs/>
          <w:sz w:val="24"/>
          <w:szCs w:val="24"/>
        </w:rPr>
        <w:t xml:space="preserve"> the</w:t>
      </w:r>
      <w:r w:rsidR="005D5FBD" w:rsidRPr="000972D1">
        <w:rPr>
          <w:rFonts w:asciiTheme="majorBidi" w:eastAsia="Times New Roman" w:hAnsiTheme="majorBidi" w:cstheme="majorBidi"/>
          <w:bCs/>
          <w:sz w:val="24"/>
          <w:szCs w:val="24"/>
        </w:rPr>
        <w:t xml:space="preserve"> governance mechanism</w:t>
      </w:r>
      <w:r w:rsidR="002A6857">
        <w:rPr>
          <w:rFonts w:asciiTheme="majorBidi" w:eastAsia="Times New Roman" w:hAnsiTheme="majorBidi" w:cstheme="majorBidi"/>
          <w:bCs/>
          <w:sz w:val="24"/>
          <w:szCs w:val="24"/>
        </w:rPr>
        <w:t>s</w:t>
      </w:r>
      <w:r w:rsidR="005D5FBD" w:rsidRPr="000972D1">
        <w:rPr>
          <w:rFonts w:asciiTheme="majorBidi" w:eastAsia="Times New Roman" w:hAnsiTheme="majorBidi" w:cstheme="majorBidi"/>
          <w:bCs/>
          <w:sz w:val="24"/>
          <w:szCs w:val="24"/>
        </w:rPr>
        <w:t xml:space="preserve"> on audit quality </w:t>
      </w:r>
      <w:r w:rsidR="002A6857">
        <w:rPr>
          <w:rFonts w:asciiTheme="majorBidi" w:eastAsia="Times New Roman" w:hAnsiTheme="majorBidi" w:cstheme="majorBidi"/>
          <w:bCs/>
          <w:sz w:val="24"/>
          <w:szCs w:val="24"/>
        </w:rPr>
        <w:t>with</w:t>
      </w:r>
      <w:r w:rsidR="005D5FBD" w:rsidRPr="000972D1">
        <w:rPr>
          <w:rFonts w:asciiTheme="majorBidi" w:eastAsia="Times New Roman" w:hAnsiTheme="majorBidi" w:cstheme="majorBidi"/>
          <w:bCs/>
          <w:sz w:val="24"/>
          <w:szCs w:val="24"/>
        </w:rPr>
        <w:t xml:space="preserve">in </w:t>
      </w:r>
      <w:r w:rsidR="002A6857">
        <w:rPr>
          <w:rFonts w:asciiTheme="majorBidi" w:eastAsia="Times New Roman" w:hAnsiTheme="majorBidi" w:cstheme="majorBidi"/>
          <w:bCs/>
          <w:sz w:val="24"/>
          <w:szCs w:val="24"/>
        </w:rPr>
        <w:t xml:space="preserve">the </w:t>
      </w:r>
      <w:r w:rsidR="005D5FBD" w:rsidRPr="000972D1">
        <w:rPr>
          <w:rFonts w:asciiTheme="majorBidi" w:eastAsia="Times New Roman" w:hAnsiTheme="majorBidi" w:cstheme="majorBidi"/>
          <w:bCs/>
          <w:sz w:val="24"/>
          <w:szCs w:val="24"/>
        </w:rPr>
        <w:t xml:space="preserve">MENA context that encourage </w:t>
      </w:r>
      <w:r w:rsidR="005D5FBD" w:rsidRPr="000972D1">
        <w:rPr>
          <w:rFonts w:asciiTheme="majorBidi" w:eastAsia="Times New Roman" w:hAnsiTheme="majorBidi" w:cstheme="majorBidi"/>
          <w:bCs/>
          <w:sz w:val="24"/>
          <w:szCs w:val="24"/>
        </w:rPr>
        <w:lastRenderedPageBreak/>
        <w:t xml:space="preserve">governments and regulators in </w:t>
      </w:r>
      <w:r w:rsidR="002A6857">
        <w:rPr>
          <w:rFonts w:asciiTheme="majorBidi" w:eastAsia="Times New Roman" w:hAnsiTheme="majorBidi" w:cstheme="majorBidi"/>
          <w:bCs/>
          <w:sz w:val="24"/>
          <w:szCs w:val="24"/>
        </w:rPr>
        <w:t xml:space="preserve">the </w:t>
      </w:r>
      <w:r w:rsidR="00573BE5" w:rsidRPr="000972D1">
        <w:rPr>
          <w:rFonts w:asciiTheme="majorBidi" w:eastAsia="Times New Roman" w:hAnsiTheme="majorBidi" w:cstheme="majorBidi"/>
          <w:bCs/>
          <w:sz w:val="24"/>
          <w:szCs w:val="24"/>
        </w:rPr>
        <w:t xml:space="preserve">MENA </w:t>
      </w:r>
      <w:r w:rsidR="002A6857">
        <w:rPr>
          <w:rFonts w:asciiTheme="majorBidi" w:eastAsia="Times New Roman" w:hAnsiTheme="majorBidi" w:cstheme="majorBidi"/>
          <w:bCs/>
          <w:sz w:val="24"/>
          <w:szCs w:val="24"/>
        </w:rPr>
        <w:t xml:space="preserve">region </w:t>
      </w:r>
      <w:r w:rsidR="00573BE5" w:rsidRPr="000972D1">
        <w:rPr>
          <w:rFonts w:asciiTheme="majorBidi" w:eastAsia="Times New Roman" w:hAnsiTheme="majorBidi" w:cstheme="majorBidi"/>
          <w:bCs/>
          <w:sz w:val="24"/>
          <w:szCs w:val="24"/>
        </w:rPr>
        <w:t xml:space="preserve">and </w:t>
      </w:r>
      <w:r w:rsidR="005D5FBD" w:rsidRPr="000972D1">
        <w:rPr>
          <w:rFonts w:asciiTheme="majorBidi" w:eastAsia="Times New Roman" w:hAnsiTheme="majorBidi" w:cstheme="majorBidi"/>
          <w:bCs/>
          <w:sz w:val="24"/>
          <w:szCs w:val="24"/>
        </w:rPr>
        <w:t xml:space="preserve">other developing countries to issue/reform governance </w:t>
      </w:r>
      <w:r w:rsidR="00481C23" w:rsidRPr="000972D1">
        <w:rPr>
          <w:rFonts w:asciiTheme="majorBidi" w:eastAsia="Times New Roman" w:hAnsiTheme="majorBidi" w:cstheme="majorBidi"/>
          <w:bCs/>
          <w:sz w:val="24"/>
          <w:szCs w:val="24"/>
        </w:rPr>
        <w:t>best practices recommendations</w:t>
      </w:r>
      <w:r w:rsidR="005D5FBD" w:rsidRPr="000972D1">
        <w:rPr>
          <w:rFonts w:asciiTheme="majorBidi" w:eastAsia="Times New Roman" w:hAnsiTheme="majorBidi" w:cstheme="majorBidi"/>
          <w:bCs/>
          <w:sz w:val="24"/>
          <w:szCs w:val="24"/>
        </w:rPr>
        <w:t xml:space="preserve"> to protect shareholders</w:t>
      </w:r>
      <w:r w:rsidR="00233FF7">
        <w:rPr>
          <w:rFonts w:asciiTheme="majorBidi" w:eastAsia="Times New Roman" w:hAnsiTheme="majorBidi" w:cstheme="majorBidi"/>
          <w:bCs/>
          <w:sz w:val="24"/>
          <w:szCs w:val="24"/>
        </w:rPr>
        <w:t>’</w:t>
      </w:r>
      <w:r w:rsidR="005D5FBD" w:rsidRPr="000972D1">
        <w:rPr>
          <w:rFonts w:asciiTheme="majorBidi" w:eastAsia="Times New Roman" w:hAnsiTheme="majorBidi" w:cstheme="majorBidi"/>
          <w:bCs/>
          <w:sz w:val="24"/>
          <w:szCs w:val="24"/>
        </w:rPr>
        <w:t xml:space="preserve"> interests.</w:t>
      </w:r>
      <w:r w:rsidR="00804BE0" w:rsidRPr="000972D1">
        <w:rPr>
          <w:rFonts w:asciiTheme="majorBidi" w:eastAsia="Times New Roman" w:hAnsiTheme="majorBidi" w:cstheme="majorBidi"/>
          <w:bCs/>
          <w:sz w:val="24"/>
          <w:szCs w:val="24"/>
        </w:rPr>
        <w:t xml:space="preserve"> Also, for managers and corporations, our evidence suggests that they</w:t>
      </w:r>
      <w:r w:rsidR="00647090" w:rsidRPr="000972D1">
        <w:rPr>
          <w:rFonts w:asciiTheme="majorBidi" w:eastAsia="Times New Roman" w:hAnsiTheme="majorBidi" w:cstheme="majorBidi"/>
          <w:bCs/>
          <w:sz w:val="24"/>
          <w:szCs w:val="24"/>
        </w:rPr>
        <w:t xml:space="preserve"> may be able to</w:t>
      </w:r>
      <w:r w:rsidR="00804BE0" w:rsidRPr="000972D1">
        <w:rPr>
          <w:rFonts w:asciiTheme="majorBidi" w:eastAsia="Times New Roman" w:hAnsiTheme="majorBidi" w:cstheme="majorBidi"/>
          <w:bCs/>
          <w:sz w:val="24"/>
          <w:szCs w:val="24"/>
        </w:rPr>
        <w:t xml:space="preserve"> improve their audit quality by hiring m</w:t>
      </w:r>
      <w:r w:rsidR="00395529" w:rsidRPr="000972D1">
        <w:rPr>
          <w:rFonts w:asciiTheme="majorBidi" w:eastAsia="Times New Roman" w:hAnsiTheme="majorBidi" w:cstheme="majorBidi"/>
          <w:bCs/>
          <w:sz w:val="24"/>
          <w:szCs w:val="24"/>
        </w:rPr>
        <w:t>o</w:t>
      </w:r>
      <w:r w:rsidR="00804BE0" w:rsidRPr="000972D1">
        <w:rPr>
          <w:rFonts w:asciiTheme="majorBidi" w:eastAsia="Times New Roman" w:hAnsiTheme="majorBidi" w:cstheme="majorBidi"/>
          <w:bCs/>
          <w:sz w:val="24"/>
          <w:szCs w:val="24"/>
        </w:rPr>
        <w:t>re independent director</w:t>
      </w:r>
      <w:r w:rsidR="00647090" w:rsidRPr="000972D1">
        <w:rPr>
          <w:rFonts w:asciiTheme="majorBidi" w:eastAsia="Times New Roman" w:hAnsiTheme="majorBidi" w:cstheme="majorBidi"/>
          <w:bCs/>
          <w:sz w:val="24"/>
          <w:szCs w:val="24"/>
        </w:rPr>
        <w:t xml:space="preserve">s, as well as </w:t>
      </w:r>
      <w:r w:rsidR="00804BE0" w:rsidRPr="000972D1">
        <w:rPr>
          <w:rFonts w:asciiTheme="majorBidi" w:eastAsia="Times New Roman" w:hAnsiTheme="majorBidi" w:cstheme="majorBidi"/>
          <w:bCs/>
          <w:sz w:val="24"/>
          <w:szCs w:val="24"/>
        </w:rPr>
        <w:t>encouraging directors to increase their shareholdin</w:t>
      </w:r>
      <w:r w:rsidR="00647090" w:rsidRPr="000972D1">
        <w:rPr>
          <w:rFonts w:asciiTheme="majorBidi" w:eastAsia="Times New Roman" w:hAnsiTheme="majorBidi" w:cstheme="majorBidi"/>
          <w:bCs/>
          <w:sz w:val="24"/>
          <w:szCs w:val="24"/>
        </w:rPr>
        <w:t>g</w:t>
      </w:r>
      <w:r w:rsidR="00233FF7">
        <w:rPr>
          <w:rFonts w:asciiTheme="majorBidi" w:eastAsia="Times New Roman" w:hAnsiTheme="majorBidi" w:cstheme="majorBidi"/>
          <w:bCs/>
          <w:sz w:val="24"/>
          <w:szCs w:val="24"/>
        </w:rPr>
        <w:t>s</w:t>
      </w:r>
      <w:r w:rsidR="00804BE0" w:rsidRPr="000972D1">
        <w:rPr>
          <w:rFonts w:asciiTheme="majorBidi" w:eastAsia="Times New Roman" w:hAnsiTheme="majorBidi" w:cstheme="majorBidi"/>
          <w:bCs/>
          <w:sz w:val="24"/>
          <w:szCs w:val="24"/>
        </w:rPr>
        <w:t>.</w:t>
      </w:r>
    </w:p>
    <w:p w14:paraId="62F4A29D" w14:textId="485EEAE0" w:rsidR="009E2147" w:rsidRDefault="000012BA" w:rsidP="00233FF7">
      <w:pPr>
        <w:spacing w:after="0" w:line="360" w:lineRule="auto"/>
        <w:ind w:firstLine="720"/>
        <w:jc w:val="lowKashida"/>
        <w:rPr>
          <w:rFonts w:asciiTheme="majorBidi" w:eastAsia="Times New Roman" w:hAnsiTheme="majorBidi" w:cstheme="majorBidi"/>
          <w:bCs/>
          <w:sz w:val="24"/>
          <w:szCs w:val="24"/>
        </w:rPr>
      </w:pPr>
      <w:r>
        <w:rPr>
          <w:rFonts w:asciiTheme="majorBidi" w:eastAsia="Times New Roman" w:hAnsiTheme="majorBidi" w:cstheme="majorBidi"/>
          <w:bCs/>
          <w:sz w:val="24"/>
          <w:szCs w:val="24"/>
        </w:rPr>
        <w:t xml:space="preserve">Finally and like all archival studies of this nature, </w:t>
      </w:r>
      <w:r w:rsidR="006A0521">
        <w:rPr>
          <w:rFonts w:asciiTheme="majorBidi" w:eastAsia="Times New Roman" w:hAnsiTheme="majorBidi" w:cstheme="majorBidi"/>
          <w:bCs/>
          <w:sz w:val="24"/>
          <w:szCs w:val="24"/>
        </w:rPr>
        <w:t xml:space="preserve">the current study </w:t>
      </w:r>
      <w:r w:rsidR="00BF3939" w:rsidRPr="008E772B">
        <w:rPr>
          <w:rFonts w:asciiTheme="majorBidi" w:eastAsia="Times New Roman" w:hAnsiTheme="majorBidi" w:cstheme="majorBidi"/>
          <w:bCs/>
          <w:sz w:val="24"/>
          <w:szCs w:val="24"/>
        </w:rPr>
        <w:t xml:space="preserve">is subject to a number of limitations. First, the sample is limited to </w:t>
      </w:r>
      <w:r w:rsidR="003300B1">
        <w:rPr>
          <w:rFonts w:asciiTheme="majorBidi" w:eastAsia="Times New Roman" w:hAnsiTheme="majorBidi" w:cstheme="majorBidi"/>
          <w:bCs/>
          <w:sz w:val="24"/>
          <w:szCs w:val="24"/>
        </w:rPr>
        <w:t>600</w:t>
      </w:r>
      <w:r w:rsidR="003300B1" w:rsidRPr="008E772B">
        <w:rPr>
          <w:rFonts w:asciiTheme="majorBidi" w:eastAsia="Times New Roman" w:hAnsiTheme="majorBidi" w:cstheme="majorBidi"/>
          <w:bCs/>
          <w:sz w:val="24"/>
          <w:szCs w:val="24"/>
        </w:rPr>
        <w:t xml:space="preserve"> </w:t>
      </w:r>
      <w:r w:rsidR="003300B1">
        <w:rPr>
          <w:rFonts w:asciiTheme="majorBidi" w:eastAsia="Times New Roman" w:hAnsiTheme="majorBidi" w:cstheme="majorBidi"/>
          <w:bCs/>
          <w:sz w:val="24"/>
          <w:szCs w:val="24"/>
        </w:rPr>
        <w:t>firm year observations from</w:t>
      </w:r>
      <w:r w:rsidR="003576A0">
        <w:rPr>
          <w:rFonts w:asciiTheme="majorBidi" w:eastAsia="Times New Roman" w:hAnsiTheme="majorBidi" w:cstheme="majorBidi"/>
          <w:bCs/>
          <w:sz w:val="24"/>
          <w:szCs w:val="24"/>
        </w:rPr>
        <w:t xml:space="preserve"> five</w:t>
      </w:r>
      <w:r w:rsidR="003300B1">
        <w:rPr>
          <w:rFonts w:asciiTheme="majorBidi" w:eastAsia="Times New Roman" w:hAnsiTheme="majorBidi" w:cstheme="majorBidi"/>
          <w:bCs/>
          <w:sz w:val="24"/>
          <w:szCs w:val="24"/>
        </w:rPr>
        <w:t xml:space="preserve"> MENA</w:t>
      </w:r>
      <w:r w:rsidR="003576A0">
        <w:rPr>
          <w:rFonts w:asciiTheme="majorBidi" w:eastAsia="Times New Roman" w:hAnsiTheme="majorBidi" w:cstheme="majorBidi"/>
          <w:bCs/>
          <w:sz w:val="24"/>
          <w:szCs w:val="24"/>
        </w:rPr>
        <w:t xml:space="preserve"> countries</w:t>
      </w:r>
      <w:r w:rsidR="00F644DA">
        <w:rPr>
          <w:rFonts w:asciiTheme="majorBidi" w:eastAsia="Times New Roman" w:hAnsiTheme="majorBidi" w:cstheme="majorBidi"/>
          <w:bCs/>
          <w:sz w:val="24"/>
          <w:szCs w:val="24"/>
        </w:rPr>
        <w:t>.</w:t>
      </w:r>
      <w:r w:rsidR="00DA2461">
        <w:rPr>
          <w:rFonts w:asciiTheme="majorBidi" w:eastAsia="Times New Roman" w:hAnsiTheme="majorBidi" w:cstheme="majorBidi"/>
          <w:bCs/>
          <w:sz w:val="24"/>
          <w:szCs w:val="24"/>
        </w:rPr>
        <w:t xml:space="preserve"> </w:t>
      </w:r>
      <w:r>
        <w:rPr>
          <w:rFonts w:asciiTheme="majorBidi" w:eastAsia="Times New Roman" w:hAnsiTheme="majorBidi" w:cstheme="majorBidi"/>
          <w:bCs/>
          <w:sz w:val="24"/>
          <w:szCs w:val="24"/>
        </w:rPr>
        <w:t>Thus</w:t>
      </w:r>
      <w:r w:rsidR="007E73A3">
        <w:rPr>
          <w:rFonts w:asciiTheme="majorBidi" w:eastAsia="Times New Roman" w:hAnsiTheme="majorBidi" w:cstheme="majorBidi"/>
          <w:bCs/>
          <w:sz w:val="24"/>
          <w:szCs w:val="24"/>
        </w:rPr>
        <w:t>,</w:t>
      </w:r>
      <w:r>
        <w:rPr>
          <w:rFonts w:asciiTheme="majorBidi" w:eastAsia="Times New Roman" w:hAnsiTheme="majorBidi" w:cstheme="majorBidi"/>
          <w:bCs/>
          <w:sz w:val="24"/>
          <w:szCs w:val="24"/>
        </w:rPr>
        <w:t xml:space="preserve"> future studies </w:t>
      </w:r>
      <w:r w:rsidR="00233FF7">
        <w:rPr>
          <w:rFonts w:asciiTheme="majorBidi" w:eastAsia="Times New Roman" w:hAnsiTheme="majorBidi" w:cstheme="majorBidi"/>
          <w:bCs/>
          <w:sz w:val="24"/>
          <w:szCs w:val="24"/>
        </w:rPr>
        <w:t>may enhance the insights that they may be able to offer by</w:t>
      </w:r>
      <w:r w:rsidR="00F644DA">
        <w:rPr>
          <w:rFonts w:asciiTheme="majorBidi" w:eastAsia="Times New Roman" w:hAnsiTheme="majorBidi" w:cstheme="majorBidi"/>
          <w:bCs/>
          <w:sz w:val="24"/>
          <w:szCs w:val="24"/>
        </w:rPr>
        <w:t xml:space="preserve"> </w:t>
      </w:r>
      <w:r w:rsidR="00233FF7">
        <w:rPr>
          <w:rFonts w:asciiTheme="majorBidi" w:eastAsia="Times New Roman" w:hAnsiTheme="majorBidi" w:cstheme="majorBidi"/>
          <w:bCs/>
          <w:sz w:val="24"/>
          <w:szCs w:val="24"/>
        </w:rPr>
        <w:t>employing a large</w:t>
      </w:r>
      <w:r w:rsidR="00F644DA">
        <w:rPr>
          <w:rFonts w:asciiTheme="majorBidi" w:eastAsia="Times New Roman" w:hAnsiTheme="majorBidi" w:cstheme="majorBidi"/>
          <w:bCs/>
          <w:sz w:val="24"/>
          <w:szCs w:val="24"/>
        </w:rPr>
        <w:t xml:space="preserve"> sample </w:t>
      </w:r>
      <w:r w:rsidR="00233FF7">
        <w:rPr>
          <w:rFonts w:asciiTheme="majorBidi" w:eastAsia="Times New Roman" w:hAnsiTheme="majorBidi" w:cstheme="majorBidi"/>
          <w:bCs/>
          <w:sz w:val="24"/>
          <w:szCs w:val="24"/>
        </w:rPr>
        <w:t>of</w:t>
      </w:r>
      <w:r w:rsidR="00F644DA">
        <w:rPr>
          <w:rFonts w:asciiTheme="majorBidi" w:eastAsia="Times New Roman" w:hAnsiTheme="majorBidi" w:cstheme="majorBidi"/>
          <w:bCs/>
          <w:sz w:val="24"/>
          <w:szCs w:val="24"/>
        </w:rPr>
        <w:t xml:space="preserve"> firms and countries </w:t>
      </w:r>
      <w:r w:rsidR="00233FF7">
        <w:rPr>
          <w:rFonts w:asciiTheme="majorBidi" w:eastAsia="Times New Roman" w:hAnsiTheme="majorBidi" w:cstheme="majorBidi"/>
          <w:bCs/>
          <w:sz w:val="24"/>
          <w:szCs w:val="24"/>
        </w:rPr>
        <w:t>to test these relationships</w:t>
      </w:r>
      <w:r>
        <w:rPr>
          <w:rFonts w:asciiTheme="majorBidi" w:eastAsia="Times New Roman" w:hAnsiTheme="majorBidi" w:cstheme="majorBidi"/>
          <w:bCs/>
          <w:sz w:val="24"/>
          <w:szCs w:val="24"/>
        </w:rPr>
        <w:t>.</w:t>
      </w:r>
      <w:r w:rsidR="00AD2D53" w:rsidRPr="008E772B">
        <w:rPr>
          <w:rFonts w:asciiTheme="majorBidi" w:eastAsia="Times New Roman" w:hAnsiTheme="majorBidi" w:cstheme="majorBidi"/>
          <w:bCs/>
          <w:sz w:val="24"/>
          <w:szCs w:val="24"/>
        </w:rPr>
        <w:t xml:space="preserve"> </w:t>
      </w:r>
      <w:r>
        <w:rPr>
          <w:rFonts w:asciiTheme="majorBidi" w:eastAsia="Times New Roman" w:hAnsiTheme="majorBidi" w:cstheme="majorBidi"/>
          <w:bCs/>
          <w:sz w:val="24"/>
          <w:szCs w:val="24"/>
        </w:rPr>
        <w:t>Second and similar to other archival studies, the variables used as proxies for audit quality and governance mechanisms may or may not reflect actual practice</w:t>
      </w:r>
      <w:r w:rsidR="00233FF7">
        <w:rPr>
          <w:rFonts w:asciiTheme="majorBidi" w:eastAsia="Times New Roman" w:hAnsiTheme="majorBidi" w:cstheme="majorBidi"/>
          <w:bCs/>
          <w:sz w:val="24"/>
          <w:szCs w:val="24"/>
        </w:rPr>
        <w:t>,</w:t>
      </w:r>
      <w:r w:rsidR="00F644DA">
        <w:rPr>
          <w:rFonts w:asciiTheme="majorBidi" w:eastAsia="Times New Roman" w:hAnsiTheme="majorBidi" w:cstheme="majorBidi"/>
          <w:bCs/>
          <w:sz w:val="24"/>
          <w:szCs w:val="24"/>
        </w:rPr>
        <w:t xml:space="preserve"> and hence</w:t>
      </w:r>
      <w:r w:rsidR="00233FF7">
        <w:rPr>
          <w:rFonts w:asciiTheme="majorBidi" w:eastAsia="Times New Roman" w:hAnsiTheme="majorBidi" w:cstheme="majorBidi"/>
          <w:bCs/>
          <w:sz w:val="24"/>
          <w:szCs w:val="24"/>
        </w:rPr>
        <w:t>, future researchers may offer new insights within the MENA context by applying</w:t>
      </w:r>
      <w:r w:rsidR="00F644DA">
        <w:rPr>
          <w:rFonts w:asciiTheme="majorBidi" w:eastAsia="Times New Roman" w:hAnsiTheme="majorBidi" w:cstheme="majorBidi"/>
          <w:bCs/>
          <w:sz w:val="24"/>
          <w:szCs w:val="24"/>
        </w:rPr>
        <w:t xml:space="preserve"> other dimensions of audit quality and governance practices. </w:t>
      </w:r>
      <w:r>
        <w:rPr>
          <w:rFonts w:asciiTheme="majorBidi" w:eastAsia="Times New Roman" w:hAnsiTheme="majorBidi" w:cstheme="majorBidi"/>
          <w:bCs/>
          <w:sz w:val="24"/>
          <w:szCs w:val="24"/>
        </w:rPr>
        <w:t>Third and a</w:t>
      </w:r>
      <w:r w:rsidR="00AD2D53" w:rsidRPr="008E772B">
        <w:rPr>
          <w:rFonts w:asciiTheme="majorBidi" w:eastAsia="Times New Roman" w:hAnsiTheme="majorBidi" w:cstheme="majorBidi"/>
          <w:bCs/>
          <w:sz w:val="24"/>
          <w:szCs w:val="24"/>
        </w:rPr>
        <w:t xml:space="preserve">lthough </w:t>
      </w:r>
      <w:r w:rsidR="00BF3939" w:rsidRPr="008E772B">
        <w:rPr>
          <w:rFonts w:asciiTheme="majorBidi" w:eastAsia="Times New Roman" w:hAnsiTheme="majorBidi" w:cstheme="majorBidi"/>
          <w:bCs/>
          <w:sz w:val="24"/>
          <w:szCs w:val="24"/>
        </w:rPr>
        <w:t>this study attempted to control for many factors that previous studies have found to affect audit</w:t>
      </w:r>
      <w:r w:rsidR="00E84965">
        <w:rPr>
          <w:rFonts w:asciiTheme="majorBidi" w:eastAsia="Times New Roman" w:hAnsiTheme="majorBidi" w:cstheme="majorBidi"/>
          <w:bCs/>
          <w:sz w:val="24"/>
          <w:szCs w:val="24"/>
        </w:rPr>
        <w:t xml:space="preserve"> quality</w:t>
      </w:r>
      <w:r w:rsidR="00BF3939" w:rsidRPr="008E772B">
        <w:rPr>
          <w:rFonts w:asciiTheme="majorBidi" w:eastAsia="Times New Roman" w:hAnsiTheme="majorBidi" w:cstheme="majorBidi"/>
          <w:bCs/>
          <w:sz w:val="24"/>
          <w:szCs w:val="24"/>
        </w:rPr>
        <w:t xml:space="preserve">, </w:t>
      </w:r>
      <w:r w:rsidR="003576A0">
        <w:rPr>
          <w:rFonts w:asciiTheme="majorBidi" w:eastAsia="Times New Roman" w:hAnsiTheme="majorBidi" w:cstheme="majorBidi"/>
          <w:bCs/>
          <w:sz w:val="24"/>
          <w:szCs w:val="24"/>
        </w:rPr>
        <w:t xml:space="preserve">we have been unable to include </w:t>
      </w:r>
      <w:r w:rsidR="00BF3939" w:rsidRPr="008E772B">
        <w:rPr>
          <w:rFonts w:asciiTheme="majorBidi" w:eastAsia="Times New Roman" w:hAnsiTheme="majorBidi" w:cstheme="majorBidi"/>
          <w:bCs/>
          <w:sz w:val="24"/>
          <w:szCs w:val="24"/>
        </w:rPr>
        <w:t>other variables because the</w:t>
      </w:r>
      <w:r w:rsidR="003576A0">
        <w:rPr>
          <w:rFonts w:asciiTheme="majorBidi" w:eastAsia="Times New Roman" w:hAnsiTheme="majorBidi" w:cstheme="majorBidi"/>
          <w:bCs/>
          <w:sz w:val="24"/>
          <w:szCs w:val="24"/>
        </w:rPr>
        <w:t xml:space="preserve"> required</w:t>
      </w:r>
      <w:r w:rsidR="00BF3939" w:rsidRPr="008E772B">
        <w:rPr>
          <w:rFonts w:asciiTheme="majorBidi" w:eastAsia="Times New Roman" w:hAnsiTheme="majorBidi" w:cstheme="majorBidi"/>
          <w:bCs/>
          <w:sz w:val="24"/>
          <w:szCs w:val="24"/>
        </w:rPr>
        <w:t xml:space="preserve"> data was not available, such as non-audit services and the composition of audit committees. </w:t>
      </w:r>
      <w:r w:rsidR="00F83C7F">
        <w:rPr>
          <w:rFonts w:asciiTheme="majorBidi" w:eastAsia="Times New Roman" w:hAnsiTheme="majorBidi" w:cstheme="majorBidi"/>
          <w:bCs/>
          <w:sz w:val="24"/>
          <w:szCs w:val="24"/>
        </w:rPr>
        <w:t xml:space="preserve">Therefore and as more relevant data becomes available, future studies may attempt to extend our findings by employing alternative governance and audit quality proxies. </w:t>
      </w:r>
      <w:r w:rsidR="008E23F1">
        <w:rPr>
          <w:rFonts w:asciiTheme="majorBidi" w:eastAsia="Times New Roman" w:hAnsiTheme="majorBidi" w:cstheme="majorBidi"/>
          <w:bCs/>
          <w:sz w:val="24"/>
          <w:szCs w:val="24"/>
        </w:rPr>
        <w:t xml:space="preserve">Finally, </w:t>
      </w:r>
      <w:r w:rsidR="008E23F1" w:rsidRPr="008E772B">
        <w:rPr>
          <w:rFonts w:asciiTheme="majorBidi" w:eastAsia="Times New Roman" w:hAnsiTheme="majorBidi" w:cstheme="majorBidi"/>
          <w:bCs/>
          <w:sz w:val="24"/>
          <w:szCs w:val="24"/>
        </w:rPr>
        <w:t xml:space="preserve">the </w:t>
      </w:r>
      <w:r w:rsidR="00BF3939" w:rsidRPr="008E772B">
        <w:rPr>
          <w:rFonts w:asciiTheme="majorBidi" w:eastAsia="Times New Roman" w:hAnsiTheme="majorBidi" w:cstheme="majorBidi"/>
          <w:bCs/>
          <w:sz w:val="24"/>
          <w:szCs w:val="24"/>
        </w:rPr>
        <w:t xml:space="preserve">current study </w:t>
      </w:r>
      <w:r>
        <w:rPr>
          <w:rFonts w:asciiTheme="majorBidi" w:eastAsia="Times New Roman" w:hAnsiTheme="majorBidi" w:cstheme="majorBidi"/>
          <w:bCs/>
          <w:sz w:val="24"/>
          <w:szCs w:val="24"/>
        </w:rPr>
        <w:t>conducts</w:t>
      </w:r>
      <w:r w:rsidR="00BF3939" w:rsidRPr="008E772B">
        <w:rPr>
          <w:rFonts w:asciiTheme="majorBidi" w:eastAsia="Times New Roman" w:hAnsiTheme="majorBidi" w:cstheme="majorBidi"/>
          <w:bCs/>
          <w:sz w:val="24"/>
          <w:szCs w:val="24"/>
        </w:rPr>
        <w:t xml:space="preserve"> only quantitative analysis in investigating the </w:t>
      </w:r>
      <w:r w:rsidR="003C59A2" w:rsidRPr="008E772B">
        <w:rPr>
          <w:rFonts w:asciiTheme="majorBidi" w:eastAsia="Times New Roman" w:hAnsiTheme="majorBidi" w:cstheme="majorBidi"/>
          <w:bCs/>
          <w:sz w:val="24"/>
          <w:szCs w:val="24"/>
        </w:rPr>
        <w:t>governance</w:t>
      </w:r>
      <w:r w:rsidR="00BF3939" w:rsidRPr="008E772B">
        <w:rPr>
          <w:rFonts w:asciiTheme="majorBidi" w:eastAsia="Times New Roman" w:hAnsiTheme="majorBidi" w:cstheme="majorBidi"/>
          <w:bCs/>
          <w:sz w:val="24"/>
          <w:szCs w:val="24"/>
        </w:rPr>
        <w:t xml:space="preserve"> antecedents of </w:t>
      </w:r>
      <w:r w:rsidR="00B438C5" w:rsidRPr="008E772B">
        <w:rPr>
          <w:rFonts w:asciiTheme="majorBidi" w:eastAsia="Times New Roman" w:hAnsiTheme="majorBidi" w:cstheme="majorBidi"/>
          <w:bCs/>
          <w:sz w:val="24"/>
          <w:szCs w:val="24"/>
        </w:rPr>
        <w:t xml:space="preserve">audit </w:t>
      </w:r>
      <w:r w:rsidR="00B438C5">
        <w:rPr>
          <w:rFonts w:asciiTheme="majorBidi" w:eastAsia="Times New Roman" w:hAnsiTheme="majorBidi" w:cstheme="majorBidi"/>
          <w:bCs/>
          <w:sz w:val="24"/>
          <w:szCs w:val="24"/>
        </w:rPr>
        <w:t xml:space="preserve">quality </w:t>
      </w:r>
      <w:r w:rsidR="00BF3939" w:rsidRPr="008E772B">
        <w:rPr>
          <w:rFonts w:asciiTheme="majorBidi" w:eastAsia="Times New Roman" w:hAnsiTheme="majorBidi" w:cstheme="majorBidi"/>
          <w:bCs/>
          <w:sz w:val="24"/>
          <w:szCs w:val="24"/>
        </w:rPr>
        <w:t xml:space="preserve">in MENA countries. Future studies </w:t>
      </w:r>
      <w:r>
        <w:rPr>
          <w:rFonts w:asciiTheme="majorBidi" w:eastAsia="Times New Roman" w:hAnsiTheme="majorBidi" w:cstheme="majorBidi"/>
          <w:bCs/>
          <w:sz w:val="24"/>
          <w:szCs w:val="24"/>
        </w:rPr>
        <w:t>may offer new insights by conducting in-depth qualitative analysis</w:t>
      </w:r>
      <w:r w:rsidR="00F275E3">
        <w:rPr>
          <w:rFonts w:asciiTheme="majorBidi" w:eastAsia="Times New Roman" w:hAnsiTheme="majorBidi" w:cstheme="majorBidi"/>
          <w:bCs/>
          <w:sz w:val="24"/>
          <w:szCs w:val="24"/>
        </w:rPr>
        <w:t xml:space="preserve"> regarding these issues</w:t>
      </w:r>
      <w:r w:rsidR="00BF3939" w:rsidRPr="008E772B">
        <w:rPr>
          <w:rFonts w:asciiTheme="majorBidi" w:eastAsia="Times New Roman" w:hAnsiTheme="majorBidi" w:cstheme="majorBidi"/>
          <w:bCs/>
          <w:sz w:val="24"/>
          <w:szCs w:val="24"/>
        </w:rPr>
        <w:t>.</w:t>
      </w:r>
    </w:p>
    <w:p w14:paraId="113A7A40" w14:textId="77777777" w:rsidR="008C2327" w:rsidRDefault="008C2327" w:rsidP="006B3837">
      <w:pPr>
        <w:spacing w:after="0" w:line="360" w:lineRule="auto"/>
        <w:jc w:val="center"/>
        <w:rPr>
          <w:rFonts w:ascii="Times New Roman" w:eastAsia="Calibri" w:hAnsi="Times New Roman" w:cs="Times New Roman"/>
          <w:b/>
          <w:sz w:val="28"/>
          <w:szCs w:val="28"/>
          <w:lang w:eastAsia="en-US"/>
        </w:rPr>
      </w:pPr>
    </w:p>
    <w:p w14:paraId="010A104E" w14:textId="75A89931" w:rsidR="00D75F13" w:rsidRDefault="00C257D6" w:rsidP="006B3837">
      <w:pPr>
        <w:spacing w:after="0" w:line="360" w:lineRule="auto"/>
        <w:jc w:val="center"/>
        <w:rPr>
          <w:rFonts w:ascii="Times New Roman" w:eastAsia="Calibri" w:hAnsi="Times New Roman" w:cs="Times New Roman"/>
          <w:b/>
          <w:sz w:val="28"/>
          <w:szCs w:val="28"/>
          <w:lang w:eastAsia="en-US"/>
        </w:rPr>
      </w:pPr>
      <w:r w:rsidRPr="00D7783D">
        <w:rPr>
          <w:rFonts w:ascii="Times New Roman" w:eastAsia="Calibri" w:hAnsi="Times New Roman" w:cs="Times New Roman"/>
          <w:b/>
          <w:sz w:val="28"/>
          <w:szCs w:val="28"/>
          <w:lang w:eastAsia="en-US"/>
        </w:rPr>
        <w:t>NOTES</w:t>
      </w:r>
    </w:p>
    <w:p w14:paraId="15146183" w14:textId="65C6BC24" w:rsidR="002751E4" w:rsidRPr="00F275E3" w:rsidRDefault="002751E4" w:rsidP="00AA5087">
      <w:pPr>
        <w:spacing w:after="0" w:line="360" w:lineRule="auto"/>
        <w:ind w:left="142" w:hanging="142"/>
        <w:jc w:val="both"/>
        <w:rPr>
          <w:rFonts w:asciiTheme="majorBidi" w:hAnsiTheme="majorBidi" w:cstheme="majorBidi"/>
          <w:bCs/>
          <w:sz w:val="20"/>
          <w:szCs w:val="20"/>
        </w:rPr>
      </w:pPr>
      <w:r w:rsidRPr="00F275E3">
        <w:rPr>
          <w:rFonts w:asciiTheme="majorBidi" w:hAnsiTheme="majorBidi" w:cstheme="majorBidi"/>
          <w:bCs/>
          <w:sz w:val="20"/>
          <w:szCs w:val="20"/>
        </w:rPr>
        <w:t xml:space="preserve">1. </w:t>
      </w:r>
      <w:r w:rsidR="00E41B70" w:rsidRPr="00F275E3">
        <w:rPr>
          <w:rFonts w:asciiTheme="majorBidi" w:hAnsiTheme="majorBidi" w:cstheme="majorBidi"/>
          <w:bCs/>
          <w:sz w:val="20"/>
          <w:szCs w:val="20"/>
        </w:rPr>
        <w:t xml:space="preserve">The MENA region includes Algeria, Bahrain, Djibouti, Egypt, the Islamic Republic of Iran, Israel, Iraq, Jordan, Kuwait, Lebanon, Libya, Morocco, Oman, Qatar, Saudi Arabia, Syria, Tunisia, the United Arab Emirates, West Bank and </w:t>
      </w:r>
      <w:r w:rsidR="00C04A50" w:rsidRPr="00F275E3">
        <w:rPr>
          <w:rFonts w:asciiTheme="majorBidi" w:hAnsiTheme="majorBidi" w:cstheme="majorBidi"/>
          <w:bCs/>
          <w:sz w:val="20"/>
          <w:szCs w:val="20"/>
        </w:rPr>
        <w:t>Gaza, and the Republic of Yemen</w:t>
      </w:r>
      <w:r w:rsidR="00E41B70" w:rsidRPr="00F275E3">
        <w:rPr>
          <w:rFonts w:asciiTheme="majorBidi" w:hAnsiTheme="majorBidi" w:cstheme="majorBidi"/>
          <w:bCs/>
          <w:sz w:val="20"/>
          <w:szCs w:val="20"/>
        </w:rPr>
        <w:t xml:space="preserve"> </w:t>
      </w:r>
      <w:r w:rsidR="00C04A50" w:rsidRPr="00F275E3">
        <w:rPr>
          <w:rFonts w:asciiTheme="majorBidi" w:hAnsiTheme="majorBidi" w:cstheme="majorBidi"/>
          <w:bCs/>
          <w:sz w:val="20"/>
          <w:szCs w:val="20"/>
        </w:rPr>
        <w:t>(</w:t>
      </w:r>
      <w:hyperlink r:id="rId15" w:history="1">
        <w:r w:rsidR="00E41B70" w:rsidRPr="00F275E3">
          <w:rPr>
            <w:rStyle w:val="Hyperlink"/>
            <w:rFonts w:asciiTheme="majorBidi" w:hAnsiTheme="majorBidi" w:cstheme="majorBidi"/>
            <w:bCs/>
            <w:sz w:val="20"/>
            <w:szCs w:val="20"/>
          </w:rPr>
          <w:t>http://www.worldbank.org</w:t>
        </w:r>
      </w:hyperlink>
      <w:r w:rsidR="00C04A50" w:rsidRPr="00F275E3">
        <w:rPr>
          <w:rFonts w:asciiTheme="majorBidi" w:hAnsiTheme="majorBidi" w:cstheme="majorBidi"/>
          <w:bCs/>
          <w:sz w:val="20"/>
          <w:szCs w:val="20"/>
        </w:rPr>
        <w:t>)</w:t>
      </w:r>
      <w:r w:rsidR="00E41B70" w:rsidRPr="00F275E3">
        <w:rPr>
          <w:rFonts w:asciiTheme="majorBidi" w:hAnsiTheme="majorBidi" w:cstheme="majorBidi"/>
          <w:bCs/>
          <w:sz w:val="20"/>
          <w:szCs w:val="20"/>
        </w:rPr>
        <w:t>.</w:t>
      </w:r>
    </w:p>
    <w:p w14:paraId="1DF23550" w14:textId="4B49C681" w:rsidR="00ED71F5" w:rsidRPr="00F275E3" w:rsidRDefault="002751E4" w:rsidP="00AA5087">
      <w:pPr>
        <w:spacing w:after="0" w:line="360" w:lineRule="auto"/>
        <w:ind w:left="142" w:hanging="142"/>
        <w:jc w:val="both"/>
        <w:rPr>
          <w:rFonts w:asciiTheme="majorBidi" w:hAnsiTheme="majorBidi" w:cstheme="majorBidi"/>
          <w:bCs/>
          <w:sz w:val="20"/>
          <w:szCs w:val="20"/>
        </w:rPr>
      </w:pPr>
      <w:r w:rsidRPr="00F275E3">
        <w:rPr>
          <w:rFonts w:asciiTheme="majorBidi" w:hAnsiTheme="majorBidi" w:cstheme="majorBidi"/>
          <w:bCs/>
          <w:sz w:val="20"/>
          <w:szCs w:val="20"/>
        </w:rPr>
        <w:t>2</w:t>
      </w:r>
      <w:r w:rsidR="0054038F" w:rsidRPr="00F275E3">
        <w:rPr>
          <w:rFonts w:asciiTheme="majorBidi" w:hAnsiTheme="majorBidi" w:cstheme="majorBidi"/>
          <w:bCs/>
          <w:sz w:val="20"/>
          <w:szCs w:val="20"/>
        </w:rPr>
        <w:t>. In UAE, Khalifa (2012) documented that th</w:t>
      </w:r>
      <w:r w:rsidR="000D4BBF" w:rsidRPr="00F275E3">
        <w:rPr>
          <w:rFonts w:asciiTheme="majorBidi" w:hAnsiTheme="majorBidi" w:cstheme="majorBidi"/>
          <w:bCs/>
          <w:sz w:val="20"/>
          <w:szCs w:val="20"/>
        </w:rPr>
        <w:t>e state has taken the lead role</w:t>
      </w:r>
      <w:r w:rsidR="0054038F" w:rsidRPr="00F275E3">
        <w:rPr>
          <w:rFonts w:asciiTheme="majorBidi" w:hAnsiTheme="majorBidi" w:cstheme="majorBidi"/>
          <w:bCs/>
          <w:sz w:val="20"/>
          <w:szCs w:val="20"/>
        </w:rPr>
        <w:t xml:space="preserve"> </w:t>
      </w:r>
      <w:r w:rsidR="000D4BBF" w:rsidRPr="00F275E3">
        <w:rPr>
          <w:rFonts w:asciiTheme="majorBidi" w:hAnsiTheme="majorBidi" w:cstheme="majorBidi"/>
          <w:bCs/>
          <w:sz w:val="20"/>
          <w:szCs w:val="20"/>
        </w:rPr>
        <w:t xml:space="preserve">by </w:t>
      </w:r>
      <w:r w:rsidR="0054038F" w:rsidRPr="00F275E3">
        <w:rPr>
          <w:rFonts w:asciiTheme="majorBidi" w:hAnsiTheme="majorBidi" w:cstheme="majorBidi"/>
          <w:bCs/>
          <w:sz w:val="20"/>
          <w:szCs w:val="20"/>
        </w:rPr>
        <w:t>regulating in some detail the affairs of accounting and auditing professions</w:t>
      </w:r>
      <w:r w:rsidR="000D4BBF" w:rsidRPr="00F275E3">
        <w:rPr>
          <w:rFonts w:asciiTheme="majorBidi" w:hAnsiTheme="majorBidi" w:cstheme="majorBidi"/>
          <w:bCs/>
          <w:sz w:val="20"/>
          <w:szCs w:val="20"/>
        </w:rPr>
        <w:t>. However</w:t>
      </w:r>
      <w:r w:rsidR="0054038F" w:rsidRPr="00F275E3">
        <w:rPr>
          <w:rFonts w:asciiTheme="majorBidi" w:hAnsiTheme="majorBidi" w:cstheme="majorBidi"/>
          <w:bCs/>
          <w:sz w:val="20"/>
          <w:szCs w:val="20"/>
        </w:rPr>
        <w:t xml:space="preserve">, </w:t>
      </w:r>
      <w:r w:rsidR="000D4BBF" w:rsidRPr="00F275E3">
        <w:rPr>
          <w:rFonts w:asciiTheme="majorBidi" w:hAnsiTheme="majorBidi" w:cstheme="majorBidi"/>
          <w:bCs/>
          <w:sz w:val="20"/>
          <w:szCs w:val="20"/>
        </w:rPr>
        <w:t xml:space="preserve">UAE does not possess an accounting institute that </w:t>
      </w:r>
      <w:r w:rsidR="00FA3BA4" w:rsidRPr="00F275E3">
        <w:rPr>
          <w:rFonts w:asciiTheme="majorBidi" w:hAnsiTheme="majorBidi" w:cstheme="majorBidi"/>
          <w:bCs/>
          <w:sz w:val="20"/>
          <w:szCs w:val="20"/>
        </w:rPr>
        <w:t xml:space="preserve">organizes </w:t>
      </w:r>
      <w:r w:rsidR="000D4BBF" w:rsidRPr="00F275E3">
        <w:rPr>
          <w:rFonts w:asciiTheme="majorBidi" w:hAnsiTheme="majorBidi" w:cstheme="majorBidi"/>
          <w:bCs/>
          <w:sz w:val="20"/>
          <w:szCs w:val="20"/>
        </w:rPr>
        <w:t>the training and examination of accounting trainees or the approval of their professional designations</w:t>
      </w:r>
      <w:r w:rsidR="0054038F" w:rsidRPr="00F275E3">
        <w:rPr>
          <w:rFonts w:asciiTheme="majorBidi" w:hAnsiTheme="majorBidi" w:cstheme="majorBidi"/>
          <w:bCs/>
          <w:sz w:val="20"/>
          <w:szCs w:val="20"/>
        </w:rPr>
        <w:t xml:space="preserve">. </w:t>
      </w:r>
      <w:r w:rsidR="00F6648E" w:rsidRPr="00F275E3">
        <w:rPr>
          <w:rFonts w:asciiTheme="majorBidi" w:hAnsiTheme="majorBidi" w:cstheme="majorBidi"/>
          <w:bCs/>
          <w:sz w:val="20"/>
          <w:szCs w:val="20"/>
        </w:rPr>
        <w:t xml:space="preserve">Similarly in Egypt, </w:t>
      </w:r>
      <w:r w:rsidR="006E31D3" w:rsidRPr="00F275E3">
        <w:rPr>
          <w:rFonts w:asciiTheme="majorBidi" w:hAnsiTheme="majorBidi" w:cstheme="majorBidi"/>
          <w:bCs/>
          <w:sz w:val="20"/>
          <w:szCs w:val="20"/>
        </w:rPr>
        <w:t>although t</w:t>
      </w:r>
      <w:r w:rsidR="00F6648E" w:rsidRPr="00F275E3">
        <w:rPr>
          <w:rFonts w:asciiTheme="majorBidi" w:hAnsiTheme="majorBidi" w:cstheme="majorBidi"/>
          <w:bCs/>
          <w:sz w:val="20"/>
          <w:szCs w:val="20"/>
        </w:rPr>
        <w:t>he Egyptian Society of Accountants and Auditors</w:t>
      </w:r>
      <w:r w:rsidR="006E31D3" w:rsidRPr="00F275E3">
        <w:rPr>
          <w:rFonts w:asciiTheme="majorBidi" w:hAnsiTheme="majorBidi" w:cstheme="majorBidi"/>
          <w:bCs/>
          <w:sz w:val="20"/>
          <w:szCs w:val="20"/>
        </w:rPr>
        <w:t xml:space="preserve"> that</w:t>
      </w:r>
      <w:r w:rsidR="00F6648E" w:rsidRPr="00F275E3">
        <w:rPr>
          <w:rFonts w:asciiTheme="majorBidi" w:hAnsiTheme="majorBidi" w:cstheme="majorBidi"/>
          <w:bCs/>
          <w:sz w:val="20"/>
          <w:szCs w:val="20"/>
        </w:rPr>
        <w:t xml:space="preserve"> was established in 1946 plays a central role in the accounting and auditing profession</w:t>
      </w:r>
      <w:r w:rsidR="006E31D3" w:rsidRPr="00F275E3">
        <w:rPr>
          <w:rFonts w:asciiTheme="majorBidi" w:hAnsiTheme="majorBidi" w:cstheme="majorBidi"/>
          <w:bCs/>
          <w:sz w:val="20"/>
          <w:szCs w:val="20"/>
        </w:rPr>
        <w:t xml:space="preserve">, </w:t>
      </w:r>
      <w:r w:rsidR="00F6648E" w:rsidRPr="00F275E3">
        <w:rPr>
          <w:rFonts w:asciiTheme="majorBidi" w:hAnsiTheme="majorBidi" w:cstheme="majorBidi"/>
          <w:bCs/>
          <w:sz w:val="20"/>
          <w:szCs w:val="20"/>
        </w:rPr>
        <w:t xml:space="preserve">it does not have the authority to license accountants and auditors or to establish auditing standards (Samaha &amp; Hegazy, 2010). </w:t>
      </w:r>
    </w:p>
    <w:p w14:paraId="47FE9F35" w14:textId="68512BE9" w:rsidR="0054038F" w:rsidRPr="00F275E3" w:rsidRDefault="00ED71F5" w:rsidP="00AA5087">
      <w:pPr>
        <w:spacing w:after="0" w:line="360" w:lineRule="auto"/>
        <w:ind w:left="142" w:hanging="142"/>
        <w:jc w:val="both"/>
        <w:rPr>
          <w:rFonts w:asciiTheme="majorBidi" w:hAnsiTheme="majorBidi" w:cstheme="majorBidi"/>
          <w:bCs/>
          <w:sz w:val="20"/>
          <w:szCs w:val="20"/>
        </w:rPr>
      </w:pPr>
      <w:r w:rsidRPr="00F275E3">
        <w:rPr>
          <w:rFonts w:asciiTheme="majorBidi" w:hAnsiTheme="majorBidi" w:cstheme="majorBidi"/>
          <w:bCs/>
          <w:sz w:val="20"/>
          <w:szCs w:val="20"/>
        </w:rPr>
        <w:t xml:space="preserve">3. </w:t>
      </w:r>
      <w:r w:rsidR="00F6648E" w:rsidRPr="00F275E3">
        <w:rPr>
          <w:rFonts w:asciiTheme="majorBidi" w:hAnsiTheme="majorBidi" w:cstheme="majorBidi"/>
          <w:bCs/>
          <w:sz w:val="20"/>
          <w:szCs w:val="20"/>
        </w:rPr>
        <w:t xml:space="preserve"> </w:t>
      </w:r>
      <w:r w:rsidR="008319AC" w:rsidRPr="00F275E3">
        <w:rPr>
          <w:rFonts w:asciiTheme="majorBidi" w:hAnsiTheme="majorBidi" w:cstheme="majorBidi"/>
          <w:bCs/>
          <w:sz w:val="20"/>
          <w:szCs w:val="20"/>
        </w:rPr>
        <w:t xml:space="preserve">We acknowledge that MENA governance codes recommend both minimum and maximum board size, which might be seen as a limitation for predicting </w:t>
      </w:r>
      <w:r w:rsidR="00F43FBD" w:rsidRPr="00F275E3">
        <w:rPr>
          <w:rFonts w:asciiTheme="majorBidi" w:hAnsiTheme="majorBidi" w:cstheme="majorBidi"/>
          <w:bCs/>
          <w:sz w:val="20"/>
          <w:szCs w:val="20"/>
        </w:rPr>
        <w:t>the direction of</w:t>
      </w:r>
      <w:r w:rsidR="008319AC" w:rsidRPr="00F275E3">
        <w:rPr>
          <w:rFonts w:asciiTheme="majorBidi" w:hAnsiTheme="majorBidi" w:cstheme="majorBidi"/>
          <w:bCs/>
          <w:sz w:val="20"/>
          <w:szCs w:val="20"/>
        </w:rPr>
        <w:t xml:space="preserve"> </w:t>
      </w:r>
      <w:r w:rsidR="00F43FBD" w:rsidRPr="00F275E3">
        <w:rPr>
          <w:rFonts w:asciiTheme="majorBidi" w:hAnsiTheme="majorBidi" w:cstheme="majorBidi"/>
          <w:bCs/>
          <w:sz w:val="20"/>
          <w:szCs w:val="20"/>
        </w:rPr>
        <w:t xml:space="preserve">the </w:t>
      </w:r>
      <w:r w:rsidR="008319AC" w:rsidRPr="00F275E3">
        <w:rPr>
          <w:rFonts w:asciiTheme="majorBidi" w:hAnsiTheme="majorBidi" w:cstheme="majorBidi"/>
          <w:bCs/>
          <w:sz w:val="20"/>
          <w:szCs w:val="20"/>
        </w:rPr>
        <w:t xml:space="preserve">relationship between audit quality and board size. </w:t>
      </w:r>
      <w:r w:rsidR="00F43FBD" w:rsidRPr="00F275E3">
        <w:rPr>
          <w:rFonts w:asciiTheme="majorBidi" w:hAnsiTheme="majorBidi" w:cstheme="majorBidi"/>
          <w:bCs/>
          <w:sz w:val="20"/>
          <w:szCs w:val="20"/>
        </w:rPr>
        <w:t>In addition, the theoretical and empirical literature provide</w:t>
      </w:r>
      <w:r w:rsidR="00C12E00">
        <w:rPr>
          <w:rFonts w:asciiTheme="majorBidi" w:hAnsiTheme="majorBidi" w:cstheme="majorBidi"/>
          <w:bCs/>
          <w:sz w:val="20"/>
          <w:szCs w:val="20"/>
        </w:rPr>
        <w:t>s</w:t>
      </w:r>
      <w:r w:rsidR="00F43FBD" w:rsidRPr="00F275E3">
        <w:rPr>
          <w:rFonts w:asciiTheme="majorBidi" w:hAnsiTheme="majorBidi" w:cstheme="majorBidi"/>
          <w:bCs/>
          <w:sz w:val="20"/>
          <w:szCs w:val="20"/>
        </w:rPr>
        <w:t xml:space="preserve"> mixed results for this association. </w:t>
      </w:r>
      <w:r w:rsidR="008319AC" w:rsidRPr="00F275E3">
        <w:rPr>
          <w:rFonts w:asciiTheme="majorBidi" w:hAnsiTheme="majorBidi" w:cstheme="majorBidi"/>
          <w:bCs/>
          <w:sz w:val="20"/>
          <w:szCs w:val="20"/>
        </w:rPr>
        <w:t xml:space="preserve">It is worth noting that our robustness tests </w:t>
      </w:r>
      <w:r w:rsidR="00892AD8" w:rsidRPr="00F275E3">
        <w:rPr>
          <w:rFonts w:asciiTheme="majorBidi" w:hAnsiTheme="majorBidi" w:cstheme="majorBidi"/>
          <w:bCs/>
          <w:sz w:val="20"/>
          <w:szCs w:val="20"/>
        </w:rPr>
        <w:t xml:space="preserve">tried to </w:t>
      </w:r>
      <w:r w:rsidR="00C12E00">
        <w:rPr>
          <w:rFonts w:asciiTheme="majorBidi" w:hAnsiTheme="majorBidi" w:cstheme="majorBidi"/>
          <w:bCs/>
          <w:sz w:val="20"/>
          <w:szCs w:val="20"/>
        </w:rPr>
        <w:t>minimise if not eliminate</w:t>
      </w:r>
      <w:r w:rsidR="008319AC" w:rsidRPr="00F275E3">
        <w:rPr>
          <w:rFonts w:asciiTheme="majorBidi" w:hAnsiTheme="majorBidi" w:cstheme="majorBidi"/>
          <w:bCs/>
          <w:sz w:val="20"/>
          <w:szCs w:val="20"/>
        </w:rPr>
        <w:t xml:space="preserve"> this limitation.</w:t>
      </w:r>
    </w:p>
    <w:p w14:paraId="463A467A" w14:textId="7FD6F201" w:rsidR="006B3837" w:rsidRPr="00F275E3" w:rsidRDefault="00ED71F5" w:rsidP="00AA5087">
      <w:pPr>
        <w:spacing w:after="0" w:line="360" w:lineRule="auto"/>
        <w:ind w:left="142" w:hanging="142"/>
        <w:jc w:val="both"/>
        <w:rPr>
          <w:rFonts w:asciiTheme="majorBidi" w:hAnsiTheme="majorBidi" w:cstheme="majorBidi"/>
          <w:bCs/>
          <w:sz w:val="20"/>
          <w:szCs w:val="20"/>
        </w:rPr>
      </w:pPr>
      <w:r w:rsidRPr="00F275E3">
        <w:rPr>
          <w:rFonts w:asciiTheme="majorBidi" w:hAnsiTheme="majorBidi" w:cstheme="majorBidi"/>
          <w:sz w:val="20"/>
          <w:szCs w:val="20"/>
        </w:rPr>
        <w:t>4</w:t>
      </w:r>
      <w:r w:rsidR="00D75F13" w:rsidRPr="00F275E3">
        <w:rPr>
          <w:rFonts w:asciiTheme="majorBidi" w:hAnsiTheme="majorBidi" w:cstheme="majorBidi"/>
          <w:sz w:val="20"/>
          <w:szCs w:val="20"/>
        </w:rPr>
        <w:t xml:space="preserve">. </w:t>
      </w:r>
      <w:r w:rsidR="00B95521" w:rsidRPr="00F275E3">
        <w:rPr>
          <w:rFonts w:asciiTheme="majorBidi" w:hAnsiTheme="majorBidi" w:cstheme="majorBidi"/>
          <w:bCs/>
          <w:sz w:val="20"/>
          <w:szCs w:val="20"/>
        </w:rPr>
        <w:t>For the purpose of the current study, five countries are selected namely; Egypt, Jordan, Oman, Saudi Arabia</w:t>
      </w:r>
      <w:r w:rsidR="00E26660" w:rsidRPr="00F275E3">
        <w:rPr>
          <w:rFonts w:asciiTheme="majorBidi" w:hAnsiTheme="majorBidi" w:cstheme="majorBidi"/>
          <w:bCs/>
          <w:sz w:val="20"/>
          <w:szCs w:val="20"/>
        </w:rPr>
        <w:t>,</w:t>
      </w:r>
      <w:r w:rsidR="00B95521" w:rsidRPr="00F275E3">
        <w:rPr>
          <w:rFonts w:asciiTheme="majorBidi" w:hAnsiTheme="majorBidi" w:cstheme="majorBidi"/>
          <w:bCs/>
          <w:sz w:val="20"/>
          <w:szCs w:val="20"/>
        </w:rPr>
        <w:t xml:space="preserve"> and the UAE. The choice of these specific countries is to satisfy </w:t>
      </w:r>
      <w:r w:rsidR="002D266C" w:rsidRPr="00F275E3">
        <w:rPr>
          <w:rFonts w:asciiTheme="majorBidi" w:hAnsiTheme="majorBidi" w:cstheme="majorBidi"/>
          <w:bCs/>
          <w:sz w:val="20"/>
          <w:szCs w:val="20"/>
        </w:rPr>
        <w:t xml:space="preserve">three </w:t>
      </w:r>
      <w:r w:rsidR="00B95521" w:rsidRPr="00F275E3">
        <w:rPr>
          <w:rFonts w:asciiTheme="majorBidi" w:hAnsiTheme="majorBidi" w:cstheme="majorBidi"/>
          <w:bCs/>
          <w:sz w:val="20"/>
          <w:szCs w:val="20"/>
        </w:rPr>
        <w:t>main criteria. First,</w:t>
      </w:r>
      <w:r w:rsidR="00254019" w:rsidRPr="00F275E3">
        <w:rPr>
          <w:rFonts w:asciiTheme="majorBidi" w:hAnsiTheme="majorBidi" w:cstheme="majorBidi"/>
          <w:bCs/>
          <w:sz w:val="20"/>
          <w:szCs w:val="20"/>
        </w:rPr>
        <w:t xml:space="preserve"> </w:t>
      </w:r>
      <w:r w:rsidR="001D12DE" w:rsidRPr="00F275E3">
        <w:rPr>
          <w:rFonts w:asciiTheme="majorBidi" w:hAnsiTheme="majorBidi" w:cstheme="majorBidi"/>
          <w:bCs/>
          <w:sz w:val="20"/>
          <w:szCs w:val="20"/>
        </w:rPr>
        <w:t xml:space="preserve">in order to ensure data availability </w:t>
      </w:r>
      <w:r w:rsidR="001D12DE" w:rsidRPr="00F275E3">
        <w:rPr>
          <w:rFonts w:asciiTheme="majorBidi" w:hAnsiTheme="majorBidi" w:cstheme="majorBidi"/>
          <w:bCs/>
          <w:sz w:val="20"/>
          <w:szCs w:val="20"/>
        </w:rPr>
        <w:lastRenderedPageBreak/>
        <w:t>and sample homogeneity, some filtering rules were applied. Accordingly, some countries were excluded from the sample. For example, Bahrain and Qatar were dropped because their firms capital markets include mostly financial and investment corporations (Al-Ajmi, 2009). Countries with non-active stock markets (such as</w:t>
      </w:r>
      <w:r w:rsidR="00963D5A" w:rsidRPr="00F275E3">
        <w:rPr>
          <w:rFonts w:asciiTheme="majorBidi" w:hAnsiTheme="majorBidi" w:cstheme="majorBidi"/>
          <w:bCs/>
          <w:sz w:val="20"/>
          <w:szCs w:val="20"/>
        </w:rPr>
        <w:t>,</w:t>
      </w:r>
      <w:r w:rsidR="001D12DE" w:rsidRPr="00F275E3">
        <w:rPr>
          <w:rFonts w:asciiTheme="majorBidi" w:hAnsiTheme="majorBidi" w:cstheme="majorBidi"/>
          <w:bCs/>
          <w:sz w:val="20"/>
          <w:szCs w:val="20"/>
        </w:rPr>
        <w:t xml:space="preserve"> Iraq and Libya) and did not issue governance code (such as, Kuwait) were excluded. </w:t>
      </w:r>
      <w:r w:rsidR="00254019" w:rsidRPr="00F275E3">
        <w:rPr>
          <w:rFonts w:asciiTheme="majorBidi" w:hAnsiTheme="majorBidi" w:cstheme="majorBidi"/>
          <w:bCs/>
          <w:sz w:val="20"/>
          <w:szCs w:val="20"/>
        </w:rPr>
        <w:t xml:space="preserve">Second, </w:t>
      </w:r>
      <w:r w:rsidR="00B95521" w:rsidRPr="00F275E3">
        <w:rPr>
          <w:rFonts w:asciiTheme="majorBidi" w:hAnsiTheme="majorBidi" w:cstheme="majorBidi"/>
          <w:bCs/>
          <w:sz w:val="20"/>
          <w:szCs w:val="20"/>
        </w:rPr>
        <w:t xml:space="preserve">the selected countries should reflect the diversity in MENA countries in order to support the generalisation of the results. Specifically, from a capital perspective, whereas Saudi Arabia and the UAE are net capital exporting countries, Egypt and Jordan are considered net capital importing </w:t>
      </w:r>
      <w:r w:rsidR="00897C3F" w:rsidRPr="00F275E3">
        <w:rPr>
          <w:rFonts w:asciiTheme="majorBidi" w:hAnsiTheme="majorBidi" w:cstheme="majorBidi"/>
          <w:bCs/>
          <w:sz w:val="20"/>
          <w:szCs w:val="20"/>
        </w:rPr>
        <w:t>countries</w:t>
      </w:r>
      <w:r w:rsidR="00897C3F" w:rsidRPr="00F275E3" w:rsidDel="00897C3F">
        <w:rPr>
          <w:rFonts w:asciiTheme="majorBidi" w:hAnsiTheme="majorBidi" w:cstheme="majorBidi"/>
          <w:bCs/>
          <w:sz w:val="20"/>
          <w:szCs w:val="20"/>
        </w:rPr>
        <w:t xml:space="preserve"> </w:t>
      </w:r>
      <w:r w:rsidR="00092DF0" w:rsidRPr="00F275E3">
        <w:rPr>
          <w:rFonts w:asciiTheme="majorBidi" w:hAnsiTheme="majorBidi" w:cstheme="majorBidi"/>
          <w:bCs/>
          <w:sz w:val="20"/>
          <w:szCs w:val="20"/>
        </w:rPr>
        <w:t xml:space="preserve">(Piesse </w:t>
      </w:r>
      <w:r w:rsidR="00092DF0" w:rsidRPr="00F275E3">
        <w:rPr>
          <w:rFonts w:asciiTheme="majorBidi" w:hAnsiTheme="majorBidi" w:cstheme="majorBidi"/>
          <w:bCs/>
          <w:i/>
          <w:iCs/>
          <w:sz w:val="20"/>
          <w:szCs w:val="20"/>
        </w:rPr>
        <w:t>et al</w:t>
      </w:r>
      <w:r w:rsidR="00092DF0" w:rsidRPr="00F275E3">
        <w:rPr>
          <w:rFonts w:asciiTheme="majorBidi" w:hAnsiTheme="majorBidi" w:cstheme="majorBidi"/>
          <w:bCs/>
          <w:sz w:val="20"/>
          <w:szCs w:val="20"/>
        </w:rPr>
        <w:t>., 2012)</w:t>
      </w:r>
      <w:r w:rsidR="00B95521" w:rsidRPr="00F275E3">
        <w:rPr>
          <w:rFonts w:asciiTheme="majorBidi" w:hAnsiTheme="majorBidi" w:cstheme="majorBidi"/>
          <w:bCs/>
          <w:sz w:val="20"/>
          <w:szCs w:val="20"/>
        </w:rPr>
        <w:t xml:space="preserve">. Oman was the first country in the MENA region to issue its </w:t>
      </w:r>
      <w:r w:rsidR="00264A34" w:rsidRPr="00F275E3">
        <w:rPr>
          <w:rFonts w:asciiTheme="majorBidi" w:hAnsiTheme="majorBidi" w:cstheme="majorBidi"/>
          <w:bCs/>
          <w:sz w:val="20"/>
          <w:szCs w:val="20"/>
        </w:rPr>
        <w:t>national governance</w:t>
      </w:r>
      <w:r w:rsidR="00B95521" w:rsidRPr="00F275E3">
        <w:rPr>
          <w:rFonts w:asciiTheme="majorBidi" w:hAnsiTheme="majorBidi" w:cstheme="majorBidi"/>
          <w:bCs/>
          <w:sz w:val="20"/>
          <w:szCs w:val="20"/>
        </w:rPr>
        <w:t xml:space="preserve"> </w:t>
      </w:r>
      <w:r w:rsidR="00264A34" w:rsidRPr="00F275E3">
        <w:rPr>
          <w:rFonts w:asciiTheme="majorBidi" w:hAnsiTheme="majorBidi" w:cstheme="majorBidi"/>
          <w:bCs/>
          <w:sz w:val="20"/>
          <w:szCs w:val="20"/>
        </w:rPr>
        <w:t xml:space="preserve">code </w:t>
      </w:r>
      <w:r w:rsidR="00B95521" w:rsidRPr="00F275E3">
        <w:rPr>
          <w:rFonts w:asciiTheme="majorBidi" w:hAnsiTheme="majorBidi" w:cstheme="majorBidi"/>
          <w:bCs/>
          <w:sz w:val="20"/>
          <w:szCs w:val="20"/>
        </w:rPr>
        <w:t xml:space="preserve">in 2002. </w:t>
      </w:r>
      <w:r w:rsidR="00B40B08" w:rsidRPr="00F275E3">
        <w:rPr>
          <w:rFonts w:asciiTheme="majorBidi" w:hAnsiTheme="majorBidi" w:cstheme="majorBidi"/>
          <w:bCs/>
          <w:sz w:val="20"/>
          <w:szCs w:val="20"/>
        </w:rPr>
        <w:t>The final selected five countries account for over 58% of the MENA stock market capitalization</w:t>
      </w:r>
      <w:r w:rsidR="001B4B92" w:rsidRPr="00F275E3">
        <w:rPr>
          <w:rFonts w:asciiTheme="majorBidi" w:hAnsiTheme="majorBidi" w:cstheme="majorBidi"/>
          <w:bCs/>
          <w:sz w:val="20"/>
          <w:szCs w:val="20"/>
        </w:rPr>
        <w:t xml:space="preserve"> in 2014</w:t>
      </w:r>
      <w:r w:rsidR="00B40B08" w:rsidRPr="00F275E3">
        <w:rPr>
          <w:rFonts w:asciiTheme="majorBidi" w:hAnsiTheme="majorBidi" w:cstheme="majorBidi"/>
          <w:bCs/>
          <w:sz w:val="20"/>
          <w:szCs w:val="20"/>
        </w:rPr>
        <w:t xml:space="preserve">. </w:t>
      </w:r>
      <w:r w:rsidR="00DD02EA" w:rsidRPr="00F275E3">
        <w:rPr>
          <w:rFonts w:asciiTheme="majorBidi" w:hAnsiTheme="majorBidi" w:cstheme="majorBidi"/>
          <w:bCs/>
          <w:sz w:val="20"/>
          <w:szCs w:val="20"/>
        </w:rPr>
        <w:t>Finally</w:t>
      </w:r>
      <w:r w:rsidR="00501B05" w:rsidRPr="00F275E3">
        <w:rPr>
          <w:rFonts w:asciiTheme="majorBidi" w:hAnsiTheme="majorBidi" w:cstheme="majorBidi"/>
          <w:bCs/>
          <w:sz w:val="20"/>
          <w:szCs w:val="20"/>
        </w:rPr>
        <w:t>,</w:t>
      </w:r>
      <w:r w:rsidR="00F57380" w:rsidRPr="00F275E3">
        <w:rPr>
          <w:rFonts w:asciiTheme="majorBidi" w:hAnsiTheme="majorBidi" w:cstheme="majorBidi"/>
          <w:bCs/>
          <w:sz w:val="20"/>
          <w:szCs w:val="20"/>
        </w:rPr>
        <w:t xml:space="preserve"> </w:t>
      </w:r>
      <w:r w:rsidR="00186026" w:rsidRPr="00F275E3">
        <w:rPr>
          <w:rFonts w:asciiTheme="majorBidi" w:hAnsiTheme="majorBidi" w:cstheme="majorBidi"/>
          <w:bCs/>
          <w:sz w:val="20"/>
          <w:szCs w:val="20"/>
        </w:rPr>
        <w:t xml:space="preserve">the selected five countries share a number </w:t>
      </w:r>
      <w:r w:rsidR="000C6986" w:rsidRPr="00F275E3">
        <w:rPr>
          <w:rFonts w:asciiTheme="majorBidi" w:hAnsiTheme="majorBidi" w:cstheme="majorBidi"/>
          <w:bCs/>
          <w:sz w:val="20"/>
          <w:szCs w:val="20"/>
        </w:rPr>
        <w:t xml:space="preserve">of </w:t>
      </w:r>
      <w:r w:rsidR="00186026" w:rsidRPr="00F275E3">
        <w:rPr>
          <w:rFonts w:asciiTheme="majorBidi" w:hAnsiTheme="majorBidi" w:cstheme="majorBidi"/>
          <w:bCs/>
          <w:sz w:val="20"/>
          <w:szCs w:val="20"/>
        </w:rPr>
        <w:t xml:space="preserve">common characteristics: (i) they are all </w:t>
      </w:r>
      <w:r w:rsidR="00DC7B61" w:rsidRPr="00F275E3">
        <w:rPr>
          <w:rFonts w:asciiTheme="majorBidi" w:hAnsiTheme="majorBidi" w:cstheme="majorBidi"/>
          <w:bCs/>
          <w:sz w:val="20"/>
          <w:szCs w:val="20"/>
        </w:rPr>
        <w:t xml:space="preserve">have </w:t>
      </w:r>
      <w:r w:rsidR="00186026" w:rsidRPr="00F275E3">
        <w:rPr>
          <w:rFonts w:asciiTheme="majorBidi" w:hAnsiTheme="majorBidi" w:cstheme="majorBidi"/>
          <w:bCs/>
          <w:sz w:val="20"/>
          <w:szCs w:val="20"/>
        </w:rPr>
        <w:t>similar accounting, auditing, governance</w:t>
      </w:r>
      <w:r w:rsidR="00342637" w:rsidRPr="00F275E3">
        <w:rPr>
          <w:rFonts w:asciiTheme="majorBidi" w:hAnsiTheme="majorBidi" w:cstheme="majorBidi"/>
          <w:bCs/>
          <w:sz w:val="20"/>
          <w:szCs w:val="20"/>
        </w:rPr>
        <w:t>,</w:t>
      </w:r>
      <w:r w:rsidR="00186026" w:rsidRPr="00F275E3">
        <w:rPr>
          <w:rFonts w:asciiTheme="majorBidi" w:hAnsiTheme="majorBidi" w:cstheme="majorBidi"/>
          <w:bCs/>
          <w:sz w:val="20"/>
          <w:szCs w:val="20"/>
        </w:rPr>
        <w:t xml:space="preserve"> and legal systems</w:t>
      </w:r>
      <w:r w:rsidR="00DC7B61" w:rsidRPr="00F275E3">
        <w:rPr>
          <w:rFonts w:asciiTheme="majorBidi" w:hAnsiTheme="majorBidi" w:cstheme="majorBidi"/>
          <w:bCs/>
          <w:sz w:val="20"/>
          <w:szCs w:val="20"/>
        </w:rPr>
        <w:t xml:space="preserve"> which are derived from the Anglo–Saxon system</w:t>
      </w:r>
      <w:r w:rsidR="002A480F" w:rsidRPr="00F275E3">
        <w:rPr>
          <w:rFonts w:asciiTheme="majorBidi" w:eastAsia="Calibri" w:hAnsiTheme="majorBidi" w:cstheme="majorBidi"/>
          <w:sz w:val="20"/>
          <w:szCs w:val="20"/>
          <w:lang w:eastAsia="en-US"/>
        </w:rPr>
        <w:t xml:space="preserve"> (</w:t>
      </w:r>
      <w:r w:rsidR="002A480F" w:rsidRPr="00F275E3">
        <w:rPr>
          <w:rFonts w:asciiTheme="majorBidi" w:hAnsiTheme="majorBidi" w:cstheme="majorBidi"/>
          <w:bCs/>
          <w:sz w:val="20"/>
          <w:szCs w:val="20"/>
        </w:rPr>
        <w:t xml:space="preserve">Piesse </w:t>
      </w:r>
      <w:r w:rsidR="002A480F" w:rsidRPr="00F275E3">
        <w:rPr>
          <w:rFonts w:asciiTheme="majorBidi" w:hAnsiTheme="majorBidi" w:cstheme="majorBidi"/>
          <w:bCs/>
          <w:i/>
          <w:iCs/>
          <w:sz w:val="20"/>
          <w:szCs w:val="20"/>
        </w:rPr>
        <w:t>et al</w:t>
      </w:r>
      <w:r w:rsidR="002A480F" w:rsidRPr="00F275E3">
        <w:rPr>
          <w:rFonts w:asciiTheme="majorBidi" w:hAnsiTheme="majorBidi" w:cstheme="majorBidi"/>
          <w:bCs/>
          <w:sz w:val="20"/>
          <w:szCs w:val="20"/>
        </w:rPr>
        <w:t>., 2012</w:t>
      </w:r>
      <w:r w:rsidR="005371A2" w:rsidRPr="00F275E3">
        <w:rPr>
          <w:rFonts w:asciiTheme="majorBidi" w:hAnsiTheme="majorBidi" w:cstheme="majorBidi"/>
          <w:bCs/>
          <w:sz w:val="20"/>
          <w:szCs w:val="20"/>
        </w:rPr>
        <w:t>;</w:t>
      </w:r>
      <w:r w:rsidR="00F754A0" w:rsidRPr="00F275E3">
        <w:rPr>
          <w:rFonts w:asciiTheme="majorBidi" w:eastAsia="Calibri" w:hAnsiTheme="majorBidi" w:cstheme="majorBidi"/>
          <w:sz w:val="20"/>
          <w:szCs w:val="20"/>
          <w:lang w:eastAsia="en-US"/>
        </w:rPr>
        <w:t xml:space="preserve"> </w:t>
      </w:r>
      <w:r w:rsidR="00F754A0" w:rsidRPr="00F275E3">
        <w:rPr>
          <w:rFonts w:asciiTheme="majorBidi" w:hAnsiTheme="majorBidi" w:cstheme="majorBidi"/>
          <w:bCs/>
          <w:sz w:val="20"/>
          <w:szCs w:val="20"/>
        </w:rPr>
        <w:t xml:space="preserve">Al-Bassam </w:t>
      </w:r>
      <w:r w:rsidR="00F754A0" w:rsidRPr="00F275E3">
        <w:rPr>
          <w:rFonts w:asciiTheme="majorBidi" w:hAnsiTheme="majorBidi" w:cstheme="majorBidi"/>
          <w:bCs/>
          <w:i/>
          <w:iCs/>
          <w:sz w:val="20"/>
          <w:szCs w:val="20"/>
        </w:rPr>
        <w:t>et al</w:t>
      </w:r>
      <w:r w:rsidR="00F754A0" w:rsidRPr="00F275E3">
        <w:rPr>
          <w:rFonts w:asciiTheme="majorBidi" w:hAnsiTheme="majorBidi" w:cstheme="majorBidi"/>
          <w:bCs/>
          <w:sz w:val="20"/>
          <w:szCs w:val="20"/>
        </w:rPr>
        <w:t xml:space="preserve">., </w:t>
      </w:r>
      <w:r w:rsidR="00594CA4" w:rsidRPr="00F275E3">
        <w:rPr>
          <w:rFonts w:asciiTheme="majorBidi" w:hAnsiTheme="majorBidi" w:cstheme="majorBidi"/>
          <w:bCs/>
          <w:sz w:val="20"/>
          <w:szCs w:val="20"/>
        </w:rPr>
        <w:t>2018</w:t>
      </w:r>
      <w:r w:rsidR="00650630" w:rsidRPr="00F275E3">
        <w:rPr>
          <w:rFonts w:asciiTheme="majorBidi" w:hAnsiTheme="majorBidi" w:cstheme="majorBidi"/>
          <w:bCs/>
          <w:sz w:val="20"/>
          <w:szCs w:val="20"/>
        </w:rPr>
        <w:t>; Khalil &amp; Ozkan, 2016</w:t>
      </w:r>
      <w:r w:rsidR="002A480F" w:rsidRPr="00F275E3">
        <w:rPr>
          <w:rFonts w:asciiTheme="majorBidi" w:hAnsiTheme="majorBidi" w:cstheme="majorBidi"/>
          <w:bCs/>
          <w:sz w:val="20"/>
          <w:szCs w:val="20"/>
        </w:rPr>
        <w:t>)</w:t>
      </w:r>
      <w:r w:rsidR="00DC7B61" w:rsidRPr="00F275E3">
        <w:rPr>
          <w:rFonts w:asciiTheme="majorBidi" w:hAnsiTheme="majorBidi" w:cstheme="majorBidi"/>
          <w:bCs/>
          <w:sz w:val="20"/>
          <w:szCs w:val="20"/>
        </w:rPr>
        <w:t>;</w:t>
      </w:r>
      <w:r w:rsidR="00186026" w:rsidRPr="00F275E3">
        <w:rPr>
          <w:rFonts w:asciiTheme="majorBidi" w:hAnsiTheme="majorBidi" w:cstheme="majorBidi"/>
          <w:bCs/>
          <w:sz w:val="20"/>
          <w:szCs w:val="20"/>
        </w:rPr>
        <w:t xml:space="preserve"> (ii) they require listed firms to prepare their financial statements in accordance with international accounting standards</w:t>
      </w:r>
      <w:r w:rsidR="00DC7B61" w:rsidRPr="00F275E3">
        <w:rPr>
          <w:rFonts w:asciiTheme="majorBidi" w:hAnsiTheme="majorBidi" w:cstheme="majorBidi"/>
          <w:bCs/>
          <w:sz w:val="20"/>
          <w:szCs w:val="20"/>
        </w:rPr>
        <w:t xml:space="preserve"> or national accounting standards</w:t>
      </w:r>
      <w:r w:rsidR="00DC7B61" w:rsidRPr="00F275E3">
        <w:rPr>
          <w:rFonts w:asciiTheme="majorBidi" w:hAnsiTheme="majorBidi" w:cstheme="majorBidi"/>
          <w:bCs/>
          <w:sz w:val="20"/>
          <w:szCs w:val="20"/>
          <w:lang w:val="en-US"/>
        </w:rPr>
        <w:t xml:space="preserve"> that were developed in accordance with the international accounting standards</w:t>
      </w:r>
      <w:r w:rsidR="00FA3D26" w:rsidRPr="00F275E3">
        <w:rPr>
          <w:rFonts w:asciiTheme="majorBidi" w:hAnsiTheme="majorBidi" w:cstheme="majorBidi"/>
          <w:bCs/>
          <w:sz w:val="20"/>
          <w:szCs w:val="20"/>
          <w:lang w:val="en-US"/>
        </w:rPr>
        <w:t xml:space="preserve"> </w:t>
      </w:r>
      <w:r w:rsidR="00FA3D26" w:rsidRPr="00F275E3">
        <w:rPr>
          <w:rFonts w:asciiTheme="majorBidi" w:hAnsiTheme="majorBidi" w:cstheme="majorBidi"/>
          <w:bCs/>
          <w:sz w:val="20"/>
          <w:szCs w:val="20"/>
        </w:rPr>
        <w:t>(Wahdan, 2005</w:t>
      </w:r>
      <w:r w:rsidR="003125E0" w:rsidRPr="00F275E3">
        <w:rPr>
          <w:rFonts w:asciiTheme="majorBidi" w:hAnsiTheme="majorBidi" w:cstheme="majorBidi"/>
          <w:bCs/>
          <w:sz w:val="20"/>
          <w:szCs w:val="20"/>
        </w:rPr>
        <w:t>;</w:t>
      </w:r>
      <w:r w:rsidR="003125E0" w:rsidRPr="00F275E3">
        <w:rPr>
          <w:rFonts w:asciiTheme="majorBidi" w:hAnsiTheme="majorBidi" w:cstheme="majorBidi"/>
          <w:sz w:val="20"/>
          <w:szCs w:val="20"/>
        </w:rPr>
        <w:t xml:space="preserve"> </w:t>
      </w:r>
      <w:r w:rsidR="003125E0" w:rsidRPr="00F275E3">
        <w:rPr>
          <w:rFonts w:asciiTheme="majorBidi" w:hAnsiTheme="majorBidi" w:cstheme="majorBidi"/>
          <w:bCs/>
          <w:iCs/>
          <w:sz w:val="20"/>
          <w:szCs w:val="20"/>
        </w:rPr>
        <w:t>Samaha &amp; Hegazy, 2010</w:t>
      </w:r>
      <w:r w:rsidR="00FA3D26" w:rsidRPr="00F275E3">
        <w:rPr>
          <w:rFonts w:asciiTheme="majorBidi" w:hAnsiTheme="majorBidi" w:cstheme="majorBidi"/>
          <w:bCs/>
          <w:sz w:val="20"/>
          <w:szCs w:val="20"/>
          <w:lang w:val="en-US"/>
        </w:rPr>
        <w:t>)</w:t>
      </w:r>
      <w:r w:rsidR="00186026" w:rsidRPr="00F275E3">
        <w:rPr>
          <w:rFonts w:asciiTheme="majorBidi" w:hAnsiTheme="majorBidi" w:cstheme="majorBidi"/>
          <w:bCs/>
          <w:sz w:val="20"/>
          <w:szCs w:val="20"/>
        </w:rPr>
        <w:t>; and (iii) they have similar</w:t>
      </w:r>
      <w:r w:rsidR="005A71CA" w:rsidRPr="00F275E3">
        <w:rPr>
          <w:rFonts w:asciiTheme="majorBidi" w:hAnsiTheme="majorBidi" w:cstheme="majorBidi"/>
          <w:bCs/>
          <w:iCs/>
          <w:sz w:val="20"/>
          <w:szCs w:val="20"/>
        </w:rPr>
        <w:t xml:space="preserve"> cultural characteristics (e.g., a strong hierarchical social structure, importance of personal relationships, religion, accountability</w:t>
      </w:r>
      <w:r w:rsidR="00342637" w:rsidRPr="00F275E3">
        <w:rPr>
          <w:rFonts w:asciiTheme="majorBidi" w:hAnsiTheme="majorBidi" w:cstheme="majorBidi"/>
          <w:bCs/>
          <w:iCs/>
          <w:sz w:val="20"/>
          <w:szCs w:val="20"/>
        </w:rPr>
        <w:t>,</w:t>
      </w:r>
      <w:r w:rsidR="005A71CA" w:rsidRPr="00F275E3">
        <w:rPr>
          <w:rFonts w:asciiTheme="majorBidi" w:hAnsiTheme="majorBidi" w:cstheme="majorBidi"/>
          <w:bCs/>
          <w:iCs/>
          <w:sz w:val="20"/>
          <w:szCs w:val="20"/>
        </w:rPr>
        <w:t xml:space="preserve"> and trust),</w:t>
      </w:r>
      <w:r w:rsidR="00186026" w:rsidRPr="00F275E3">
        <w:rPr>
          <w:rFonts w:asciiTheme="majorBidi" w:hAnsiTheme="majorBidi" w:cstheme="majorBidi"/>
          <w:bCs/>
          <w:sz w:val="20"/>
          <w:szCs w:val="20"/>
        </w:rPr>
        <w:t xml:space="preserve"> corporate law</w:t>
      </w:r>
      <w:r w:rsidR="005A71CA" w:rsidRPr="00F275E3">
        <w:rPr>
          <w:rFonts w:asciiTheme="majorBidi" w:hAnsiTheme="majorBidi" w:cstheme="majorBidi"/>
          <w:bCs/>
          <w:sz w:val="20"/>
          <w:szCs w:val="20"/>
        </w:rPr>
        <w:t xml:space="preserve">, </w:t>
      </w:r>
      <w:r w:rsidR="00186026" w:rsidRPr="00F275E3">
        <w:rPr>
          <w:rFonts w:asciiTheme="majorBidi" w:hAnsiTheme="majorBidi" w:cstheme="majorBidi"/>
          <w:bCs/>
          <w:sz w:val="20"/>
          <w:szCs w:val="20"/>
        </w:rPr>
        <w:t>ownership structures</w:t>
      </w:r>
      <w:r w:rsidR="005A71CA" w:rsidRPr="00F275E3">
        <w:rPr>
          <w:rFonts w:asciiTheme="majorBidi" w:hAnsiTheme="majorBidi" w:cstheme="majorBidi"/>
          <w:bCs/>
          <w:sz w:val="20"/>
          <w:szCs w:val="20"/>
        </w:rPr>
        <w:t xml:space="preserve"> (</w:t>
      </w:r>
      <w:r w:rsidR="005A71CA" w:rsidRPr="00F275E3">
        <w:rPr>
          <w:rFonts w:asciiTheme="majorBidi" w:hAnsiTheme="majorBidi" w:cstheme="majorBidi"/>
          <w:bCs/>
          <w:iCs/>
          <w:sz w:val="20"/>
          <w:szCs w:val="20"/>
        </w:rPr>
        <w:t xml:space="preserve">concentrated </w:t>
      </w:r>
      <w:r w:rsidR="005A71CA" w:rsidRPr="00F275E3">
        <w:rPr>
          <w:rFonts w:asciiTheme="majorBidi" w:hAnsiTheme="majorBidi" w:cstheme="majorBidi"/>
          <w:bCs/>
          <w:sz w:val="20"/>
          <w:szCs w:val="20"/>
        </w:rPr>
        <w:t>shareholding</w:t>
      </w:r>
      <w:r w:rsidR="005A71CA" w:rsidRPr="00F275E3">
        <w:rPr>
          <w:rFonts w:asciiTheme="majorBidi" w:hAnsiTheme="majorBidi" w:cstheme="majorBidi"/>
          <w:bCs/>
          <w:iCs/>
          <w:sz w:val="20"/>
          <w:szCs w:val="20"/>
        </w:rPr>
        <w:t xml:space="preserve"> dominated by the state and powerful families</w:t>
      </w:r>
      <w:r w:rsidR="005A71CA" w:rsidRPr="00F275E3">
        <w:rPr>
          <w:rFonts w:asciiTheme="majorBidi" w:hAnsiTheme="majorBidi" w:cstheme="majorBidi"/>
          <w:bCs/>
          <w:sz w:val="20"/>
          <w:szCs w:val="20"/>
        </w:rPr>
        <w:t xml:space="preserve">), and </w:t>
      </w:r>
      <w:r w:rsidR="005A71CA" w:rsidRPr="00F275E3">
        <w:rPr>
          <w:rFonts w:asciiTheme="majorBidi" w:hAnsiTheme="majorBidi" w:cstheme="majorBidi"/>
          <w:bCs/>
          <w:iCs/>
          <w:sz w:val="20"/>
          <w:szCs w:val="20"/>
        </w:rPr>
        <w:t>the state of audit profession (auditing profession is directly regulated by the government)</w:t>
      </w:r>
      <w:r w:rsidR="002A480F" w:rsidRPr="00F275E3">
        <w:rPr>
          <w:rFonts w:asciiTheme="majorBidi" w:eastAsia="Calibri" w:hAnsiTheme="majorBidi" w:cstheme="majorBidi"/>
          <w:sz w:val="20"/>
          <w:szCs w:val="20"/>
          <w:lang w:eastAsia="en-US"/>
        </w:rPr>
        <w:t xml:space="preserve"> </w:t>
      </w:r>
      <w:r w:rsidR="002A480F" w:rsidRPr="00F275E3">
        <w:rPr>
          <w:rFonts w:asciiTheme="majorBidi" w:hAnsiTheme="majorBidi" w:cstheme="majorBidi"/>
          <w:bCs/>
          <w:iCs/>
          <w:sz w:val="20"/>
          <w:szCs w:val="20"/>
        </w:rPr>
        <w:t xml:space="preserve">(Piesse </w:t>
      </w:r>
      <w:r w:rsidR="002A480F" w:rsidRPr="00F275E3">
        <w:rPr>
          <w:rFonts w:asciiTheme="majorBidi" w:hAnsiTheme="majorBidi" w:cstheme="majorBidi"/>
          <w:bCs/>
          <w:i/>
          <w:sz w:val="20"/>
          <w:szCs w:val="20"/>
        </w:rPr>
        <w:t>et al</w:t>
      </w:r>
      <w:r w:rsidR="002A480F" w:rsidRPr="00F275E3">
        <w:rPr>
          <w:rFonts w:asciiTheme="majorBidi" w:hAnsiTheme="majorBidi" w:cstheme="majorBidi"/>
          <w:bCs/>
          <w:iCs/>
          <w:sz w:val="20"/>
          <w:szCs w:val="20"/>
        </w:rPr>
        <w:t>., 2012;</w:t>
      </w:r>
      <w:r w:rsidR="00A66EF9" w:rsidRPr="00F275E3">
        <w:rPr>
          <w:rFonts w:asciiTheme="majorBidi" w:hAnsiTheme="majorBidi" w:cstheme="majorBidi"/>
          <w:bCs/>
          <w:sz w:val="20"/>
          <w:szCs w:val="20"/>
        </w:rPr>
        <w:t xml:space="preserve"> </w:t>
      </w:r>
      <w:r w:rsidR="00A66EF9" w:rsidRPr="00F275E3">
        <w:rPr>
          <w:rFonts w:asciiTheme="majorBidi" w:hAnsiTheme="majorBidi" w:cstheme="majorBidi"/>
          <w:bCs/>
          <w:iCs/>
          <w:sz w:val="20"/>
          <w:szCs w:val="20"/>
        </w:rPr>
        <w:t xml:space="preserve">Al-Bassam </w:t>
      </w:r>
      <w:r w:rsidR="00A66EF9" w:rsidRPr="00F275E3">
        <w:rPr>
          <w:rFonts w:asciiTheme="majorBidi" w:hAnsiTheme="majorBidi" w:cstheme="majorBidi"/>
          <w:bCs/>
          <w:i/>
          <w:iCs/>
          <w:sz w:val="20"/>
          <w:szCs w:val="20"/>
        </w:rPr>
        <w:t>et al</w:t>
      </w:r>
      <w:r w:rsidR="00A66EF9" w:rsidRPr="00F275E3">
        <w:rPr>
          <w:rFonts w:asciiTheme="majorBidi" w:hAnsiTheme="majorBidi" w:cstheme="majorBidi"/>
          <w:bCs/>
          <w:iCs/>
          <w:sz w:val="20"/>
          <w:szCs w:val="20"/>
        </w:rPr>
        <w:t xml:space="preserve">., </w:t>
      </w:r>
      <w:r w:rsidR="00594CA4" w:rsidRPr="00F275E3">
        <w:rPr>
          <w:rFonts w:asciiTheme="majorBidi" w:hAnsiTheme="majorBidi" w:cstheme="majorBidi"/>
          <w:bCs/>
          <w:iCs/>
          <w:sz w:val="20"/>
          <w:szCs w:val="20"/>
        </w:rPr>
        <w:t>2018</w:t>
      </w:r>
      <w:r w:rsidR="002A480F" w:rsidRPr="00F275E3">
        <w:rPr>
          <w:rFonts w:asciiTheme="majorBidi" w:hAnsiTheme="majorBidi" w:cstheme="majorBidi"/>
          <w:bCs/>
          <w:iCs/>
          <w:sz w:val="20"/>
          <w:szCs w:val="20"/>
        </w:rPr>
        <w:t>)</w:t>
      </w:r>
      <w:r w:rsidR="00186026" w:rsidRPr="00F275E3">
        <w:rPr>
          <w:rFonts w:asciiTheme="majorBidi" w:hAnsiTheme="majorBidi" w:cstheme="majorBidi"/>
          <w:bCs/>
          <w:sz w:val="20"/>
          <w:szCs w:val="20"/>
        </w:rPr>
        <w:t xml:space="preserve">; thereby permitting comparability of </w:t>
      </w:r>
      <w:r w:rsidR="00DC7B61" w:rsidRPr="00F275E3">
        <w:rPr>
          <w:rFonts w:asciiTheme="majorBidi" w:hAnsiTheme="majorBidi" w:cstheme="majorBidi"/>
          <w:bCs/>
          <w:sz w:val="20"/>
          <w:szCs w:val="20"/>
        </w:rPr>
        <w:t xml:space="preserve">governance and audit quality </w:t>
      </w:r>
      <w:r w:rsidR="00186026" w:rsidRPr="00F275E3">
        <w:rPr>
          <w:rFonts w:asciiTheme="majorBidi" w:hAnsiTheme="majorBidi" w:cstheme="majorBidi"/>
          <w:bCs/>
          <w:sz w:val="20"/>
          <w:szCs w:val="20"/>
        </w:rPr>
        <w:t>among firms and across countries.</w:t>
      </w:r>
    </w:p>
    <w:p w14:paraId="49D4C84D" w14:textId="77777777" w:rsidR="005A2F16" w:rsidRPr="006903C5" w:rsidRDefault="005A2F16" w:rsidP="005B66FA">
      <w:pPr>
        <w:spacing w:after="0" w:line="240" w:lineRule="auto"/>
        <w:rPr>
          <w:rFonts w:ascii="Times New Roman" w:eastAsia="Calibri" w:hAnsi="Times New Roman" w:cs="Times New Roman"/>
          <w:b/>
          <w:sz w:val="24"/>
          <w:szCs w:val="24"/>
          <w:lang w:eastAsia="en-US"/>
        </w:rPr>
      </w:pPr>
    </w:p>
    <w:p w14:paraId="0B7097EF" w14:textId="77777777" w:rsidR="008C2327" w:rsidRDefault="008C2327" w:rsidP="002115E1">
      <w:pPr>
        <w:spacing w:after="0" w:line="240" w:lineRule="auto"/>
        <w:rPr>
          <w:rFonts w:ascii="Times New Roman" w:eastAsia="Calibri" w:hAnsi="Times New Roman" w:cs="Times New Roman"/>
          <w:bCs/>
          <w:sz w:val="24"/>
          <w:szCs w:val="24"/>
          <w:lang w:eastAsia="en-US"/>
        </w:rPr>
      </w:pPr>
    </w:p>
    <w:p w14:paraId="79816584" w14:textId="77777777" w:rsidR="008C2327" w:rsidRDefault="008C2327" w:rsidP="002115E1">
      <w:pPr>
        <w:spacing w:after="0" w:line="240" w:lineRule="auto"/>
        <w:rPr>
          <w:rFonts w:ascii="Times New Roman" w:eastAsia="Calibri" w:hAnsi="Times New Roman" w:cs="Times New Roman"/>
          <w:bCs/>
          <w:sz w:val="24"/>
          <w:szCs w:val="24"/>
          <w:lang w:eastAsia="en-US"/>
        </w:rPr>
      </w:pPr>
    </w:p>
    <w:p w14:paraId="742073E8" w14:textId="77777777" w:rsidR="008C2327" w:rsidRDefault="008C2327" w:rsidP="002115E1">
      <w:pPr>
        <w:spacing w:after="0" w:line="240" w:lineRule="auto"/>
        <w:rPr>
          <w:rFonts w:ascii="Times New Roman" w:eastAsia="Calibri" w:hAnsi="Times New Roman" w:cs="Times New Roman"/>
          <w:bCs/>
          <w:sz w:val="24"/>
          <w:szCs w:val="24"/>
          <w:lang w:eastAsia="en-US"/>
        </w:rPr>
      </w:pPr>
    </w:p>
    <w:p w14:paraId="1C0B8E55" w14:textId="77777777" w:rsidR="008C2327" w:rsidRDefault="008C2327" w:rsidP="002115E1">
      <w:pPr>
        <w:spacing w:after="0" w:line="240" w:lineRule="auto"/>
        <w:rPr>
          <w:rFonts w:ascii="Times New Roman" w:eastAsia="Calibri" w:hAnsi="Times New Roman" w:cs="Times New Roman"/>
          <w:bCs/>
          <w:sz w:val="24"/>
          <w:szCs w:val="24"/>
          <w:lang w:eastAsia="en-US"/>
        </w:rPr>
      </w:pPr>
    </w:p>
    <w:p w14:paraId="026020E2" w14:textId="77777777" w:rsidR="008C2327" w:rsidRDefault="008C2327" w:rsidP="002115E1">
      <w:pPr>
        <w:spacing w:after="0" w:line="240" w:lineRule="auto"/>
        <w:rPr>
          <w:rFonts w:ascii="Times New Roman" w:eastAsia="Calibri" w:hAnsi="Times New Roman" w:cs="Times New Roman"/>
          <w:bCs/>
          <w:sz w:val="24"/>
          <w:szCs w:val="24"/>
          <w:lang w:eastAsia="en-US"/>
        </w:rPr>
      </w:pPr>
    </w:p>
    <w:p w14:paraId="3CDA34F3" w14:textId="77777777" w:rsidR="008C2327" w:rsidRDefault="008C2327" w:rsidP="002115E1">
      <w:pPr>
        <w:spacing w:after="0" w:line="240" w:lineRule="auto"/>
        <w:rPr>
          <w:rFonts w:ascii="Times New Roman" w:eastAsia="Calibri" w:hAnsi="Times New Roman" w:cs="Times New Roman"/>
          <w:bCs/>
          <w:sz w:val="24"/>
          <w:szCs w:val="24"/>
          <w:lang w:eastAsia="en-US"/>
        </w:rPr>
      </w:pPr>
    </w:p>
    <w:p w14:paraId="1A2E269F" w14:textId="77777777" w:rsidR="008C2327" w:rsidRDefault="008C2327" w:rsidP="002115E1">
      <w:pPr>
        <w:spacing w:after="0" w:line="240" w:lineRule="auto"/>
        <w:rPr>
          <w:rFonts w:ascii="Times New Roman" w:eastAsia="Calibri" w:hAnsi="Times New Roman" w:cs="Times New Roman"/>
          <w:bCs/>
          <w:sz w:val="24"/>
          <w:szCs w:val="24"/>
          <w:lang w:eastAsia="en-US"/>
        </w:rPr>
      </w:pPr>
    </w:p>
    <w:p w14:paraId="778C7228" w14:textId="77777777" w:rsidR="008C2327" w:rsidRDefault="008C2327" w:rsidP="002115E1">
      <w:pPr>
        <w:spacing w:after="0" w:line="240" w:lineRule="auto"/>
        <w:rPr>
          <w:rFonts w:ascii="Times New Roman" w:eastAsia="Calibri" w:hAnsi="Times New Roman" w:cs="Times New Roman"/>
          <w:bCs/>
          <w:sz w:val="24"/>
          <w:szCs w:val="24"/>
          <w:lang w:eastAsia="en-US"/>
        </w:rPr>
      </w:pPr>
    </w:p>
    <w:p w14:paraId="620464E9" w14:textId="77777777" w:rsidR="008C2327" w:rsidRDefault="008C2327" w:rsidP="002115E1">
      <w:pPr>
        <w:spacing w:after="0" w:line="240" w:lineRule="auto"/>
        <w:rPr>
          <w:rFonts w:ascii="Times New Roman" w:eastAsia="Calibri" w:hAnsi="Times New Roman" w:cs="Times New Roman"/>
          <w:bCs/>
          <w:sz w:val="24"/>
          <w:szCs w:val="24"/>
          <w:lang w:eastAsia="en-US"/>
        </w:rPr>
      </w:pPr>
    </w:p>
    <w:p w14:paraId="5DA02C90" w14:textId="77777777" w:rsidR="008C2327" w:rsidRDefault="008C2327" w:rsidP="002115E1">
      <w:pPr>
        <w:spacing w:after="0" w:line="240" w:lineRule="auto"/>
        <w:rPr>
          <w:rFonts w:ascii="Times New Roman" w:eastAsia="Calibri" w:hAnsi="Times New Roman" w:cs="Times New Roman"/>
          <w:bCs/>
          <w:sz w:val="24"/>
          <w:szCs w:val="24"/>
          <w:lang w:eastAsia="en-US"/>
        </w:rPr>
      </w:pPr>
    </w:p>
    <w:p w14:paraId="64DA7C0F" w14:textId="77777777" w:rsidR="008C2327" w:rsidRDefault="008C2327" w:rsidP="002115E1">
      <w:pPr>
        <w:spacing w:after="0" w:line="240" w:lineRule="auto"/>
        <w:rPr>
          <w:rFonts w:ascii="Times New Roman" w:eastAsia="Calibri" w:hAnsi="Times New Roman" w:cs="Times New Roman"/>
          <w:bCs/>
          <w:sz w:val="24"/>
          <w:szCs w:val="24"/>
          <w:lang w:eastAsia="en-US"/>
        </w:rPr>
      </w:pPr>
    </w:p>
    <w:p w14:paraId="2CD62CEF" w14:textId="77777777" w:rsidR="008C2327" w:rsidRDefault="008C2327" w:rsidP="002115E1">
      <w:pPr>
        <w:spacing w:after="0" w:line="240" w:lineRule="auto"/>
        <w:rPr>
          <w:rFonts w:ascii="Times New Roman" w:eastAsia="Calibri" w:hAnsi="Times New Roman" w:cs="Times New Roman"/>
          <w:bCs/>
          <w:sz w:val="24"/>
          <w:szCs w:val="24"/>
          <w:lang w:eastAsia="en-US"/>
        </w:rPr>
      </w:pPr>
    </w:p>
    <w:p w14:paraId="2F868C5D" w14:textId="77777777" w:rsidR="008C2327" w:rsidRDefault="008C2327" w:rsidP="002115E1">
      <w:pPr>
        <w:spacing w:after="0" w:line="240" w:lineRule="auto"/>
        <w:rPr>
          <w:rFonts w:ascii="Times New Roman" w:eastAsia="Calibri" w:hAnsi="Times New Roman" w:cs="Times New Roman"/>
          <w:bCs/>
          <w:sz w:val="24"/>
          <w:szCs w:val="24"/>
          <w:lang w:eastAsia="en-US"/>
        </w:rPr>
      </w:pPr>
    </w:p>
    <w:p w14:paraId="57C3A6D2" w14:textId="77777777" w:rsidR="008C2327" w:rsidRDefault="008C2327" w:rsidP="002115E1">
      <w:pPr>
        <w:spacing w:after="0" w:line="240" w:lineRule="auto"/>
        <w:rPr>
          <w:rFonts w:ascii="Times New Roman" w:eastAsia="Calibri" w:hAnsi="Times New Roman" w:cs="Times New Roman"/>
          <w:bCs/>
          <w:sz w:val="24"/>
          <w:szCs w:val="24"/>
          <w:lang w:eastAsia="en-US"/>
        </w:rPr>
      </w:pPr>
    </w:p>
    <w:p w14:paraId="07E3BABB" w14:textId="77777777" w:rsidR="008C2327" w:rsidRDefault="008C2327" w:rsidP="002115E1">
      <w:pPr>
        <w:spacing w:after="0" w:line="240" w:lineRule="auto"/>
        <w:rPr>
          <w:rFonts w:ascii="Times New Roman" w:eastAsia="Calibri" w:hAnsi="Times New Roman" w:cs="Times New Roman"/>
          <w:bCs/>
          <w:sz w:val="24"/>
          <w:szCs w:val="24"/>
          <w:lang w:eastAsia="en-US"/>
        </w:rPr>
      </w:pPr>
    </w:p>
    <w:p w14:paraId="467F55C0" w14:textId="77777777" w:rsidR="008C2327" w:rsidRDefault="008C2327" w:rsidP="002115E1">
      <w:pPr>
        <w:spacing w:after="0" w:line="240" w:lineRule="auto"/>
        <w:rPr>
          <w:rFonts w:ascii="Times New Roman" w:eastAsia="Calibri" w:hAnsi="Times New Roman" w:cs="Times New Roman"/>
          <w:bCs/>
          <w:sz w:val="24"/>
          <w:szCs w:val="24"/>
          <w:lang w:eastAsia="en-US"/>
        </w:rPr>
      </w:pPr>
    </w:p>
    <w:p w14:paraId="1E097AF9" w14:textId="77777777" w:rsidR="008C2327" w:rsidRDefault="008C2327" w:rsidP="002115E1">
      <w:pPr>
        <w:spacing w:after="0" w:line="240" w:lineRule="auto"/>
        <w:rPr>
          <w:rFonts w:ascii="Times New Roman" w:eastAsia="Calibri" w:hAnsi="Times New Roman" w:cs="Times New Roman"/>
          <w:bCs/>
          <w:sz w:val="24"/>
          <w:szCs w:val="24"/>
          <w:lang w:eastAsia="en-US"/>
        </w:rPr>
      </w:pPr>
    </w:p>
    <w:p w14:paraId="6CBF5C39" w14:textId="77777777" w:rsidR="008C2327" w:rsidRDefault="008C2327" w:rsidP="002115E1">
      <w:pPr>
        <w:spacing w:after="0" w:line="240" w:lineRule="auto"/>
        <w:rPr>
          <w:rFonts w:ascii="Times New Roman" w:eastAsia="Calibri" w:hAnsi="Times New Roman" w:cs="Times New Roman"/>
          <w:bCs/>
          <w:sz w:val="24"/>
          <w:szCs w:val="24"/>
          <w:lang w:eastAsia="en-US"/>
        </w:rPr>
      </w:pPr>
    </w:p>
    <w:p w14:paraId="0441F8A3" w14:textId="77777777" w:rsidR="008C2327" w:rsidRDefault="008C2327" w:rsidP="002115E1">
      <w:pPr>
        <w:spacing w:after="0" w:line="240" w:lineRule="auto"/>
        <w:rPr>
          <w:rFonts w:ascii="Times New Roman" w:eastAsia="Calibri" w:hAnsi="Times New Roman" w:cs="Times New Roman"/>
          <w:bCs/>
          <w:sz w:val="24"/>
          <w:szCs w:val="24"/>
          <w:lang w:eastAsia="en-US"/>
        </w:rPr>
      </w:pPr>
    </w:p>
    <w:p w14:paraId="71EC377D" w14:textId="77777777" w:rsidR="008C2327" w:rsidRDefault="008C2327" w:rsidP="002115E1">
      <w:pPr>
        <w:spacing w:after="0" w:line="240" w:lineRule="auto"/>
        <w:rPr>
          <w:rFonts w:ascii="Times New Roman" w:eastAsia="Calibri" w:hAnsi="Times New Roman" w:cs="Times New Roman"/>
          <w:bCs/>
          <w:sz w:val="24"/>
          <w:szCs w:val="24"/>
          <w:lang w:eastAsia="en-US"/>
        </w:rPr>
      </w:pPr>
    </w:p>
    <w:p w14:paraId="0E19B20C" w14:textId="77777777" w:rsidR="008C2327" w:rsidRDefault="008C2327" w:rsidP="002115E1">
      <w:pPr>
        <w:spacing w:after="0" w:line="240" w:lineRule="auto"/>
        <w:rPr>
          <w:rFonts w:ascii="Times New Roman" w:eastAsia="Calibri" w:hAnsi="Times New Roman" w:cs="Times New Roman"/>
          <w:bCs/>
          <w:sz w:val="24"/>
          <w:szCs w:val="24"/>
          <w:lang w:eastAsia="en-US"/>
        </w:rPr>
      </w:pPr>
    </w:p>
    <w:p w14:paraId="0AD01EC0" w14:textId="77777777" w:rsidR="008C2327" w:rsidRDefault="008C2327" w:rsidP="002115E1">
      <w:pPr>
        <w:spacing w:after="0" w:line="240" w:lineRule="auto"/>
        <w:rPr>
          <w:rFonts w:ascii="Times New Roman" w:eastAsia="Calibri" w:hAnsi="Times New Roman" w:cs="Times New Roman"/>
          <w:bCs/>
          <w:sz w:val="24"/>
          <w:szCs w:val="24"/>
          <w:lang w:eastAsia="en-US"/>
        </w:rPr>
      </w:pPr>
    </w:p>
    <w:p w14:paraId="6D385B8D" w14:textId="77777777" w:rsidR="008C2327" w:rsidRDefault="008C2327" w:rsidP="002115E1">
      <w:pPr>
        <w:spacing w:after="0" w:line="240" w:lineRule="auto"/>
        <w:rPr>
          <w:rFonts w:ascii="Times New Roman" w:eastAsia="Calibri" w:hAnsi="Times New Roman" w:cs="Times New Roman"/>
          <w:bCs/>
          <w:sz w:val="24"/>
          <w:szCs w:val="24"/>
          <w:lang w:eastAsia="en-US"/>
        </w:rPr>
      </w:pPr>
    </w:p>
    <w:p w14:paraId="261D2C15" w14:textId="77777777" w:rsidR="008C2327" w:rsidRDefault="008C2327" w:rsidP="002115E1">
      <w:pPr>
        <w:spacing w:after="0" w:line="240" w:lineRule="auto"/>
        <w:rPr>
          <w:rFonts w:ascii="Times New Roman" w:eastAsia="Calibri" w:hAnsi="Times New Roman" w:cs="Times New Roman"/>
          <w:bCs/>
          <w:sz w:val="24"/>
          <w:szCs w:val="24"/>
          <w:lang w:eastAsia="en-US"/>
        </w:rPr>
      </w:pPr>
    </w:p>
    <w:p w14:paraId="4830DED8" w14:textId="77777777" w:rsidR="008C2327" w:rsidRDefault="008C2327" w:rsidP="002115E1">
      <w:pPr>
        <w:spacing w:after="0" w:line="240" w:lineRule="auto"/>
        <w:rPr>
          <w:rFonts w:ascii="Times New Roman" w:eastAsia="Calibri" w:hAnsi="Times New Roman" w:cs="Times New Roman"/>
          <w:bCs/>
          <w:sz w:val="24"/>
          <w:szCs w:val="24"/>
          <w:lang w:eastAsia="en-US"/>
        </w:rPr>
      </w:pPr>
    </w:p>
    <w:p w14:paraId="1AC9D59D" w14:textId="09A2D1DC" w:rsidR="00446FDE" w:rsidRPr="008C2327" w:rsidRDefault="00C257D6" w:rsidP="002115E1">
      <w:pPr>
        <w:spacing w:after="0" w:line="240" w:lineRule="auto"/>
        <w:rPr>
          <w:rFonts w:ascii="Times New Roman" w:eastAsia="Calibri" w:hAnsi="Times New Roman" w:cs="Times New Roman"/>
          <w:b/>
          <w:sz w:val="24"/>
          <w:szCs w:val="24"/>
          <w:lang w:eastAsia="en-US"/>
        </w:rPr>
      </w:pPr>
      <w:r w:rsidRPr="008C2327">
        <w:rPr>
          <w:rFonts w:ascii="Times New Roman" w:eastAsia="Calibri" w:hAnsi="Times New Roman" w:cs="Times New Roman"/>
          <w:b/>
          <w:sz w:val="24"/>
          <w:szCs w:val="24"/>
          <w:lang w:eastAsia="en-US"/>
        </w:rPr>
        <w:lastRenderedPageBreak/>
        <w:t>REFERENCES</w:t>
      </w:r>
    </w:p>
    <w:p w14:paraId="7F36C4D8" w14:textId="23FDD0C3" w:rsidR="00B85D5D" w:rsidRPr="00AA5087" w:rsidRDefault="00955E26" w:rsidP="002115E1">
      <w:pPr>
        <w:spacing w:after="0" w:line="240" w:lineRule="auto"/>
        <w:ind w:left="142" w:hanging="142"/>
        <w:rPr>
          <w:rFonts w:ascii="Times New Roman" w:eastAsia="Calibri" w:hAnsi="Times New Roman" w:cs="Times New Roman"/>
          <w:bCs/>
          <w:sz w:val="24"/>
          <w:szCs w:val="24"/>
          <w:lang w:eastAsia="en-US"/>
        </w:rPr>
      </w:pPr>
      <w:r w:rsidRPr="00AA5087">
        <w:rPr>
          <w:rFonts w:ascii="Times New Roman" w:eastAsia="Calibri" w:hAnsi="Times New Roman" w:cs="Times New Roman"/>
          <w:bCs/>
          <w:sz w:val="24"/>
          <w:szCs w:val="24"/>
          <w:lang w:eastAsia="en-US"/>
        </w:rPr>
        <w:t xml:space="preserve">Abdul </w:t>
      </w:r>
      <w:r w:rsidR="00B85D5D" w:rsidRPr="00AA5087">
        <w:rPr>
          <w:rFonts w:ascii="Times New Roman" w:eastAsia="Calibri" w:hAnsi="Times New Roman" w:cs="Times New Roman"/>
          <w:bCs/>
          <w:sz w:val="24"/>
          <w:szCs w:val="24"/>
          <w:lang w:eastAsia="en-US"/>
        </w:rPr>
        <w:t>Hamid, M. &amp; Abdullah, A. (2012</w:t>
      </w:r>
      <w:r w:rsidRPr="00AA5087">
        <w:rPr>
          <w:rFonts w:ascii="Times New Roman" w:eastAsia="Calibri" w:hAnsi="Times New Roman" w:cs="Times New Roman"/>
          <w:sz w:val="24"/>
          <w:szCs w:val="24"/>
          <w:lang w:eastAsia="en-US"/>
        </w:rPr>
        <w:t>), ‘</w:t>
      </w:r>
      <w:r w:rsidR="00B85D5D" w:rsidRPr="00AA5087">
        <w:rPr>
          <w:rFonts w:ascii="Times New Roman" w:eastAsia="Calibri" w:hAnsi="Times New Roman" w:cs="Times New Roman"/>
          <w:bCs/>
          <w:sz w:val="24"/>
          <w:szCs w:val="24"/>
          <w:lang w:eastAsia="en-US"/>
        </w:rPr>
        <w:t>Influence of corporate governance on audit and non-audit fees: Malaysian evidence</w:t>
      </w:r>
      <w:r w:rsidRPr="00AA5087">
        <w:rPr>
          <w:rFonts w:ascii="Times New Roman" w:eastAsia="Calibri" w:hAnsi="Times New Roman" w:cs="Times New Roman"/>
          <w:bCs/>
          <w:sz w:val="24"/>
          <w:szCs w:val="24"/>
          <w:lang w:eastAsia="en-US"/>
        </w:rPr>
        <w:t>’,</w:t>
      </w:r>
      <w:r w:rsidR="00B85D5D" w:rsidRPr="00AA5087">
        <w:rPr>
          <w:rFonts w:ascii="Times New Roman" w:eastAsia="Calibri" w:hAnsi="Times New Roman" w:cs="Times New Roman"/>
          <w:bCs/>
          <w:sz w:val="24"/>
          <w:szCs w:val="24"/>
          <w:lang w:eastAsia="en-US"/>
        </w:rPr>
        <w:t> </w:t>
      </w:r>
      <w:r w:rsidR="00B85D5D" w:rsidRPr="00AA5087">
        <w:rPr>
          <w:rFonts w:ascii="Times New Roman" w:eastAsia="Calibri" w:hAnsi="Times New Roman" w:cs="Times New Roman"/>
          <w:bCs/>
          <w:i/>
          <w:iCs/>
          <w:sz w:val="24"/>
          <w:szCs w:val="24"/>
          <w:lang w:eastAsia="en-US"/>
        </w:rPr>
        <w:t>Journal of Business and Policy Research</w:t>
      </w:r>
      <w:r w:rsidR="00B85D5D" w:rsidRPr="00AA5087">
        <w:rPr>
          <w:rFonts w:ascii="Times New Roman" w:eastAsia="Calibri" w:hAnsi="Times New Roman" w:cs="Times New Roman"/>
          <w:bCs/>
          <w:sz w:val="24"/>
          <w:szCs w:val="24"/>
          <w:lang w:eastAsia="en-US"/>
        </w:rPr>
        <w:t>, </w:t>
      </w:r>
      <w:r w:rsidR="009A35CF" w:rsidRPr="00AA5087" w:rsidDel="009A35CF">
        <w:rPr>
          <w:rFonts w:ascii="Times New Roman" w:eastAsia="Calibri" w:hAnsi="Times New Roman" w:cs="Times New Roman"/>
          <w:bCs/>
          <w:sz w:val="24"/>
          <w:szCs w:val="24"/>
          <w:lang w:eastAsia="en-US"/>
        </w:rPr>
        <w:t xml:space="preserve"> </w:t>
      </w:r>
      <w:r w:rsidR="00B85D5D" w:rsidRPr="00AA5087">
        <w:rPr>
          <w:rFonts w:ascii="Times New Roman" w:eastAsia="Calibri" w:hAnsi="Times New Roman" w:cs="Times New Roman"/>
          <w:bCs/>
          <w:iCs/>
          <w:sz w:val="24"/>
          <w:szCs w:val="24"/>
          <w:lang w:eastAsia="en-US"/>
        </w:rPr>
        <w:t>7</w:t>
      </w:r>
      <w:r w:rsidR="009A35CF">
        <w:rPr>
          <w:rFonts w:ascii="Times New Roman" w:eastAsia="Calibri" w:hAnsi="Times New Roman" w:cs="Times New Roman"/>
          <w:bCs/>
          <w:iCs/>
          <w:sz w:val="24"/>
          <w:szCs w:val="24"/>
          <w:lang w:eastAsia="en-US"/>
        </w:rPr>
        <w:t>(</w:t>
      </w:r>
      <w:r w:rsidR="00B85D5D" w:rsidRPr="00AA5087">
        <w:rPr>
          <w:rFonts w:ascii="Times New Roman" w:eastAsia="Calibri" w:hAnsi="Times New Roman" w:cs="Times New Roman"/>
          <w:bCs/>
          <w:sz w:val="24"/>
          <w:szCs w:val="24"/>
          <w:lang w:eastAsia="en-US"/>
        </w:rPr>
        <w:t>3</w:t>
      </w:r>
      <w:r w:rsidR="009A35CF">
        <w:rPr>
          <w:rFonts w:ascii="Times New Roman" w:eastAsia="Calibri" w:hAnsi="Times New Roman" w:cs="Times New Roman"/>
          <w:bCs/>
          <w:sz w:val="24"/>
          <w:szCs w:val="24"/>
          <w:lang w:eastAsia="en-US"/>
        </w:rPr>
        <w:t xml:space="preserve">), </w:t>
      </w:r>
      <w:r w:rsidR="00B85D5D" w:rsidRPr="00AA5087">
        <w:rPr>
          <w:rFonts w:ascii="Times New Roman" w:eastAsia="Calibri" w:hAnsi="Times New Roman" w:cs="Times New Roman"/>
          <w:bCs/>
          <w:sz w:val="24"/>
          <w:szCs w:val="24"/>
          <w:lang w:eastAsia="en-US"/>
        </w:rPr>
        <w:t>140</w:t>
      </w:r>
      <w:r w:rsidRPr="00AA5087">
        <w:rPr>
          <w:rFonts w:ascii="Times New Roman" w:eastAsia="Calibri" w:hAnsi="Times New Roman" w:cs="Times New Roman"/>
          <w:sz w:val="24"/>
          <w:szCs w:val="24"/>
          <w:lang w:eastAsia="en-US"/>
        </w:rPr>
        <w:t>–</w:t>
      </w:r>
      <w:r w:rsidR="00B85D5D" w:rsidRPr="00AA5087">
        <w:rPr>
          <w:rFonts w:ascii="Times New Roman" w:eastAsia="Calibri" w:hAnsi="Times New Roman" w:cs="Times New Roman"/>
          <w:bCs/>
          <w:sz w:val="24"/>
          <w:szCs w:val="24"/>
          <w:lang w:eastAsia="en-US"/>
        </w:rPr>
        <w:t>158.</w:t>
      </w:r>
    </w:p>
    <w:p w14:paraId="435E0D26" w14:textId="64B4E8F5" w:rsidR="00E404D5" w:rsidRPr="00AA5087" w:rsidRDefault="00E404D5" w:rsidP="002115E1">
      <w:pPr>
        <w:spacing w:after="0" w:line="240" w:lineRule="auto"/>
        <w:ind w:left="142" w:hanging="142"/>
        <w:rPr>
          <w:rFonts w:ascii="Times New Roman" w:eastAsia="Calibri" w:hAnsi="Times New Roman" w:cs="Times New Roman"/>
          <w:bCs/>
          <w:sz w:val="24"/>
          <w:szCs w:val="24"/>
          <w:lang w:eastAsia="en-US"/>
        </w:rPr>
      </w:pPr>
      <w:r w:rsidRPr="00AA5087">
        <w:rPr>
          <w:rFonts w:ascii="Times New Roman" w:eastAsia="Calibri" w:hAnsi="Times New Roman" w:cs="Times New Roman"/>
          <w:bCs/>
          <w:sz w:val="24"/>
          <w:szCs w:val="24"/>
          <w:lang w:eastAsia="en-US"/>
        </w:rPr>
        <w:t>Afify, H. A. E. (2009</w:t>
      </w:r>
      <w:r w:rsidRPr="00AA5087">
        <w:rPr>
          <w:rFonts w:ascii="Times New Roman" w:eastAsia="Calibri" w:hAnsi="Times New Roman" w:cs="Times New Roman"/>
          <w:sz w:val="24"/>
          <w:szCs w:val="24"/>
          <w:lang w:eastAsia="en-US"/>
        </w:rPr>
        <w:t>), ‘</w:t>
      </w:r>
      <w:r w:rsidRPr="00AA5087">
        <w:rPr>
          <w:rFonts w:ascii="Times New Roman" w:eastAsia="Calibri" w:hAnsi="Times New Roman" w:cs="Times New Roman"/>
          <w:bCs/>
          <w:sz w:val="24"/>
          <w:szCs w:val="24"/>
          <w:lang w:eastAsia="en-US"/>
        </w:rPr>
        <w:t>Determinants of audit report lag: Does implementing corporate governance have any impact? Empirical evidence from Egypt’, </w:t>
      </w:r>
      <w:r w:rsidRPr="00AA5087">
        <w:rPr>
          <w:rFonts w:ascii="Times New Roman" w:eastAsia="Calibri" w:hAnsi="Times New Roman" w:cs="Times New Roman"/>
          <w:bCs/>
          <w:i/>
          <w:iCs/>
          <w:sz w:val="24"/>
          <w:szCs w:val="24"/>
          <w:lang w:eastAsia="en-US"/>
        </w:rPr>
        <w:t>Journal of Applied Accounting Research</w:t>
      </w:r>
      <w:r w:rsidRPr="00AA5087">
        <w:rPr>
          <w:rFonts w:ascii="Times New Roman" w:eastAsia="Calibri" w:hAnsi="Times New Roman" w:cs="Times New Roman"/>
          <w:bCs/>
          <w:sz w:val="24"/>
          <w:szCs w:val="24"/>
          <w:lang w:eastAsia="en-US"/>
        </w:rPr>
        <w:t>, </w:t>
      </w:r>
      <w:r w:rsidRPr="00AA5087">
        <w:rPr>
          <w:rFonts w:ascii="Times New Roman" w:eastAsia="Calibri" w:hAnsi="Times New Roman" w:cs="Times New Roman"/>
          <w:bCs/>
          <w:iCs/>
          <w:sz w:val="24"/>
          <w:szCs w:val="24"/>
          <w:lang w:eastAsia="en-US"/>
        </w:rPr>
        <w:t xml:space="preserve">10 </w:t>
      </w:r>
      <w:r w:rsidR="009A35CF">
        <w:rPr>
          <w:rFonts w:ascii="Times New Roman" w:eastAsia="Calibri" w:hAnsi="Times New Roman" w:cs="Times New Roman"/>
          <w:bCs/>
          <w:iCs/>
          <w:sz w:val="24"/>
          <w:szCs w:val="24"/>
          <w:lang w:eastAsia="en-US"/>
        </w:rPr>
        <w:t>(</w:t>
      </w:r>
      <w:r w:rsidRPr="00AA5087">
        <w:rPr>
          <w:rFonts w:ascii="Times New Roman" w:eastAsia="Calibri" w:hAnsi="Times New Roman" w:cs="Times New Roman"/>
          <w:bCs/>
          <w:sz w:val="24"/>
          <w:szCs w:val="24"/>
          <w:lang w:eastAsia="en-US"/>
        </w:rPr>
        <w:t>1</w:t>
      </w:r>
      <w:r w:rsidR="009A35CF">
        <w:rPr>
          <w:rFonts w:ascii="Times New Roman" w:eastAsia="Calibri" w:hAnsi="Times New Roman" w:cs="Times New Roman"/>
          <w:bCs/>
          <w:sz w:val="24"/>
          <w:szCs w:val="24"/>
          <w:lang w:eastAsia="en-US"/>
        </w:rPr>
        <w:t>)</w:t>
      </w:r>
      <w:r w:rsidRPr="00AA5087">
        <w:rPr>
          <w:rFonts w:ascii="Times New Roman" w:eastAsia="Calibri" w:hAnsi="Times New Roman" w:cs="Times New Roman"/>
          <w:bCs/>
          <w:sz w:val="24"/>
          <w:szCs w:val="24"/>
          <w:lang w:eastAsia="en-US"/>
        </w:rPr>
        <w:t>, 56</w:t>
      </w:r>
      <w:r w:rsidR="001E15ED" w:rsidRPr="00AA5087">
        <w:rPr>
          <w:rFonts w:ascii="Times New Roman" w:eastAsia="Calibri" w:hAnsi="Times New Roman" w:cs="Times New Roman"/>
          <w:sz w:val="24"/>
          <w:szCs w:val="24"/>
          <w:lang w:eastAsia="en-US"/>
        </w:rPr>
        <w:t>–</w:t>
      </w:r>
      <w:r w:rsidRPr="00AA5087">
        <w:rPr>
          <w:rFonts w:ascii="Times New Roman" w:eastAsia="Calibri" w:hAnsi="Times New Roman" w:cs="Times New Roman"/>
          <w:bCs/>
          <w:sz w:val="24"/>
          <w:szCs w:val="24"/>
          <w:lang w:eastAsia="en-US"/>
        </w:rPr>
        <w:t>86.</w:t>
      </w:r>
    </w:p>
    <w:p w14:paraId="70B3D8D0" w14:textId="210E3C8D" w:rsidR="00B73B45" w:rsidRPr="00AA5087" w:rsidRDefault="00B73B45" w:rsidP="002115E1">
      <w:pPr>
        <w:spacing w:after="0" w:line="240" w:lineRule="auto"/>
        <w:ind w:left="142" w:hanging="142"/>
        <w:jc w:val="both"/>
        <w:rPr>
          <w:rFonts w:ascii="Times New Roman" w:eastAsia="Calibri" w:hAnsi="Times New Roman" w:cs="Times New Roman"/>
          <w:sz w:val="24"/>
          <w:szCs w:val="24"/>
          <w:lang w:eastAsia="en-US"/>
        </w:rPr>
      </w:pPr>
      <w:r w:rsidRPr="00AA5087">
        <w:rPr>
          <w:rFonts w:ascii="Times New Roman" w:eastAsia="Calibri" w:hAnsi="Times New Roman" w:cs="Times New Roman"/>
          <w:sz w:val="24"/>
          <w:szCs w:val="24"/>
          <w:lang w:eastAsia="en-US"/>
        </w:rPr>
        <w:t>Aguilera, R. V., &amp; Jackson, G. (2003), ‘The cross-national diversity of corporate governance: Dimensions and determinants’, </w:t>
      </w:r>
      <w:r w:rsidRPr="00AA5087">
        <w:rPr>
          <w:rFonts w:ascii="Times New Roman" w:eastAsia="Calibri" w:hAnsi="Times New Roman" w:cs="Times New Roman"/>
          <w:i/>
          <w:iCs/>
          <w:sz w:val="24"/>
          <w:szCs w:val="24"/>
          <w:lang w:eastAsia="en-US"/>
        </w:rPr>
        <w:t xml:space="preserve">Academy of </w:t>
      </w:r>
      <w:r w:rsidR="003E68DE" w:rsidRPr="00AA5087">
        <w:rPr>
          <w:rFonts w:ascii="Times New Roman" w:eastAsia="Calibri" w:hAnsi="Times New Roman" w:cs="Times New Roman"/>
          <w:i/>
          <w:iCs/>
          <w:sz w:val="24"/>
          <w:szCs w:val="24"/>
          <w:lang w:eastAsia="en-US"/>
        </w:rPr>
        <w:t xml:space="preserve">Management </w:t>
      </w:r>
      <w:r w:rsidRPr="00AA5087">
        <w:rPr>
          <w:rFonts w:ascii="Times New Roman" w:eastAsia="Calibri" w:hAnsi="Times New Roman" w:cs="Times New Roman"/>
          <w:i/>
          <w:iCs/>
          <w:sz w:val="24"/>
          <w:szCs w:val="24"/>
          <w:lang w:eastAsia="en-US"/>
        </w:rPr>
        <w:t>Review</w:t>
      </w:r>
      <w:r w:rsidRPr="00AA5087">
        <w:rPr>
          <w:rFonts w:ascii="Times New Roman" w:eastAsia="Calibri" w:hAnsi="Times New Roman" w:cs="Times New Roman"/>
          <w:sz w:val="24"/>
          <w:szCs w:val="24"/>
          <w:lang w:eastAsia="en-US"/>
        </w:rPr>
        <w:t>, 28</w:t>
      </w:r>
      <w:r w:rsidR="009A35CF">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3</w:t>
      </w:r>
      <w:r w:rsidR="009A35CF">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w:t>
      </w:r>
      <w:r w:rsidR="009E46BC" w:rsidRPr="00AA5087">
        <w:rPr>
          <w:rFonts w:ascii="Times New Roman" w:eastAsia="Calibri" w:hAnsi="Times New Roman" w:cs="Times New Roman"/>
          <w:sz w:val="24"/>
          <w:szCs w:val="24"/>
          <w:lang w:eastAsia="en-US"/>
        </w:rPr>
        <w:t xml:space="preserve"> </w:t>
      </w:r>
      <w:r w:rsidRPr="00AA5087">
        <w:rPr>
          <w:rFonts w:ascii="Times New Roman" w:eastAsia="Calibri" w:hAnsi="Times New Roman" w:cs="Times New Roman"/>
          <w:sz w:val="24"/>
          <w:szCs w:val="24"/>
          <w:lang w:eastAsia="en-US"/>
        </w:rPr>
        <w:t>447</w:t>
      </w:r>
      <w:r w:rsidR="008D3C9E" w:rsidRPr="00AA5087">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465.</w:t>
      </w:r>
    </w:p>
    <w:p w14:paraId="3E918A5D" w14:textId="0D91CFA2" w:rsidR="00B73B45" w:rsidRPr="00AA5087" w:rsidRDefault="00B73B45" w:rsidP="002115E1">
      <w:pPr>
        <w:spacing w:after="0" w:line="240" w:lineRule="auto"/>
        <w:ind w:left="142" w:hanging="142"/>
        <w:jc w:val="both"/>
        <w:rPr>
          <w:rFonts w:ascii="Times New Roman" w:eastAsia="Calibri" w:hAnsi="Times New Roman" w:cs="Times New Roman"/>
          <w:sz w:val="24"/>
          <w:szCs w:val="24"/>
          <w:lang w:val="en-US" w:eastAsia="en-US"/>
        </w:rPr>
      </w:pPr>
      <w:r w:rsidRPr="00AA5087">
        <w:rPr>
          <w:rFonts w:ascii="Times New Roman" w:eastAsia="Calibri" w:hAnsi="Times New Roman" w:cs="Times New Roman"/>
          <w:sz w:val="24"/>
          <w:szCs w:val="24"/>
          <w:lang w:val="en-US" w:eastAsia="en-US"/>
        </w:rPr>
        <w:t>Aguilera, R. V., Rupp, D. E., Williams, C. A., &amp; Ganapathi, J. (2007), ‘Putting the S back in corporate social responsibility: A multilevel theory of social change in organizations’, </w:t>
      </w:r>
      <w:r w:rsidRPr="00AA5087">
        <w:rPr>
          <w:rFonts w:ascii="Times New Roman" w:eastAsia="Calibri" w:hAnsi="Times New Roman" w:cs="Times New Roman"/>
          <w:i/>
          <w:iCs/>
          <w:sz w:val="24"/>
          <w:szCs w:val="24"/>
          <w:lang w:val="en-US" w:eastAsia="en-US"/>
        </w:rPr>
        <w:t xml:space="preserve">Academy of </w:t>
      </w:r>
      <w:r w:rsidR="003E68DE" w:rsidRPr="00AA5087">
        <w:rPr>
          <w:rFonts w:ascii="Times New Roman" w:eastAsia="Calibri" w:hAnsi="Times New Roman" w:cs="Times New Roman"/>
          <w:i/>
          <w:iCs/>
          <w:sz w:val="24"/>
          <w:szCs w:val="24"/>
          <w:lang w:val="en-US" w:eastAsia="en-US"/>
        </w:rPr>
        <w:t>Management Review</w:t>
      </w:r>
      <w:r w:rsidRPr="00AA5087">
        <w:rPr>
          <w:rFonts w:ascii="Times New Roman" w:eastAsia="Calibri" w:hAnsi="Times New Roman" w:cs="Times New Roman"/>
          <w:sz w:val="24"/>
          <w:szCs w:val="24"/>
          <w:lang w:val="en-US" w:eastAsia="en-US"/>
        </w:rPr>
        <w:t>, </w:t>
      </w:r>
      <w:r w:rsidRPr="00AA5087">
        <w:rPr>
          <w:rFonts w:ascii="Times New Roman" w:eastAsia="Calibri" w:hAnsi="Times New Roman" w:cs="Times New Roman"/>
          <w:sz w:val="24"/>
          <w:szCs w:val="24"/>
          <w:lang w:eastAsia="en-US"/>
        </w:rPr>
        <w:t xml:space="preserve">32 </w:t>
      </w:r>
      <w:r w:rsidR="009A35CF">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3</w:t>
      </w:r>
      <w:r w:rsidR="009A35CF">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val="en-US" w:eastAsia="en-US"/>
        </w:rPr>
        <w:t>,</w:t>
      </w:r>
      <w:r w:rsidRPr="00AA5087">
        <w:rPr>
          <w:rFonts w:ascii="Times New Roman" w:eastAsia="Calibri" w:hAnsi="Times New Roman" w:cs="Times New Roman"/>
          <w:sz w:val="24"/>
          <w:szCs w:val="24"/>
          <w:lang w:eastAsia="en-US"/>
        </w:rPr>
        <w:t xml:space="preserve"> </w:t>
      </w:r>
      <w:r w:rsidRPr="00AA5087">
        <w:rPr>
          <w:rFonts w:ascii="Times New Roman" w:eastAsia="Calibri" w:hAnsi="Times New Roman" w:cs="Times New Roman"/>
          <w:sz w:val="24"/>
          <w:szCs w:val="24"/>
          <w:lang w:val="en-US" w:eastAsia="en-US"/>
        </w:rPr>
        <w:t>836</w:t>
      </w:r>
      <w:r w:rsidR="008D3C9E" w:rsidRPr="00AA5087">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val="en-US" w:eastAsia="en-US"/>
        </w:rPr>
        <w:t>863.</w:t>
      </w:r>
    </w:p>
    <w:p w14:paraId="7075F3B7" w14:textId="34A2D319" w:rsidR="00B73B45" w:rsidRPr="00AA5087" w:rsidRDefault="00B73B45" w:rsidP="002115E1">
      <w:pPr>
        <w:spacing w:after="0" w:line="240" w:lineRule="auto"/>
        <w:ind w:left="142" w:hanging="142"/>
        <w:jc w:val="both"/>
        <w:rPr>
          <w:rFonts w:ascii="Times New Roman" w:eastAsia="Calibri" w:hAnsi="Times New Roman" w:cs="Times New Roman"/>
          <w:sz w:val="24"/>
          <w:szCs w:val="24"/>
          <w:lang w:eastAsia="en-US"/>
        </w:rPr>
      </w:pPr>
      <w:r w:rsidRPr="00AA5087">
        <w:rPr>
          <w:rFonts w:ascii="Times New Roman" w:eastAsia="Calibri" w:hAnsi="Times New Roman" w:cs="Times New Roman"/>
          <w:sz w:val="24"/>
          <w:szCs w:val="24"/>
          <w:lang w:eastAsia="en-US"/>
        </w:rPr>
        <w:t>Al-Ajmi, J. (2009), ‘Audit firm, corporate governance, and audit quality: Evidence from Bahrain’, </w:t>
      </w:r>
      <w:r w:rsidRPr="00AA5087">
        <w:rPr>
          <w:rFonts w:ascii="Times New Roman" w:eastAsia="Calibri" w:hAnsi="Times New Roman" w:cs="Times New Roman"/>
          <w:i/>
          <w:iCs/>
          <w:sz w:val="24"/>
          <w:szCs w:val="24"/>
          <w:lang w:eastAsia="en-US"/>
        </w:rPr>
        <w:t xml:space="preserve">Advances in </w:t>
      </w:r>
      <w:r w:rsidR="003E68DE" w:rsidRPr="00AA5087">
        <w:rPr>
          <w:rFonts w:ascii="Times New Roman" w:eastAsia="Calibri" w:hAnsi="Times New Roman" w:cs="Times New Roman"/>
          <w:i/>
          <w:iCs/>
          <w:sz w:val="24"/>
          <w:szCs w:val="24"/>
          <w:lang w:eastAsia="en-US"/>
        </w:rPr>
        <w:t>Accounting</w:t>
      </w:r>
      <w:r w:rsidRPr="00AA5087">
        <w:rPr>
          <w:rFonts w:ascii="Times New Roman" w:eastAsia="Calibri" w:hAnsi="Times New Roman" w:cs="Times New Roman"/>
          <w:sz w:val="24"/>
          <w:szCs w:val="24"/>
          <w:lang w:eastAsia="en-US"/>
        </w:rPr>
        <w:t>, 25</w:t>
      </w:r>
      <w:r w:rsidR="009A35CF">
        <w:rPr>
          <w:rFonts w:ascii="Times New Roman" w:eastAsia="Calibri" w:hAnsi="Times New Roman" w:cs="Times New Roman"/>
          <w:sz w:val="24"/>
          <w:szCs w:val="24"/>
          <w:lang w:eastAsia="en-US"/>
        </w:rPr>
        <w:t xml:space="preserve"> (</w:t>
      </w:r>
      <w:r w:rsidRPr="00AA5087">
        <w:rPr>
          <w:rFonts w:ascii="Times New Roman" w:eastAsia="Calibri" w:hAnsi="Times New Roman" w:cs="Times New Roman"/>
          <w:sz w:val="24"/>
          <w:szCs w:val="24"/>
          <w:lang w:eastAsia="en-US"/>
        </w:rPr>
        <w:t>1</w:t>
      </w:r>
      <w:r w:rsidR="009A35CF">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 64</w:t>
      </w:r>
      <w:r w:rsidR="008D3C9E" w:rsidRPr="00AA5087">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74.</w:t>
      </w:r>
    </w:p>
    <w:p w14:paraId="237459D8" w14:textId="67F1D30F" w:rsidR="00B73B45" w:rsidRPr="00AA5087" w:rsidRDefault="00594CA4" w:rsidP="002115E1">
      <w:pPr>
        <w:spacing w:after="0" w:line="240" w:lineRule="auto"/>
        <w:ind w:left="142" w:hanging="142"/>
        <w:jc w:val="both"/>
        <w:rPr>
          <w:rFonts w:ascii="Times New Roman" w:eastAsia="Calibri" w:hAnsi="Times New Roman" w:cs="Times New Roman"/>
          <w:bCs/>
          <w:iCs/>
          <w:sz w:val="24"/>
          <w:szCs w:val="24"/>
          <w:lang w:eastAsia="en-US"/>
        </w:rPr>
      </w:pPr>
      <w:r w:rsidRPr="00AA5087">
        <w:rPr>
          <w:rFonts w:ascii="Times New Roman" w:eastAsia="Calibri" w:hAnsi="Times New Roman" w:cs="Times New Roman"/>
          <w:sz w:val="24"/>
          <w:szCs w:val="24"/>
          <w:lang w:eastAsia="en-US"/>
        </w:rPr>
        <w:t>Al-Bassam, W. M., Ntim, C. G., Opong, K. K., &amp; Downs, Y. (2018), ‘Corporate boards and ownership structure as antecedents of corporate governance disclosure in Saudi Arabian publicly listed corporations’, </w:t>
      </w:r>
      <w:r w:rsidRPr="00AA5087">
        <w:rPr>
          <w:rFonts w:ascii="Times New Roman" w:eastAsia="Calibri" w:hAnsi="Times New Roman" w:cs="Times New Roman"/>
          <w:i/>
          <w:iCs/>
          <w:sz w:val="24"/>
          <w:szCs w:val="24"/>
          <w:lang w:eastAsia="en-US"/>
        </w:rPr>
        <w:t>Business &amp; Society</w:t>
      </w:r>
      <w:r w:rsidRPr="00AA5087">
        <w:rPr>
          <w:rFonts w:ascii="Times New Roman" w:eastAsia="Calibri" w:hAnsi="Times New Roman" w:cs="Times New Roman"/>
          <w:sz w:val="24"/>
          <w:szCs w:val="24"/>
          <w:lang w:eastAsia="en-US"/>
        </w:rPr>
        <w:t>, </w:t>
      </w:r>
      <w:r w:rsidRPr="00AA5087">
        <w:rPr>
          <w:rFonts w:ascii="Times New Roman" w:eastAsia="Calibri" w:hAnsi="Times New Roman" w:cs="Times New Roman"/>
          <w:iCs/>
          <w:sz w:val="24"/>
          <w:szCs w:val="24"/>
          <w:lang w:eastAsia="en-US"/>
        </w:rPr>
        <w:t>57</w:t>
      </w:r>
      <w:r w:rsidRPr="00AA5087">
        <w:rPr>
          <w:rFonts w:ascii="Times New Roman" w:eastAsia="Calibri" w:hAnsi="Times New Roman" w:cs="Times New Roman"/>
          <w:sz w:val="24"/>
          <w:szCs w:val="24"/>
          <w:lang w:eastAsia="en-US"/>
        </w:rPr>
        <w:t xml:space="preserve"> </w:t>
      </w:r>
      <w:r w:rsidR="009A35CF">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2</w:t>
      </w:r>
      <w:r w:rsidR="009A35CF">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 335-377.</w:t>
      </w:r>
    </w:p>
    <w:p w14:paraId="4731738A" w14:textId="535B730B" w:rsidR="00715B5C" w:rsidRPr="00AA5087" w:rsidRDefault="00715B5C" w:rsidP="002115E1">
      <w:pPr>
        <w:spacing w:after="0" w:line="240" w:lineRule="auto"/>
        <w:ind w:left="142" w:hanging="142"/>
        <w:jc w:val="both"/>
        <w:rPr>
          <w:rFonts w:ascii="Times New Roman" w:eastAsia="Calibri" w:hAnsi="Times New Roman" w:cs="Times New Roman"/>
          <w:bCs/>
          <w:iCs/>
          <w:sz w:val="24"/>
          <w:szCs w:val="24"/>
          <w:lang w:eastAsia="en-US"/>
        </w:rPr>
      </w:pPr>
      <w:r w:rsidRPr="00AA5087">
        <w:rPr>
          <w:rFonts w:ascii="Times New Roman" w:eastAsia="Calibri" w:hAnsi="Times New Roman" w:cs="Times New Roman"/>
          <w:bCs/>
          <w:iCs/>
          <w:sz w:val="24"/>
          <w:szCs w:val="24"/>
          <w:lang w:eastAsia="en-US"/>
        </w:rPr>
        <w:t>Al-Janadi, Y., Abdul Rahman, R., and Alazzani, A. (2016), ‘Does government ownership affect corporate governance and corporate disclosure? Evidence from Saudi Arabia’, </w:t>
      </w:r>
      <w:r w:rsidRPr="00AA5087">
        <w:rPr>
          <w:rFonts w:ascii="Times New Roman" w:eastAsia="Calibri" w:hAnsi="Times New Roman" w:cs="Times New Roman"/>
          <w:bCs/>
          <w:i/>
          <w:iCs/>
          <w:sz w:val="24"/>
          <w:szCs w:val="24"/>
          <w:lang w:eastAsia="en-US"/>
        </w:rPr>
        <w:t>Managerial Auditing Journal</w:t>
      </w:r>
      <w:r w:rsidRPr="00AA5087">
        <w:rPr>
          <w:rFonts w:ascii="Times New Roman" w:eastAsia="Calibri" w:hAnsi="Times New Roman" w:cs="Times New Roman"/>
          <w:bCs/>
          <w:iCs/>
          <w:sz w:val="24"/>
          <w:szCs w:val="24"/>
          <w:lang w:eastAsia="en-US"/>
        </w:rPr>
        <w:t>, 31</w:t>
      </w:r>
      <w:r w:rsidR="009A35CF">
        <w:rPr>
          <w:rFonts w:ascii="Times New Roman" w:eastAsia="Calibri" w:hAnsi="Times New Roman" w:cs="Times New Roman"/>
          <w:bCs/>
          <w:iCs/>
          <w:sz w:val="24"/>
          <w:szCs w:val="24"/>
          <w:lang w:eastAsia="en-US"/>
        </w:rPr>
        <w:t xml:space="preserve"> (</w:t>
      </w:r>
      <w:r w:rsidRPr="00AA5087">
        <w:rPr>
          <w:rFonts w:ascii="Times New Roman" w:eastAsia="Calibri" w:hAnsi="Times New Roman" w:cs="Times New Roman"/>
          <w:bCs/>
          <w:iCs/>
          <w:sz w:val="24"/>
          <w:szCs w:val="24"/>
          <w:lang w:eastAsia="en-US"/>
        </w:rPr>
        <w:t>8/9</w:t>
      </w:r>
      <w:r w:rsidR="009A35CF">
        <w:rPr>
          <w:rFonts w:ascii="Times New Roman" w:eastAsia="Calibri" w:hAnsi="Times New Roman" w:cs="Times New Roman"/>
          <w:bCs/>
          <w:iCs/>
          <w:sz w:val="24"/>
          <w:szCs w:val="24"/>
          <w:lang w:eastAsia="en-US"/>
        </w:rPr>
        <w:t>)</w:t>
      </w:r>
      <w:r w:rsidRPr="00AA5087">
        <w:rPr>
          <w:rFonts w:ascii="Times New Roman" w:eastAsia="Calibri" w:hAnsi="Times New Roman" w:cs="Times New Roman"/>
          <w:bCs/>
          <w:iCs/>
          <w:sz w:val="24"/>
          <w:szCs w:val="24"/>
          <w:lang w:eastAsia="en-US"/>
        </w:rPr>
        <w:t>, 871</w:t>
      </w:r>
      <w:r w:rsidRPr="00AA5087">
        <w:rPr>
          <w:rFonts w:ascii="Times New Roman" w:eastAsia="Calibri" w:hAnsi="Times New Roman" w:cs="Times New Roman"/>
          <w:sz w:val="24"/>
          <w:szCs w:val="24"/>
          <w:lang w:eastAsia="en-US"/>
        </w:rPr>
        <w:t>–</w:t>
      </w:r>
      <w:r w:rsidRPr="00AA5087">
        <w:rPr>
          <w:rFonts w:ascii="Times New Roman" w:eastAsia="Calibri" w:hAnsi="Times New Roman" w:cs="Times New Roman"/>
          <w:bCs/>
          <w:iCs/>
          <w:sz w:val="24"/>
          <w:szCs w:val="24"/>
          <w:lang w:eastAsia="en-US"/>
        </w:rPr>
        <w:t>890.</w:t>
      </w:r>
    </w:p>
    <w:p w14:paraId="41A76B71" w14:textId="5133DC1B" w:rsidR="00B73B45" w:rsidRPr="00AA5087" w:rsidRDefault="00B73B45" w:rsidP="002115E1">
      <w:pPr>
        <w:spacing w:after="0" w:line="240" w:lineRule="auto"/>
        <w:ind w:left="142" w:hanging="142"/>
        <w:jc w:val="both"/>
        <w:rPr>
          <w:rFonts w:ascii="Times New Roman" w:eastAsia="Calibri" w:hAnsi="Times New Roman" w:cs="Times New Roman"/>
          <w:sz w:val="24"/>
          <w:szCs w:val="24"/>
          <w:lang w:eastAsia="en-US"/>
        </w:rPr>
      </w:pPr>
      <w:r w:rsidRPr="00AA5087">
        <w:rPr>
          <w:rFonts w:ascii="Times New Roman" w:eastAsia="Calibri" w:hAnsi="Times New Roman" w:cs="Times New Roman"/>
          <w:sz w:val="24"/>
          <w:szCs w:val="24"/>
          <w:lang w:eastAsia="en-US"/>
        </w:rPr>
        <w:t>Al</w:t>
      </w:r>
      <w:r w:rsidRPr="00AA5087">
        <w:rPr>
          <w:rFonts w:ascii="Cambria Math" w:eastAsia="Calibri" w:hAnsi="Cambria Math" w:cs="Cambria Math"/>
          <w:sz w:val="24"/>
          <w:szCs w:val="24"/>
          <w:lang w:eastAsia="en-US"/>
        </w:rPr>
        <w:t>‐</w:t>
      </w:r>
      <w:r w:rsidRPr="00AA5087">
        <w:rPr>
          <w:rFonts w:ascii="Times New Roman" w:eastAsia="Calibri" w:hAnsi="Times New Roman" w:cs="Times New Roman"/>
          <w:sz w:val="24"/>
          <w:szCs w:val="24"/>
          <w:lang w:eastAsia="en-US"/>
        </w:rPr>
        <w:t>Marhubi, F. (2004)</w:t>
      </w:r>
      <w:r w:rsidR="009A79DB" w:rsidRPr="00AA5087">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 xml:space="preserve"> </w:t>
      </w:r>
      <w:r w:rsidR="009A79DB" w:rsidRPr="00AA5087">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The Determinants of Governance: A Cross</w:t>
      </w:r>
      <w:r w:rsidRPr="00AA5087">
        <w:rPr>
          <w:rFonts w:ascii="Cambria Math" w:eastAsia="Calibri" w:hAnsi="Cambria Math" w:cs="Cambria Math"/>
          <w:sz w:val="24"/>
          <w:szCs w:val="24"/>
          <w:lang w:eastAsia="en-US"/>
        </w:rPr>
        <w:t>‐</w:t>
      </w:r>
      <w:r w:rsidRPr="00AA5087">
        <w:rPr>
          <w:rFonts w:ascii="Times New Roman" w:eastAsia="Calibri" w:hAnsi="Times New Roman" w:cs="Times New Roman"/>
          <w:sz w:val="24"/>
          <w:szCs w:val="24"/>
          <w:lang w:eastAsia="en-US"/>
        </w:rPr>
        <w:t>Country Analysis</w:t>
      </w:r>
      <w:r w:rsidR="009A79DB" w:rsidRPr="00AA5087">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 </w:t>
      </w:r>
      <w:r w:rsidRPr="00AA5087">
        <w:rPr>
          <w:rFonts w:ascii="Times New Roman" w:eastAsia="Calibri" w:hAnsi="Times New Roman" w:cs="Times New Roman"/>
          <w:i/>
          <w:iCs/>
          <w:sz w:val="24"/>
          <w:szCs w:val="24"/>
          <w:lang w:eastAsia="en-US"/>
        </w:rPr>
        <w:t>Contemporary Economic Policy</w:t>
      </w:r>
      <w:r w:rsidRPr="00AA5087">
        <w:rPr>
          <w:rFonts w:ascii="Times New Roman" w:eastAsia="Calibri" w:hAnsi="Times New Roman" w:cs="Times New Roman"/>
          <w:sz w:val="24"/>
          <w:szCs w:val="24"/>
          <w:lang w:eastAsia="en-US"/>
        </w:rPr>
        <w:t>, 22</w:t>
      </w:r>
      <w:r w:rsidR="009A79DB" w:rsidRPr="00AA5087">
        <w:rPr>
          <w:rFonts w:ascii="Times New Roman" w:eastAsia="Calibri" w:hAnsi="Times New Roman" w:cs="Times New Roman"/>
          <w:sz w:val="24"/>
          <w:szCs w:val="24"/>
          <w:lang w:eastAsia="en-US"/>
        </w:rPr>
        <w:t xml:space="preserve"> </w:t>
      </w:r>
      <w:r w:rsidR="009A35CF">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3</w:t>
      </w:r>
      <w:r w:rsidR="009A35CF">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w:t>
      </w:r>
      <w:r w:rsidR="009A79DB" w:rsidRPr="00AA5087">
        <w:rPr>
          <w:rFonts w:ascii="Times New Roman" w:eastAsia="Calibri" w:hAnsi="Times New Roman" w:cs="Times New Roman"/>
          <w:sz w:val="24"/>
          <w:szCs w:val="24"/>
          <w:lang w:eastAsia="en-US"/>
        </w:rPr>
        <w:t xml:space="preserve"> </w:t>
      </w:r>
      <w:r w:rsidRPr="00AA5087">
        <w:rPr>
          <w:rFonts w:ascii="Times New Roman" w:eastAsia="Calibri" w:hAnsi="Times New Roman" w:cs="Times New Roman"/>
          <w:sz w:val="24"/>
          <w:szCs w:val="24"/>
          <w:lang w:eastAsia="en-US"/>
        </w:rPr>
        <w:t>394</w:t>
      </w:r>
      <w:r w:rsidR="008D3C9E" w:rsidRPr="00AA5087">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406.</w:t>
      </w:r>
    </w:p>
    <w:p w14:paraId="37415CF8" w14:textId="001CC79E" w:rsidR="00DD6D98" w:rsidRPr="00AA5087" w:rsidRDefault="00DD6D98" w:rsidP="002115E1">
      <w:pPr>
        <w:spacing w:after="0" w:line="240" w:lineRule="auto"/>
        <w:ind w:left="142" w:hanging="142"/>
        <w:jc w:val="both"/>
        <w:rPr>
          <w:rFonts w:ascii="Times New Roman" w:eastAsia="Calibri" w:hAnsi="Times New Roman" w:cs="Times New Roman"/>
          <w:sz w:val="24"/>
          <w:szCs w:val="24"/>
          <w:lang w:eastAsia="en-US"/>
        </w:rPr>
      </w:pPr>
      <w:r w:rsidRPr="00AA5087">
        <w:rPr>
          <w:rFonts w:ascii="Times New Roman" w:eastAsia="Calibri" w:hAnsi="Times New Roman" w:cs="Times New Roman"/>
          <w:sz w:val="24"/>
          <w:szCs w:val="24"/>
          <w:lang w:eastAsia="en-US"/>
        </w:rPr>
        <w:t>Al</w:t>
      </w:r>
      <w:r w:rsidRPr="00AA5087">
        <w:rPr>
          <w:rFonts w:ascii="Cambria Math" w:eastAsia="Calibri" w:hAnsi="Cambria Math" w:cs="Cambria Math"/>
          <w:sz w:val="24"/>
          <w:szCs w:val="24"/>
          <w:lang w:eastAsia="en-US"/>
        </w:rPr>
        <w:t>‐</w:t>
      </w:r>
      <w:r w:rsidRPr="00AA5087">
        <w:rPr>
          <w:rFonts w:ascii="Times New Roman" w:eastAsia="Calibri" w:hAnsi="Times New Roman" w:cs="Times New Roman"/>
          <w:sz w:val="24"/>
          <w:szCs w:val="24"/>
          <w:lang w:eastAsia="en-US"/>
        </w:rPr>
        <w:t>Najjar, B. (2015</w:t>
      </w:r>
      <w:r w:rsidRPr="00AA5087">
        <w:rPr>
          <w:rFonts w:ascii="Times New Roman" w:eastAsia="Calibri" w:hAnsi="Times New Roman" w:cs="Times New Roman"/>
          <w:bCs/>
          <w:iCs/>
          <w:sz w:val="24"/>
          <w:szCs w:val="24"/>
          <w:lang w:eastAsia="en-US"/>
        </w:rPr>
        <w:t>), ‘</w:t>
      </w:r>
      <w:r w:rsidRPr="00AA5087">
        <w:rPr>
          <w:rFonts w:ascii="Times New Roman" w:eastAsia="Calibri" w:hAnsi="Times New Roman" w:cs="Times New Roman"/>
          <w:sz w:val="24"/>
          <w:szCs w:val="24"/>
          <w:lang w:eastAsia="en-US"/>
        </w:rPr>
        <w:t>The Effect of Governance Mechanisms on Small and Medium</w:t>
      </w:r>
      <w:r w:rsidRPr="00AA5087">
        <w:rPr>
          <w:rFonts w:ascii="Cambria Math" w:eastAsia="Calibri" w:hAnsi="Cambria Math" w:cs="Cambria Math"/>
          <w:sz w:val="24"/>
          <w:szCs w:val="24"/>
          <w:lang w:eastAsia="en-US"/>
        </w:rPr>
        <w:t>‐</w:t>
      </w:r>
      <w:r w:rsidRPr="00AA5087">
        <w:rPr>
          <w:rFonts w:ascii="Times New Roman" w:eastAsia="Calibri" w:hAnsi="Times New Roman" w:cs="Times New Roman"/>
          <w:sz w:val="24"/>
          <w:szCs w:val="24"/>
          <w:lang w:eastAsia="en-US"/>
        </w:rPr>
        <w:t>Sized Enterprise Cash Holdings: Evidence from the United Kingdom</w:t>
      </w:r>
      <w:r w:rsidRPr="00AA5087">
        <w:rPr>
          <w:rFonts w:ascii="Times New Roman" w:eastAsia="Calibri" w:hAnsi="Times New Roman" w:cs="Times New Roman"/>
          <w:bCs/>
          <w:iCs/>
          <w:sz w:val="24"/>
          <w:szCs w:val="24"/>
          <w:lang w:eastAsia="en-US"/>
        </w:rPr>
        <w:t>’,</w:t>
      </w:r>
      <w:r w:rsidRPr="00AA5087">
        <w:rPr>
          <w:rFonts w:ascii="Times New Roman" w:eastAsia="Calibri" w:hAnsi="Times New Roman" w:cs="Times New Roman"/>
          <w:sz w:val="24"/>
          <w:szCs w:val="24"/>
          <w:lang w:eastAsia="en-US"/>
        </w:rPr>
        <w:t> </w:t>
      </w:r>
      <w:r w:rsidRPr="00AA5087">
        <w:rPr>
          <w:rFonts w:ascii="Times New Roman" w:eastAsia="Calibri" w:hAnsi="Times New Roman" w:cs="Times New Roman"/>
          <w:i/>
          <w:iCs/>
          <w:sz w:val="24"/>
          <w:szCs w:val="24"/>
          <w:lang w:eastAsia="en-US"/>
        </w:rPr>
        <w:t>Journal of Small Business Management</w:t>
      </w:r>
      <w:r w:rsidRPr="00AA5087">
        <w:rPr>
          <w:rFonts w:ascii="Times New Roman" w:eastAsia="Calibri" w:hAnsi="Times New Roman" w:cs="Times New Roman"/>
          <w:sz w:val="24"/>
          <w:szCs w:val="24"/>
          <w:lang w:eastAsia="en-US"/>
        </w:rPr>
        <w:t>, </w:t>
      </w:r>
      <w:r w:rsidRPr="00AA5087">
        <w:rPr>
          <w:rFonts w:ascii="Times New Roman" w:eastAsia="Calibri" w:hAnsi="Times New Roman" w:cs="Times New Roman"/>
          <w:iCs/>
          <w:sz w:val="24"/>
          <w:szCs w:val="24"/>
          <w:lang w:eastAsia="en-US"/>
        </w:rPr>
        <w:t>53</w:t>
      </w:r>
      <w:r w:rsidRPr="00AA5087">
        <w:rPr>
          <w:rFonts w:ascii="Times New Roman" w:eastAsia="Calibri" w:hAnsi="Times New Roman" w:cs="Times New Roman"/>
          <w:sz w:val="24"/>
          <w:szCs w:val="24"/>
          <w:lang w:eastAsia="en-US"/>
        </w:rPr>
        <w:t xml:space="preserve"> </w:t>
      </w:r>
      <w:r w:rsidR="009A35CF">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2</w:t>
      </w:r>
      <w:r w:rsidR="009A35CF">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 303</w:t>
      </w:r>
      <w:r w:rsidR="001E15ED" w:rsidRPr="00AA5087">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320.</w:t>
      </w:r>
    </w:p>
    <w:p w14:paraId="6428F988" w14:textId="6CD63856" w:rsidR="001176C6" w:rsidRPr="00AA5087" w:rsidRDefault="001176C6" w:rsidP="002115E1">
      <w:pPr>
        <w:spacing w:after="0" w:line="240" w:lineRule="auto"/>
        <w:ind w:left="142" w:hanging="142"/>
        <w:jc w:val="both"/>
        <w:rPr>
          <w:rFonts w:ascii="Times New Roman" w:eastAsia="Calibri" w:hAnsi="Times New Roman" w:cs="Times New Roman"/>
          <w:sz w:val="24"/>
          <w:szCs w:val="24"/>
          <w:lang w:eastAsia="en-US"/>
        </w:rPr>
      </w:pPr>
      <w:r w:rsidRPr="00AA5087">
        <w:rPr>
          <w:rFonts w:ascii="Times New Roman" w:eastAsia="Calibri" w:hAnsi="Times New Roman" w:cs="Times New Roman"/>
          <w:sz w:val="24"/>
          <w:szCs w:val="24"/>
          <w:lang w:eastAsia="en-US"/>
        </w:rPr>
        <w:t>Anderson, R. C., Duru, A., &amp; Reeb, D. M. (2009</w:t>
      </w:r>
      <w:r w:rsidR="001E15ED" w:rsidRPr="00AA5087">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 xml:space="preserve"> ‘Founders, heirs, and corporate opacity in the United States</w:t>
      </w:r>
      <w:r w:rsidR="002B2FD8" w:rsidRPr="00AA5087">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 </w:t>
      </w:r>
      <w:r w:rsidRPr="00AA5087">
        <w:rPr>
          <w:rFonts w:ascii="Times New Roman" w:eastAsia="Calibri" w:hAnsi="Times New Roman" w:cs="Times New Roman"/>
          <w:i/>
          <w:iCs/>
          <w:sz w:val="24"/>
          <w:szCs w:val="24"/>
          <w:lang w:eastAsia="en-US"/>
        </w:rPr>
        <w:t xml:space="preserve">Journal of Financial </w:t>
      </w:r>
      <w:r w:rsidR="00562E77" w:rsidRPr="00AA5087">
        <w:rPr>
          <w:rFonts w:ascii="Times New Roman" w:eastAsia="Calibri" w:hAnsi="Times New Roman" w:cs="Times New Roman"/>
          <w:i/>
          <w:iCs/>
          <w:sz w:val="24"/>
          <w:szCs w:val="24"/>
          <w:lang w:eastAsia="en-US"/>
        </w:rPr>
        <w:t>Economics</w:t>
      </w:r>
      <w:r w:rsidRPr="00AA5087">
        <w:rPr>
          <w:rFonts w:ascii="Times New Roman" w:eastAsia="Calibri" w:hAnsi="Times New Roman" w:cs="Times New Roman"/>
          <w:sz w:val="24"/>
          <w:szCs w:val="24"/>
          <w:lang w:eastAsia="en-US"/>
        </w:rPr>
        <w:t>, </w:t>
      </w:r>
      <w:r w:rsidRPr="00AA5087">
        <w:rPr>
          <w:rFonts w:ascii="Times New Roman" w:eastAsia="Calibri" w:hAnsi="Times New Roman" w:cs="Times New Roman"/>
          <w:iCs/>
          <w:sz w:val="24"/>
          <w:szCs w:val="24"/>
          <w:lang w:eastAsia="en-US"/>
        </w:rPr>
        <w:t>92</w:t>
      </w:r>
      <w:r w:rsidR="009A35CF">
        <w:rPr>
          <w:rFonts w:ascii="Times New Roman" w:eastAsia="Calibri" w:hAnsi="Times New Roman" w:cs="Times New Roman"/>
          <w:iCs/>
          <w:sz w:val="24"/>
          <w:szCs w:val="24"/>
          <w:lang w:eastAsia="en-US"/>
        </w:rPr>
        <w:t xml:space="preserve"> (</w:t>
      </w:r>
      <w:r w:rsidRPr="00AA5087">
        <w:rPr>
          <w:rFonts w:ascii="Times New Roman" w:eastAsia="Calibri" w:hAnsi="Times New Roman" w:cs="Times New Roman"/>
          <w:sz w:val="24"/>
          <w:szCs w:val="24"/>
          <w:lang w:eastAsia="en-US"/>
        </w:rPr>
        <w:t>2</w:t>
      </w:r>
      <w:r w:rsidR="009A35CF">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 205</w:t>
      </w:r>
      <w:r w:rsidR="001E15ED" w:rsidRPr="00AA5087">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222.</w:t>
      </w:r>
    </w:p>
    <w:p w14:paraId="7763A96D" w14:textId="2B2590AF" w:rsidR="00B73B45" w:rsidRPr="00AA5087" w:rsidRDefault="00B73B45" w:rsidP="002115E1">
      <w:pPr>
        <w:spacing w:after="0" w:line="240" w:lineRule="auto"/>
        <w:ind w:left="142" w:hanging="142"/>
        <w:jc w:val="both"/>
        <w:rPr>
          <w:rFonts w:ascii="Times New Roman" w:eastAsia="Calibri" w:hAnsi="Times New Roman" w:cs="Times New Roman"/>
          <w:sz w:val="24"/>
          <w:szCs w:val="24"/>
          <w:lang w:eastAsia="en-US"/>
        </w:rPr>
      </w:pPr>
      <w:r w:rsidRPr="00AA5087">
        <w:rPr>
          <w:rFonts w:ascii="Times New Roman" w:eastAsia="Calibri" w:hAnsi="Times New Roman" w:cs="Times New Roman"/>
          <w:sz w:val="24"/>
          <w:szCs w:val="24"/>
          <w:lang w:eastAsia="en-US"/>
        </w:rPr>
        <w:t>Asthana, S. C., Balsam, S., &amp; Krishnan, J. (2010), ‘Corporate governance, audit firm reputation, auditor switches, and client stock price reactions: The Andersen experience’, </w:t>
      </w:r>
      <w:r w:rsidRPr="00AA5087">
        <w:rPr>
          <w:rFonts w:ascii="Times New Roman" w:eastAsia="Calibri" w:hAnsi="Times New Roman" w:cs="Times New Roman"/>
          <w:i/>
          <w:iCs/>
          <w:sz w:val="24"/>
          <w:szCs w:val="24"/>
          <w:lang w:eastAsia="en-US"/>
        </w:rPr>
        <w:t>International Journal of Auditing</w:t>
      </w:r>
      <w:r w:rsidRPr="00AA5087">
        <w:rPr>
          <w:rFonts w:ascii="Times New Roman" w:eastAsia="Calibri" w:hAnsi="Times New Roman" w:cs="Times New Roman"/>
          <w:sz w:val="24"/>
          <w:szCs w:val="24"/>
          <w:lang w:eastAsia="en-US"/>
        </w:rPr>
        <w:t>, 14</w:t>
      </w:r>
      <w:r w:rsidR="009A35CF">
        <w:rPr>
          <w:rFonts w:ascii="Times New Roman" w:eastAsia="Calibri" w:hAnsi="Times New Roman" w:cs="Times New Roman"/>
          <w:sz w:val="24"/>
          <w:szCs w:val="24"/>
          <w:lang w:eastAsia="en-US"/>
        </w:rPr>
        <w:t xml:space="preserve"> (</w:t>
      </w:r>
      <w:r w:rsidRPr="00AA5087">
        <w:rPr>
          <w:rFonts w:ascii="Times New Roman" w:eastAsia="Calibri" w:hAnsi="Times New Roman" w:cs="Times New Roman"/>
          <w:sz w:val="24"/>
          <w:szCs w:val="24"/>
          <w:lang w:eastAsia="en-US"/>
        </w:rPr>
        <w:t>3</w:t>
      </w:r>
      <w:r w:rsidR="009A35CF">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 274</w:t>
      </w:r>
      <w:r w:rsidR="008D3C9E" w:rsidRPr="00AA5087">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293.</w:t>
      </w:r>
    </w:p>
    <w:p w14:paraId="072AC824" w14:textId="038257D4" w:rsidR="00340868" w:rsidRPr="00AA5087" w:rsidRDefault="00340868" w:rsidP="002115E1">
      <w:pPr>
        <w:spacing w:after="0" w:line="240" w:lineRule="auto"/>
        <w:ind w:left="142" w:hanging="142"/>
        <w:jc w:val="both"/>
        <w:rPr>
          <w:rFonts w:ascii="Times New Roman" w:eastAsia="Calibri" w:hAnsi="Times New Roman" w:cs="Times New Roman"/>
          <w:sz w:val="24"/>
          <w:szCs w:val="24"/>
          <w:lang w:eastAsia="en-US"/>
        </w:rPr>
      </w:pPr>
      <w:r w:rsidRPr="00AA5087">
        <w:rPr>
          <w:rFonts w:ascii="Times New Roman" w:eastAsia="Calibri" w:hAnsi="Times New Roman" w:cs="Times New Roman"/>
          <w:sz w:val="24"/>
          <w:szCs w:val="24"/>
          <w:lang w:eastAsia="en-US"/>
        </w:rPr>
        <w:t>Baatwah, S. R., Salleh, Z., &amp; Ahmad, N. (2015), ‘Corporate governance mechanisms and audit report timeliness: Empirical evidence from Oman’, </w:t>
      </w:r>
      <w:r w:rsidRPr="00AA5087">
        <w:rPr>
          <w:rFonts w:ascii="Times New Roman" w:eastAsia="Calibri" w:hAnsi="Times New Roman" w:cs="Times New Roman"/>
          <w:i/>
          <w:iCs/>
          <w:sz w:val="24"/>
          <w:szCs w:val="24"/>
          <w:lang w:eastAsia="en-US"/>
        </w:rPr>
        <w:t>International Journal of Accounting, Auditing and Performance Evaluation</w:t>
      </w:r>
      <w:r w:rsidRPr="00AA5087">
        <w:rPr>
          <w:rFonts w:ascii="Times New Roman" w:eastAsia="Calibri" w:hAnsi="Times New Roman" w:cs="Times New Roman"/>
          <w:sz w:val="24"/>
          <w:szCs w:val="24"/>
          <w:lang w:eastAsia="en-US"/>
        </w:rPr>
        <w:t>, </w:t>
      </w:r>
      <w:r w:rsidRPr="00AA5087">
        <w:rPr>
          <w:rFonts w:ascii="Times New Roman" w:eastAsia="Calibri" w:hAnsi="Times New Roman" w:cs="Times New Roman"/>
          <w:iCs/>
          <w:sz w:val="24"/>
          <w:szCs w:val="24"/>
          <w:lang w:eastAsia="en-US"/>
        </w:rPr>
        <w:t>11</w:t>
      </w:r>
      <w:r w:rsidR="009A35CF">
        <w:rPr>
          <w:rFonts w:ascii="Times New Roman" w:eastAsia="Calibri" w:hAnsi="Times New Roman" w:cs="Times New Roman"/>
          <w:iCs/>
          <w:sz w:val="24"/>
          <w:szCs w:val="24"/>
          <w:lang w:eastAsia="en-US"/>
        </w:rPr>
        <w:t xml:space="preserve"> (</w:t>
      </w:r>
      <w:r w:rsidRPr="00AA5087">
        <w:rPr>
          <w:rFonts w:ascii="Times New Roman" w:eastAsia="Calibri" w:hAnsi="Times New Roman" w:cs="Times New Roman"/>
          <w:sz w:val="24"/>
          <w:szCs w:val="24"/>
          <w:lang w:eastAsia="en-US"/>
        </w:rPr>
        <w:t>3-4</w:t>
      </w:r>
      <w:r w:rsidR="009A35CF">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 312</w:t>
      </w:r>
      <w:r w:rsidR="001E15ED" w:rsidRPr="00AA5087">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337.</w:t>
      </w:r>
    </w:p>
    <w:p w14:paraId="381CD4B8" w14:textId="6E1901F6" w:rsidR="00B73B45" w:rsidRPr="00AA5087" w:rsidRDefault="00B73B45" w:rsidP="002115E1">
      <w:pPr>
        <w:spacing w:after="0" w:line="240" w:lineRule="auto"/>
        <w:ind w:left="142" w:hanging="142"/>
        <w:jc w:val="both"/>
        <w:rPr>
          <w:rFonts w:ascii="Times New Roman" w:eastAsia="Calibri" w:hAnsi="Times New Roman" w:cs="Times New Roman"/>
          <w:sz w:val="24"/>
          <w:szCs w:val="24"/>
          <w:lang w:eastAsia="en-US"/>
        </w:rPr>
      </w:pPr>
      <w:r w:rsidRPr="00AA5087">
        <w:rPr>
          <w:rFonts w:ascii="Times New Roman" w:eastAsia="Calibri" w:hAnsi="Times New Roman" w:cs="Times New Roman"/>
          <w:sz w:val="24"/>
          <w:szCs w:val="24"/>
          <w:lang w:eastAsia="en-US"/>
        </w:rPr>
        <w:t>Baldini, M., Dal Maso, L., Liberatore, G., Mazzi, F., &amp; Terzani, S. (</w:t>
      </w:r>
      <w:r w:rsidR="00EA1FDF" w:rsidRPr="00AA5087">
        <w:rPr>
          <w:rFonts w:ascii="Times New Roman" w:eastAsia="Calibri" w:hAnsi="Times New Roman" w:cs="Times New Roman"/>
          <w:sz w:val="24"/>
          <w:szCs w:val="24"/>
          <w:lang w:eastAsia="en-US"/>
        </w:rPr>
        <w:t>201</w:t>
      </w:r>
      <w:r w:rsidR="00EA1FDF">
        <w:rPr>
          <w:rFonts w:ascii="Times New Roman" w:eastAsia="Calibri" w:hAnsi="Times New Roman" w:cs="Times New Roman"/>
          <w:sz w:val="24"/>
          <w:szCs w:val="24"/>
          <w:lang w:eastAsia="en-US"/>
        </w:rPr>
        <w:t>8</w:t>
      </w:r>
      <w:r w:rsidRPr="00AA5087">
        <w:rPr>
          <w:rFonts w:ascii="Times New Roman" w:eastAsia="Calibri" w:hAnsi="Times New Roman" w:cs="Times New Roman"/>
          <w:sz w:val="24"/>
          <w:szCs w:val="24"/>
          <w:lang w:eastAsia="en-US"/>
        </w:rPr>
        <w:t>)</w:t>
      </w:r>
      <w:r w:rsidR="00542B4E" w:rsidRPr="00AA5087">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 xml:space="preserve"> </w:t>
      </w:r>
      <w:r w:rsidR="00542B4E" w:rsidRPr="00AA5087">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Role of Country-and Firm-Level Determinants in Environmental, Social, and Governance Disclosure</w:t>
      </w:r>
      <w:r w:rsidR="00542B4E" w:rsidRPr="00AA5087">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 </w:t>
      </w:r>
      <w:r w:rsidRPr="00AA5087">
        <w:rPr>
          <w:rFonts w:ascii="Times New Roman" w:eastAsia="Calibri" w:hAnsi="Times New Roman" w:cs="Times New Roman"/>
          <w:i/>
          <w:iCs/>
          <w:sz w:val="24"/>
          <w:szCs w:val="24"/>
          <w:lang w:eastAsia="en-US"/>
        </w:rPr>
        <w:t>Journal of Business Ethics</w:t>
      </w:r>
      <w:r w:rsidRPr="00AA5087">
        <w:rPr>
          <w:rFonts w:ascii="Times New Roman" w:eastAsia="Calibri" w:hAnsi="Times New Roman" w:cs="Times New Roman"/>
          <w:sz w:val="24"/>
          <w:szCs w:val="24"/>
          <w:lang w:eastAsia="en-US"/>
        </w:rPr>
        <w:t xml:space="preserve">, </w:t>
      </w:r>
      <w:r w:rsidR="00EA1FDF" w:rsidRPr="00EA1FDF">
        <w:rPr>
          <w:rFonts w:ascii="Times New Roman" w:eastAsia="Calibri" w:hAnsi="Times New Roman" w:cs="Times New Roman"/>
          <w:sz w:val="24"/>
          <w:szCs w:val="24"/>
          <w:lang w:eastAsia="en-US"/>
        </w:rPr>
        <w:t>150</w:t>
      </w:r>
      <w:r w:rsidR="00EA1FDF">
        <w:rPr>
          <w:rFonts w:ascii="Times New Roman" w:eastAsia="Calibri" w:hAnsi="Times New Roman" w:cs="Times New Roman"/>
          <w:sz w:val="24"/>
          <w:szCs w:val="24"/>
          <w:lang w:eastAsia="en-US"/>
        </w:rPr>
        <w:t>(1),</w:t>
      </w:r>
      <w:r w:rsidR="00EA1FDF" w:rsidRPr="00EA1FDF">
        <w:rPr>
          <w:rFonts w:ascii="Times New Roman" w:eastAsia="Calibri" w:hAnsi="Times New Roman" w:cs="Times New Roman"/>
          <w:sz w:val="24"/>
          <w:szCs w:val="24"/>
          <w:lang w:eastAsia="en-US"/>
        </w:rPr>
        <w:t xml:space="preserve"> 79–98</w:t>
      </w:r>
      <w:r w:rsidRPr="00AA5087">
        <w:rPr>
          <w:rFonts w:ascii="Times New Roman" w:eastAsia="Calibri" w:hAnsi="Times New Roman" w:cs="Times New Roman"/>
          <w:sz w:val="24"/>
          <w:szCs w:val="24"/>
          <w:lang w:eastAsia="en-US"/>
        </w:rPr>
        <w:t>.</w:t>
      </w:r>
    </w:p>
    <w:p w14:paraId="4065EF8F" w14:textId="4121613C" w:rsidR="00BA5E45" w:rsidRPr="00AA5087" w:rsidRDefault="00BA5E45" w:rsidP="002115E1">
      <w:pPr>
        <w:spacing w:after="0" w:line="240" w:lineRule="auto"/>
        <w:ind w:left="142" w:hanging="142"/>
        <w:jc w:val="both"/>
        <w:rPr>
          <w:rFonts w:ascii="Times New Roman" w:eastAsia="Calibri" w:hAnsi="Times New Roman" w:cs="Times New Roman"/>
          <w:sz w:val="24"/>
          <w:szCs w:val="24"/>
          <w:lang w:val="en-US" w:eastAsia="en-US"/>
        </w:rPr>
      </w:pPr>
      <w:r w:rsidRPr="00AA5087">
        <w:rPr>
          <w:rFonts w:ascii="Times New Roman" w:eastAsia="Calibri" w:hAnsi="Times New Roman" w:cs="Times New Roman"/>
          <w:sz w:val="24"/>
          <w:szCs w:val="24"/>
          <w:lang w:val="en-US" w:eastAsia="en-US"/>
        </w:rPr>
        <w:t>Barako, D. G., Hancock, P., Izan, H. Y. (2006</w:t>
      </w:r>
      <w:r w:rsidRPr="00AA5087">
        <w:rPr>
          <w:rFonts w:ascii="Times New Roman" w:eastAsia="Calibri" w:hAnsi="Times New Roman" w:cs="Times New Roman"/>
          <w:sz w:val="24"/>
          <w:szCs w:val="24"/>
          <w:lang w:eastAsia="en-US"/>
        </w:rPr>
        <w:t>), ‘</w:t>
      </w:r>
      <w:r w:rsidRPr="00AA5087">
        <w:rPr>
          <w:rFonts w:ascii="Times New Roman" w:eastAsia="Calibri" w:hAnsi="Times New Roman" w:cs="Times New Roman"/>
          <w:sz w:val="24"/>
          <w:szCs w:val="24"/>
          <w:lang w:val="en-US" w:eastAsia="en-US"/>
        </w:rPr>
        <w:t>Factors influencing voluntary corporate disclosure by Kenyan companies’, </w:t>
      </w:r>
      <w:r w:rsidRPr="00AA5087">
        <w:rPr>
          <w:rFonts w:ascii="Times New Roman" w:eastAsia="Calibri" w:hAnsi="Times New Roman" w:cs="Times New Roman"/>
          <w:i/>
          <w:iCs/>
          <w:sz w:val="24"/>
          <w:szCs w:val="24"/>
          <w:lang w:val="en-US" w:eastAsia="en-US"/>
        </w:rPr>
        <w:t>Corporate Governance: An International Review</w:t>
      </w:r>
      <w:r w:rsidRPr="00AA5087">
        <w:rPr>
          <w:rFonts w:ascii="Times New Roman" w:eastAsia="Calibri" w:hAnsi="Times New Roman" w:cs="Times New Roman"/>
          <w:sz w:val="24"/>
          <w:szCs w:val="24"/>
          <w:lang w:val="en-US" w:eastAsia="en-US"/>
        </w:rPr>
        <w:t xml:space="preserve">, 14 </w:t>
      </w:r>
      <w:r w:rsidR="00EA1FDF">
        <w:rPr>
          <w:rFonts w:ascii="Times New Roman" w:eastAsia="Calibri" w:hAnsi="Times New Roman" w:cs="Times New Roman"/>
          <w:sz w:val="24"/>
          <w:szCs w:val="24"/>
          <w:lang w:val="en-US" w:eastAsia="en-US"/>
        </w:rPr>
        <w:t>(</w:t>
      </w:r>
      <w:r w:rsidRPr="00AA5087">
        <w:rPr>
          <w:rFonts w:ascii="Times New Roman" w:eastAsia="Calibri" w:hAnsi="Times New Roman" w:cs="Times New Roman"/>
          <w:sz w:val="24"/>
          <w:szCs w:val="24"/>
          <w:lang w:val="en-US" w:eastAsia="en-US"/>
        </w:rPr>
        <w:t>2</w:t>
      </w:r>
      <w:r w:rsidR="00EA1FDF">
        <w:rPr>
          <w:rFonts w:ascii="Times New Roman" w:eastAsia="Calibri" w:hAnsi="Times New Roman" w:cs="Times New Roman"/>
          <w:sz w:val="24"/>
          <w:szCs w:val="24"/>
          <w:lang w:val="en-US" w:eastAsia="en-US"/>
        </w:rPr>
        <w:t>)</w:t>
      </w:r>
      <w:r w:rsidRPr="00AA5087">
        <w:rPr>
          <w:rFonts w:ascii="Times New Roman" w:eastAsia="Calibri" w:hAnsi="Times New Roman" w:cs="Times New Roman"/>
          <w:sz w:val="24"/>
          <w:szCs w:val="24"/>
          <w:lang w:val="en-US" w:eastAsia="en-US"/>
        </w:rPr>
        <w:t>,</w:t>
      </w:r>
      <w:r w:rsidR="00EA1FDF">
        <w:rPr>
          <w:rFonts w:ascii="Times New Roman" w:eastAsia="Calibri" w:hAnsi="Times New Roman" w:cs="Times New Roman"/>
          <w:sz w:val="24"/>
          <w:szCs w:val="24"/>
          <w:lang w:val="en-US" w:eastAsia="en-US"/>
        </w:rPr>
        <w:t xml:space="preserve"> </w:t>
      </w:r>
      <w:r w:rsidRPr="00AA5087">
        <w:rPr>
          <w:rFonts w:ascii="Times New Roman" w:eastAsia="Calibri" w:hAnsi="Times New Roman" w:cs="Times New Roman"/>
          <w:sz w:val="24"/>
          <w:szCs w:val="24"/>
          <w:lang w:val="en-US" w:eastAsia="en-US"/>
        </w:rPr>
        <w:t>107</w:t>
      </w:r>
      <w:r w:rsidRPr="00AA5087">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val="en-US" w:eastAsia="en-US"/>
        </w:rPr>
        <w:t>125.</w:t>
      </w:r>
    </w:p>
    <w:p w14:paraId="19B7548A" w14:textId="7C366521" w:rsidR="00E815F2" w:rsidRPr="00AA5087" w:rsidRDefault="00E815F2" w:rsidP="002115E1">
      <w:pPr>
        <w:spacing w:after="0" w:line="240" w:lineRule="auto"/>
        <w:ind w:left="142" w:hanging="142"/>
        <w:jc w:val="both"/>
        <w:rPr>
          <w:rFonts w:ascii="Times New Roman" w:eastAsia="Calibri" w:hAnsi="Times New Roman" w:cs="Times New Roman"/>
          <w:sz w:val="24"/>
          <w:szCs w:val="24"/>
          <w:lang w:eastAsia="en-US"/>
        </w:rPr>
      </w:pPr>
      <w:r w:rsidRPr="00AA5087">
        <w:rPr>
          <w:rFonts w:ascii="Times New Roman" w:eastAsia="Calibri" w:hAnsi="Times New Roman" w:cs="Times New Roman"/>
          <w:sz w:val="24"/>
          <w:szCs w:val="24"/>
          <w:lang w:eastAsia="en-US"/>
        </w:rPr>
        <w:t>Barroso, R., Ben Ali, C., &amp; Lesage, C. (2018), ‘Blockholders’ ownership and audit fees: The impact of the corporate governance model’, </w:t>
      </w:r>
      <w:r w:rsidRPr="00AA5087">
        <w:rPr>
          <w:rFonts w:ascii="Times New Roman" w:eastAsia="Calibri" w:hAnsi="Times New Roman" w:cs="Times New Roman"/>
          <w:i/>
          <w:iCs/>
          <w:sz w:val="24"/>
          <w:szCs w:val="24"/>
          <w:lang w:eastAsia="en-US"/>
        </w:rPr>
        <w:t>European Accounting Review</w:t>
      </w:r>
      <w:r w:rsidRPr="00AA5087">
        <w:rPr>
          <w:rFonts w:ascii="Times New Roman" w:eastAsia="Calibri" w:hAnsi="Times New Roman" w:cs="Times New Roman"/>
          <w:sz w:val="24"/>
          <w:szCs w:val="24"/>
          <w:lang w:eastAsia="en-US"/>
        </w:rPr>
        <w:t>, </w:t>
      </w:r>
      <w:r w:rsidRPr="00AA5087">
        <w:rPr>
          <w:rFonts w:ascii="Times New Roman" w:eastAsia="Calibri" w:hAnsi="Times New Roman" w:cs="Times New Roman"/>
          <w:iCs/>
          <w:sz w:val="24"/>
          <w:szCs w:val="24"/>
          <w:lang w:eastAsia="en-US"/>
        </w:rPr>
        <w:t>27</w:t>
      </w:r>
      <w:r w:rsidR="00EA1FDF">
        <w:rPr>
          <w:rFonts w:ascii="Times New Roman" w:eastAsia="Calibri" w:hAnsi="Times New Roman" w:cs="Times New Roman"/>
          <w:iCs/>
          <w:sz w:val="24"/>
          <w:szCs w:val="24"/>
          <w:lang w:eastAsia="en-US"/>
        </w:rPr>
        <w:t xml:space="preserve"> (</w:t>
      </w:r>
      <w:r w:rsidRPr="00AA5087">
        <w:rPr>
          <w:rFonts w:ascii="Times New Roman" w:eastAsia="Calibri" w:hAnsi="Times New Roman" w:cs="Times New Roman"/>
          <w:sz w:val="24"/>
          <w:szCs w:val="24"/>
          <w:lang w:eastAsia="en-US"/>
        </w:rPr>
        <w:t>1</w:t>
      </w:r>
      <w:r w:rsidR="00EA1FDF">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w:t>
      </w:r>
      <w:r w:rsidR="00EA1FDF">
        <w:rPr>
          <w:rFonts w:ascii="Times New Roman" w:eastAsia="Calibri" w:hAnsi="Times New Roman" w:cs="Times New Roman"/>
          <w:sz w:val="24"/>
          <w:szCs w:val="24"/>
          <w:lang w:eastAsia="en-US"/>
        </w:rPr>
        <w:t xml:space="preserve"> </w:t>
      </w:r>
      <w:r w:rsidRPr="00AA5087">
        <w:rPr>
          <w:rFonts w:ascii="Times New Roman" w:eastAsia="Calibri" w:hAnsi="Times New Roman" w:cs="Times New Roman"/>
          <w:sz w:val="24"/>
          <w:szCs w:val="24"/>
          <w:lang w:eastAsia="en-US"/>
        </w:rPr>
        <w:t>149</w:t>
      </w:r>
      <w:r w:rsidR="001E15ED" w:rsidRPr="00AA5087">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172.</w:t>
      </w:r>
    </w:p>
    <w:p w14:paraId="3B234A3B" w14:textId="1BA4333E" w:rsidR="00502F31" w:rsidRPr="00AA5087" w:rsidRDefault="00626C51" w:rsidP="002115E1">
      <w:pPr>
        <w:spacing w:after="0" w:line="240" w:lineRule="auto"/>
        <w:ind w:left="142" w:hanging="142"/>
        <w:jc w:val="both"/>
        <w:rPr>
          <w:rFonts w:ascii="Times New Roman" w:eastAsia="Calibri" w:hAnsi="Times New Roman" w:cs="Times New Roman"/>
          <w:sz w:val="24"/>
          <w:szCs w:val="24"/>
          <w:lang w:eastAsia="en-US"/>
        </w:rPr>
      </w:pPr>
      <w:r w:rsidRPr="00AA5087">
        <w:rPr>
          <w:rFonts w:ascii="Times New Roman" w:eastAsia="Calibri" w:hAnsi="Times New Roman" w:cs="Times New Roman"/>
          <w:sz w:val="24"/>
          <w:szCs w:val="24"/>
          <w:lang w:eastAsia="en-US"/>
        </w:rPr>
        <w:t>Ben-Hassoun, A., Aloui, C., &amp; Ben-Nasr, H. (2018),</w:t>
      </w:r>
      <w:r w:rsidR="00882A73" w:rsidRPr="00AA5087">
        <w:rPr>
          <w:rFonts w:ascii="Times New Roman" w:eastAsia="Calibri" w:hAnsi="Times New Roman" w:cs="Times New Roman"/>
          <w:sz w:val="24"/>
          <w:szCs w:val="24"/>
          <w:lang w:eastAsia="en-US"/>
        </w:rPr>
        <w:t xml:space="preserve"> </w:t>
      </w:r>
      <w:r w:rsidRPr="00AA5087">
        <w:rPr>
          <w:rFonts w:ascii="Times New Roman" w:eastAsia="Calibri" w:hAnsi="Times New Roman" w:cs="Times New Roman"/>
          <w:sz w:val="24"/>
          <w:szCs w:val="24"/>
          <w:lang w:eastAsia="en-US"/>
        </w:rPr>
        <w:t>‘Demand for audit quality in newly privatized firms in MENA region: Role of internal corporate governance mechanisms audit</w:t>
      </w:r>
      <w:r w:rsidR="00882A73" w:rsidRPr="00AA5087">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 </w:t>
      </w:r>
      <w:r w:rsidRPr="00AA5087">
        <w:rPr>
          <w:rFonts w:ascii="Times New Roman" w:eastAsia="Calibri" w:hAnsi="Times New Roman" w:cs="Times New Roman"/>
          <w:i/>
          <w:iCs/>
          <w:sz w:val="24"/>
          <w:szCs w:val="24"/>
          <w:lang w:eastAsia="en-US"/>
        </w:rPr>
        <w:t>Research in International Business and Finance</w:t>
      </w:r>
      <w:r w:rsidRPr="00AA5087">
        <w:rPr>
          <w:rFonts w:ascii="Times New Roman" w:eastAsia="Calibri" w:hAnsi="Times New Roman" w:cs="Times New Roman"/>
          <w:sz w:val="24"/>
          <w:szCs w:val="24"/>
          <w:lang w:eastAsia="en-US"/>
        </w:rPr>
        <w:t>, </w:t>
      </w:r>
      <w:r w:rsidRPr="00AA5087">
        <w:rPr>
          <w:rFonts w:ascii="Times New Roman" w:eastAsia="Calibri" w:hAnsi="Times New Roman" w:cs="Times New Roman"/>
          <w:iCs/>
          <w:sz w:val="24"/>
          <w:szCs w:val="24"/>
          <w:lang w:eastAsia="en-US"/>
        </w:rPr>
        <w:t>45</w:t>
      </w:r>
      <w:r w:rsidRPr="00AA5087">
        <w:rPr>
          <w:rFonts w:ascii="Times New Roman" w:eastAsia="Calibri" w:hAnsi="Times New Roman" w:cs="Times New Roman"/>
          <w:sz w:val="24"/>
          <w:szCs w:val="24"/>
          <w:lang w:eastAsia="en-US"/>
        </w:rPr>
        <w:t>, 334</w:t>
      </w:r>
      <w:r w:rsidR="001E15ED" w:rsidRPr="00AA5087">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348.</w:t>
      </w:r>
    </w:p>
    <w:p w14:paraId="29E8BA1D" w14:textId="77777777" w:rsidR="00370C0B" w:rsidRPr="00AA5087" w:rsidRDefault="00370C0B" w:rsidP="002115E1">
      <w:pPr>
        <w:spacing w:after="0" w:line="240" w:lineRule="auto"/>
        <w:ind w:left="142" w:hanging="142"/>
        <w:jc w:val="both"/>
        <w:rPr>
          <w:rFonts w:ascii="Times New Roman" w:eastAsia="Calibri" w:hAnsi="Times New Roman" w:cs="Times New Roman"/>
          <w:sz w:val="24"/>
          <w:szCs w:val="24"/>
          <w:lang w:eastAsia="en-US"/>
        </w:rPr>
      </w:pPr>
      <w:r w:rsidRPr="00AA5087">
        <w:rPr>
          <w:rFonts w:ascii="Times New Roman" w:eastAsia="Calibri" w:hAnsi="Times New Roman" w:cs="Times New Roman"/>
          <w:sz w:val="24"/>
          <w:szCs w:val="24"/>
          <w:lang w:eastAsia="en-US"/>
        </w:rPr>
        <w:t>Blue Ribbon Committee (1999), ‘</w:t>
      </w:r>
      <w:r w:rsidRPr="00AA5087">
        <w:rPr>
          <w:rFonts w:ascii="Times New Roman" w:eastAsia="Calibri" w:hAnsi="Times New Roman" w:cs="Times New Roman"/>
          <w:i/>
          <w:sz w:val="24"/>
          <w:szCs w:val="24"/>
          <w:lang w:eastAsia="en-US"/>
        </w:rPr>
        <w:t>Report and Recommendations of the Blue Ribbon Committee on Improving the Effectiveness of Corporate Audit Committees’</w:t>
      </w:r>
      <w:r w:rsidRPr="00AA5087">
        <w:rPr>
          <w:rFonts w:ascii="Times New Roman" w:eastAsia="Calibri" w:hAnsi="Times New Roman" w:cs="Times New Roman"/>
          <w:sz w:val="24"/>
          <w:szCs w:val="24"/>
          <w:lang w:eastAsia="en-US"/>
        </w:rPr>
        <w:t>, NYSE and National Association of Securities Dealers.</w:t>
      </w:r>
    </w:p>
    <w:p w14:paraId="69A5460D" w14:textId="7641B41E" w:rsidR="00B73B45" w:rsidRPr="00AA5087" w:rsidRDefault="00B73B45" w:rsidP="002115E1">
      <w:pPr>
        <w:spacing w:after="0" w:line="240" w:lineRule="auto"/>
        <w:ind w:left="142" w:hanging="142"/>
        <w:jc w:val="both"/>
        <w:rPr>
          <w:rFonts w:ascii="Times New Roman" w:eastAsia="Calibri" w:hAnsi="Times New Roman" w:cs="Times New Roman"/>
          <w:sz w:val="24"/>
          <w:szCs w:val="24"/>
          <w:lang w:eastAsia="en-US"/>
        </w:rPr>
      </w:pPr>
      <w:r w:rsidRPr="00AA5087">
        <w:rPr>
          <w:rFonts w:ascii="Times New Roman" w:eastAsia="Calibri" w:hAnsi="Times New Roman" w:cs="Times New Roman"/>
          <w:sz w:val="24"/>
          <w:szCs w:val="24"/>
          <w:lang w:eastAsia="en-US"/>
        </w:rPr>
        <w:t>Carcello, J. V., Hermanson, D. R., Neal, T. L., &amp; Riley, R. A. (2002), ‘Board characteristics and audit fees’, </w:t>
      </w:r>
      <w:r w:rsidRPr="00AA5087">
        <w:rPr>
          <w:rFonts w:ascii="Times New Roman" w:eastAsia="Calibri" w:hAnsi="Times New Roman" w:cs="Times New Roman"/>
          <w:i/>
          <w:iCs/>
          <w:sz w:val="24"/>
          <w:szCs w:val="24"/>
          <w:lang w:eastAsia="en-US"/>
        </w:rPr>
        <w:t xml:space="preserve">Contemporary </w:t>
      </w:r>
      <w:r w:rsidR="00670AC2" w:rsidRPr="00AA5087">
        <w:rPr>
          <w:rFonts w:ascii="Times New Roman" w:eastAsia="Calibri" w:hAnsi="Times New Roman" w:cs="Times New Roman"/>
          <w:i/>
          <w:iCs/>
          <w:sz w:val="24"/>
          <w:szCs w:val="24"/>
          <w:lang w:eastAsia="en-US"/>
        </w:rPr>
        <w:t>Accounting Research</w:t>
      </w:r>
      <w:r w:rsidRPr="00AA5087">
        <w:rPr>
          <w:rFonts w:ascii="Times New Roman" w:eastAsia="Calibri" w:hAnsi="Times New Roman" w:cs="Times New Roman"/>
          <w:sz w:val="24"/>
          <w:szCs w:val="24"/>
          <w:lang w:eastAsia="en-US"/>
        </w:rPr>
        <w:t xml:space="preserve">, 19 </w:t>
      </w:r>
      <w:r w:rsidR="00EA1FDF">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3</w:t>
      </w:r>
      <w:r w:rsidR="00EA1FDF">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 365</w:t>
      </w:r>
      <w:r w:rsidR="008D3C9E" w:rsidRPr="00AA5087">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 xml:space="preserve">384. </w:t>
      </w:r>
    </w:p>
    <w:p w14:paraId="497D1EF9" w14:textId="48086CE9" w:rsidR="00284C6C" w:rsidRPr="00AA5087" w:rsidRDefault="00284C6C" w:rsidP="002115E1">
      <w:pPr>
        <w:spacing w:after="0" w:line="240" w:lineRule="auto"/>
        <w:ind w:left="142" w:hanging="142"/>
        <w:jc w:val="both"/>
        <w:rPr>
          <w:rFonts w:ascii="Times New Roman" w:eastAsia="Calibri" w:hAnsi="Times New Roman" w:cs="Times New Roman"/>
          <w:bCs/>
          <w:iCs/>
          <w:sz w:val="24"/>
          <w:szCs w:val="24"/>
          <w:lang w:eastAsia="en-US"/>
        </w:rPr>
      </w:pPr>
      <w:r w:rsidRPr="00AA5087">
        <w:rPr>
          <w:rFonts w:ascii="Times New Roman" w:eastAsia="Calibri" w:hAnsi="Times New Roman" w:cs="Times New Roman"/>
          <w:bCs/>
          <w:iCs/>
          <w:sz w:val="24"/>
          <w:szCs w:val="24"/>
          <w:lang w:eastAsia="en-US"/>
        </w:rPr>
        <w:t>Cascino, S., Pugliese, A., Mussolino, D., &amp; Sansone, C. (2010</w:t>
      </w:r>
      <w:r w:rsidRPr="00AA5087">
        <w:rPr>
          <w:rFonts w:ascii="Times New Roman" w:eastAsia="Calibri" w:hAnsi="Times New Roman" w:cs="Times New Roman"/>
          <w:sz w:val="24"/>
          <w:szCs w:val="24"/>
          <w:lang w:eastAsia="en-US"/>
        </w:rPr>
        <w:t>), ‘</w:t>
      </w:r>
      <w:r w:rsidRPr="00AA5087">
        <w:rPr>
          <w:rFonts w:ascii="Times New Roman" w:eastAsia="Calibri" w:hAnsi="Times New Roman" w:cs="Times New Roman"/>
          <w:bCs/>
          <w:iCs/>
          <w:sz w:val="24"/>
          <w:szCs w:val="24"/>
          <w:lang w:eastAsia="en-US"/>
        </w:rPr>
        <w:t>The influence of family ownership on the quality of accounting information’, </w:t>
      </w:r>
      <w:r w:rsidRPr="00AA5087">
        <w:rPr>
          <w:rFonts w:ascii="Times New Roman" w:eastAsia="Calibri" w:hAnsi="Times New Roman" w:cs="Times New Roman"/>
          <w:bCs/>
          <w:i/>
          <w:iCs/>
          <w:sz w:val="24"/>
          <w:szCs w:val="24"/>
          <w:lang w:eastAsia="en-US"/>
        </w:rPr>
        <w:t>Family Business Review</w:t>
      </w:r>
      <w:r w:rsidRPr="00AA5087">
        <w:rPr>
          <w:rFonts w:ascii="Times New Roman" w:eastAsia="Calibri" w:hAnsi="Times New Roman" w:cs="Times New Roman"/>
          <w:bCs/>
          <w:iCs/>
          <w:sz w:val="24"/>
          <w:szCs w:val="24"/>
          <w:lang w:eastAsia="en-US"/>
        </w:rPr>
        <w:t>, 23</w:t>
      </w:r>
      <w:r w:rsidRPr="00AA5087">
        <w:rPr>
          <w:rFonts w:ascii="Times New Roman" w:eastAsia="Calibri" w:hAnsi="Times New Roman" w:cs="Times New Roman"/>
          <w:sz w:val="24"/>
          <w:szCs w:val="24"/>
          <w:lang w:eastAsia="en-US"/>
        </w:rPr>
        <w:t xml:space="preserve"> </w:t>
      </w:r>
      <w:r w:rsidR="00EA1FDF">
        <w:rPr>
          <w:rFonts w:ascii="Times New Roman" w:eastAsia="Calibri" w:hAnsi="Times New Roman" w:cs="Times New Roman"/>
          <w:sz w:val="24"/>
          <w:szCs w:val="24"/>
          <w:lang w:eastAsia="en-US"/>
        </w:rPr>
        <w:t>(</w:t>
      </w:r>
      <w:r w:rsidRPr="00AA5087">
        <w:rPr>
          <w:rFonts w:ascii="Times New Roman" w:eastAsia="Calibri" w:hAnsi="Times New Roman" w:cs="Times New Roman"/>
          <w:bCs/>
          <w:iCs/>
          <w:sz w:val="24"/>
          <w:szCs w:val="24"/>
          <w:lang w:eastAsia="en-US"/>
        </w:rPr>
        <w:t>3</w:t>
      </w:r>
      <w:r w:rsidR="00EA1FDF">
        <w:rPr>
          <w:rFonts w:ascii="Times New Roman" w:eastAsia="Calibri" w:hAnsi="Times New Roman" w:cs="Times New Roman"/>
          <w:bCs/>
          <w:iCs/>
          <w:sz w:val="24"/>
          <w:szCs w:val="24"/>
          <w:lang w:eastAsia="en-US"/>
        </w:rPr>
        <w:t>)</w:t>
      </w:r>
      <w:r w:rsidRPr="00AA5087">
        <w:rPr>
          <w:rFonts w:ascii="Times New Roman" w:eastAsia="Calibri" w:hAnsi="Times New Roman" w:cs="Times New Roman"/>
          <w:bCs/>
          <w:iCs/>
          <w:sz w:val="24"/>
          <w:szCs w:val="24"/>
          <w:lang w:eastAsia="en-US"/>
        </w:rPr>
        <w:t>, 246</w:t>
      </w:r>
      <w:r w:rsidR="001E15ED" w:rsidRPr="00AA5087">
        <w:rPr>
          <w:rFonts w:ascii="Times New Roman" w:eastAsia="Calibri" w:hAnsi="Times New Roman" w:cs="Times New Roman"/>
          <w:sz w:val="24"/>
          <w:szCs w:val="24"/>
          <w:lang w:eastAsia="en-US"/>
        </w:rPr>
        <w:t>–</w:t>
      </w:r>
      <w:r w:rsidRPr="00AA5087">
        <w:rPr>
          <w:rFonts w:ascii="Times New Roman" w:eastAsia="Calibri" w:hAnsi="Times New Roman" w:cs="Times New Roman"/>
          <w:bCs/>
          <w:iCs/>
          <w:sz w:val="24"/>
          <w:szCs w:val="24"/>
          <w:lang w:eastAsia="en-US"/>
        </w:rPr>
        <w:t>265.</w:t>
      </w:r>
    </w:p>
    <w:p w14:paraId="047D4E6C" w14:textId="2C9DC2ED" w:rsidR="00B73B45" w:rsidRPr="00AA5087" w:rsidRDefault="00B73B45" w:rsidP="002115E1">
      <w:pPr>
        <w:spacing w:after="0" w:line="240" w:lineRule="auto"/>
        <w:ind w:left="142" w:hanging="142"/>
        <w:jc w:val="both"/>
        <w:rPr>
          <w:rFonts w:ascii="Times New Roman" w:eastAsia="Calibri" w:hAnsi="Times New Roman" w:cs="Times New Roman"/>
          <w:sz w:val="24"/>
          <w:szCs w:val="24"/>
          <w:lang w:eastAsia="en-US"/>
        </w:rPr>
      </w:pPr>
      <w:r w:rsidRPr="00AA5087">
        <w:rPr>
          <w:rFonts w:ascii="Times New Roman" w:eastAsia="Calibri" w:hAnsi="Times New Roman" w:cs="Times New Roman"/>
          <w:sz w:val="24"/>
          <w:szCs w:val="24"/>
          <w:lang w:eastAsia="en-US"/>
        </w:rPr>
        <w:lastRenderedPageBreak/>
        <w:t>Chan, K. H., Lin, K. Z., &amp; Mo, P. L. (2006), ‘A political–economic analysis of auditor reporting and auditor switches’ </w:t>
      </w:r>
      <w:r w:rsidRPr="00AA5087">
        <w:rPr>
          <w:rFonts w:ascii="Times New Roman" w:eastAsia="Calibri" w:hAnsi="Times New Roman" w:cs="Times New Roman"/>
          <w:i/>
          <w:iCs/>
          <w:sz w:val="24"/>
          <w:szCs w:val="24"/>
          <w:lang w:eastAsia="en-US"/>
        </w:rPr>
        <w:t>Review of Accounting Studies</w:t>
      </w:r>
      <w:r w:rsidRPr="00AA5087">
        <w:rPr>
          <w:rFonts w:ascii="Times New Roman" w:eastAsia="Calibri" w:hAnsi="Times New Roman" w:cs="Times New Roman"/>
          <w:sz w:val="24"/>
          <w:szCs w:val="24"/>
          <w:lang w:eastAsia="en-US"/>
        </w:rPr>
        <w:t>, 11</w:t>
      </w:r>
      <w:r w:rsidR="00EA1FDF">
        <w:rPr>
          <w:rFonts w:ascii="Times New Roman" w:eastAsia="Calibri" w:hAnsi="Times New Roman" w:cs="Times New Roman"/>
          <w:sz w:val="24"/>
          <w:szCs w:val="24"/>
          <w:lang w:eastAsia="en-US"/>
        </w:rPr>
        <w:t xml:space="preserve"> (</w:t>
      </w:r>
      <w:r w:rsidRPr="00AA5087">
        <w:rPr>
          <w:rFonts w:ascii="Times New Roman" w:eastAsia="Calibri" w:hAnsi="Times New Roman" w:cs="Times New Roman"/>
          <w:sz w:val="24"/>
          <w:szCs w:val="24"/>
          <w:lang w:eastAsia="en-US"/>
        </w:rPr>
        <w:t>1</w:t>
      </w:r>
      <w:r w:rsidR="00EA1FDF">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 21</w:t>
      </w:r>
      <w:r w:rsidR="008D3C9E" w:rsidRPr="00AA5087">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48.</w:t>
      </w:r>
    </w:p>
    <w:p w14:paraId="310EE626" w14:textId="412E107D" w:rsidR="00B73B45" w:rsidRPr="00AA5087" w:rsidRDefault="00B73B45" w:rsidP="002115E1">
      <w:pPr>
        <w:spacing w:after="0" w:line="240" w:lineRule="auto"/>
        <w:ind w:left="142" w:hanging="142"/>
        <w:jc w:val="both"/>
        <w:rPr>
          <w:rFonts w:ascii="Times New Roman" w:eastAsia="Calibri" w:hAnsi="Times New Roman" w:cs="Times New Roman"/>
          <w:sz w:val="24"/>
          <w:szCs w:val="24"/>
          <w:lang w:eastAsia="en-US"/>
        </w:rPr>
      </w:pPr>
      <w:r w:rsidRPr="00AA5087">
        <w:rPr>
          <w:rFonts w:ascii="Times New Roman" w:eastAsia="Calibri" w:hAnsi="Times New Roman" w:cs="Times New Roman"/>
          <w:sz w:val="24"/>
          <w:szCs w:val="24"/>
          <w:lang w:eastAsia="en-US"/>
        </w:rPr>
        <w:t>Chau, G., &amp; Leung, P. (2006), ‘The impact of board composition and family ownership on audit committee formation: Evidence from Hong Kong’, </w:t>
      </w:r>
      <w:r w:rsidRPr="00AA5087">
        <w:rPr>
          <w:rFonts w:ascii="Times New Roman" w:eastAsia="Calibri" w:hAnsi="Times New Roman" w:cs="Times New Roman"/>
          <w:i/>
          <w:iCs/>
          <w:sz w:val="24"/>
          <w:szCs w:val="24"/>
          <w:lang w:eastAsia="en-US"/>
        </w:rPr>
        <w:t>Journal of International Accounting, Auditing and Taxation</w:t>
      </w:r>
      <w:r w:rsidRPr="00AA5087">
        <w:rPr>
          <w:rFonts w:ascii="Times New Roman" w:eastAsia="Calibri" w:hAnsi="Times New Roman" w:cs="Times New Roman"/>
          <w:sz w:val="24"/>
          <w:szCs w:val="24"/>
          <w:lang w:eastAsia="en-US"/>
        </w:rPr>
        <w:t>, 15</w:t>
      </w:r>
      <w:r w:rsidR="00EA1FDF">
        <w:rPr>
          <w:rFonts w:ascii="Times New Roman" w:eastAsia="Calibri" w:hAnsi="Times New Roman" w:cs="Times New Roman"/>
          <w:sz w:val="24"/>
          <w:szCs w:val="24"/>
          <w:lang w:eastAsia="en-US"/>
        </w:rPr>
        <w:t xml:space="preserve"> (</w:t>
      </w:r>
      <w:r w:rsidRPr="00AA5087">
        <w:rPr>
          <w:rFonts w:ascii="Times New Roman" w:eastAsia="Calibri" w:hAnsi="Times New Roman" w:cs="Times New Roman"/>
          <w:sz w:val="24"/>
          <w:szCs w:val="24"/>
          <w:lang w:eastAsia="en-US"/>
        </w:rPr>
        <w:t>1</w:t>
      </w:r>
      <w:r w:rsidR="00EA1FDF">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 1</w:t>
      </w:r>
      <w:r w:rsidR="008D3C9E" w:rsidRPr="00AA5087">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15.</w:t>
      </w:r>
    </w:p>
    <w:p w14:paraId="201DE6A1" w14:textId="37AAE9C6" w:rsidR="00B822D5" w:rsidRPr="00AA5087" w:rsidRDefault="00B822D5" w:rsidP="002115E1">
      <w:pPr>
        <w:spacing w:after="0" w:line="240" w:lineRule="auto"/>
        <w:ind w:left="142" w:hanging="142"/>
        <w:jc w:val="both"/>
        <w:rPr>
          <w:rFonts w:ascii="Times New Roman" w:eastAsia="Calibri" w:hAnsi="Times New Roman" w:cs="Times New Roman"/>
          <w:sz w:val="24"/>
          <w:szCs w:val="24"/>
          <w:lang w:eastAsia="en-US"/>
        </w:rPr>
      </w:pPr>
      <w:r w:rsidRPr="00AA5087">
        <w:rPr>
          <w:rFonts w:ascii="Times New Roman" w:eastAsia="Calibri" w:hAnsi="Times New Roman" w:cs="Times New Roman"/>
          <w:sz w:val="24"/>
          <w:szCs w:val="24"/>
          <w:lang w:eastAsia="en-US"/>
        </w:rPr>
        <w:t>Chen, S., Chen, X. I. A., &amp; Cheng, Q. (2008), ‘Do family firms provide more or less voluntary disclosure?, </w:t>
      </w:r>
      <w:r w:rsidRPr="00AA5087">
        <w:rPr>
          <w:rFonts w:ascii="Times New Roman" w:eastAsia="Calibri" w:hAnsi="Times New Roman" w:cs="Times New Roman"/>
          <w:i/>
          <w:iCs/>
          <w:sz w:val="24"/>
          <w:szCs w:val="24"/>
          <w:lang w:eastAsia="en-US"/>
        </w:rPr>
        <w:t xml:space="preserve">Journal of </w:t>
      </w:r>
      <w:r w:rsidR="00227040" w:rsidRPr="00AA5087">
        <w:rPr>
          <w:rFonts w:ascii="Times New Roman" w:eastAsia="Calibri" w:hAnsi="Times New Roman" w:cs="Times New Roman"/>
          <w:i/>
          <w:iCs/>
          <w:sz w:val="24"/>
          <w:szCs w:val="24"/>
          <w:lang w:eastAsia="en-US"/>
        </w:rPr>
        <w:t>Accounting Research</w:t>
      </w:r>
      <w:r w:rsidRPr="00AA5087">
        <w:rPr>
          <w:rFonts w:ascii="Times New Roman" w:eastAsia="Calibri" w:hAnsi="Times New Roman" w:cs="Times New Roman"/>
          <w:sz w:val="24"/>
          <w:szCs w:val="24"/>
          <w:lang w:eastAsia="en-US"/>
        </w:rPr>
        <w:t>, </w:t>
      </w:r>
      <w:r w:rsidRPr="00AA5087">
        <w:rPr>
          <w:rFonts w:ascii="Times New Roman" w:eastAsia="Calibri" w:hAnsi="Times New Roman" w:cs="Times New Roman"/>
          <w:iCs/>
          <w:sz w:val="24"/>
          <w:szCs w:val="24"/>
          <w:lang w:eastAsia="en-US"/>
        </w:rPr>
        <w:t>46</w:t>
      </w:r>
      <w:r w:rsidR="00EA1FDF">
        <w:rPr>
          <w:rFonts w:ascii="Times New Roman" w:eastAsia="Calibri" w:hAnsi="Times New Roman" w:cs="Times New Roman"/>
          <w:iCs/>
          <w:sz w:val="24"/>
          <w:szCs w:val="24"/>
          <w:lang w:eastAsia="en-US"/>
        </w:rPr>
        <w:t xml:space="preserve"> (</w:t>
      </w:r>
      <w:r w:rsidRPr="00AA5087">
        <w:rPr>
          <w:rFonts w:ascii="Times New Roman" w:eastAsia="Calibri" w:hAnsi="Times New Roman" w:cs="Times New Roman"/>
          <w:sz w:val="24"/>
          <w:szCs w:val="24"/>
          <w:lang w:eastAsia="en-US"/>
        </w:rPr>
        <w:t>3</w:t>
      </w:r>
      <w:r w:rsidR="00EA1FDF">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 499–536.</w:t>
      </w:r>
    </w:p>
    <w:p w14:paraId="0A30FF1E" w14:textId="15DC4D45" w:rsidR="00087364" w:rsidRPr="00AA5087" w:rsidRDefault="00087364" w:rsidP="002115E1">
      <w:pPr>
        <w:spacing w:after="0" w:line="240" w:lineRule="auto"/>
        <w:ind w:left="142" w:hanging="142"/>
        <w:jc w:val="both"/>
        <w:rPr>
          <w:rFonts w:ascii="Times New Roman" w:eastAsia="Calibri" w:hAnsi="Times New Roman" w:cs="Times New Roman"/>
          <w:sz w:val="24"/>
          <w:szCs w:val="24"/>
          <w:lang w:eastAsia="en-US"/>
        </w:rPr>
      </w:pPr>
      <w:r w:rsidRPr="00AA5087">
        <w:rPr>
          <w:rFonts w:ascii="Times New Roman" w:eastAsia="Calibri" w:hAnsi="Times New Roman" w:cs="Times New Roman"/>
          <w:sz w:val="24"/>
          <w:szCs w:val="24"/>
          <w:lang w:eastAsia="en-US"/>
        </w:rPr>
        <w:t>Chen, L., Srinidhi, B., Tsang, A., &amp; Yu, W. (2016), ‘Audited Financial Reporting and Voluntary Disclosure of Corporate Social Responsibility (CSR) Reports’, </w:t>
      </w:r>
      <w:r w:rsidRPr="00AA5087">
        <w:rPr>
          <w:rFonts w:ascii="Times New Roman" w:eastAsia="Calibri" w:hAnsi="Times New Roman" w:cs="Times New Roman"/>
          <w:i/>
          <w:iCs/>
          <w:sz w:val="24"/>
          <w:szCs w:val="24"/>
          <w:lang w:eastAsia="en-US"/>
        </w:rPr>
        <w:t>Journal of Management Accounting Research</w:t>
      </w:r>
      <w:r w:rsidRPr="00AA5087">
        <w:rPr>
          <w:rFonts w:ascii="Times New Roman" w:eastAsia="Calibri" w:hAnsi="Times New Roman" w:cs="Times New Roman"/>
          <w:sz w:val="24"/>
          <w:szCs w:val="24"/>
          <w:lang w:eastAsia="en-US"/>
        </w:rPr>
        <w:t xml:space="preserve">, </w:t>
      </w:r>
      <w:r w:rsidR="00EA1FDF" w:rsidRPr="00EA1FDF">
        <w:rPr>
          <w:rFonts w:ascii="Times New Roman" w:eastAsia="Calibri" w:hAnsi="Times New Roman" w:cs="Times New Roman"/>
          <w:sz w:val="24"/>
          <w:szCs w:val="24"/>
          <w:lang w:eastAsia="en-US"/>
        </w:rPr>
        <w:t xml:space="preserve">28 </w:t>
      </w:r>
      <w:r w:rsidR="009450F8">
        <w:rPr>
          <w:rFonts w:ascii="Times New Roman" w:eastAsia="Calibri" w:hAnsi="Times New Roman" w:cs="Times New Roman"/>
          <w:sz w:val="24"/>
          <w:szCs w:val="24"/>
          <w:lang w:eastAsia="en-US"/>
        </w:rPr>
        <w:t>(</w:t>
      </w:r>
      <w:r w:rsidR="00EA1FDF" w:rsidRPr="00EA1FDF">
        <w:rPr>
          <w:rFonts w:ascii="Times New Roman" w:eastAsia="Calibri" w:hAnsi="Times New Roman" w:cs="Times New Roman"/>
          <w:sz w:val="24"/>
          <w:szCs w:val="24"/>
          <w:lang w:eastAsia="en-US"/>
        </w:rPr>
        <w:t>2</w:t>
      </w:r>
      <w:r w:rsidR="009450F8">
        <w:rPr>
          <w:rFonts w:ascii="Times New Roman" w:eastAsia="Calibri" w:hAnsi="Times New Roman" w:cs="Times New Roman"/>
          <w:sz w:val="24"/>
          <w:szCs w:val="24"/>
          <w:lang w:eastAsia="en-US"/>
        </w:rPr>
        <w:t>)</w:t>
      </w:r>
      <w:r w:rsidR="00EA1FDF" w:rsidRPr="00EA1FDF">
        <w:rPr>
          <w:rFonts w:ascii="Times New Roman" w:eastAsia="Calibri" w:hAnsi="Times New Roman" w:cs="Times New Roman"/>
          <w:sz w:val="24"/>
          <w:szCs w:val="24"/>
          <w:lang w:eastAsia="en-US"/>
        </w:rPr>
        <w:t>, 53-76</w:t>
      </w:r>
      <w:r w:rsidRPr="00AA5087">
        <w:rPr>
          <w:rFonts w:ascii="Times New Roman" w:eastAsia="Calibri" w:hAnsi="Times New Roman" w:cs="Times New Roman"/>
          <w:sz w:val="24"/>
          <w:szCs w:val="24"/>
          <w:lang w:eastAsia="en-US"/>
        </w:rPr>
        <w:t>.</w:t>
      </w:r>
    </w:p>
    <w:p w14:paraId="6E83F2E3" w14:textId="250F6301" w:rsidR="00087364" w:rsidRPr="00AA5087" w:rsidRDefault="00087364" w:rsidP="002115E1">
      <w:pPr>
        <w:spacing w:after="0" w:line="240" w:lineRule="auto"/>
        <w:ind w:left="142" w:hanging="142"/>
        <w:jc w:val="both"/>
        <w:rPr>
          <w:rFonts w:ascii="Times New Roman" w:eastAsia="Calibri" w:hAnsi="Times New Roman" w:cs="Times New Roman"/>
          <w:sz w:val="24"/>
          <w:szCs w:val="24"/>
          <w:lang w:eastAsia="en-US"/>
        </w:rPr>
      </w:pPr>
      <w:r w:rsidRPr="00AA5087">
        <w:rPr>
          <w:rFonts w:ascii="Times New Roman" w:eastAsia="Calibri" w:hAnsi="Times New Roman" w:cs="Times New Roman"/>
          <w:sz w:val="24"/>
          <w:szCs w:val="24"/>
          <w:lang w:eastAsia="en-US"/>
        </w:rPr>
        <w:t>Choi, J. H., Kim, J. B., Liu, X., &amp; Simunic, D. A. (2008), ‘Audit pricing, legal liability regimes, and big 4 premiums: Theory and cross</w:t>
      </w:r>
      <w:r w:rsidRPr="00AA5087">
        <w:rPr>
          <w:rFonts w:ascii="Cambria Math" w:eastAsia="Calibri" w:hAnsi="Cambria Math" w:cs="Cambria Math"/>
          <w:sz w:val="24"/>
          <w:szCs w:val="24"/>
          <w:lang w:eastAsia="en-US"/>
        </w:rPr>
        <w:t>‐</w:t>
      </w:r>
      <w:r w:rsidRPr="00AA5087">
        <w:rPr>
          <w:rFonts w:ascii="Times New Roman" w:eastAsia="Calibri" w:hAnsi="Times New Roman" w:cs="Times New Roman"/>
          <w:sz w:val="24"/>
          <w:szCs w:val="24"/>
          <w:lang w:eastAsia="en-US"/>
        </w:rPr>
        <w:t>country evidence’, </w:t>
      </w:r>
      <w:r w:rsidRPr="00AA5087">
        <w:rPr>
          <w:rFonts w:ascii="Times New Roman" w:eastAsia="Calibri" w:hAnsi="Times New Roman" w:cs="Times New Roman"/>
          <w:i/>
          <w:iCs/>
          <w:sz w:val="24"/>
          <w:szCs w:val="24"/>
          <w:lang w:eastAsia="en-US"/>
        </w:rPr>
        <w:t>Contemporary Accounting Research</w:t>
      </w:r>
      <w:r w:rsidRPr="00AA5087">
        <w:rPr>
          <w:rFonts w:ascii="Times New Roman" w:eastAsia="Calibri" w:hAnsi="Times New Roman" w:cs="Times New Roman"/>
          <w:sz w:val="24"/>
          <w:szCs w:val="24"/>
          <w:lang w:eastAsia="en-US"/>
        </w:rPr>
        <w:t>, 25</w:t>
      </w:r>
      <w:r w:rsidR="009450F8">
        <w:rPr>
          <w:rFonts w:ascii="Times New Roman" w:eastAsia="Calibri" w:hAnsi="Times New Roman" w:cs="Times New Roman"/>
          <w:sz w:val="24"/>
          <w:szCs w:val="24"/>
          <w:lang w:eastAsia="en-US"/>
        </w:rPr>
        <w:t xml:space="preserve"> (</w:t>
      </w:r>
      <w:r w:rsidRPr="00AA5087">
        <w:rPr>
          <w:rFonts w:ascii="Times New Roman" w:eastAsia="Calibri" w:hAnsi="Times New Roman" w:cs="Times New Roman"/>
          <w:sz w:val="24"/>
          <w:szCs w:val="24"/>
          <w:lang w:eastAsia="en-US"/>
        </w:rPr>
        <w:t>1</w:t>
      </w:r>
      <w:r w:rsidR="009450F8">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 55</w:t>
      </w:r>
      <w:r w:rsidR="003D244F" w:rsidRPr="00AA5087">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99.</w:t>
      </w:r>
    </w:p>
    <w:p w14:paraId="46B40F61" w14:textId="1D8DD007" w:rsidR="00285DB6" w:rsidRPr="00AA5087" w:rsidRDefault="00285DB6" w:rsidP="002115E1">
      <w:pPr>
        <w:spacing w:after="0" w:line="240" w:lineRule="auto"/>
        <w:ind w:left="142" w:hanging="142"/>
        <w:jc w:val="both"/>
        <w:rPr>
          <w:rFonts w:ascii="Times New Roman" w:eastAsia="Calibri" w:hAnsi="Times New Roman" w:cs="Times New Roman"/>
          <w:sz w:val="24"/>
          <w:szCs w:val="24"/>
          <w:lang w:eastAsia="en-US"/>
        </w:rPr>
      </w:pPr>
      <w:r w:rsidRPr="00AA5087">
        <w:rPr>
          <w:rFonts w:ascii="Times New Roman" w:eastAsia="Calibri" w:hAnsi="Times New Roman" w:cs="Times New Roman"/>
          <w:sz w:val="24"/>
          <w:szCs w:val="24"/>
          <w:lang w:eastAsia="en-US"/>
        </w:rPr>
        <w:t>Choi, J. H., Kim, C., Kim, J. B., &amp; Zang, Y. (2010), ‘Audit office size, audit quality, and audit pricing’, </w:t>
      </w:r>
      <w:r w:rsidRPr="00AA5087">
        <w:rPr>
          <w:rFonts w:ascii="Times New Roman" w:eastAsia="Calibri" w:hAnsi="Times New Roman" w:cs="Times New Roman"/>
          <w:i/>
          <w:iCs/>
          <w:sz w:val="24"/>
          <w:szCs w:val="24"/>
          <w:lang w:eastAsia="en-US"/>
        </w:rPr>
        <w:t xml:space="preserve">Auditing: A Journal of </w:t>
      </w:r>
      <w:r w:rsidR="00227040" w:rsidRPr="00AA5087">
        <w:rPr>
          <w:rFonts w:ascii="Times New Roman" w:eastAsia="Calibri" w:hAnsi="Times New Roman" w:cs="Times New Roman"/>
          <w:i/>
          <w:iCs/>
          <w:sz w:val="24"/>
          <w:szCs w:val="24"/>
          <w:lang w:eastAsia="en-US"/>
        </w:rPr>
        <w:t xml:space="preserve">Practice </w:t>
      </w:r>
      <w:r w:rsidRPr="00AA5087">
        <w:rPr>
          <w:rFonts w:ascii="Times New Roman" w:eastAsia="Calibri" w:hAnsi="Times New Roman" w:cs="Times New Roman"/>
          <w:i/>
          <w:iCs/>
          <w:sz w:val="24"/>
          <w:szCs w:val="24"/>
          <w:lang w:eastAsia="en-US"/>
        </w:rPr>
        <w:t xml:space="preserve">&amp; </w:t>
      </w:r>
      <w:r w:rsidR="00227040" w:rsidRPr="00AA5087">
        <w:rPr>
          <w:rFonts w:ascii="Times New Roman" w:eastAsia="Calibri" w:hAnsi="Times New Roman" w:cs="Times New Roman"/>
          <w:i/>
          <w:iCs/>
          <w:sz w:val="24"/>
          <w:szCs w:val="24"/>
          <w:lang w:eastAsia="en-US"/>
        </w:rPr>
        <w:t>Theory</w:t>
      </w:r>
      <w:r w:rsidRPr="00AA5087">
        <w:rPr>
          <w:rFonts w:ascii="Times New Roman" w:eastAsia="Calibri" w:hAnsi="Times New Roman" w:cs="Times New Roman"/>
          <w:sz w:val="24"/>
          <w:szCs w:val="24"/>
          <w:lang w:eastAsia="en-US"/>
        </w:rPr>
        <w:t>, </w:t>
      </w:r>
      <w:r w:rsidRPr="00AA5087">
        <w:rPr>
          <w:rFonts w:ascii="Times New Roman" w:eastAsia="Calibri" w:hAnsi="Times New Roman" w:cs="Times New Roman"/>
          <w:iCs/>
          <w:sz w:val="24"/>
          <w:szCs w:val="24"/>
          <w:lang w:eastAsia="en-US"/>
        </w:rPr>
        <w:t>29</w:t>
      </w:r>
      <w:r w:rsidR="009450F8">
        <w:rPr>
          <w:rFonts w:ascii="Times New Roman" w:eastAsia="Calibri" w:hAnsi="Times New Roman" w:cs="Times New Roman"/>
          <w:iCs/>
          <w:sz w:val="24"/>
          <w:szCs w:val="24"/>
          <w:lang w:eastAsia="en-US"/>
        </w:rPr>
        <w:t xml:space="preserve"> (</w:t>
      </w:r>
      <w:r w:rsidRPr="00AA5087">
        <w:rPr>
          <w:rFonts w:ascii="Times New Roman" w:eastAsia="Calibri" w:hAnsi="Times New Roman" w:cs="Times New Roman"/>
          <w:sz w:val="24"/>
          <w:szCs w:val="24"/>
          <w:lang w:eastAsia="en-US"/>
        </w:rPr>
        <w:t>1</w:t>
      </w:r>
      <w:r w:rsidR="009450F8">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 73</w:t>
      </w:r>
      <w:r w:rsidR="001E15ED" w:rsidRPr="00AA5087">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97.</w:t>
      </w:r>
    </w:p>
    <w:p w14:paraId="60CC2D8E" w14:textId="01DA25BF" w:rsidR="00D76E07" w:rsidRPr="00AA5087" w:rsidRDefault="00D76E07" w:rsidP="002115E1">
      <w:pPr>
        <w:spacing w:after="0" w:line="240" w:lineRule="auto"/>
        <w:ind w:left="142" w:hanging="142"/>
        <w:jc w:val="both"/>
        <w:rPr>
          <w:rFonts w:ascii="Times New Roman" w:eastAsia="Calibri" w:hAnsi="Times New Roman" w:cs="Times New Roman"/>
          <w:sz w:val="24"/>
          <w:szCs w:val="24"/>
          <w:lang w:eastAsia="en-US"/>
        </w:rPr>
      </w:pPr>
      <w:r w:rsidRPr="00AA5087">
        <w:rPr>
          <w:rFonts w:ascii="Times New Roman" w:eastAsia="Calibri" w:hAnsi="Times New Roman" w:cs="Times New Roman"/>
          <w:sz w:val="24"/>
          <w:szCs w:val="24"/>
          <w:lang w:eastAsia="en-US"/>
        </w:rPr>
        <w:t>Chung, S., &amp; Narasimhan, R. (2002), ‘An International Study of Cross</w:t>
      </w:r>
      <w:r w:rsidRPr="00AA5087">
        <w:rPr>
          <w:rFonts w:ascii="Cambria Math" w:eastAsia="Calibri" w:hAnsi="Cambria Math" w:cs="Cambria Math"/>
          <w:sz w:val="24"/>
          <w:szCs w:val="24"/>
          <w:lang w:eastAsia="en-US"/>
        </w:rPr>
        <w:t>‐</w:t>
      </w:r>
      <w:r w:rsidRPr="00AA5087">
        <w:rPr>
          <w:rFonts w:ascii="Times New Roman" w:eastAsia="Calibri" w:hAnsi="Times New Roman" w:cs="Times New Roman"/>
          <w:sz w:val="24"/>
          <w:szCs w:val="24"/>
          <w:lang w:eastAsia="en-US"/>
        </w:rPr>
        <w:t>sectional Variations in Audit Fees’, </w:t>
      </w:r>
      <w:r w:rsidRPr="00AA5087">
        <w:rPr>
          <w:rFonts w:ascii="Times New Roman" w:eastAsia="Calibri" w:hAnsi="Times New Roman" w:cs="Times New Roman"/>
          <w:i/>
          <w:iCs/>
          <w:sz w:val="24"/>
          <w:szCs w:val="24"/>
          <w:lang w:eastAsia="en-US"/>
        </w:rPr>
        <w:t>International Journal of Auditing</w:t>
      </w:r>
      <w:r w:rsidRPr="00AA5087">
        <w:rPr>
          <w:rFonts w:ascii="Times New Roman" w:eastAsia="Calibri" w:hAnsi="Times New Roman" w:cs="Times New Roman"/>
          <w:sz w:val="24"/>
          <w:szCs w:val="24"/>
          <w:lang w:eastAsia="en-US"/>
        </w:rPr>
        <w:t>, 6</w:t>
      </w:r>
      <w:r w:rsidR="009450F8">
        <w:rPr>
          <w:rFonts w:ascii="Times New Roman" w:eastAsia="Calibri" w:hAnsi="Times New Roman" w:cs="Times New Roman"/>
          <w:sz w:val="24"/>
          <w:szCs w:val="24"/>
          <w:lang w:eastAsia="en-US"/>
        </w:rPr>
        <w:t xml:space="preserve"> (</w:t>
      </w:r>
      <w:r w:rsidRPr="00AA5087">
        <w:rPr>
          <w:rFonts w:ascii="Times New Roman" w:eastAsia="Calibri" w:hAnsi="Times New Roman" w:cs="Times New Roman"/>
          <w:sz w:val="24"/>
          <w:szCs w:val="24"/>
          <w:lang w:eastAsia="en-US"/>
        </w:rPr>
        <w:t>11</w:t>
      </w:r>
      <w:r w:rsidR="009450F8">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 79</w:t>
      </w:r>
      <w:r w:rsidR="001E15ED" w:rsidRPr="00AA5087">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91.</w:t>
      </w:r>
    </w:p>
    <w:p w14:paraId="29583985" w14:textId="7928B94F" w:rsidR="00B73B45" w:rsidRPr="00AA5087" w:rsidRDefault="00B73B45" w:rsidP="002115E1">
      <w:pPr>
        <w:spacing w:after="0" w:line="240" w:lineRule="auto"/>
        <w:ind w:left="142" w:hanging="142"/>
        <w:jc w:val="both"/>
        <w:rPr>
          <w:rFonts w:ascii="Times New Roman" w:eastAsia="Calibri" w:hAnsi="Times New Roman" w:cs="Times New Roman"/>
          <w:sz w:val="24"/>
          <w:szCs w:val="24"/>
          <w:lang w:eastAsia="en-US"/>
        </w:rPr>
      </w:pPr>
      <w:r w:rsidRPr="00AA5087">
        <w:rPr>
          <w:rFonts w:ascii="Times New Roman" w:eastAsia="Calibri" w:hAnsi="Times New Roman" w:cs="Times New Roman"/>
          <w:sz w:val="24"/>
          <w:szCs w:val="24"/>
          <w:lang w:eastAsia="en-US"/>
        </w:rPr>
        <w:t>DeAngelo, L. E. (1981), ‘Auditor size and audit quality’, </w:t>
      </w:r>
      <w:r w:rsidRPr="00AA5087">
        <w:rPr>
          <w:rFonts w:ascii="Times New Roman" w:eastAsia="Calibri" w:hAnsi="Times New Roman" w:cs="Times New Roman"/>
          <w:i/>
          <w:iCs/>
          <w:sz w:val="24"/>
          <w:szCs w:val="24"/>
          <w:lang w:eastAsia="en-US"/>
        </w:rPr>
        <w:t>Journal of Accounting and Economics</w:t>
      </w:r>
      <w:r w:rsidRPr="00AA5087">
        <w:rPr>
          <w:rFonts w:ascii="Times New Roman" w:eastAsia="Calibri" w:hAnsi="Times New Roman" w:cs="Times New Roman"/>
          <w:sz w:val="24"/>
          <w:szCs w:val="24"/>
          <w:lang w:eastAsia="en-US"/>
        </w:rPr>
        <w:t>, 3</w:t>
      </w:r>
      <w:r w:rsidR="009450F8">
        <w:rPr>
          <w:rFonts w:ascii="Times New Roman" w:eastAsia="Calibri" w:hAnsi="Times New Roman" w:cs="Times New Roman"/>
          <w:sz w:val="24"/>
          <w:szCs w:val="24"/>
          <w:lang w:eastAsia="en-US"/>
        </w:rPr>
        <w:t xml:space="preserve"> (</w:t>
      </w:r>
      <w:r w:rsidRPr="00AA5087">
        <w:rPr>
          <w:rFonts w:ascii="Times New Roman" w:eastAsia="Calibri" w:hAnsi="Times New Roman" w:cs="Times New Roman"/>
          <w:sz w:val="24"/>
          <w:szCs w:val="24"/>
          <w:lang w:eastAsia="en-US"/>
        </w:rPr>
        <w:t>3</w:t>
      </w:r>
      <w:r w:rsidR="009450F8">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w:t>
      </w:r>
      <w:r w:rsidR="009450F8">
        <w:rPr>
          <w:rFonts w:ascii="Times New Roman" w:eastAsia="Calibri" w:hAnsi="Times New Roman" w:cs="Times New Roman"/>
          <w:sz w:val="24"/>
          <w:szCs w:val="24"/>
          <w:lang w:eastAsia="en-US"/>
        </w:rPr>
        <w:t xml:space="preserve"> </w:t>
      </w:r>
      <w:r w:rsidRPr="00AA5087">
        <w:rPr>
          <w:rFonts w:ascii="Times New Roman" w:eastAsia="Calibri" w:hAnsi="Times New Roman" w:cs="Times New Roman"/>
          <w:sz w:val="24"/>
          <w:szCs w:val="24"/>
          <w:lang w:eastAsia="en-US"/>
        </w:rPr>
        <w:t>183</w:t>
      </w:r>
      <w:r w:rsidR="003D244F" w:rsidRPr="00AA5087">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199.</w:t>
      </w:r>
    </w:p>
    <w:p w14:paraId="0A1F1581" w14:textId="65821D6A" w:rsidR="00A67926" w:rsidRPr="00AA5087" w:rsidRDefault="00A67926" w:rsidP="002115E1">
      <w:pPr>
        <w:spacing w:after="0" w:line="240" w:lineRule="auto"/>
        <w:ind w:left="142" w:hanging="142"/>
        <w:jc w:val="both"/>
        <w:rPr>
          <w:rFonts w:ascii="Times New Roman" w:eastAsia="Calibri" w:hAnsi="Times New Roman" w:cs="Times New Roman"/>
          <w:sz w:val="24"/>
          <w:szCs w:val="24"/>
          <w:lang w:eastAsia="en-US"/>
        </w:rPr>
      </w:pPr>
      <w:r w:rsidRPr="00AA5087">
        <w:rPr>
          <w:rFonts w:ascii="Times New Roman" w:eastAsia="Calibri" w:hAnsi="Times New Roman" w:cs="Times New Roman"/>
          <w:sz w:val="24"/>
          <w:szCs w:val="24"/>
          <w:lang w:eastAsia="en-US"/>
        </w:rPr>
        <w:t xml:space="preserve">Desender, K. A., Aguilera, R. V., Crespi, R., &amp; Garcia-Cestona, M. (2013), ‘When does ownership matter? Board characteristics and behavior’, </w:t>
      </w:r>
      <w:r w:rsidRPr="00AA5087">
        <w:rPr>
          <w:rFonts w:ascii="Times New Roman" w:eastAsia="Calibri" w:hAnsi="Times New Roman" w:cs="Times New Roman"/>
          <w:i/>
          <w:sz w:val="24"/>
          <w:szCs w:val="24"/>
          <w:lang w:eastAsia="en-US"/>
        </w:rPr>
        <w:t>Strategic Management Journal</w:t>
      </w:r>
      <w:r w:rsidRPr="00AA5087">
        <w:rPr>
          <w:rFonts w:ascii="Times New Roman" w:eastAsia="Calibri" w:hAnsi="Times New Roman" w:cs="Times New Roman"/>
          <w:sz w:val="24"/>
          <w:szCs w:val="24"/>
          <w:lang w:eastAsia="en-US"/>
        </w:rPr>
        <w:t>, 34</w:t>
      </w:r>
      <w:r w:rsidR="009450F8">
        <w:rPr>
          <w:rFonts w:ascii="Times New Roman" w:eastAsia="Calibri" w:hAnsi="Times New Roman" w:cs="Times New Roman"/>
          <w:sz w:val="24"/>
          <w:szCs w:val="24"/>
          <w:lang w:eastAsia="en-US"/>
        </w:rPr>
        <w:t xml:space="preserve"> (</w:t>
      </w:r>
      <w:r w:rsidRPr="00AA5087">
        <w:rPr>
          <w:rFonts w:ascii="Times New Roman" w:eastAsia="Calibri" w:hAnsi="Times New Roman" w:cs="Times New Roman"/>
          <w:sz w:val="24"/>
          <w:szCs w:val="24"/>
          <w:lang w:eastAsia="en-US"/>
        </w:rPr>
        <w:t>7</w:t>
      </w:r>
      <w:r w:rsidR="009450F8">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 823–842.</w:t>
      </w:r>
    </w:p>
    <w:p w14:paraId="313BD4C6" w14:textId="532659D2" w:rsidR="000462D7" w:rsidRPr="00AA5087" w:rsidRDefault="000462D7" w:rsidP="002115E1">
      <w:pPr>
        <w:spacing w:after="0" w:line="240" w:lineRule="auto"/>
        <w:ind w:left="142" w:hanging="142"/>
        <w:jc w:val="both"/>
        <w:rPr>
          <w:rFonts w:ascii="Times New Roman" w:eastAsia="Calibri" w:hAnsi="Times New Roman" w:cs="Times New Roman"/>
          <w:sz w:val="24"/>
          <w:szCs w:val="24"/>
          <w:lang w:eastAsia="en-US"/>
        </w:rPr>
      </w:pPr>
      <w:r w:rsidRPr="00AA5087">
        <w:rPr>
          <w:rFonts w:ascii="Times New Roman" w:eastAsia="Calibri" w:hAnsi="Times New Roman" w:cs="Times New Roman"/>
          <w:sz w:val="24"/>
          <w:szCs w:val="24"/>
          <w:lang w:eastAsia="en-US"/>
        </w:rPr>
        <w:t>El-Dyasty, M. M. (2017), ‘</w:t>
      </w:r>
      <w:r w:rsidRPr="00AA5087">
        <w:rPr>
          <w:rFonts w:ascii="Times New Roman" w:eastAsia="Calibri" w:hAnsi="Times New Roman" w:cs="Times New Roman"/>
          <w:i/>
          <w:sz w:val="24"/>
          <w:szCs w:val="24"/>
          <w:lang w:eastAsia="en-US"/>
        </w:rPr>
        <w:t>Audit Market in Egypt: An Empirical Analysis</w:t>
      </w:r>
      <w:r w:rsidRPr="00AA5087">
        <w:rPr>
          <w:rFonts w:ascii="Times New Roman" w:eastAsia="Calibri" w:hAnsi="Times New Roman" w:cs="Times New Roman"/>
          <w:sz w:val="24"/>
          <w:szCs w:val="24"/>
          <w:lang w:eastAsia="en-US"/>
        </w:rPr>
        <w:t xml:space="preserve">’, </w:t>
      </w:r>
      <w:r w:rsidR="00D44951" w:rsidRPr="00AA5087">
        <w:rPr>
          <w:rFonts w:ascii="Times New Roman" w:eastAsia="Calibri" w:hAnsi="Times New Roman" w:cs="Times New Roman"/>
          <w:sz w:val="24"/>
          <w:szCs w:val="24"/>
          <w:lang w:eastAsia="en-US"/>
        </w:rPr>
        <w:t xml:space="preserve">Available </w:t>
      </w:r>
      <w:r w:rsidRPr="00AA5087">
        <w:rPr>
          <w:rFonts w:ascii="Times New Roman" w:eastAsia="Calibri" w:hAnsi="Times New Roman" w:cs="Times New Roman"/>
          <w:sz w:val="24"/>
          <w:szCs w:val="24"/>
          <w:lang w:eastAsia="en-US"/>
        </w:rPr>
        <w:t>at https://papers.ssrn.com/sol3/papers.cfm?abstract_id=3002783</w:t>
      </w:r>
    </w:p>
    <w:p w14:paraId="122DE32B" w14:textId="7F496C9A" w:rsidR="00B73B45" w:rsidRPr="00AA5087" w:rsidRDefault="00B73B45" w:rsidP="002115E1">
      <w:pPr>
        <w:spacing w:after="0" w:line="240" w:lineRule="auto"/>
        <w:ind w:left="142" w:hanging="142"/>
        <w:jc w:val="both"/>
        <w:rPr>
          <w:rFonts w:ascii="Times New Roman" w:eastAsia="Calibri" w:hAnsi="Times New Roman" w:cs="Times New Roman"/>
          <w:sz w:val="24"/>
          <w:szCs w:val="24"/>
          <w:lang w:val="en-US" w:eastAsia="en-US"/>
        </w:rPr>
      </w:pPr>
      <w:r w:rsidRPr="00AA5087">
        <w:rPr>
          <w:rFonts w:ascii="Times New Roman" w:eastAsia="Calibri" w:hAnsi="Times New Roman" w:cs="Times New Roman"/>
          <w:sz w:val="24"/>
          <w:szCs w:val="24"/>
          <w:lang w:val="en-US" w:eastAsia="en-US"/>
        </w:rPr>
        <w:t>Elghuweel, M. I., Ntim, C. G., Opong, K. K., &amp; Avison, L. (</w:t>
      </w:r>
      <w:r w:rsidR="003E68DE" w:rsidRPr="00AA5087">
        <w:rPr>
          <w:rFonts w:ascii="Times New Roman" w:eastAsia="Calibri" w:hAnsi="Times New Roman" w:cs="Times New Roman"/>
          <w:sz w:val="24"/>
          <w:szCs w:val="24"/>
          <w:lang w:val="en-US" w:eastAsia="en-US"/>
        </w:rPr>
        <w:t>2017</w:t>
      </w:r>
      <w:r w:rsidRPr="00AA5087">
        <w:rPr>
          <w:rFonts w:ascii="Times New Roman" w:eastAsia="Calibri" w:hAnsi="Times New Roman" w:cs="Times New Roman"/>
          <w:sz w:val="24"/>
          <w:szCs w:val="24"/>
          <w:lang w:val="en-US" w:eastAsia="en-US"/>
        </w:rPr>
        <w:t xml:space="preserve">), ‘Corporate governance, Islamic governance and earnings management in Oman: A new empirical insights from a behavioural theoretical framework’, </w:t>
      </w:r>
      <w:r w:rsidRPr="00AA5087">
        <w:rPr>
          <w:rFonts w:ascii="Times New Roman" w:eastAsia="Calibri" w:hAnsi="Times New Roman" w:cs="Times New Roman"/>
          <w:i/>
          <w:iCs/>
          <w:sz w:val="24"/>
          <w:szCs w:val="24"/>
          <w:lang w:val="en-US" w:eastAsia="en-US"/>
        </w:rPr>
        <w:t>Journal of Accounting in Emerging Economies</w:t>
      </w:r>
      <w:r w:rsidRPr="00AA5087">
        <w:rPr>
          <w:rFonts w:ascii="Times New Roman" w:eastAsia="Calibri" w:hAnsi="Times New Roman" w:cs="Times New Roman"/>
          <w:sz w:val="24"/>
          <w:szCs w:val="24"/>
          <w:lang w:val="en-US" w:eastAsia="en-US"/>
        </w:rPr>
        <w:t xml:space="preserve">, </w:t>
      </w:r>
      <w:r w:rsidR="003E68DE" w:rsidRPr="00AA5087">
        <w:rPr>
          <w:rFonts w:ascii="Times New Roman" w:eastAsia="Calibri" w:hAnsi="Times New Roman" w:cs="Times New Roman"/>
          <w:iCs/>
          <w:sz w:val="24"/>
          <w:szCs w:val="24"/>
          <w:lang w:eastAsia="en-US"/>
        </w:rPr>
        <w:t xml:space="preserve">7 </w:t>
      </w:r>
      <w:r w:rsidR="009450F8">
        <w:rPr>
          <w:rFonts w:ascii="Times New Roman" w:eastAsia="Calibri" w:hAnsi="Times New Roman" w:cs="Times New Roman"/>
          <w:iCs/>
          <w:sz w:val="24"/>
          <w:szCs w:val="24"/>
          <w:lang w:eastAsia="en-US"/>
        </w:rPr>
        <w:t>(</w:t>
      </w:r>
      <w:r w:rsidR="003E68DE" w:rsidRPr="00AA5087">
        <w:rPr>
          <w:rFonts w:ascii="Times New Roman" w:eastAsia="Calibri" w:hAnsi="Times New Roman" w:cs="Times New Roman"/>
          <w:iCs/>
          <w:sz w:val="24"/>
          <w:szCs w:val="24"/>
          <w:lang w:eastAsia="en-US"/>
        </w:rPr>
        <w:t>2</w:t>
      </w:r>
      <w:r w:rsidR="009450F8">
        <w:rPr>
          <w:rFonts w:ascii="Times New Roman" w:eastAsia="Calibri" w:hAnsi="Times New Roman" w:cs="Times New Roman"/>
          <w:iCs/>
          <w:sz w:val="24"/>
          <w:szCs w:val="24"/>
          <w:lang w:eastAsia="en-US"/>
        </w:rPr>
        <w:t>)</w:t>
      </w:r>
      <w:r w:rsidR="003E68DE" w:rsidRPr="00AA5087">
        <w:rPr>
          <w:rFonts w:ascii="Times New Roman" w:eastAsia="Calibri" w:hAnsi="Times New Roman" w:cs="Times New Roman"/>
          <w:iCs/>
          <w:sz w:val="24"/>
          <w:szCs w:val="24"/>
          <w:lang w:eastAsia="en-US"/>
        </w:rPr>
        <w:t>, 190-224</w:t>
      </w:r>
      <w:r w:rsidRPr="00AA5087">
        <w:rPr>
          <w:rFonts w:ascii="Times New Roman" w:eastAsia="Calibri" w:hAnsi="Times New Roman" w:cs="Times New Roman"/>
          <w:sz w:val="24"/>
          <w:szCs w:val="24"/>
          <w:lang w:val="en-US" w:eastAsia="en-US"/>
        </w:rPr>
        <w:t>.</w:t>
      </w:r>
    </w:p>
    <w:p w14:paraId="0570A278" w14:textId="3ABAB6C7" w:rsidR="00B73B45" w:rsidRPr="00AA5087" w:rsidRDefault="00B73B45" w:rsidP="002115E1">
      <w:pPr>
        <w:spacing w:after="0" w:line="240" w:lineRule="auto"/>
        <w:ind w:left="142" w:hanging="142"/>
        <w:jc w:val="both"/>
        <w:rPr>
          <w:rFonts w:ascii="Times New Roman" w:eastAsia="Calibri" w:hAnsi="Times New Roman" w:cs="Times New Roman"/>
          <w:sz w:val="24"/>
          <w:szCs w:val="24"/>
          <w:lang w:eastAsia="en-US"/>
        </w:rPr>
      </w:pPr>
      <w:r w:rsidRPr="00AA5087">
        <w:rPr>
          <w:rFonts w:ascii="Times New Roman" w:eastAsia="Calibri" w:hAnsi="Times New Roman" w:cs="Times New Roman"/>
          <w:sz w:val="24"/>
          <w:szCs w:val="24"/>
          <w:lang w:eastAsia="en-US"/>
        </w:rPr>
        <w:t>Elmagrhi, M. H., Ntim, C., &amp; Wang, Y. (2016), ‘Antecedents of Voluntary Corporate Governance Disclosure: A Post-2007/08 Financial Crisis Evidence from the Influential UK Combined Code’, </w:t>
      </w:r>
      <w:r w:rsidRPr="00AA5087">
        <w:rPr>
          <w:rFonts w:ascii="Times New Roman" w:eastAsia="Calibri" w:hAnsi="Times New Roman" w:cs="Times New Roman"/>
          <w:i/>
          <w:iCs/>
          <w:sz w:val="24"/>
          <w:szCs w:val="24"/>
          <w:lang w:eastAsia="en-US"/>
        </w:rPr>
        <w:t>Corporate Governance: The International Journal of Business in Society</w:t>
      </w:r>
      <w:r w:rsidRPr="00AA5087">
        <w:rPr>
          <w:rFonts w:ascii="Times New Roman" w:eastAsia="Calibri" w:hAnsi="Times New Roman" w:cs="Times New Roman"/>
          <w:sz w:val="24"/>
          <w:szCs w:val="24"/>
          <w:lang w:eastAsia="en-US"/>
        </w:rPr>
        <w:t xml:space="preserve">, 16 </w:t>
      </w:r>
      <w:r w:rsidR="009450F8">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3</w:t>
      </w:r>
      <w:r w:rsidR="009450F8">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w:t>
      </w:r>
      <w:r w:rsidRPr="00AA5087">
        <w:rPr>
          <w:rFonts w:ascii="Times New Roman" w:hAnsi="Times New Roman" w:cs="Times New Roman"/>
          <w:sz w:val="24"/>
          <w:szCs w:val="24"/>
        </w:rPr>
        <w:t xml:space="preserve"> </w:t>
      </w:r>
      <w:r w:rsidR="003D244F" w:rsidRPr="00AA5087">
        <w:rPr>
          <w:rFonts w:ascii="Times New Roman" w:eastAsia="Calibri" w:hAnsi="Times New Roman" w:cs="Times New Roman"/>
          <w:sz w:val="24"/>
          <w:szCs w:val="24"/>
          <w:lang w:eastAsia="en-US"/>
        </w:rPr>
        <w:t>507–</w:t>
      </w:r>
      <w:r w:rsidRPr="00AA5087">
        <w:rPr>
          <w:rFonts w:ascii="Times New Roman" w:eastAsia="Calibri" w:hAnsi="Times New Roman" w:cs="Times New Roman"/>
          <w:sz w:val="24"/>
          <w:szCs w:val="24"/>
          <w:lang w:eastAsia="en-US"/>
        </w:rPr>
        <w:t>538.</w:t>
      </w:r>
    </w:p>
    <w:p w14:paraId="58457153" w14:textId="16C6329B" w:rsidR="00B73B45" w:rsidRPr="00AA5087" w:rsidRDefault="00B73B45" w:rsidP="002115E1">
      <w:pPr>
        <w:spacing w:after="0" w:line="240" w:lineRule="auto"/>
        <w:ind w:left="142" w:hanging="142"/>
        <w:jc w:val="both"/>
        <w:rPr>
          <w:rFonts w:ascii="Times New Roman" w:eastAsia="Calibri" w:hAnsi="Times New Roman" w:cs="Times New Roman"/>
          <w:sz w:val="24"/>
          <w:szCs w:val="24"/>
          <w:lang w:val="en-US" w:eastAsia="en-US"/>
        </w:rPr>
      </w:pPr>
      <w:r w:rsidRPr="00AA5087">
        <w:rPr>
          <w:rFonts w:ascii="Times New Roman" w:eastAsia="Calibri" w:hAnsi="Times New Roman" w:cs="Times New Roman"/>
          <w:sz w:val="24"/>
          <w:szCs w:val="24"/>
          <w:lang w:eastAsia="en-US"/>
        </w:rPr>
        <w:t>Eshleman, J. D., &amp; Guo, P. (2014), ‘Do Big 4 auditors provide higher audit quality after controlling for the endogenous choice of auditor?’, </w:t>
      </w:r>
      <w:r w:rsidRPr="00AA5087">
        <w:rPr>
          <w:rFonts w:ascii="Times New Roman" w:eastAsia="Calibri" w:hAnsi="Times New Roman" w:cs="Times New Roman"/>
          <w:i/>
          <w:iCs/>
          <w:sz w:val="24"/>
          <w:szCs w:val="24"/>
          <w:lang w:eastAsia="en-US"/>
        </w:rPr>
        <w:t>Auditing: A Journal of Practice &amp; Theory</w:t>
      </w:r>
      <w:r w:rsidRPr="00AA5087">
        <w:rPr>
          <w:rFonts w:ascii="Times New Roman" w:eastAsia="Calibri" w:hAnsi="Times New Roman" w:cs="Times New Roman"/>
          <w:sz w:val="24"/>
          <w:szCs w:val="24"/>
          <w:lang w:eastAsia="en-US"/>
        </w:rPr>
        <w:t xml:space="preserve">, 33 </w:t>
      </w:r>
      <w:r w:rsidR="009450F8">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4</w:t>
      </w:r>
      <w:r w:rsidR="009450F8">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 197</w:t>
      </w:r>
      <w:r w:rsidR="003D244F" w:rsidRPr="00AA5087">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219.</w:t>
      </w:r>
    </w:p>
    <w:p w14:paraId="158763E5" w14:textId="6428572F" w:rsidR="00B73B45" w:rsidRPr="00AA5087" w:rsidRDefault="00B73B45" w:rsidP="002115E1">
      <w:pPr>
        <w:spacing w:after="0" w:line="240" w:lineRule="auto"/>
        <w:ind w:left="142" w:hanging="142"/>
        <w:jc w:val="both"/>
        <w:rPr>
          <w:rFonts w:ascii="Times New Roman" w:eastAsia="Calibri" w:hAnsi="Times New Roman" w:cs="Times New Roman"/>
          <w:sz w:val="24"/>
          <w:szCs w:val="24"/>
          <w:lang w:eastAsia="en-US"/>
        </w:rPr>
      </w:pPr>
      <w:r w:rsidRPr="00AA5087">
        <w:rPr>
          <w:rFonts w:ascii="Times New Roman" w:eastAsia="Calibri" w:hAnsi="Times New Roman" w:cs="Times New Roman"/>
          <w:sz w:val="24"/>
          <w:szCs w:val="24"/>
          <w:lang w:eastAsia="en-US"/>
        </w:rPr>
        <w:t xml:space="preserve">Fama, E. F., &amp; Jensen, M. C. (1983), ‘Separation of ownership and control’, </w:t>
      </w:r>
      <w:r w:rsidRPr="00AA5087">
        <w:rPr>
          <w:rFonts w:ascii="Times New Roman" w:eastAsia="Calibri" w:hAnsi="Times New Roman" w:cs="Times New Roman"/>
          <w:i/>
          <w:iCs/>
          <w:sz w:val="24"/>
          <w:szCs w:val="24"/>
          <w:lang w:eastAsia="en-US"/>
        </w:rPr>
        <w:t>The Journal of Law &amp; Economics</w:t>
      </w:r>
      <w:r w:rsidRPr="00AA5087">
        <w:rPr>
          <w:rFonts w:ascii="Times New Roman" w:eastAsia="Calibri" w:hAnsi="Times New Roman" w:cs="Times New Roman"/>
          <w:sz w:val="24"/>
          <w:szCs w:val="24"/>
          <w:lang w:eastAsia="en-US"/>
        </w:rPr>
        <w:t xml:space="preserve">, 26 </w:t>
      </w:r>
      <w:r w:rsidR="009450F8">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2</w:t>
      </w:r>
      <w:r w:rsidR="009450F8">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 301</w:t>
      </w:r>
      <w:r w:rsidR="003D244F" w:rsidRPr="00AA5087">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325.</w:t>
      </w:r>
    </w:p>
    <w:p w14:paraId="060FFCCC" w14:textId="40DAA5CD" w:rsidR="00B73B45" w:rsidRPr="00AA5087" w:rsidRDefault="00B73B45" w:rsidP="002115E1">
      <w:pPr>
        <w:spacing w:after="0" w:line="240" w:lineRule="auto"/>
        <w:ind w:left="142" w:hanging="142"/>
        <w:jc w:val="both"/>
        <w:rPr>
          <w:rFonts w:ascii="Times New Roman" w:eastAsia="Calibri" w:hAnsi="Times New Roman" w:cs="Times New Roman"/>
          <w:sz w:val="24"/>
          <w:szCs w:val="24"/>
          <w:lang w:eastAsia="en-US"/>
        </w:rPr>
      </w:pPr>
      <w:r w:rsidRPr="00AA5087">
        <w:rPr>
          <w:rFonts w:ascii="Times New Roman" w:eastAsia="Calibri" w:hAnsi="Times New Roman" w:cs="Times New Roman"/>
          <w:sz w:val="24"/>
          <w:szCs w:val="24"/>
          <w:lang w:eastAsia="en-US"/>
        </w:rPr>
        <w:t>Fan, J. P., &amp; Wong, T. J. (2002), ‘Corporate ownership structure and the informativeness of accounting earnings in East Asia’, </w:t>
      </w:r>
      <w:r w:rsidRPr="00AA5087">
        <w:rPr>
          <w:rFonts w:ascii="Times New Roman" w:eastAsia="Calibri" w:hAnsi="Times New Roman" w:cs="Times New Roman"/>
          <w:i/>
          <w:iCs/>
          <w:sz w:val="24"/>
          <w:szCs w:val="24"/>
          <w:lang w:eastAsia="en-US"/>
        </w:rPr>
        <w:t>Journal of Accounting and Economics</w:t>
      </w:r>
      <w:r w:rsidRPr="00AA5087">
        <w:rPr>
          <w:rFonts w:ascii="Times New Roman" w:eastAsia="Calibri" w:hAnsi="Times New Roman" w:cs="Times New Roman"/>
          <w:sz w:val="24"/>
          <w:szCs w:val="24"/>
          <w:lang w:eastAsia="en-US"/>
        </w:rPr>
        <w:t xml:space="preserve">, 33 </w:t>
      </w:r>
      <w:r w:rsidR="009450F8">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3</w:t>
      </w:r>
      <w:r w:rsidR="009450F8">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 401</w:t>
      </w:r>
      <w:r w:rsidR="003D244F" w:rsidRPr="00AA5087">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425.</w:t>
      </w:r>
    </w:p>
    <w:p w14:paraId="2E61BEDB" w14:textId="4DC8BC55" w:rsidR="00B73B45" w:rsidRPr="00AA5087" w:rsidRDefault="00B73B45" w:rsidP="002115E1">
      <w:pPr>
        <w:spacing w:after="0" w:line="240" w:lineRule="auto"/>
        <w:ind w:left="142" w:hanging="142"/>
        <w:jc w:val="both"/>
        <w:rPr>
          <w:rFonts w:ascii="Times New Roman" w:eastAsia="Calibri" w:hAnsi="Times New Roman" w:cs="Times New Roman"/>
          <w:sz w:val="24"/>
          <w:szCs w:val="24"/>
          <w:lang w:eastAsia="en-US"/>
        </w:rPr>
      </w:pPr>
      <w:r w:rsidRPr="00AA5087">
        <w:rPr>
          <w:rFonts w:ascii="Times New Roman" w:eastAsia="Calibri" w:hAnsi="Times New Roman" w:cs="Times New Roman"/>
          <w:sz w:val="24"/>
          <w:szCs w:val="24"/>
          <w:lang w:eastAsia="en-US"/>
        </w:rPr>
        <w:t>Fan, J. P., &amp; Wong, T. J. (2005), ‘Do external auditors perform a corporate governance role in emerging markets? Evidence from East Asia’, </w:t>
      </w:r>
      <w:r w:rsidRPr="00AA5087">
        <w:rPr>
          <w:rFonts w:ascii="Times New Roman" w:eastAsia="Calibri" w:hAnsi="Times New Roman" w:cs="Times New Roman"/>
          <w:i/>
          <w:iCs/>
          <w:sz w:val="24"/>
          <w:szCs w:val="24"/>
          <w:lang w:eastAsia="en-US"/>
        </w:rPr>
        <w:t>Journal of Accounting Research</w:t>
      </w:r>
      <w:r w:rsidRPr="00AA5087">
        <w:rPr>
          <w:rFonts w:ascii="Times New Roman" w:eastAsia="Calibri" w:hAnsi="Times New Roman" w:cs="Times New Roman"/>
          <w:sz w:val="24"/>
          <w:szCs w:val="24"/>
          <w:lang w:eastAsia="en-US"/>
        </w:rPr>
        <w:t>, 43</w:t>
      </w:r>
      <w:r w:rsidR="009450F8">
        <w:rPr>
          <w:rFonts w:ascii="Times New Roman" w:eastAsia="Calibri" w:hAnsi="Times New Roman" w:cs="Times New Roman"/>
          <w:sz w:val="24"/>
          <w:szCs w:val="24"/>
          <w:lang w:eastAsia="en-US"/>
        </w:rPr>
        <w:t xml:space="preserve"> (</w:t>
      </w:r>
      <w:r w:rsidRPr="00AA5087">
        <w:rPr>
          <w:rFonts w:ascii="Times New Roman" w:eastAsia="Calibri" w:hAnsi="Times New Roman" w:cs="Times New Roman"/>
          <w:sz w:val="24"/>
          <w:szCs w:val="24"/>
          <w:lang w:eastAsia="en-US"/>
        </w:rPr>
        <w:t>1</w:t>
      </w:r>
      <w:r w:rsidR="009450F8">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 35</w:t>
      </w:r>
      <w:r w:rsidR="003D244F" w:rsidRPr="00AA5087">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72.</w:t>
      </w:r>
    </w:p>
    <w:p w14:paraId="7C237A72" w14:textId="5C347288" w:rsidR="009423C2" w:rsidRPr="00AA5087" w:rsidRDefault="009423C2" w:rsidP="002115E1">
      <w:pPr>
        <w:spacing w:after="0" w:line="240" w:lineRule="auto"/>
        <w:ind w:left="142" w:hanging="142"/>
        <w:jc w:val="both"/>
        <w:rPr>
          <w:rFonts w:ascii="Times New Roman" w:eastAsia="Calibri" w:hAnsi="Times New Roman" w:cs="Times New Roman"/>
          <w:sz w:val="24"/>
          <w:szCs w:val="24"/>
          <w:lang w:eastAsia="en-US"/>
        </w:rPr>
      </w:pPr>
      <w:r w:rsidRPr="00AA5087">
        <w:rPr>
          <w:rFonts w:ascii="Times New Roman" w:eastAsia="Calibri" w:hAnsi="Times New Roman" w:cs="Times New Roman"/>
          <w:sz w:val="24"/>
          <w:szCs w:val="24"/>
          <w:lang w:eastAsia="en-US"/>
        </w:rPr>
        <w:t>Francis, J. R. (2004)</w:t>
      </w:r>
      <w:r w:rsidR="006828AC" w:rsidRPr="00AA5087">
        <w:rPr>
          <w:rFonts w:ascii="Times New Roman" w:eastAsia="Calibri" w:hAnsi="Times New Roman" w:cs="Times New Roman"/>
          <w:sz w:val="24"/>
          <w:szCs w:val="24"/>
          <w:lang w:eastAsia="en-US"/>
        </w:rPr>
        <w:t>, ‘What</w:t>
      </w:r>
      <w:r w:rsidRPr="00AA5087">
        <w:rPr>
          <w:rFonts w:ascii="Times New Roman" w:eastAsia="Calibri" w:hAnsi="Times New Roman" w:cs="Times New Roman"/>
          <w:sz w:val="24"/>
          <w:szCs w:val="24"/>
          <w:lang w:eastAsia="en-US"/>
        </w:rPr>
        <w:t xml:space="preserve"> do we know about audit quality?’, </w:t>
      </w:r>
      <w:r w:rsidRPr="00AA5087">
        <w:rPr>
          <w:rFonts w:ascii="Times New Roman" w:eastAsia="Calibri" w:hAnsi="Times New Roman" w:cs="Times New Roman"/>
          <w:i/>
          <w:iCs/>
          <w:sz w:val="24"/>
          <w:szCs w:val="24"/>
          <w:lang w:eastAsia="en-US"/>
        </w:rPr>
        <w:t xml:space="preserve">The British </w:t>
      </w:r>
      <w:r w:rsidR="006828AC" w:rsidRPr="00AA5087">
        <w:rPr>
          <w:rFonts w:ascii="Times New Roman" w:eastAsia="Calibri" w:hAnsi="Times New Roman" w:cs="Times New Roman"/>
          <w:i/>
          <w:iCs/>
          <w:sz w:val="24"/>
          <w:szCs w:val="24"/>
          <w:lang w:eastAsia="en-US"/>
        </w:rPr>
        <w:t>Accounting Review</w:t>
      </w:r>
      <w:r w:rsidRPr="00AA5087">
        <w:rPr>
          <w:rFonts w:ascii="Times New Roman" w:eastAsia="Calibri" w:hAnsi="Times New Roman" w:cs="Times New Roman"/>
          <w:sz w:val="24"/>
          <w:szCs w:val="24"/>
          <w:lang w:eastAsia="en-US"/>
        </w:rPr>
        <w:t>, </w:t>
      </w:r>
      <w:r w:rsidRPr="00AA5087">
        <w:rPr>
          <w:rFonts w:ascii="Times New Roman" w:eastAsia="Calibri" w:hAnsi="Times New Roman" w:cs="Times New Roman"/>
          <w:iCs/>
          <w:sz w:val="24"/>
          <w:szCs w:val="24"/>
          <w:lang w:eastAsia="en-US"/>
        </w:rPr>
        <w:t>36</w:t>
      </w:r>
      <w:r w:rsidR="009450F8">
        <w:rPr>
          <w:rFonts w:ascii="Times New Roman" w:eastAsia="Calibri" w:hAnsi="Times New Roman" w:cs="Times New Roman"/>
          <w:iCs/>
          <w:sz w:val="24"/>
          <w:szCs w:val="24"/>
          <w:lang w:eastAsia="en-US"/>
        </w:rPr>
        <w:t xml:space="preserve"> (</w:t>
      </w:r>
      <w:r w:rsidRPr="00AA5087">
        <w:rPr>
          <w:rFonts w:ascii="Times New Roman" w:eastAsia="Calibri" w:hAnsi="Times New Roman" w:cs="Times New Roman"/>
          <w:sz w:val="24"/>
          <w:szCs w:val="24"/>
          <w:lang w:eastAsia="en-US"/>
        </w:rPr>
        <w:t>4</w:t>
      </w:r>
      <w:r w:rsidR="009450F8">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 345–368.</w:t>
      </w:r>
    </w:p>
    <w:p w14:paraId="34E65DB8" w14:textId="2052FC05" w:rsidR="00116E5C" w:rsidRPr="00AA5087" w:rsidRDefault="00116E5C" w:rsidP="002115E1">
      <w:pPr>
        <w:spacing w:after="0" w:line="240" w:lineRule="auto"/>
        <w:ind w:left="142" w:hanging="142"/>
        <w:jc w:val="both"/>
        <w:rPr>
          <w:rFonts w:ascii="Times New Roman" w:eastAsia="Calibri" w:hAnsi="Times New Roman" w:cs="Times New Roman"/>
          <w:sz w:val="24"/>
          <w:szCs w:val="24"/>
          <w:lang w:eastAsia="en-US"/>
        </w:rPr>
      </w:pPr>
      <w:r w:rsidRPr="00AA5087">
        <w:rPr>
          <w:rFonts w:ascii="Times New Roman" w:eastAsia="Calibri" w:hAnsi="Times New Roman" w:cs="Times New Roman"/>
          <w:sz w:val="24"/>
          <w:szCs w:val="24"/>
          <w:lang w:eastAsia="en-US"/>
        </w:rPr>
        <w:t>Francis, J. R., &amp; Wang, D. (2008), ‘The joint effect of investor protection and Big 4 audits on earnings quality around the world’, </w:t>
      </w:r>
      <w:r w:rsidRPr="00AA5087">
        <w:rPr>
          <w:rFonts w:ascii="Times New Roman" w:eastAsia="Calibri" w:hAnsi="Times New Roman" w:cs="Times New Roman"/>
          <w:i/>
          <w:iCs/>
          <w:sz w:val="24"/>
          <w:szCs w:val="24"/>
          <w:lang w:eastAsia="en-US"/>
        </w:rPr>
        <w:t xml:space="preserve">Contemporary </w:t>
      </w:r>
      <w:r w:rsidR="0067181B" w:rsidRPr="00AA5087">
        <w:rPr>
          <w:rFonts w:ascii="Times New Roman" w:eastAsia="Calibri" w:hAnsi="Times New Roman" w:cs="Times New Roman"/>
          <w:i/>
          <w:iCs/>
          <w:sz w:val="24"/>
          <w:szCs w:val="24"/>
          <w:lang w:eastAsia="en-US"/>
        </w:rPr>
        <w:t>Accounting Research</w:t>
      </w:r>
      <w:r w:rsidRPr="00AA5087">
        <w:rPr>
          <w:rFonts w:ascii="Times New Roman" w:eastAsia="Calibri" w:hAnsi="Times New Roman" w:cs="Times New Roman"/>
          <w:sz w:val="24"/>
          <w:szCs w:val="24"/>
          <w:lang w:eastAsia="en-US"/>
        </w:rPr>
        <w:t>, 25</w:t>
      </w:r>
      <w:r w:rsidR="009450F8">
        <w:rPr>
          <w:rFonts w:ascii="Times New Roman" w:eastAsia="Calibri" w:hAnsi="Times New Roman" w:cs="Times New Roman"/>
          <w:sz w:val="24"/>
          <w:szCs w:val="24"/>
          <w:lang w:eastAsia="en-US"/>
        </w:rPr>
        <w:t xml:space="preserve"> (</w:t>
      </w:r>
      <w:r w:rsidRPr="00AA5087">
        <w:rPr>
          <w:rFonts w:ascii="Times New Roman" w:eastAsia="Calibri" w:hAnsi="Times New Roman" w:cs="Times New Roman"/>
          <w:sz w:val="24"/>
          <w:szCs w:val="24"/>
          <w:lang w:eastAsia="en-US"/>
        </w:rPr>
        <w:t>1</w:t>
      </w:r>
      <w:r w:rsidR="009450F8">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 157</w:t>
      </w:r>
      <w:r w:rsidR="003D244F" w:rsidRPr="00AA5087">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191.</w:t>
      </w:r>
    </w:p>
    <w:p w14:paraId="745E2F29" w14:textId="14AB2979" w:rsidR="00116E5C" w:rsidRPr="00AA5087" w:rsidRDefault="00116E5C" w:rsidP="002115E1">
      <w:pPr>
        <w:spacing w:after="0" w:line="240" w:lineRule="auto"/>
        <w:ind w:left="142" w:hanging="142"/>
        <w:jc w:val="both"/>
        <w:rPr>
          <w:rFonts w:ascii="Times New Roman" w:eastAsia="Calibri" w:hAnsi="Times New Roman" w:cs="Times New Roman"/>
          <w:sz w:val="24"/>
          <w:szCs w:val="24"/>
          <w:lang w:eastAsia="en-US"/>
        </w:rPr>
      </w:pPr>
      <w:r w:rsidRPr="00AA5087">
        <w:rPr>
          <w:rFonts w:ascii="Times New Roman" w:eastAsia="Calibri" w:hAnsi="Times New Roman" w:cs="Times New Roman"/>
          <w:sz w:val="24"/>
          <w:szCs w:val="24"/>
          <w:lang w:eastAsia="en-US"/>
        </w:rPr>
        <w:t>Francis, J. R., Khurana, I. K., &amp; Pereira, R. (2003), ‘The role of accounting and auditing in corporate governance and the development of financial markets around the world’, </w:t>
      </w:r>
      <w:r w:rsidRPr="00AA5087">
        <w:rPr>
          <w:rFonts w:ascii="Times New Roman" w:eastAsia="Calibri" w:hAnsi="Times New Roman" w:cs="Times New Roman"/>
          <w:i/>
          <w:iCs/>
          <w:sz w:val="24"/>
          <w:szCs w:val="24"/>
          <w:lang w:eastAsia="en-US"/>
        </w:rPr>
        <w:t>Asia-Pacific Journal of Accounting &amp; Economics</w:t>
      </w:r>
      <w:r w:rsidR="009450F8">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 xml:space="preserve"> 10</w:t>
      </w:r>
      <w:r w:rsidR="009450F8">
        <w:rPr>
          <w:rFonts w:ascii="Times New Roman" w:eastAsia="Calibri" w:hAnsi="Times New Roman" w:cs="Times New Roman"/>
          <w:sz w:val="24"/>
          <w:szCs w:val="24"/>
          <w:lang w:eastAsia="en-US"/>
        </w:rPr>
        <w:t xml:space="preserve"> (</w:t>
      </w:r>
      <w:r w:rsidRPr="00AA5087">
        <w:rPr>
          <w:rFonts w:ascii="Times New Roman" w:eastAsia="Calibri" w:hAnsi="Times New Roman" w:cs="Times New Roman"/>
          <w:sz w:val="24"/>
          <w:szCs w:val="24"/>
          <w:lang w:eastAsia="en-US"/>
        </w:rPr>
        <w:t>1</w:t>
      </w:r>
      <w:r w:rsidR="009450F8">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w:t>
      </w:r>
      <w:r w:rsidR="009450F8">
        <w:rPr>
          <w:rFonts w:ascii="Times New Roman" w:eastAsia="Calibri" w:hAnsi="Times New Roman" w:cs="Times New Roman"/>
          <w:sz w:val="24"/>
          <w:szCs w:val="24"/>
          <w:lang w:eastAsia="en-US"/>
        </w:rPr>
        <w:t xml:space="preserve"> </w:t>
      </w:r>
      <w:r w:rsidRPr="00AA5087">
        <w:rPr>
          <w:rFonts w:ascii="Times New Roman" w:eastAsia="Calibri" w:hAnsi="Times New Roman" w:cs="Times New Roman"/>
          <w:sz w:val="24"/>
          <w:szCs w:val="24"/>
          <w:lang w:eastAsia="en-US"/>
        </w:rPr>
        <w:t>1</w:t>
      </w:r>
      <w:r w:rsidR="003D244F" w:rsidRPr="00AA5087">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30.</w:t>
      </w:r>
    </w:p>
    <w:p w14:paraId="07C21F7F" w14:textId="6586B217" w:rsidR="00B73B45" w:rsidRPr="00AA5087" w:rsidRDefault="00B73B45" w:rsidP="002115E1">
      <w:pPr>
        <w:spacing w:after="0" w:line="240" w:lineRule="auto"/>
        <w:ind w:left="142" w:hanging="142"/>
        <w:jc w:val="both"/>
        <w:rPr>
          <w:rFonts w:ascii="Times New Roman" w:eastAsia="Calibri" w:hAnsi="Times New Roman" w:cs="Times New Roman"/>
          <w:sz w:val="24"/>
          <w:szCs w:val="24"/>
          <w:lang w:eastAsia="en-US"/>
        </w:rPr>
      </w:pPr>
      <w:r w:rsidRPr="00AA5087">
        <w:rPr>
          <w:rFonts w:ascii="Times New Roman" w:eastAsia="Calibri" w:hAnsi="Times New Roman" w:cs="Times New Roman"/>
          <w:sz w:val="24"/>
          <w:szCs w:val="24"/>
          <w:lang w:eastAsia="en-US"/>
        </w:rPr>
        <w:t>Gelb, D. S., &amp; Zarowin, P. (2002), ‘Corporate disclosure policy and the informativeness of stock prices’, </w:t>
      </w:r>
      <w:r w:rsidRPr="00AA5087">
        <w:rPr>
          <w:rFonts w:ascii="Times New Roman" w:eastAsia="Calibri" w:hAnsi="Times New Roman" w:cs="Times New Roman"/>
          <w:i/>
          <w:iCs/>
          <w:sz w:val="24"/>
          <w:szCs w:val="24"/>
          <w:lang w:eastAsia="en-US"/>
        </w:rPr>
        <w:t>Review of Accounting Studies</w:t>
      </w:r>
      <w:r w:rsidRPr="00AA5087">
        <w:rPr>
          <w:rFonts w:ascii="Times New Roman" w:eastAsia="Calibri" w:hAnsi="Times New Roman" w:cs="Times New Roman"/>
          <w:sz w:val="24"/>
          <w:szCs w:val="24"/>
          <w:lang w:eastAsia="en-US"/>
        </w:rPr>
        <w:t xml:space="preserve">, 7 </w:t>
      </w:r>
      <w:r w:rsidR="009450F8">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1</w:t>
      </w:r>
      <w:r w:rsidR="009450F8">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 33</w:t>
      </w:r>
      <w:r w:rsidR="003D244F" w:rsidRPr="00AA5087">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52.</w:t>
      </w:r>
    </w:p>
    <w:p w14:paraId="3527D9CB" w14:textId="6653ECBC" w:rsidR="00B73B45" w:rsidRPr="00AA5087" w:rsidRDefault="00B73B45" w:rsidP="002115E1">
      <w:pPr>
        <w:spacing w:after="0" w:line="240" w:lineRule="auto"/>
        <w:ind w:left="142" w:hanging="142"/>
        <w:jc w:val="both"/>
        <w:rPr>
          <w:rFonts w:ascii="Times New Roman" w:eastAsia="Calibri" w:hAnsi="Times New Roman" w:cs="Times New Roman"/>
          <w:sz w:val="24"/>
          <w:szCs w:val="24"/>
          <w:lang w:eastAsia="en-US"/>
        </w:rPr>
      </w:pPr>
      <w:r w:rsidRPr="00AA5087">
        <w:rPr>
          <w:rFonts w:ascii="Times New Roman" w:eastAsia="Calibri" w:hAnsi="Times New Roman" w:cs="Times New Roman"/>
          <w:sz w:val="24"/>
          <w:szCs w:val="24"/>
          <w:lang w:eastAsia="en-US"/>
        </w:rPr>
        <w:t xml:space="preserve">Gilson, S. (1990), ‘Bankuptcy, Boards, Banks, and Blockholders’, </w:t>
      </w:r>
      <w:r w:rsidRPr="00AA5087">
        <w:rPr>
          <w:rFonts w:ascii="Times New Roman" w:eastAsia="Calibri" w:hAnsi="Times New Roman" w:cs="Times New Roman"/>
          <w:i/>
          <w:iCs/>
          <w:sz w:val="24"/>
          <w:szCs w:val="24"/>
          <w:lang w:eastAsia="en-US"/>
        </w:rPr>
        <w:t>Journal of Financial Economics</w:t>
      </w:r>
      <w:r w:rsidRPr="00AA5087">
        <w:rPr>
          <w:rFonts w:ascii="Times New Roman" w:eastAsia="Calibri" w:hAnsi="Times New Roman" w:cs="Times New Roman"/>
          <w:sz w:val="24"/>
          <w:szCs w:val="24"/>
          <w:lang w:eastAsia="en-US"/>
        </w:rPr>
        <w:t>, 27, 355–387.</w:t>
      </w:r>
    </w:p>
    <w:p w14:paraId="290146F5" w14:textId="72DAD199" w:rsidR="003C27D5" w:rsidRPr="00AA5087" w:rsidRDefault="00B73B45" w:rsidP="002115E1">
      <w:pPr>
        <w:spacing w:after="0" w:line="240" w:lineRule="auto"/>
        <w:ind w:left="142" w:hanging="142"/>
        <w:jc w:val="both"/>
        <w:rPr>
          <w:rFonts w:ascii="Times New Roman" w:eastAsia="Calibri" w:hAnsi="Times New Roman" w:cs="Times New Roman"/>
          <w:sz w:val="24"/>
          <w:szCs w:val="24"/>
          <w:lang w:eastAsia="en-US"/>
        </w:rPr>
      </w:pPr>
      <w:r w:rsidRPr="00AA5087">
        <w:rPr>
          <w:rFonts w:ascii="Times New Roman" w:eastAsia="Calibri" w:hAnsi="Times New Roman" w:cs="Times New Roman"/>
          <w:sz w:val="24"/>
          <w:szCs w:val="24"/>
          <w:lang w:eastAsia="en-US"/>
        </w:rPr>
        <w:lastRenderedPageBreak/>
        <w:t xml:space="preserve">Gul, F. A., Zhou, G. S., &amp; Zhu, X. K. (2013), ‘Investor protection, firm informational problems, Big N auditors, and cost of debt around the world’, </w:t>
      </w:r>
      <w:r w:rsidRPr="00AA5087">
        <w:rPr>
          <w:rFonts w:ascii="Times New Roman" w:eastAsia="Calibri" w:hAnsi="Times New Roman" w:cs="Times New Roman"/>
          <w:i/>
          <w:iCs/>
          <w:sz w:val="24"/>
          <w:szCs w:val="24"/>
          <w:lang w:eastAsia="en-US"/>
        </w:rPr>
        <w:t>Auditing: A Journal of Practice &amp; Theory</w:t>
      </w:r>
      <w:r w:rsidRPr="00AA5087">
        <w:rPr>
          <w:rFonts w:ascii="Times New Roman" w:eastAsia="Calibri" w:hAnsi="Times New Roman" w:cs="Times New Roman"/>
          <w:sz w:val="24"/>
          <w:szCs w:val="24"/>
          <w:lang w:eastAsia="en-US"/>
        </w:rPr>
        <w:t xml:space="preserve">, 32 </w:t>
      </w:r>
      <w:r w:rsidR="009450F8">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3</w:t>
      </w:r>
      <w:r w:rsidR="009450F8">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 1</w:t>
      </w:r>
      <w:r w:rsidR="003D244F" w:rsidRPr="00AA5087">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30.</w:t>
      </w:r>
    </w:p>
    <w:p w14:paraId="56C79841" w14:textId="6369CDB6" w:rsidR="00B73B45" w:rsidRPr="00AA5087" w:rsidRDefault="00B73B45" w:rsidP="002115E1">
      <w:pPr>
        <w:spacing w:after="0" w:line="240" w:lineRule="auto"/>
        <w:ind w:left="142" w:hanging="142"/>
        <w:jc w:val="both"/>
        <w:rPr>
          <w:rFonts w:ascii="Times New Roman" w:eastAsia="Calibri" w:hAnsi="Times New Roman" w:cs="Times New Roman"/>
          <w:sz w:val="24"/>
          <w:szCs w:val="24"/>
          <w:lang w:eastAsia="en-US"/>
        </w:rPr>
      </w:pPr>
      <w:r w:rsidRPr="00AA5087">
        <w:rPr>
          <w:rFonts w:ascii="Times New Roman" w:eastAsia="Calibri" w:hAnsi="Times New Roman" w:cs="Times New Roman"/>
          <w:sz w:val="24"/>
          <w:szCs w:val="24"/>
          <w:lang w:eastAsia="en-US"/>
        </w:rPr>
        <w:t>Habbash, M., &amp; Alghamdi, S. (</w:t>
      </w:r>
      <w:r w:rsidR="002101E3" w:rsidRPr="00AA5087">
        <w:rPr>
          <w:rFonts w:ascii="Times New Roman" w:eastAsia="Calibri" w:hAnsi="Times New Roman" w:cs="Times New Roman"/>
          <w:sz w:val="24"/>
          <w:szCs w:val="24"/>
          <w:lang w:eastAsia="en-US"/>
        </w:rPr>
        <w:t>2017</w:t>
      </w:r>
      <w:r w:rsidRPr="00AA5087">
        <w:rPr>
          <w:rFonts w:ascii="Times New Roman" w:eastAsia="Calibri" w:hAnsi="Times New Roman" w:cs="Times New Roman"/>
          <w:sz w:val="24"/>
          <w:szCs w:val="24"/>
          <w:lang w:eastAsia="en-US"/>
        </w:rPr>
        <w:t>), ‘Audit quality and earnings management in less developed economies: the case of Saudi Arabia’, </w:t>
      </w:r>
      <w:r w:rsidRPr="00AA5087">
        <w:rPr>
          <w:rFonts w:ascii="Times New Roman" w:eastAsia="Calibri" w:hAnsi="Times New Roman" w:cs="Times New Roman"/>
          <w:i/>
          <w:iCs/>
          <w:sz w:val="24"/>
          <w:szCs w:val="24"/>
          <w:lang w:eastAsia="en-US"/>
        </w:rPr>
        <w:t>Journal of Management &amp; Governance</w:t>
      </w:r>
      <w:r w:rsidRPr="00AA5087">
        <w:rPr>
          <w:rFonts w:ascii="Times New Roman" w:eastAsia="Calibri" w:hAnsi="Times New Roman" w:cs="Times New Roman"/>
          <w:sz w:val="24"/>
          <w:szCs w:val="24"/>
          <w:lang w:eastAsia="en-US"/>
        </w:rPr>
        <w:t xml:space="preserve">, </w:t>
      </w:r>
      <w:r w:rsidR="009450F8">
        <w:rPr>
          <w:rFonts w:ascii="Times New Roman" w:eastAsia="Calibri" w:hAnsi="Times New Roman" w:cs="Times New Roman"/>
          <w:sz w:val="24"/>
          <w:szCs w:val="24"/>
          <w:lang w:eastAsia="en-US"/>
        </w:rPr>
        <w:t>21</w:t>
      </w:r>
      <w:r w:rsidR="002101E3" w:rsidRPr="00AA5087">
        <w:rPr>
          <w:rFonts w:ascii="Times New Roman" w:eastAsia="Calibri" w:hAnsi="Times New Roman" w:cs="Times New Roman"/>
          <w:sz w:val="24"/>
          <w:szCs w:val="24"/>
          <w:lang w:eastAsia="en-US"/>
        </w:rPr>
        <w:t xml:space="preserve"> </w:t>
      </w:r>
      <w:r w:rsidR="009450F8">
        <w:rPr>
          <w:rFonts w:ascii="Times New Roman" w:eastAsia="Calibri" w:hAnsi="Times New Roman" w:cs="Times New Roman"/>
          <w:sz w:val="24"/>
          <w:szCs w:val="24"/>
          <w:lang w:eastAsia="en-US"/>
        </w:rPr>
        <w:t>(</w:t>
      </w:r>
      <w:r w:rsidR="002101E3" w:rsidRPr="00AA5087">
        <w:rPr>
          <w:rFonts w:ascii="Times New Roman" w:eastAsia="Calibri" w:hAnsi="Times New Roman" w:cs="Times New Roman"/>
          <w:sz w:val="24"/>
          <w:szCs w:val="24"/>
          <w:lang w:eastAsia="en-US"/>
        </w:rPr>
        <w:t>2</w:t>
      </w:r>
      <w:r w:rsidR="009450F8">
        <w:rPr>
          <w:rFonts w:ascii="Times New Roman" w:eastAsia="Calibri" w:hAnsi="Times New Roman" w:cs="Times New Roman"/>
          <w:sz w:val="24"/>
          <w:szCs w:val="24"/>
          <w:lang w:eastAsia="en-US"/>
        </w:rPr>
        <w:t>)</w:t>
      </w:r>
      <w:r w:rsidR="002101E3" w:rsidRPr="00AA5087">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 xml:space="preserve"> </w:t>
      </w:r>
      <w:r w:rsidR="002101E3" w:rsidRPr="00AA5087">
        <w:rPr>
          <w:rFonts w:ascii="Times New Roman" w:eastAsia="Calibri" w:hAnsi="Times New Roman" w:cs="Times New Roman"/>
          <w:sz w:val="24"/>
          <w:szCs w:val="24"/>
          <w:lang w:eastAsia="en-US"/>
        </w:rPr>
        <w:t>351</w:t>
      </w:r>
      <w:r w:rsidR="003D244F" w:rsidRPr="00AA5087">
        <w:rPr>
          <w:rFonts w:ascii="Times New Roman" w:eastAsia="Calibri" w:hAnsi="Times New Roman" w:cs="Times New Roman"/>
          <w:sz w:val="24"/>
          <w:szCs w:val="24"/>
          <w:lang w:eastAsia="en-US"/>
        </w:rPr>
        <w:t>–</w:t>
      </w:r>
      <w:r w:rsidR="002101E3" w:rsidRPr="00AA5087">
        <w:rPr>
          <w:rFonts w:ascii="Times New Roman" w:eastAsia="Calibri" w:hAnsi="Times New Roman" w:cs="Times New Roman"/>
          <w:sz w:val="24"/>
          <w:szCs w:val="24"/>
          <w:lang w:eastAsia="en-US"/>
        </w:rPr>
        <w:t>373</w:t>
      </w:r>
      <w:r w:rsidRPr="00AA5087">
        <w:rPr>
          <w:rFonts w:ascii="Times New Roman" w:eastAsia="Calibri" w:hAnsi="Times New Roman" w:cs="Times New Roman"/>
          <w:sz w:val="24"/>
          <w:szCs w:val="24"/>
          <w:lang w:eastAsia="en-US"/>
        </w:rPr>
        <w:t>.</w:t>
      </w:r>
    </w:p>
    <w:p w14:paraId="37ACA343" w14:textId="4B44573F" w:rsidR="00B73B45" w:rsidRPr="00AA5087" w:rsidRDefault="00B73B45" w:rsidP="002115E1">
      <w:pPr>
        <w:spacing w:after="0" w:line="240" w:lineRule="auto"/>
        <w:ind w:left="142" w:hanging="142"/>
        <w:jc w:val="both"/>
        <w:rPr>
          <w:rFonts w:ascii="Times New Roman" w:eastAsia="Calibri" w:hAnsi="Times New Roman" w:cs="Times New Roman"/>
          <w:sz w:val="24"/>
          <w:szCs w:val="24"/>
          <w:lang w:eastAsia="en-US"/>
        </w:rPr>
      </w:pPr>
      <w:r w:rsidRPr="00AA5087">
        <w:rPr>
          <w:rFonts w:ascii="Times New Roman" w:eastAsia="Calibri" w:hAnsi="Times New Roman" w:cs="Times New Roman"/>
          <w:sz w:val="24"/>
          <w:szCs w:val="24"/>
          <w:lang w:eastAsia="en-US"/>
        </w:rPr>
        <w:t>Haniffa, R., &amp; Hudaib, M. (2007), ‘Locating audit expectations gap within a cultural context: The case of Saudi Arabia’, </w:t>
      </w:r>
      <w:r w:rsidRPr="00AA5087">
        <w:rPr>
          <w:rFonts w:ascii="Times New Roman" w:eastAsia="Calibri" w:hAnsi="Times New Roman" w:cs="Times New Roman"/>
          <w:i/>
          <w:iCs/>
          <w:sz w:val="24"/>
          <w:szCs w:val="24"/>
          <w:lang w:eastAsia="en-US"/>
        </w:rPr>
        <w:t>Journal of International Accounting, Auditing and Taxation</w:t>
      </w:r>
      <w:r w:rsidRPr="00AA5087">
        <w:rPr>
          <w:rFonts w:ascii="Times New Roman" w:eastAsia="Calibri" w:hAnsi="Times New Roman" w:cs="Times New Roman"/>
          <w:sz w:val="24"/>
          <w:szCs w:val="24"/>
          <w:lang w:eastAsia="en-US"/>
        </w:rPr>
        <w:t xml:space="preserve">, 16 </w:t>
      </w:r>
      <w:r w:rsidR="009450F8">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2</w:t>
      </w:r>
      <w:r w:rsidR="009450F8">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w:t>
      </w:r>
      <w:r w:rsidR="009450F8">
        <w:rPr>
          <w:rFonts w:ascii="Times New Roman" w:eastAsia="Calibri" w:hAnsi="Times New Roman" w:cs="Times New Roman"/>
          <w:sz w:val="24"/>
          <w:szCs w:val="24"/>
          <w:lang w:eastAsia="en-US"/>
        </w:rPr>
        <w:t xml:space="preserve"> </w:t>
      </w:r>
      <w:r w:rsidRPr="00AA5087">
        <w:rPr>
          <w:rFonts w:ascii="Times New Roman" w:eastAsia="Calibri" w:hAnsi="Times New Roman" w:cs="Times New Roman"/>
          <w:sz w:val="24"/>
          <w:szCs w:val="24"/>
          <w:lang w:eastAsia="en-US"/>
        </w:rPr>
        <w:t>179</w:t>
      </w:r>
      <w:r w:rsidR="003D244F" w:rsidRPr="00AA5087">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206.</w:t>
      </w:r>
    </w:p>
    <w:p w14:paraId="1FDD685C" w14:textId="0524ACD2" w:rsidR="00B73B45" w:rsidRPr="00AA5087" w:rsidRDefault="00B73B45" w:rsidP="002115E1">
      <w:pPr>
        <w:spacing w:after="0" w:line="240" w:lineRule="auto"/>
        <w:ind w:left="142" w:hanging="142"/>
        <w:jc w:val="both"/>
        <w:rPr>
          <w:rFonts w:ascii="Times New Roman" w:eastAsia="Calibri" w:hAnsi="Times New Roman" w:cs="Times New Roman"/>
          <w:sz w:val="24"/>
          <w:szCs w:val="24"/>
          <w:lang w:eastAsia="en-US"/>
        </w:rPr>
      </w:pPr>
      <w:r w:rsidRPr="00AA5087">
        <w:rPr>
          <w:rFonts w:ascii="Times New Roman" w:eastAsia="Calibri" w:hAnsi="Times New Roman" w:cs="Times New Roman"/>
          <w:sz w:val="24"/>
          <w:szCs w:val="24"/>
          <w:lang w:eastAsia="en-US"/>
        </w:rPr>
        <w:t xml:space="preserve">Hay, D., Knechel, W. R., &amp; Ling, H. (2008), ‘Evidence on the impact of internal control and corporate governance on audit fees’, </w:t>
      </w:r>
      <w:r w:rsidRPr="00AA5087">
        <w:rPr>
          <w:rFonts w:ascii="Times New Roman" w:eastAsia="Calibri" w:hAnsi="Times New Roman" w:cs="Times New Roman"/>
          <w:i/>
          <w:iCs/>
          <w:sz w:val="24"/>
          <w:szCs w:val="24"/>
          <w:lang w:eastAsia="en-US"/>
        </w:rPr>
        <w:t>International Journal of Auditing</w:t>
      </w:r>
      <w:r w:rsidRPr="00AA5087">
        <w:rPr>
          <w:rFonts w:ascii="Times New Roman" w:eastAsia="Calibri" w:hAnsi="Times New Roman" w:cs="Times New Roman"/>
          <w:sz w:val="24"/>
          <w:szCs w:val="24"/>
          <w:lang w:eastAsia="en-US"/>
        </w:rPr>
        <w:t>, 12</w:t>
      </w:r>
      <w:r w:rsidR="009450F8">
        <w:rPr>
          <w:rFonts w:ascii="Times New Roman" w:eastAsia="Calibri" w:hAnsi="Times New Roman" w:cs="Times New Roman"/>
          <w:sz w:val="24"/>
          <w:szCs w:val="24"/>
          <w:lang w:eastAsia="en-US"/>
        </w:rPr>
        <w:t xml:space="preserve"> (</w:t>
      </w:r>
      <w:r w:rsidRPr="00AA5087">
        <w:rPr>
          <w:rFonts w:ascii="Times New Roman" w:eastAsia="Calibri" w:hAnsi="Times New Roman" w:cs="Times New Roman"/>
          <w:sz w:val="24"/>
          <w:szCs w:val="24"/>
          <w:lang w:eastAsia="en-US"/>
        </w:rPr>
        <w:t>1</w:t>
      </w:r>
      <w:r w:rsidR="009450F8">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 9</w:t>
      </w:r>
      <w:r w:rsidR="003D244F" w:rsidRPr="00AA5087">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24.</w:t>
      </w:r>
    </w:p>
    <w:p w14:paraId="0C0BE840" w14:textId="321642ED" w:rsidR="002C19C9" w:rsidRPr="00AA5087" w:rsidRDefault="002C19C9" w:rsidP="002115E1">
      <w:pPr>
        <w:spacing w:after="0" w:line="240" w:lineRule="auto"/>
        <w:ind w:left="142" w:hanging="142"/>
        <w:jc w:val="both"/>
        <w:rPr>
          <w:rFonts w:ascii="Times New Roman" w:eastAsia="Calibri" w:hAnsi="Times New Roman" w:cs="Times New Roman"/>
          <w:sz w:val="24"/>
          <w:szCs w:val="24"/>
          <w:lang w:eastAsia="en-US"/>
        </w:rPr>
      </w:pPr>
      <w:r w:rsidRPr="00AA5087">
        <w:rPr>
          <w:rFonts w:ascii="Times New Roman" w:eastAsia="Calibri" w:hAnsi="Times New Roman" w:cs="Times New Roman"/>
          <w:sz w:val="24"/>
          <w:szCs w:val="24"/>
          <w:lang w:eastAsia="en-US"/>
        </w:rPr>
        <w:t xml:space="preserve">Ho, J. L., &amp; Kang, F. (2013), ‘Auditor choice and audit fees in family firms: Evidence from the S&amp;P 1500’, </w:t>
      </w:r>
      <w:r w:rsidRPr="00AA5087">
        <w:rPr>
          <w:rFonts w:ascii="Times New Roman" w:eastAsia="Calibri" w:hAnsi="Times New Roman" w:cs="Times New Roman"/>
          <w:i/>
          <w:iCs/>
          <w:sz w:val="24"/>
          <w:szCs w:val="24"/>
          <w:lang w:eastAsia="en-US"/>
        </w:rPr>
        <w:t>Auditing: A</w:t>
      </w:r>
      <w:r w:rsidR="009450F8">
        <w:rPr>
          <w:rFonts w:ascii="Times New Roman" w:eastAsia="Calibri" w:hAnsi="Times New Roman" w:cs="Times New Roman"/>
          <w:i/>
          <w:iCs/>
          <w:sz w:val="24"/>
          <w:szCs w:val="24"/>
          <w:lang w:eastAsia="en-US"/>
        </w:rPr>
        <w:t xml:space="preserve"> </w:t>
      </w:r>
      <w:r w:rsidRPr="00AA5087">
        <w:rPr>
          <w:rFonts w:ascii="Times New Roman" w:eastAsia="Calibri" w:hAnsi="Times New Roman" w:cs="Times New Roman"/>
          <w:i/>
          <w:iCs/>
          <w:sz w:val="24"/>
          <w:szCs w:val="24"/>
          <w:lang w:eastAsia="en-US"/>
        </w:rPr>
        <w:t>Journal of Practice &amp; Theory</w:t>
      </w:r>
      <w:r w:rsidRPr="00AA5087">
        <w:rPr>
          <w:rFonts w:ascii="Times New Roman" w:eastAsia="Calibri" w:hAnsi="Times New Roman" w:cs="Times New Roman"/>
          <w:sz w:val="24"/>
          <w:szCs w:val="24"/>
          <w:lang w:eastAsia="en-US"/>
        </w:rPr>
        <w:t xml:space="preserve">, </w:t>
      </w:r>
      <w:r w:rsidRPr="00AA5087">
        <w:rPr>
          <w:rFonts w:ascii="Times New Roman" w:eastAsia="Calibri" w:hAnsi="Times New Roman" w:cs="Times New Roman"/>
          <w:iCs/>
          <w:sz w:val="24"/>
          <w:szCs w:val="24"/>
          <w:lang w:eastAsia="en-US"/>
        </w:rPr>
        <w:t>32</w:t>
      </w:r>
      <w:r w:rsidRPr="00AA5087">
        <w:rPr>
          <w:rFonts w:ascii="Times New Roman" w:eastAsia="Calibri" w:hAnsi="Times New Roman" w:cs="Times New Roman"/>
          <w:sz w:val="24"/>
          <w:szCs w:val="24"/>
          <w:lang w:eastAsia="en-US"/>
        </w:rPr>
        <w:t xml:space="preserve"> </w:t>
      </w:r>
      <w:r w:rsidR="009450F8">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4</w:t>
      </w:r>
      <w:r w:rsidR="009450F8">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 71–93.</w:t>
      </w:r>
    </w:p>
    <w:p w14:paraId="0BF95696" w14:textId="767FAE79" w:rsidR="00B73B45" w:rsidRPr="00AA5087" w:rsidRDefault="00B73B45" w:rsidP="002115E1">
      <w:pPr>
        <w:spacing w:after="0" w:line="240" w:lineRule="auto"/>
        <w:ind w:left="142" w:hanging="142"/>
        <w:jc w:val="both"/>
        <w:rPr>
          <w:rFonts w:ascii="Times New Roman" w:eastAsia="Calibri" w:hAnsi="Times New Roman" w:cs="Times New Roman"/>
          <w:sz w:val="24"/>
          <w:szCs w:val="24"/>
          <w:lang w:val="en-US" w:eastAsia="en-US"/>
        </w:rPr>
      </w:pPr>
      <w:r w:rsidRPr="00AA5087">
        <w:rPr>
          <w:rFonts w:ascii="Times New Roman" w:eastAsia="Calibri" w:hAnsi="Times New Roman" w:cs="Times New Roman"/>
          <w:sz w:val="24"/>
          <w:szCs w:val="24"/>
          <w:lang w:val="en-US" w:eastAsia="en-US"/>
        </w:rPr>
        <w:t xml:space="preserve">Hou, W., &amp; Moore, G. (2010), ‘Players and referee roles held jointly: The effect of state ownership on China's regulatory enforcement against fraud’, </w:t>
      </w:r>
      <w:r w:rsidRPr="00AA5087">
        <w:rPr>
          <w:rFonts w:ascii="Times New Roman" w:eastAsia="Calibri" w:hAnsi="Times New Roman" w:cs="Times New Roman"/>
          <w:i/>
          <w:sz w:val="24"/>
          <w:szCs w:val="24"/>
          <w:lang w:val="en-US" w:eastAsia="en-US"/>
        </w:rPr>
        <w:t xml:space="preserve">Journal of Business Ethics, </w:t>
      </w:r>
      <w:r w:rsidRPr="00AA5087">
        <w:rPr>
          <w:rFonts w:ascii="Times New Roman" w:eastAsia="Calibri" w:hAnsi="Times New Roman" w:cs="Times New Roman"/>
          <w:iCs/>
          <w:sz w:val="24"/>
          <w:szCs w:val="24"/>
          <w:lang w:val="en-US" w:eastAsia="en-US"/>
        </w:rPr>
        <w:t>95</w:t>
      </w:r>
      <w:r w:rsidR="009450F8">
        <w:rPr>
          <w:rFonts w:ascii="Times New Roman" w:eastAsia="Calibri" w:hAnsi="Times New Roman" w:cs="Times New Roman"/>
          <w:iCs/>
          <w:sz w:val="24"/>
          <w:szCs w:val="24"/>
          <w:lang w:val="en-US" w:eastAsia="en-US"/>
        </w:rPr>
        <w:t>,</w:t>
      </w:r>
      <w:r w:rsidRPr="00AA5087">
        <w:rPr>
          <w:rFonts w:ascii="Times New Roman" w:eastAsia="Calibri" w:hAnsi="Times New Roman" w:cs="Times New Roman"/>
          <w:sz w:val="24"/>
          <w:szCs w:val="24"/>
          <w:lang w:eastAsia="en-US"/>
        </w:rPr>
        <w:t xml:space="preserve"> </w:t>
      </w:r>
      <w:r w:rsidRPr="00AA5087">
        <w:rPr>
          <w:rFonts w:ascii="Times New Roman" w:eastAsia="Calibri" w:hAnsi="Times New Roman" w:cs="Times New Roman"/>
          <w:sz w:val="24"/>
          <w:szCs w:val="24"/>
          <w:lang w:val="en-US" w:eastAsia="en-US"/>
        </w:rPr>
        <w:t>317–335.</w:t>
      </w:r>
    </w:p>
    <w:p w14:paraId="777B5EB4" w14:textId="6BA568FC" w:rsidR="00B73B45" w:rsidRPr="00AA5087" w:rsidRDefault="00B73B45" w:rsidP="002115E1">
      <w:pPr>
        <w:spacing w:after="0" w:line="240" w:lineRule="auto"/>
        <w:ind w:left="142" w:hanging="142"/>
        <w:jc w:val="both"/>
        <w:rPr>
          <w:rFonts w:ascii="Times New Roman" w:eastAsia="Calibri" w:hAnsi="Times New Roman" w:cs="Times New Roman"/>
          <w:sz w:val="24"/>
          <w:szCs w:val="24"/>
          <w:lang w:eastAsia="en-US"/>
        </w:rPr>
      </w:pPr>
      <w:r w:rsidRPr="00AA5087">
        <w:rPr>
          <w:rFonts w:ascii="Times New Roman" w:eastAsia="Calibri" w:hAnsi="Times New Roman" w:cs="Times New Roman"/>
          <w:sz w:val="24"/>
          <w:szCs w:val="24"/>
          <w:lang w:eastAsia="en-US"/>
        </w:rPr>
        <w:t xml:space="preserve">Hudaib, M., &amp; Cooke, T. E. (2005), ‘The impact of managing director changes and financial distress on audit qualification and auditor switching’, </w:t>
      </w:r>
      <w:r w:rsidRPr="00AA5087">
        <w:rPr>
          <w:rFonts w:ascii="Times New Roman" w:eastAsia="Calibri" w:hAnsi="Times New Roman" w:cs="Times New Roman"/>
          <w:i/>
          <w:iCs/>
          <w:sz w:val="24"/>
          <w:szCs w:val="24"/>
          <w:lang w:eastAsia="en-US"/>
        </w:rPr>
        <w:t>Journal of Business Finance &amp; Accounting</w:t>
      </w:r>
      <w:r w:rsidRPr="00AA5087">
        <w:rPr>
          <w:rFonts w:ascii="Times New Roman" w:eastAsia="Calibri" w:hAnsi="Times New Roman" w:cs="Times New Roman"/>
          <w:sz w:val="24"/>
          <w:szCs w:val="24"/>
          <w:lang w:eastAsia="en-US"/>
        </w:rPr>
        <w:t xml:space="preserve">, 32 </w:t>
      </w:r>
      <w:r w:rsidR="009450F8">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9</w:t>
      </w:r>
      <w:r w:rsidRPr="00AA5087">
        <w:rPr>
          <w:rFonts w:ascii="Cambria Math" w:eastAsia="Calibri" w:hAnsi="Cambria Math" w:cs="Cambria Math"/>
          <w:sz w:val="24"/>
          <w:szCs w:val="24"/>
          <w:lang w:eastAsia="en-US"/>
        </w:rPr>
        <w:t>‐</w:t>
      </w:r>
      <w:r w:rsidRPr="00AA5087">
        <w:rPr>
          <w:rFonts w:ascii="Times New Roman" w:eastAsia="Calibri" w:hAnsi="Times New Roman" w:cs="Times New Roman"/>
          <w:sz w:val="24"/>
          <w:szCs w:val="24"/>
          <w:lang w:eastAsia="en-US"/>
        </w:rPr>
        <w:t>10</w:t>
      </w:r>
      <w:r w:rsidR="009450F8">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 1703</w:t>
      </w:r>
      <w:r w:rsidR="003D244F" w:rsidRPr="00AA5087">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1739.</w:t>
      </w:r>
    </w:p>
    <w:p w14:paraId="52ED11A8" w14:textId="4217D05C" w:rsidR="00B73B45" w:rsidRPr="00AA5087" w:rsidRDefault="00B73B45" w:rsidP="002115E1">
      <w:pPr>
        <w:spacing w:after="0" w:line="240" w:lineRule="auto"/>
        <w:ind w:left="142" w:hanging="142"/>
        <w:jc w:val="both"/>
        <w:rPr>
          <w:rFonts w:ascii="Times New Roman" w:eastAsia="Calibri" w:hAnsi="Times New Roman" w:cs="Times New Roman"/>
          <w:sz w:val="24"/>
          <w:szCs w:val="24"/>
          <w:highlight w:val="yellow"/>
          <w:lang w:eastAsia="en-US"/>
        </w:rPr>
      </w:pPr>
      <w:r w:rsidRPr="00AA5087">
        <w:rPr>
          <w:rFonts w:ascii="Times New Roman" w:eastAsia="Calibri" w:hAnsi="Times New Roman" w:cs="Times New Roman"/>
          <w:sz w:val="24"/>
          <w:szCs w:val="24"/>
          <w:lang w:eastAsia="en-US"/>
        </w:rPr>
        <w:t>Ioannou, I., &amp; Serafeim, G. (2012)</w:t>
      </w:r>
      <w:r w:rsidR="0083673E" w:rsidRPr="00AA5087">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 xml:space="preserve"> </w:t>
      </w:r>
      <w:r w:rsidR="0083673E" w:rsidRPr="00AA5087">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What drives corporate social performance? The role of nation-level institutions</w:t>
      </w:r>
      <w:r w:rsidR="0083673E" w:rsidRPr="00AA5087">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 </w:t>
      </w:r>
      <w:r w:rsidRPr="00AA5087">
        <w:rPr>
          <w:rFonts w:ascii="Times New Roman" w:eastAsia="Calibri" w:hAnsi="Times New Roman" w:cs="Times New Roman"/>
          <w:i/>
          <w:iCs/>
          <w:sz w:val="24"/>
          <w:szCs w:val="24"/>
          <w:lang w:eastAsia="en-US"/>
        </w:rPr>
        <w:t>Journal of International Business Studies</w:t>
      </w:r>
      <w:r w:rsidRPr="00AA5087">
        <w:rPr>
          <w:rFonts w:ascii="Times New Roman" w:eastAsia="Calibri" w:hAnsi="Times New Roman" w:cs="Times New Roman"/>
          <w:sz w:val="24"/>
          <w:szCs w:val="24"/>
          <w:lang w:eastAsia="en-US"/>
        </w:rPr>
        <w:t>, 43</w:t>
      </w:r>
      <w:r w:rsidR="009450F8">
        <w:rPr>
          <w:rFonts w:ascii="Times New Roman" w:eastAsia="Calibri" w:hAnsi="Times New Roman" w:cs="Times New Roman"/>
          <w:sz w:val="24"/>
          <w:szCs w:val="24"/>
          <w:lang w:eastAsia="en-US"/>
        </w:rPr>
        <w:t xml:space="preserve"> (</w:t>
      </w:r>
      <w:r w:rsidRPr="00AA5087">
        <w:rPr>
          <w:rFonts w:ascii="Times New Roman" w:eastAsia="Calibri" w:hAnsi="Times New Roman" w:cs="Times New Roman"/>
          <w:sz w:val="24"/>
          <w:szCs w:val="24"/>
          <w:lang w:eastAsia="en-US"/>
        </w:rPr>
        <w:t>9</w:t>
      </w:r>
      <w:r w:rsidR="009450F8">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 834</w:t>
      </w:r>
      <w:r w:rsidR="003D244F" w:rsidRPr="00AA5087">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864.</w:t>
      </w:r>
    </w:p>
    <w:p w14:paraId="6BCB3405" w14:textId="337C693B" w:rsidR="00B73B45" w:rsidRPr="00AA5087" w:rsidRDefault="00B73B45" w:rsidP="002115E1">
      <w:pPr>
        <w:spacing w:after="0" w:line="240" w:lineRule="auto"/>
        <w:ind w:left="142" w:hanging="142"/>
        <w:jc w:val="both"/>
        <w:rPr>
          <w:rFonts w:ascii="Times New Roman" w:eastAsia="Calibri" w:hAnsi="Times New Roman" w:cs="Times New Roman"/>
          <w:sz w:val="24"/>
          <w:szCs w:val="24"/>
          <w:lang w:eastAsia="en-US"/>
        </w:rPr>
      </w:pPr>
      <w:r w:rsidRPr="00AA5087">
        <w:rPr>
          <w:rFonts w:ascii="Times New Roman" w:eastAsia="Calibri" w:hAnsi="Times New Roman" w:cs="Times New Roman"/>
          <w:sz w:val="24"/>
          <w:szCs w:val="24"/>
          <w:lang w:eastAsia="en-US"/>
        </w:rPr>
        <w:t>Jaggi, B., &amp; Low, P. Y. (2000), ‘Impact of culture, market forces, and legal system on financial disclosures’, </w:t>
      </w:r>
      <w:r w:rsidRPr="00AA5087">
        <w:rPr>
          <w:rFonts w:ascii="Times New Roman" w:eastAsia="Calibri" w:hAnsi="Times New Roman" w:cs="Times New Roman"/>
          <w:i/>
          <w:iCs/>
          <w:sz w:val="24"/>
          <w:szCs w:val="24"/>
          <w:lang w:eastAsia="en-US"/>
        </w:rPr>
        <w:t>The International Journal of Accounting</w:t>
      </w:r>
      <w:r w:rsidRPr="00AA5087">
        <w:rPr>
          <w:rFonts w:ascii="Times New Roman" w:eastAsia="Calibri" w:hAnsi="Times New Roman" w:cs="Times New Roman"/>
          <w:sz w:val="24"/>
          <w:szCs w:val="24"/>
          <w:lang w:eastAsia="en-US"/>
        </w:rPr>
        <w:t xml:space="preserve">, 35 </w:t>
      </w:r>
      <w:r w:rsidR="009450F8">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4</w:t>
      </w:r>
      <w:r w:rsidR="009450F8">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 495</w:t>
      </w:r>
      <w:r w:rsidR="003D244F" w:rsidRPr="00AA5087">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519.</w:t>
      </w:r>
    </w:p>
    <w:p w14:paraId="6D97836C" w14:textId="24A90D1E" w:rsidR="00B73B45" w:rsidRPr="00AA5087" w:rsidRDefault="00B73B45" w:rsidP="002115E1">
      <w:pPr>
        <w:spacing w:after="0" w:line="240" w:lineRule="auto"/>
        <w:ind w:left="142" w:hanging="142"/>
        <w:jc w:val="both"/>
        <w:rPr>
          <w:rFonts w:ascii="Times New Roman" w:eastAsia="Calibri" w:hAnsi="Times New Roman" w:cs="Times New Roman"/>
          <w:sz w:val="24"/>
          <w:szCs w:val="24"/>
          <w:lang w:eastAsia="en-US"/>
        </w:rPr>
      </w:pPr>
      <w:r w:rsidRPr="00AA5087">
        <w:rPr>
          <w:rFonts w:ascii="Times New Roman" w:eastAsia="Calibri" w:hAnsi="Times New Roman" w:cs="Times New Roman"/>
          <w:sz w:val="24"/>
          <w:szCs w:val="24"/>
          <w:lang w:eastAsia="en-US"/>
        </w:rPr>
        <w:t>Jensen, M. C. (1993), ‘The modern industrial revolution, exit, and the failure of internal control systems’, </w:t>
      </w:r>
      <w:r w:rsidRPr="00AA5087">
        <w:rPr>
          <w:rFonts w:ascii="Times New Roman" w:eastAsia="Calibri" w:hAnsi="Times New Roman" w:cs="Times New Roman"/>
          <w:i/>
          <w:iCs/>
          <w:sz w:val="24"/>
          <w:szCs w:val="24"/>
          <w:lang w:eastAsia="en-US"/>
        </w:rPr>
        <w:t>The Journal of Finance</w:t>
      </w:r>
      <w:r w:rsidR="009450F8">
        <w:rPr>
          <w:rFonts w:ascii="Times New Roman" w:eastAsia="Calibri" w:hAnsi="Times New Roman" w:cs="Times New Roman"/>
          <w:sz w:val="24"/>
          <w:szCs w:val="24"/>
          <w:lang w:eastAsia="en-US"/>
        </w:rPr>
        <w:t>, </w:t>
      </w:r>
      <w:r w:rsidRPr="00AA5087">
        <w:rPr>
          <w:rFonts w:ascii="Times New Roman" w:eastAsia="Calibri" w:hAnsi="Times New Roman" w:cs="Times New Roman"/>
          <w:sz w:val="24"/>
          <w:szCs w:val="24"/>
          <w:lang w:eastAsia="en-US"/>
        </w:rPr>
        <w:t xml:space="preserve">48 </w:t>
      </w:r>
      <w:r w:rsidR="009450F8">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3</w:t>
      </w:r>
      <w:r w:rsidR="009450F8">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 831</w:t>
      </w:r>
      <w:r w:rsidR="003D244F" w:rsidRPr="00AA5087">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880.</w:t>
      </w:r>
    </w:p>
    <w:p w14:paraId="6899BDBE" w14:textId="261F1404" w:rsidR="00B73B45" w:rsidRPr="00AA5087" w:rsidRDefault="00B73B45" w:rsidP="002115E1">
      <w:pPr>
        <w:spacing w:after="0" w:line="240" w:lineRule="auto"/>
        <w:ind w:left="142" w:hanging="142"/>
        <w:jc w:val="both"/>
        <w:rPr>
          <w:rFonts w:ascii="Times New Roman" w:eastAsia="Calibri" w:hAnsi="Times New Roman" w:cs="Times New Roman"/>
          <w:sz w:val="24"/>
          <w:szCs w:val="24"/>
          <w:lang w:eastAsia="en-US"/>
        </w:rPr>
      </w:pPr>
      <w:r w:rsidRPr="00AA5087">
        <w:rPr>
          <w:rFonts w:ascii="Times New Roman" w:eastAsia="Calibri" w:hAnsi="Times New Roman" w:cs="Times New Roman"/>
          <w:sz w:val="24"/>
          <w:szCs w:val="24"/>
          <w:lang w:eastAsia="en-US"/>
        </w:rPr>
        <w:t xml:space="preserve">Jensen, M. C., &amp; Meckling, W. H. (1976), ‘Theory of the firm: Managerial behavior, agency costs and ownership structure’, </w:t>
      </w:r>
      <w:r w:rsidRPr="00AA5087">
        <w:rPr>
          <w:rFonts w:ascii="Times New Roman" w:eastAsia="Calibri" w:hAnsi="Times New Roman" w:cs="Times New Roman"/>
          <w:i/>
          <w:iCs/>
          <w:sz w:val="24"/>
          <w:szCs w:val="24"/>
          <w:lang w:eastAsia="en-US"/>
        </w:rPr>
        <w:t>Journal of Financial Economics</w:t>
      </w:r>
      <w:r w:rsidRPr="00AA5087">
        <w:rPr>
          <w:rFonts w:ascii="Times New Roman" w:eastAsia="Calibri" w:hAnsi="Times New Roman" w:cs="Times New Roman"/>
          <w:sz w:val="24"/>
          <w:szCs w:val="24"/>
          <w:lang w:eastAsia="en-US"/>
        </w:rPr>
        <w:t xml:space="preserve">, 3 </w:t>
      </w:r>
      <w:r w:rsidR="009450F8">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4</w:t>
      </w:r>
      <w:r w:rsidR="009450F8">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 305</w:t>
      </w:r>
      <w:r w:rsidR="003D244F" w:rsidRPr="00AA5087">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360.</w:t>
      </w:r>
    </w:p>
    <w:p w14:paraId="43BCEF5D" w14:textId="0D98B6D4" w:rsidR="00B73B45" w:rsidRPr="00AA5087" w:rsidRDefault="00B73B45" w:rsidP="002115E1">
      <w:pPr>
        <w:spacing w:after="0" w:line="240" w:lineRule="auto"/>
        <w:ind w:left="142" w:hanging="142"/>
        <w:jc w:val="both"/>
        <w:rPr>
          <w:rFonts w:ascii="Times New Roman" w:eastAsia="Calibri" w:hAnsi="Times New Roman" w:cs="Times New Roman"/>
          <w:sz w:val="24"/>
          <w:szCs w:val="24"/>
          <w:lang w:eastAsia="en-US"/>
        </w:rPr>
      </w:pPr>
      <w:r w:rsidRPr="00AA5087">
        <w:rPr>
          <w:rFonts w:ascii="Times New Roman" w:eastAsia="Calibri" w:hAnsi="Times New Roman" w:cs="Times New Roman"/>
          <w:sz w:val="24"/>
          <w:szCs w:val="24"/>
          <w:lang w:eastAsia="en-US"/>
        </w:rPr>
        <w:t>Johansen, T. R., &amp; Pettersson, K. (2013), ‘The impact of board interlocks on auditor choice and audit fees’, </w:t>
      </w:r>
      <w:r w:rsidRPr="00AA5087">
        <w:rPr>
          <w:rFonts w:ascii="Times New Roman" w:eastAsia="Calibri" w:hAnsi="Times New Roman" w:cs="Times New Roman"/>
          <w:i/>
          <w:iCs/>
          <w:sz w:val="24"/>
          <w:szCs w:val="24"/>
          <w:lang w:eastAsia="en-US"/>
        </w:rPr>
        <w:t>Corporate Governance: An International Review</w:t>
      </w:r>
      <w:r w:rsidRPr="00AA5087">
        <w:rPr>
          <w:rFonts w:ascii="Times New Roman" w:eastAsia="Calibri" w:hAnsi="Times New Roman" w:cs="Times New Roman"/>
          <w:sz w:val="24"/>
          <w:szCs w:val="24"/>
          <w:lang w:eastAsia="en-US"/>
        </w:rPr>
        <w:t xml:space="preserve">, 21 </w:t>
      </w:r>
      <w:r w:rsidR="009450F8">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3</w:t>
      </w:r>
      <w:r w:rsidR="009450F8">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 287</w:t>
      </w:r>
      <w:r w:rsidR="003D244F" w:rsidRPr="00AA5087">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310.</w:t>
      </w:r>
    </w:p>
    <w:p w14:paraId="610494CC" w14:textId="76897EA0" w:rsidR="00220FA5" w:rsidRPr="00AA5087" w:rsidRDefault="00220FA5" w:rsidP="002115E1">
      <w:pPr>
        <w:spacing w:after="0" w:line="240" w:lineRule="auto"/>
        <w:ind w:left="142" w:hanging="142"/>
        <w:jc w:val="both"/>
        <w:rPr>
          <w:rFonts w:ascii="Times New Roman" w:eastAsia="Calibri" w:hAnsi="Times New Roman" w:cs="Times New Roman"/>
          <w:sz w:val="24"/>
          <w:szCs w:val="24"/>
          <w:lang w:eastAsia="en-US"/>
        </w:rPr>
      </w:pPr>
      <w:r w:rsidRPr="00AA5087">
        <w:rPr>
          <w:rFonts w:ascii="Times New Roman" w:eastAsia="Calibri" w:hAnsi="Times New Roman" w:cs="Times New Roman"/>
          <w:sz w:val="24"/>
          <w:szCs w:val="24"/>
          <w:lang w:eastAsia="en-US"/>
        </w:rPr>
        <w:t xml:space="preserve">Judge, W. Q., Douglas, T. J., &amp; Kutan, A. M. (2008), </w:t>
      </w:r>
      <w:r w:rsidRPr="00AA5087">
        <w:rPr>
          <w:rFonts w:ascii="Times New Roman" w:eastAsia="Calibri" w:hAnsi="Times New Roman" w:cs="Times New Roman"/>
          <w:sz w:val="24"/>
          <w:szCs w:val="24"/>
          <w:lang w:val="en-US" w:eastAsia="en-US"/>
        </w:rPr>
        <w:t>‘</w:t>
      </w:r>
      <w:r w:rsidRPr="00AA5087">
        <w:rPr>
          <w:rFonts w:ascii="Times New Roman" w:eastAsia="Calibri" w:hAnsi="Times New Roman" w:cs="Times New Roman"/>
          <w:sz w:val="24"/>
          <w:szCs w:val="24"/>
          <w:lang w:eastAsia="en-US"/>
        </w:rPr>
        <w:t>Institutional antecedents of corporate governance legitimacy’, </w:t>
      </w:r>
      <w:r w:rsidRPr="00AA5087">
        <w:rPr>
          <w:rFonts w:ascii="Times New Roman" w:eastAsia="Calibri" w:hAnsi="Times New Roman" w:cs="Times New Roman"/>
          <w:i/>
          <w:iCs/>
          <w:sz w:val="24"/>
          <w:szCs w:val="24"/>
          <w:lang w:eastAsia="en-US"/>
        </w:rPr>
        <w:t>Journal of Management</w:t>
      </w:r>
      <w:r w:rsidRPr="00AA5087">
        <w:rPr>
          <w:rFonts w:ascii="Times New Roman" w:eastAsia="Calibri" w:hAnsi="Times New Roman" w:cs="Times New Roman"/>
          <w:sz w:val="24"/>
          <w:szCs w:val="24"/>
          <w:lang w:eastAsia="en-US"/>
        </w:rPr>
        <w:t xml:space="preserve">, 34 </w:t>
      </w:r>
      <w:r w:rsidR="009450F8">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4</w:t>
      </w:r>
      <w:r w:rsidR="009450F8">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 765-785.</w:t>
      </w:r>
    </w:p>
    <w:p w14:paraId="43298CF1" w14:textId="1D4988B8" w:rsidR="00B73B45" w:rsidRPr="00AA5087" w:rsidRDefault="00B73B45" w:rsidP="002115E1">
      <w:pPr>
        <w:spacing w:after="0" w:line="240" w:lineRule="auto"/>
        <w:ind w:left="142" w:hanging="142"/>
        <w:jc w:val="both"/>
        <w:rPr>
          <w:rFonts w:ascii="Times New Roman" w:eastAsia="Calibri" w:hAnsi="Times New Roman" w:cs="Times New Roman"/>
          <w:i/>
          <w:iCs/>
          <w:sz w:val="24"/>
          <w:szCs w:val="24"/>
          <w:lang w:eastAsia="en-US"/>
        </w:rPr>
      </w:pPr>
      <w:r w:rsidRPr="00AA5087">
        <w:rPr>
          <w:rFonts w:ascii="Times New Roman" w:eastAsia="Calibri" w:hAnsi="Times New Roman" w:cs="Times New Roman"/>
          <w:sz w:val="24"/>
          <w:szCs w:val="24"/>
          <w:lang w:eastAsia="en-US"/>
        </w:rPr>
        <w:t>Kalelkar, R., &amp; Khan, S. A. (2016), ‘CEO Financial Background and Audit Pricing’, </w:t>
      </w:r>
      <w:r w:rsidRPr="00AA5087">
        <w:rPr>
          <w:rFonts w:ascii="Times New Roman" w:eastAsia="Calibri" w:hAnsi="Times New Roman" w:cs="Times New Roman"/>
          <w:i/>
          <w:iCs/>
          <w:sz w:val="24"/>
          <w:szCs w:val="24"/>
          <w:lang w:eastAsia="en-US"/>
        </w:rPr>
        <w:t xml:space="preserve">Accounting Horizons, </w:t>
      </w:r>
      <w:r w:rsidR="006929A8" w:rsidRPr="00AA5087">
        <w:rPr>
          <w:rFonts w:ascii="Times New Roman" w:eastAsia="Calibri" w:hAnsi="Times New Roman" w:cs="Times New Roman"/>
          <w:iCs/>
          <w:sz w:val="24"/>
          <w:szCs w:val="24"/>
          <w:lang w:eastAsia="en-US"/>
        </w:rPr>
        <w:t xml:space="preserve">30 </w:t>
      </w:r>
      <w:r w:rsidR="009450F8">
        <w:rPr>
          <w:rFonts w:ascii="Times New Roman" w:eastAsia="Calibri" w:hAnsi="Times New Roman" w:cs="Times New Roman"/>
          <w:iCs/>
          <w:sz w:val="24"/>
          <w:szCs w:val="24"/>
          <w:lang w:eastAsia="en-US"/>
        </w:rPr>
        <w:t>(</w:t>
      </w:r>
      <w:r w:rsidR="006929A8" w:rsidRPr="00AA5087">
        <w:rPr>
          <w:rFonts w:ascii="Times New Roman" w:eastAsia="Calibri" w:hAnsi="Times New Roman" w:cs="Times New Roman"/>
          <w:iCs/>
          <w:sz w:val="24"/>
          <w:szCs w:val="24"/>
          <w:lang w:eastAsia="en-US"/>
        </w:rPr>
        <w:t>3</w:t>
      </w:r>
      <w:r w:rsidR="009450F8">
        <w:rPr>
          <w:rFonts w:ascii="Times New Roman" w:eastAsia="Calibri" w:hAnsi="Times New Roman" w:cs="Times New Roman"/>
          <w:iCs/>
          <w:sz w:val="24"/>
          <w:szCs w:val="24"/>
          <w:lang w:eastAsia="en-US"/>
        </w:rPr>
        <w:t>)</w:t>
      </w:r>
      <w:r w:rsidR="006929A8" w:rsidRPr="00AA5087">
        <w:rPr>
          <w:rFonts w:ascii="Times New Roman" w:eastAsia="Calibri" w:hAnsi="Times New Roman" w:cs="Times New Roman"/>
          <w:iCs/>
          <w:sz w:val="24"/>
          <w:szCs w:val="24"/>
          <w:lang w:eastAsia="en-US"/>
        </w:rPr>
        <w:t>, 325-339</w:t>
      </w:r>
      <w:r w:rsidR="006929A8" w:rsidRPr="00AA5087">
        <w:rPr>
          <w:rFonts w:ascii="Times New Roman" w:eastAsia="Calibri" w:hAnsi="Times New Roman" w:cs="Times New Roman"/>
          <w:i/>
          <w:iCs/>
          <w:sz w:val="24"/>
          <w:szCs w:val="24"/>
          <w:lang w:eastAsia="en-US"/>
        </w:rPr>
        <w:t> </w:t>
      </w:r>
      <w:r w:rsidRPr="00AA5087">
        <w:rPr>
          <w:rFonts w:ascii="Times New Roman" w:eastAsia="Calibri" w:hAnsi="Times New Roman" w:cs="Times New Roman"/>
          <w:i/>
          <w:iCs/>
          <w:sz w:val="24"/>
          <w:szCs w:val="24"/>
          <w:lang w:eastAsia="en-US"/>
        </w:rPr>
        <w:t>.</w:t>
      </w:r>
    </w:p>
    <w:p w14:paraId="74E2EF45" w14:textId="01A2C7D0" w:rsidR="006929A8" w:rsidRPr="00AA5087" w:rsidRDefault="006929A8" w:rsidP="002115E1">
      <w:pPr>
        <w:spacing w:after="0" w:line="240" w:lineRule="auto"/>
        <w:ind w:left="142" w:hanging="142"/>
        <w:jc w:val="both"/>
        <w:rPr>
          <w:rStyle w:val="Hyperlink"/>
          <w:rFonts w:ascii="Times New Roman" w:eastAsia="Calibri" w:hAnsi="Times New Roman" w:cs="Times New Roman"/>
          <w:sz w:val="24"/>
          <w:szCs w:val="24"/>
          <w:lang w:eastAsia="en-US"/>
        </w:rPr>
      </w:pPr>
      <w:r w:rsidRPr="00AA5087">
        <w:rPr>
          <w:rFonts w:ascii="Times New Roman" w:eastAsia="Calibri" w:hAnsi="Times New Roman" w:cs="Times New Roman"/>
          <w:sz w:val="24"/>
          <w:szCs w:val="24"/>
          <w:lang w:eastAsia="en-US"/>
        </w:rPr>
        <w:t xml:space="preserve">Kaufmann, D., Kraay, A., &amp; Mastruzzi, M. (2014), </w:t>
      </w:r>
      <w:r w:rsidRPr="00AA5087">
        <w:rPr>
          <w:rFonts w:ascii="Times New Roman" w:eastAsia="Calibri" w:hAnsi="Times New Roman" w:cs="Times New Roman"/>
          <w:sz w:val="24"/>
          <w:szCs w:val="24"/>
          <w:lang w:val="en-US" w:eastAsia="en-US"/>
        </w:rPr>
        <w:t>‘</w:t>
      </w:r>
      <w:r w:rsidRPr="00AA5087">
        <w:rPr>
          <w:rFonts w:ascii="Times New Roman" w:eastAsia="Calibri" w:hAnsi="Times New Roman" w:cs="Times New Roman"/>
          <w:i/>
          <w:iCs/>
          <w:sz w:val="24"/>
          <w:szCs w:val="24"/>
          <w:lang w:eastAsia="en-US"/>
        </w:rPr>
        <w:t>The worldwide governance indicators (1996–2014)</w:t>
      </w:r>
      <w:r w:rsidRPr="00AA5087">
        <w:rPr>
          <w:rFonts w:ascii="Times New Roman" w:eastAsia="Calibri" w:hAnsi="Times New Roman" w:cs="Times New Roman"/>
          <w:sz w:val="24"/>
          <w:szCs w:val="24"/>
          <w:lang w:eastAsia="en-US"/>
        </w:rPr>
        <w:t>’, Available at</w:t>
      </w:r>
      <w:r w:rsidR="00D44951" w:rsidRPr="004A432D">
        <w:rPr>
          <w:rFonts w:ascii="Times New Roman" w:eastAsia="Calibri" w:hAnsi="Times New Roman" w:cs="Times New Roman"/>
          <w:sz w:val="24"/>
          <w:szCs w:val="24"/>
          <w:lang w:eastAsia="en-US"/>
        </w:rPr>
        <w:t xml:space="preserve"> </w:t>
      </w:r>
      <w:r w:rsidRPr="004A432D">
        <w:rPr>
          <w:rStyle w:val="Hyperlink"/>
          <w:rFonts w:ascii="Times New Roman" w:eastAsia="Calibri" w:hAnsi="Times New Roman" w:cs="Times New Roman"/>
          <w:color w:val="auto"/>
          <w:sz w:val="24"/>
          <w:szCs w:val="24"/>
          <w:u w:val="none"/>
          <w:lang w:eastAsia="en-US"/>
        </w:rPr>
        <w:t>http://info.worldbank.org/governance/wgi/index.aspx#home</w:t>
      </w:r>
    </w:p>
    <w:p w14:paraId="410224E0" w14:textId="2B48658D" w:rsidR="006929A8" w:rsidRPr="00AA5087" w:rsidRDefault="006929A8" w:rsidP="002115E1">
      <w:pPr>
        <w:spacing w:after="0" w:line="240" w:lineRule="auto"/>
        <w:ind w:left="142" w:hanging="142"/>
        <w:jc w:val="both"/>
        <w:rPr>
          <w:rFonts w:ascii="Times New Roman" w:eastAsia="Calibri" w:hAnsi="Times New Roman" w:cs="Times New Roman"/>
          <w:sz w:val="24"/>
          <w:szCs w:val="24"/>
          <w:lang w:eastAsia="en-US"/>
        </w:rPr>
      </w:pPr>
      <w:r w:rsidRPr="00AA5087">
        <w:rPr>
          <w:rFonts w:ascii="Times New Roman" w:eastAsia="Calibri" w:hAnsi="Times New Roman" w:cs="Times New Roman"/>
          <w:sz w:val="24"/>
          <w:szCs w:val="24"/>
          <w:lang w:eastAsia="en-US"/>
        </w:rPr>
        <w:t xml:space="preserve">Khalifa, R. (2012), </w:t>
      </w:r>
      <w:r w:rsidRPr="00AA5087">
        <w:rPr>
          <w:rFonts w:ascii="Times New Roman" w:eastAsia="Calibri" w:hAnsi="Times New Roman" w:cs="Times New Roman"/>
          <w:sz w:val="24"/>
          <w:szCs w:val="24"/>
          <w:lang w:val="en-US" w:eastAsia="en-US"/>
        </w:rPr>
        <w:t>‘</w:t>
      </w:r>
      <w:r w:rsidRPr="00AA5087">
        <w:rPr>
          <w:rFonts w:ascii="Times New Roman" w:eastAsia="Calibri" w:hAnsi="Times New Roman" w:cs="Times New Roman"/>
          <w:sz w:val="24"/>
          <w:szCs w:val="24"/>
          <w:lang w:eastAsia="en-US"/>
        </w:rPr>
        <w:t>Towards a policy model for strengthening the accounting and auditing profession in a fragmented regulatory context: Some preliminary evidence from the UAE’, </w:t>
      </w:r>
      <w:r w:rsidRPr="00AA5087">
        <w:rPr>
          <w:rFonts w:ascii="Times New Roman" w:eastAsia="Calibri" w:hAnsi="Times New Roman" w:cs="Times New Roman"/>
          <w:i/>
          <w:sz w:val="24"/>
          <w:szCs w:val="24"/>
          <w:lang w:eastAsia="en-US"/>
        </w:rPr>
        <w:t>Journal</w:t>
      </w:r>
      <w:r w:rsidRPr="00AA5087">
        <w:rPr>
          <w:rFonts w:ascii="Times New Roman" w:eastAsia="Calibri" w:hAnsi="Times New Roman" w:cs="Times New Roman"/>
          <w:i/>
          <w:iCs/>
          <w:sz w:val="24"/>
          <w:szCs w:val="24"/>
          <w:lang w:eastAsia="en-US"/>
        </w:rPr>
        <w:t xml:space="preserve"> of Economic and Administrative Sciences</w:t>
      </w:r>
      <w:r w:rsidRPr="00AA5087">
        <w:rPr>
          <w:rFonts w:ascii="Times New Roman" w:eastAsia="Calibri" w:hAnsi="Times New Roman" w:cs="Times New Roman"/>
          <w:sz w:val="24"/>
          <w:szCs w:val="24"/>
          <w:lang w:eastAsia="en-US"/>
        </w:rPr>
        <w:t>, </w:t>
      </w:r>
      <w:r w:rsidRPr="00AA5087">
        <w:rPr>
          <w:rFonts w:ascii="Times New Roman" w:eastAsia="Calibri" w:hAnsi="Times New Roman" w:cs="Times New Roman"/>
          <w:iCs/>
          <w:sz w:val="24"/>
          <w:szCs w:val="24"/>
          <w:lang w:eastAsia="en-US"/>
        </w:rPr>
        <w:t>28</w:t>
      </w:r>
      <w:r w:rsidRPr="00AA5087">
        <w:rPr>
          <w:rFonts w:ascii="Times New Roman" w:eastAsia="Calibri" w:hAnsi="Times New Roman" w:cs="Times New Roman"/>
          <w:sz w:val="24"/>
          <w:szCs w:val="24"/>
          <w:lang w:eastAsia="en-US"/>
        </w:rPr>
        <w:t xml:space="preserve"> </w:t>
      </w:r>
      <w:r w:rsidR="009450F8">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1</w:t>
      </w:r>
      <w:r w:rsidR="009450F8">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 39–52.</w:t>
      </w:r>
    </w:p>
    <w:p w14:paraId="0A4D7421" w14:textId="1DB886AC" w:rsidR="006929A8" w:rsidRPr="00AA5087" w:rsidRDefault="006929A8" w:rsidP="002115E1">
      <w:pPr>
        <w:spacing w:after="0" w:line="240" w:lineRule="auto"/>
        <w:ind w:left="142" w:hanging="142"/>
        <w:jc w:val="both"/>
        <w:rPr>
          <w:rFonts w:ascii="Times New Roman" w:eastAsia="Calibri" w:hAnsi="Times New Roman" w:cs="Times New Roman"/>
          <w:sz w:val="24"/>
          <w:szCs w:val="24"/>
          <w:lang w:eastAsia="en-US"/>
        </w:rPr>
      </w:pPr>
      <w:r w:rsidRPr="00AA5087">
        <w:rPr>
          <w:rFonts w:ascii="Times New Roman" w:eastAsia="Calibri" w:hAnsi="Times New Roman" w:cs="Times New Roman"/>
          <w:sz w:val="24"/>
          <w:szCs w:val="24"/>
          <w:lang w:eastAsia="en-US"/>
        </w:rPr>
        <w:t>Khalil, M., &amp; Ozkan, A. (2016), ‘Board Independence, Audit Quality and Earnings Management: Evidence from Egypt’, </w:t>
      </w:r>
      <w:r w:rsidRPr="00AA5087">
        <w:rPr>
          <w:rFonts w:ascii="Times New Roman" w:eastAsia="Calibri" w:hAnsi="Times New Roman" w:cs="Times New Roman"/>
          <w:i/>
          <w:iCs/>
          <w:sz w:val="24"/>
          <w:szCs w:val="24"/>
          <w:lang w:eastAsia="en-US"/>
        </w:rPr>
        <w:t>Journal of Emerging Market Finance</w:t>
      </w:r>
      <w:r w:rsidRPr="00AA5087">
        <w:rPr>
          <w:rFonts w:ascii="Times New Roman" w:eastAsia="Calibri" w:hAnsi="Times New Roman" w:cs="Times New Roman"/>
          <w:sz w:val="24"/>
          <w:szCs w:val="24"/>
          <w:lang w:eastAsia="en-US"/>
        </w:rPr>
        <w:t>, 15</w:t>
      </w:r>
      <w:r w:rsidR="009450F8">
        <w:rPr>
          <w:rFonts w:ascii="Times New Roman" w:eastAsia="Calibri" w:hAnsi="Times New Roman" w:cs="Times New Roman"/>
          <w:sz w:val="24"/>
          <w:szCs w:val="24"/>
          <w:lang w:eastAsia="en-US"/>
        </w:rPr>
        <w:t xml:space="preserve"> (</w:t>
      </w:r>
      <w:r w:rsidRPr="00AA5087">
        <w:rPr>
          <w:rFonts w:ascii="Times New Roman" w:eastAsia="Calibri" w:hAnsi="Times New Roman" w:cs="Times New Roman"/>
          <w:sz w:val="24"/>
          <w:szCs w:val="24"/>
          <w:lang w:eastAsia="en-US"/>
        </w:rPr>
        <w:t>1</w:t>
      </w:r>
      <w:r w:rsidR="009450F8">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 84-118.</w:t>
      </w:r>
    </w:p>
    <w:p w14:paraId="586CC5CB" w14:textId="31623F86" w:rsidR="006929A8" w:rsidRPr="00AA5087" w:rsidRDefault="006929A8" w:rsidP="002115E1">
      <w:pPr>
        <w:spacing w:after="0" w:line="240" w:lineRule="auto"/>
        <w:ind w:left="142" w:hanging="142"/>
        <w:jc w:val="both"/>
        <w:rPr>
          <w:rFonts w:ascii="Times New Roman" w:eastAsia="Calibri" w:hAnsi="Times New Roman" w:cs="Times New Roman"/>
          <w:sz w:val="24"/>
          <w:szCs w:val="24"/>
          <w:lang w:eastAsia="en-US"/>
        </w:rPr>
      </w:pPr>
      <w:r w:rsidRPr="00AA5087">
        <w:rPr>
          <w:rFonts w:ascii="Times New Roman" w:eastAsia="Calibri" w:hAnsi="Times New Roman" w:cs="Times New Roman"/>
          <w:sz w:val="24"/>
          <w:szCs w:val="24"/>
          <w:lang w:eastAsia="en-US"/>
        </w:rPr>
        <w:t xml:space="preserve">Khalil, S., Magnan, M. L., &amp; Cohen, J. R. (2008), </w:t>
      </w:r>
      <w:r w:rsidRPr="00AA5087">
        <w:rPr>
          <w:rFonts w:ascii="Times New Roman" w:eastAsia="Calibri" w:hAnsi="Times New Roman" w:cs="Times New Roman"/>
          <w:sz w:val="24"/>
          <w:szCs w:val="24"/>
          <w:lang w:val="en-US" w:eastAsia="en-US"/>
        </w:rPr>
        <w:t>‘</w:t>
      </w:r>
      <w:r w:rsidRPr="00AA5087">
        <w:rPr>
          <w:rFonts w:ascii="Times New Roman" w:eastAsia="Calibri" w:hAnsi="Times New Roman" w:cs="Times New Roman"/>
          <w:sz w:val="24"/>
          <w:szCs w:val="24"/>
          <w:lang w:eastAsia="en-US"/>
        </w:rPr>
        <w:t>Dual-class shares and audit pricing: Evidence from the Canadian</w:t>
      </w:r>
      <w:r w:rsidR="00191E74" w:rsidRPr="00AA5087">
        <w:rPr>
          <w:rFonts w:ascii="Times New Roman" w:eastAsia="Calibri" w:hAnsi="Times New Roman" w:cs="Times New Roman"/>
          <w:sz w:val="24"/>
          <w:szCs w:val="24"/>
          <w:lang w:eastAsia="en-US"/>
        </w:rPr>
        <w:t xml:space="preserve"> markets’, </w:t>
      </w:r>
      <w:r w:rsidR="00191E74" w:rsidRPr="00AA5087">
        <w:rPr>
          <w:rFonts w:ascii="Times New Roman" w:eastAsia="Calibri" w:hAnsi="Times New Roman" w:cs="Times New Roman"/>
          <w:i/>
          <w:iCs/>
          <w:sz w:val="24"/>
          <w:szCs w:val="24"/>
          <w:lang w:eastAsia="en-US"/>
        </w:rPr>
        <w:t>Auditing</w:t>
      </w:r>
      <w:r w:rsidR="009450F8">
        <w:rPr>
          <w:rFonts w:ascii="Times New Roman" w:eastAsia="Calibri" w:hAnsi="Times New Roman" w:cs="Times New Roman"/>
          <w:sz w:val="24"/>
          <w:szCs w:val="24"/>
          <w:lang w:eastAsia="en-US"/>
        </w:rPr>
        <w:t xml:space="preserve">, </w:t>
      </w:r>
      <w:r w:rsidR="00191E74" w:rsidRPr="00AA5087">
        <w:rPr>
          <w:rFonts w:ascii="Times New Roman" w:eastAsia="Calibri" w:hAnsi="Times New Roman" w:cs="Times New Roman"/>
          <w:iCs/>
          <w:sz w:val="24"/>
          <w:szCs w:val="24"/>
          <w:lang w:eastAsia="en-US"/>
        </w:rPr>
        <w:t>27</w:t>
      </w:r>
      <w:r w:rsidR="00191E74" w:rsidRPr="00AA5087">
        <w:rPr>
          <w:rFonts w:ascii="Times New Roman" w:eastAsia="Calibri" w:hAnsi="Times New Roman" w:cs="Times New Roman"/>
          <w:sz w:val="24"/>
          <w:szCs w:val="24"/>
          <w:lang w:eastAsia="en-US"/>
        </w:rPr>
        <w:t xml:space="preserve"> </w:t>
      </w:r>
      <w:r w:rsidR="009450F8">
        <w:rPr>
          <w:rFonts w:ascii="Times New Roman" w:eastAsia="Calibri" w:hAnsi="Times New Roman" w:cs="Times New Roman"/>
          <w:sz w:val="24"/>
          <w:szCs w:val="24"/>
          <w:lang w:eastAsia="en-US"/>
        </w:rPr>
        <w:t>(</w:t>
      </w:r>
      <w:r w:rsidR="00191E74" w:rsidRPr="00AA5087">
        <w:rPr>
          <w:rFonts w:ascii="Times New Roman" w:eastAsia="Calibri" w:hAnsi="Times New Roman" w:cs="Times New Roman"/>
          <w:sz w:val="24"/>
          <w:szCs w:val="24"/>
          <w:lang w:eastAsia="en-US"/>
        </w:rPr>
        <w:t>2</w:t>
      </w:r>
      <w:r w:rsidR="009450F8">
        <w:rPr>
          <w:rFonts w:ascii="Times New Roman" w:eastAsia="Calibri" w:hAnsi="Times New Roman" w:cs="Times New Roman"/>
          <w:sz w:val="24"/>
          <w:szCs w:val="24"/>
          <w:lang w:eastAsia="en-US"/>
        </w:rPr>
        <w:t>)</w:t>
      </w:r>
      <w:r w:rsidR="00191E74" w:rsidRPr="00AA5087">
        <w:rPr>
          <w:rFonts w:ascii="Times New Roman" w:eastAsia="Calibri" w:hAnsi="Times New Roman" w:cs="Times New Roman"/>
          <w:sz w:val="24"/>
          <w:szCs w:val="24"/>
          <w:lang w:eastAsia="en-US"/>
        </w:rPr>
        <w:t>, 199–216.</w:t>
      </w:r>
    </w:p>
    <w:p w14:paraId="5FECD23D" w14:textId="0B90C79F" w:rsidR="006929A8" w:rsidRPr="00AA5087" w:rsidRDefault="006929A8" w:rsidP="002115E1">
      <w:pPr>
        <w:spacing w:after="0" w:line="240" w:lineRule="auto"/>
        <w:ind w:left="142" w:hanging="142"/>
        <w:jc w:val="both"/>
        <w:rPr>
          <w:rFonts w:ascii="Times New Roman" w:eastAsia="Calibri" w:hAnsi="Times New Roman" w:cs="Times New Roman"/>
          <w:sz w:val="24"/>
          <w:szCs w:val="24"/>
          <w:lang w:eastAsia="en-US"/>
        </w:rPr>
      </w:pPr>
      <w:r w:rsidRPr="00AA5087">
        <w:rPr>
          <w:rFonts w:ascii="Times New Roman" w:eastAsia="Calibri" w:hAnsi="Times New Roman" w:cs="Times New Roman"/>
          <w:sz w:val="24"/>
          <w:szCs w:val="24"/>
          <w:lang w:eastAsia="en-US"/>
        </w:rPr>
        <w:t>Khlif, H., &amp; Samaha, K. (2014), ‘Internal control quality, Egyptian standards on auditing and external audit delays: Evidence from the Egyptian Stock Exchange’, </w:t>
      </w:r>
      <w:r w:rsidRPr="00AA5087">
        <w:rPr>
          <w:rFonts w:ascii="Times New Roman" w:eastAsia="Calibri" w:hAnsi="Times New Roman" w:cs="Times New Roman"/>
          <w:i/>
          <w:iCs/>
          <w:sz w:val="24"/>
          <w:szCs w:val="24"/>
          <w:lang w:eastAsia="en-US"/>
        </w:rPr>
        <w:t>International Journal of Auditing</w:t>
      </w:r>
      <w:r w:rsidRPr="00AA5087">
        <w:rPr>
          <w:rFonts w:ascii="Times New Roman" w:eastAsia="Calibri" w:hAnsi="Times New Roman" w:cs="Times New Roman"/>
          <w:sz w:val="24"/>
          <w:szCs w:val="24"/>
          <w:lang w:eastAsia="en-US"/>
        </w:rPr>
        <w:t xml:space="preserve">, 18 </w:t>
      </w:r>
      <w:r w:rsidR="009450F8">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2</w:t>
      </w:r>
      <w:r w:rsidR="009450F8">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w:t>
      </w:r>
      <w:r w:rsidR="009450F8">
        <w:rPr>
          <w:rFonts w:ascii="Times New Roman" w:eastAsia="Calibri" w:hAnsi="Times New Roman" w:cs="Times New Roman"/>
          <w:sz w:val="24"/>
          <w:szCs w:val="24"/>
          <w:lang w:eastAsia="en-US"/>
        </w:rPr>
        <w:t xml:space="preserve"> </w:t>
      </w:r>
      <w:r w:rsidRPr="00AA5087">
        <w:rPr>
          <w:rFonts w:ascii="Times New Roman" w:eastAsia="Calibri" w:hAnsi="Times New Roman" w:cs="Times New Roman"/>
          <w:sz w:val="24"/>
          <w:szCs w:val="24"/>
          <w:lang w:eastAsia="en-US"/>
        </w:rPr>
        <w:t>139–154.</w:t>
      </w:r>
    </w:p>
    <w:p w14:paraId="1B4A51AB" w14:textId="51027C30" w:rsidR="006929A8" w:rsidRPr="00AA5087" w:rsidRDefault="006929A8" w:rsidP="002115E1">
      <w:pPr>
        <w:spacing w:after="0" w:line="240" w:lineRule="auto"/>
        <w:ind w:left="142" w:hanging="142"/>
        <w:jc w:val="both"/>
        <w:rPr>
          <w:rFonts w:ascii="Times New Roman" w:eastAsia="Calibri" w:hAnsi="Times New Roman" w:cs="Times New Roman"/>
          <w:sz w:val="24"/>
          <w:szCs w:val="24"/>
          <w:lang w:eastAsia="en-US"/>
        </w:rPr>
      </w:pPr>
      <w:r w:rsidRPr="00AA5087">
        <w:rPr>
          <w:rFonts w:ascii="Times New Roman" w:eastAsia="Calibri" w:hAnsi="Times New Roman" w:cs="Times New Roman"/>
          <w:sz w:val="24"/>
          <w:szCs w:val="24"/>
          <w:lang w:eastAsia="en-US"/>
        </w:rPr>
        <w:t xml:space="preserve">Khlif, H., Samaha, K., &amp; Azzam, I. (2015), </w:t>
      </w:r>
      <w:r w:rsidRPr="00AA5087">
        <w:rPr>
          <w:rFonts w:ascii="Times New Roman" w:eastAsia="Calibri" w:hAnsi="Times New Roman" w:cs="Times New Roman"/>
          <w:sz w:val="24"/>
          <w:szCs w:val="24"/>
          <w:lang w:val="en-US" w:eastAsia="en-US"/>
        </w:rPr>
        <w:t>‘</w:t>
      </w:r>
      <w:r w:rsidRPr="00AA5087">
        <w:rPr>
          <w:rFonts w:ascii="Times New Roman" w:eastAsia="Calibri" w:hAnsi="Times New Roman" w:cs="Times New Roman"/>
          <w:sz w:val="24"/>
          <w:szCs w:val="24"/>
          <w:lang w:eastAsia="en-US"/>
        </w:rPr>
        <w:t>Disclosure, ownership structure, earnings announcement lag and cost of equity capital in emerging markets: The case of the Egyptian stock exchange’, </w:t>
      </w:r>
      <w:r w:rsidRPr="00AA5087">
        <w:rPr>
          <w:rFonts w:ascii="Times New Roman" w:eastAsia="Calibri" w:hAnsi="Times New Roman" w:cs="Times New Roman"/>
          <w:i/>
          <w:iCs/>
          <w:sz w:val="24"/>
          <w:szCs w:val="24"/>
          <w:lang w:eastAsia="en-US"/>
        </w:rPr>
        <w:t>Journal of Applied Accounting Research</w:t>
      </w:r>
      <w:r w:rsidRPr="00AA5087">
        <w:rPr>
          <w:rFonts w:ascii="Times New Roman" w:eastAsia="Calibri" w:hAnsi="Times New Roman" w:cs="Times New Roman"/>
          <w:sz w:val="24"/>
          <w:szCs w:val="24"/>
          <w:lang w:eastAsia="en-US"/>
        </w:rPr>
        <w:t>, </w:t>
      </w:r>
      <w:r w:rsidRPr="00AA5087">
        <w:rPr>
          <w:rFonts w:ascii="Times New Roman" w:eastAsia="Calibri" w:hAnsi="Times New Roman" w:cs="Times New Roman"/>
          <w:iCs/>
          <w:sz w:val="24"/>
          <w:szCs w:val="24"/>
          <w:lang w:eastAsia="en-US"/>
        </w:rPr>
        <w:t>6</w:t>
      </w:r>
      <w:r w:rsidRPr="00AA5087">
        <w:rPr>
          <w:rFonts w:ascii="Times New Roman" w:eastAsia="Calibri" w:hAnsi="Times New Roman" w:cs="Times New Roman"/>
          <w:sz w:val="24"/>
          <w:szCs w:val="24"/>
          <w:lang w:eastAsia="en-US"/>
        </w:rPr>
        <w:t xml:space="preserve"> </w:t>
      </w:r>
      <w:r w:rsidR="009450F8">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1</w:t>
      </w:r>
      <w:r w:rsidR="009450F8">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 28–57.</w:t>
      </w:r>
    </w:p>
    <w:p w14:paraId="507372E5" w14:textId="4742DAFF" w:rsidR="00296264" w:rsidRPr="00AA5087" w:rsidRDefault="00296264" w:rsidP="002115E1">
      <w:pPr>
        <w:spacing w:after="0" w:line="240" w:lineRule="auto"/>
        <w:ind w:left="142" w:hanging="142"/>
        <w:jc w:val="both"/>
        <w:rPr>
          <w:rFonts w:ascii="Times New Roman" w:eastAsia="Calibri" w:hAnsi="Times New Roman" w:cs="Times New Roman"/>
          <w:sz w:val="24"/>
          <w:szCs w:val="24"/>
          <w:lang w:eastAsia="en-US"/>
        </w:rPr>
      </w:pPr>
      <w:r w:rsidRPr="00AA5087">
        <w:rPr>
          <w:rFonts w:ascii="Times New Roman" w:eastAsia="Calibri" w:hAnsi="Times New Roman" w:cs="Times New Roman"/>
          <w:sz w:val="24"/>
          <w:szCs w:val="24"/>
          <w:lang w:eastAsia="en-US"/>
        </w:rPr>
        <w:t>Klumpes, P., Komarev, I., &amp; Eleftheriou, K. (2016), ‘The pricing of audit and non-audit services in a regulated environment: a longitudinal study of the UK life insurance industry’, </w:t>
      </w:r>
      <w:r w:rsidRPr="00AA5087">
        <w:rPr>
          <w:rFonts w:ascii="Times New Roman" w:eastAsia="Calibri" w:hAnsi="Times New Roman" w:cs="Times New Roman"/>
          <w:i/>
          <w:iCs/>
          <w:sz w:val="24"/>
          <w:szCs w:val="24"/>
          <w:lang w:eastAsia="en-US"/>
        </w:rPr>
        <w:t>Accounting and Business Research</w:t>
      </w:r>
      <w:r w:rsidRPr="00AA5087">
        <w:rPr>
          <w:rFonts w:ascii="Times New Roman" w:eastAsia="Calibri" w:hAnsi="Times New Roman" w:cs="Times New Roman"/>
          <w:sz w:val="24"/>
          <w:szCs w:val="24"/>
          <w:lang w:eastAsia="en-US"/>
        </w:rPr>
        <w:t>, 46</w:t>
      </w:r>
      <w:r w:rsidRPr="00AA5087">
        <w:rPr>
          <w:rFonts w:ascii="Times New Roman" w:eastAsia="Calibri" w:hAnsi="Times New Roman" w:cs="Times New Roman"/>
          <w:i/>
          <w:iCs/>
          <w:sz w:val="24"/>
          <w:szCs w:val="24"/>
          <w:lang w:eastAsia="en-US"/>
        </w:rPr>
        <w:t xml:space="preserve"> </w:t>
      </w:r>
      <w:r w:rsidR="009450F8" w:rsidRPr="009450F8">
        <w:rPr>
          <w:rFonts w:ascii="Times New Roman" w:eastAsia="Calibri" w:hAnsi="Times New Roman" w:cs="Times New Roman"/>
          <w:iCs/>
          <w:sz w:val="24"/>
          <w:szCs w:val="24"/>
          <w:lang w:eastAsia="en-US"/>
        </w:rPr>
        <w:t>(</w:t>
      </w:r>
      <w:r w:rsidRPr="009450F8">
        <w:rPr>
          <w:rFonts w:ascii="Times New Roman" w:eastAsia="Calibri" w:hAnsi="Times New Roman" w:cs="Times New Roman"/>
          <w:sz w:val="24"/>
          <w:szCs w:val="24"/>
          <w:lang w:eastAsia="en-US"/>
        </w:rPr>
        <w:t>3</w:t>
      </w:r>
      <w:r w:rsidR="009450F8">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 278</w:t>
      </w:r>
      <w:r w:rsidR="003D244F" w:rsidRPr="00AA5087">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302.</w:t>
      </w:r>
    </w:p>
    <w:p w14:paraId="780BA07E" w14:textId="775EA8A3" w:rsidR="00296264" w:rsidRPr="00AA5087" w:rsidRDefault="00296264" w:rsidP="002115E1">
      <w:pPr>
        <w:spacing w:after="0" w:line="240" w:lineRule="auto"/>
        <w:ind w:left="142" w:hanging="142"/>
        <w:jc w:val="both"/>
        <w:rPr>
          <w:rFonts w:ascii="Times New Roman" w:eastAsia="Calibri" w:hAnsi="Times New Roman" w:cs="Times New Roman"/>
          <w:sz w:val="24"/>
          <w:szCs w:val="24"/>
          <w:lang w:eastAsia="en-US"/>
        </w:rPr>
      </w:pPr>
      <w:r w:rsidRPr="00AA5087">
        <w:rPr>
          <w:rFonts w:ascii="Times New Roman" w:eastAsia="Calibri" w:hAnsi="Times New Roman" w:cs="Times New Roman"/>
          <w:sz w:val="24"/>
          <w:szCs w:val="24"/>
          <w:lang w:eastAsia="en-US"/>
        </w:rPr>
        <w:lastRenderedPageBreak/>
        <w:t>Knechel, W. R. (2016), ‘Audit quality and regulation’, </w:t>
      </w:r>
      <w:r w:rsidRPr="00AA5087">
        <w:rPr>
          <w:rFonts w:ascii="Times New Roman" w:eastAsia="Calibri" w:hAnsi="Times New Roman" w:cs="Times New Roman"/>
          <w:i/>
          <w:iCs/>
          <w:sz w:val="24"/>
          <w:szCs w:val="24"/>
          <w:lang w:eastAsia="en-US"/>
        </w:rPr>
        <w:t>International Journal of Auditing</w:t>
      </w:r>
      <w:r w:rsidRPr="00AA5087">
        <w:rPr>
          <w:rFonts w:ascii="Times New Roman" w:eastAsia="Calibri" w:hAnsi="Times New Roman" w:cs="Times New Roman"/>
          <w:sz w:val="24"/>
          <w:szCs w:val="24"/>
          <w:lang w:eastAsia="en-US"/>
        </w:rPr>
        <w:t xml:space="preserve">, 20 </w:t>
      </w:r>
      <w:r w:rsidR="009450F8">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3</w:t>
      </w:r>
      <w:r w:rsidR="009450F8">
        <w:rPr>
          <w:rFonts w:ascii="Times New Roman" w:eastAsia="Calibri" w:hAnsi="Times New Roman" w:cs="Times New Roman"/>
          <w:sz w:val="24"/>
          <w:szCs w:val="24"/>
          <w:lang w:eastAsia="en-US"/>
        </w:rPr>
        <w:t>)</w:t>
      </w:r>
      <w:r w:rsidR="00152653">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 xml:space="preserve"> 215</w:t>
      </w:r>
      <w:r w:rsidR="002A3224" w:rsidRPr="00AA5087">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223.</w:t>
      </w:r>
    </w:p>
    <w:p w14:paraId="7118F1CA" w14:textId="1F37B217" w:rsidR="00296264" w:rsidRPr="00AA5087" w:rsidRDefault="00296264" w:rsidP="002115E1">
      <w:pPr>
        <w:spacing w:after="0" w:line="240" w:lineRule="auto"/>
        <w:ind w:left="142" w:hanging="142"/>
        <w:jc w:val="both"/>
        <w:rPr>
          <w:rFonts w:ascii="Times New Roman" w:eastAsia="Calibri" w:hAnsi="Times New Roman" w:cs="Times New Roman"/>
          <w:sz w:val="24"/>
          <w:szCs w:val="24"/>
          <w:lang w:eastAsia="en-US"/>
        </w:rPr>
      </w:pPr>
      <w:r w:rsidRPr="00AA5087">
        <w:rPr>
          <w:rFonts w:ascii="Times New Roman" w:eastAsia="Calibri" w:hAnsi="Times New Roman" w:cs="Times New Roman"/>
          <w:sz w:val="24"/>
          <w:szCs w:val="24"/>
          <w:lang w:eastAsia="en-US"/>
        </w:rPr>
        <w:t>Krishnan, G. V. (2003), ‘Audit quality and the pricing of discretionary accruals’, </w:t>
      </w:r>
      <w:r w:rsidRPr="00AA5087">
        <w:rPr>
          <w:rFonts w:ascii="Times New Roman" w:eastAsia="Calibri" w:hAnsi="Times New Roman" w:cs="Times New Roman"/>
          <w:i/>
          <w:iCs/>
          <w:sz w:val="24"/>
          <w:szCs w:val="24"/>
          <w:lang w:eastAsia="en-US"/>
        </w:rPr>
        <w:t>Auditing: A Journal of Practice &amp; Theory</w:t>
      </w:r>
      <w:r w:rsidRPr="00AA5087">
        <w:rPr>
          <w:rFonts w:ascii="Times New Roman" w:eastAsia="Calibri" w:hAnsi="Times New Roman" w:cs="Times New Roman"/>
          <w:sz w:val="24"/>
          <w:szCs w:val="24"/>
          <w:lang w:eastAsia="en-US"/>
        </w:rPr>
        <w:t xml:space="preserve">, 22 </w:t>
      </w:r>
      <w:r w:rsidR="00152653">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1</w:t>
      </w:r>
      <w:r w:rsidR="00152653">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 109</w:t>
      </w:r>
      <w:r w:rsidR="003D244F" w:rsidRPr="00AA5087">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126.</w:t>
      </w:r>
    </w:p>
    <w:p w14:paraId="6412B9AD" w14:textId="17F3AB27" w:rsidR="00931A9C" w:rsidRPr="00AA5087" w:rsidRDefault="00931A9C" w:rsidP="002115E1">
      <w:pPr>
        <w:spacing w:after="0" w:line="240" w:lineRule="auto"/>
        <w:ind w:left="142" w:hanging="142"/>
        <w:jc w:val="both"/>
        <w:rPr>
          <w:rFonts w:ascii="Times New Roman" w:eastAsia="Calibri" w:hAnsi="Times New Roman" w:cs="Times New Roman"/>
          <w:sz w:val="24"/>
          <w:szCs w:val="24"/>
          <w:lang w:eastAsia="en-US"/>
        </w:rPr>
      </w:pPr>
      <w:r w:rsidRPr="00AA5087">
        <w:rPr>
          <w:rFonts w:ascii="Times New Roman" w:eastAsia="Calibri" w:hAnsi="Times New Roman" w:cs="Times New Roman"/>
          <w:sz w:val="24"/>
          <w:szCs w:val="24"/>
          <w:lang w:eastAsia="en-US"/>
        </w:rPr>
        <w:t xml:space="preserve">La Porta, R., Lopez-De-Silanes, F., &amp; Shleifer, A. (1999), ‘Corporate ownership around the world’, </w:t>
      </w:r>
      <w:r w:rsidRPr="00AA5087">
        <w:rPr>
          <w:rFonts w:ascii="Times New Roman" w:eastAsia="Calibri" w:hAnsi="Times New Roman" w:cs="Times New Roman"/>
          <w:i/>
          <w:iCs/>
          <w:sz w:val="24"/>
          <w:szCs w:val="24"/>
          <w:lang w:eastAsia="en-US"/>
        </w:rPr>
        <w:t>Journal of Finance</w:t>
      </w:r>
      <w:r w:rsidRPr="00AA5087">
        <w:rPr>
          <w:rFonts w:ascii="Times New Roman" w:eastAsia="Calibri" w:hAnsi="Times New Roman" w:cs="Times New Roman"/>
          <w:sz w:val="24"/>
          <w:szCs w:val="24"/>
          <w:lang w:eastAsia="en-US"/>
        </w:rPr>
        <w:t>, 54</w:t>
      </w:r>
      <w:r w:rsidR="00152653">
        <w:rPr>
          <w:rFonts w:ascii="Times New Roman" w:eastAsia="Calibri" w:hAnsi="Times New Roman" w:cs="Times New Roman"/>
          <w:sz w:val="24"/>
          <w:szCs w:val="24"/>
          <w:lang w:eastAsia="en-US"/>
        </w:rPr>
        <w:t xml:space="preserve"> (</w:t>
      </w:r>
      <w:r w:rsidRPr="00AA5087">
        <w:rPr>
          <w:rFonts w:ascii="Times New Roman" w:eastAsia="Calibri" w:hAnsi="Times New Roman" w:cs="Times New Roman"/>
          <w:sz w:val="24"/>
          <w:szCs w:val="24"/>
          <w:lang w:eastAsia="en-US"/>
        </w:rPr>
        <w:t>2</w:t>
      </w:r>
      <w:r w:rsidR="00152653">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 471–517.</w:t>
      </w:r>
    </w:p>
    <w:p w14:paraId="3D6A001C" w14:textId="6CECE6D7" w:rsidR="00931A9C" w:rsidRPr="00AA5087" w:rsidRDefault="00931A9C" w:rsidP="002115E1">
      <w:pPr>
        <w:spacing w:after="0" w:line="240" w:lineRule="auto"/>
        <w:ind w:left="142" w:hanging="142"/>
        <w:jc w:val="both"/>
        <w:rPr>
          <w:rFonts w:ascii="Times New Roman" w:eastAsia="Calibri" w:hAnsi="Times New Roman" w:cs="Times New Roman"/>
          <w:sz w:val="24"/>
          <w:szCs w:val="24"/>
          <w:lang w:eastAsia="en-US"/>
        </w:rPr>
      </w:pPr>
      <w:r w:rsidRPr="00AA5087">
        <w:rPr>
          <w:rFonts w:ascii="Times New Roman" w:eastAsia="Calibri" w:hAnsi="Times New Roman" w:cs="Times New Roman"/>
          <w:sz w:val="24"/>
          <w:szCs w:val="24"/>
          <w:lang w:eastAsia="en-US"/>
        </w:rPr>
        <w:t>La Porta, R., Lopez-de-Silanes, F., Shleifer, A., &amp; Vishny, R. (2000), ‘Investor protection and corporate governance’, </w:t>
      </w:r>
      <w:r w:rsidRPr="00AA5087">
        <w:rPr>
          <w:rFonts w:ascii="Times New Roman" w:eastAsia="Calibri" w:hAnsi="Times New Roman" w:cs="Times New Roman"/>
          <w:i/>
          <w:iCs/>
          <w:sz w:val="24"/>
          <w:szCs w:val="24"/>
          <w:lang w:eastAsia="en-US"/>
        </w:rPr>
        <w:t xml:space="preserve">Journal of </w:t>
      </w:r>
      <w:r w:rsidR="00F3471D" w:rsidRPr="00AA5087">
        <w:rPr>
          <w:rFonts w:ascii="Times New Roman" w:eastAsia="Calibri" w:hAnsi="Times New Roman" w:cs="Times New Roman"/>
          <w:i/>
          <w:iCs/>
          <w:sz w:val="24"/>
          <w:szCs w:val="24"/>
          <w:lang w:eastAsia="en-US"/>
        </w:rPr>
        <w:t>Financial Economics</w:t>
      </w:r>
      <w:r w:rsidRPr="00AA5087">
        <w:rPr>
          <w:rFonts w:ascii="Times New Roman" w:eastAsia="Calibri" w:hAnsi="Times New Roman" w:cs="Times New Roman"/>
          <w:sz w:val="24"/>
          <w:szCs w:val="24"/>
          <w:lang w:eastAsia="en-US"/>
        </w:rPr>
        <w:t xml:space="preserve">, 58 </w:t>
      </w:r>
      <w:r w:rsidR="00152653">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1</w:t>
      </w:r>
      <w:r w:rsidR="00152653">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 3</w:t>
      </w:r>
      <w:r w:rsidR="003D244F" w:rsidRPr="00AA5087">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27.</w:t>
      </w:r>
    </w:p>
    <w:p w14:paraId="4A872200" w14:textId="3A81A5A7" w:rsidR="00931A9C" w:rsidRPr="00AA5087" w:rsidRDefault="00931A9C" w:rsidP="002115E1">
      <w:pPr>
        <w:spacing w:after="0" w:line="240" w:lineRule="auto"/>
        <w:ind w:left="142" w:hanging="142"/>
        <w:jc w:val="both"/>
        <w:rPr>
          <w:rFonts w:ascii="Times New Roman" w:eastAsia="Calibri" w:hAnsi="Times New Roman" w:cs="Times New Roman"/>
          <w:sz w:val="24"/>
          <w:szCs w:val="24"/>
          <w:lang w:eastAsia="en-US"/>
        </w:rPr>
      </w:pPr>
      <w:r w:rsidRPr="00AA5087">
        <w:rPr>
          <w:rFonts w:ascii="Times New Roman" w:eastAsia="Calibri" w:hAnsi="Times New Roman" w:cs="Times New Roman"/>
          <w:sz w:val="24"/>
          <w:szCs w:val="24"/>
          <w:lang w:eastAsia="en-US"/>
        </w:rPr>
        <w:t xml:space="preserve">La Porta, R., Lopez-De-Silanes, F., Shleifer, A., &amp; Vishny, R.W. (1998), ‘Law and finance’, </w:t>
      </w:r>
      <w:r w:rsidRPr="00AA5087">
        <w:rPr>
          <w:rFonts w:ascii="Times New Roman" w:eastAsia="Calibri" w:hAnsi="Times New Roman" w:cs="Times New Roman"/>
          <w:i/>
          <w:iCs/>
          <w:sz w:val="24"/>
          <w:szCs w:val="24"/>
          <w:lang w:eastAsia="en-US"/>
        </w:rPr>
        <w:t>Journal of Political Economy</w:t>
      </w:r>
      <w:r w:rsidRPr="00AA5087">
        <w:rPr>
          <w:rFonts w:ascii="Times New Roman" w:eastAsia="Calibri" w:hAnsi="Times New Roman" w:cs="Times New Roman"/>
          <w:sz w:val="24"/>
          <w:szCs w:val="24"/>
          <w:lang w:eastAsia="en-US"/>
        </w:rPr>
        <w:t>, 106, 1113–1155.</w:t>
      </w:r>
    </w:p>
    <w:p w14:paraId="6F6B09A1" w14:textId="71C968AD" w:rsidR="00B73B45" w:rsidRPr="00AA5087" w:rsidRDefault="00B73B45" w:rsidP="002115E1">
      <w:pPr>
        <w:spacing w:after="0" w:line="240" w:lineRule="auto"/>
        <w:ind w:left="142" w:hanging="142"/>
        <w:jc w:val="both"/>
        <w:rPr>
          <w:rFonts w:ascii="Times New Roman" w:eastAsia="Calibri" w:hAnsi="Times New Roman" w:cs="Times New Roman"/>
          <w:sz w:val="24"/>
          <w:szCs w:val="24"/>
          <w:lang w:val="en-US" w:eastAsia="en-US"/>
        </w:rPr>
      </w:pPr>
      <w:r w:rsidRPr="00AA5087">
        <w:rPr>
          <w:rFonts w:ascii="Times New Roman" w:eastAsia="Calibri" w:hAnsi="Times New Roman" w:cs="Times New Roman"/>
          <w:sz w:val="24"/>
          <w:szCs w:val="24"/>
          <w:lang w:val="en-US" w:eastAsia="en-US"/>
        </w:rPr>
        <w:t>Lin, J. W., &amp; Hwang, M. I. (2010), ‘Audit quality, corporate governance, and earnings management: A meta</w:t>
      </w:r>
      <w:r w:rsidRPr="00AA5087">
        <w:rPr>
          <w:rFonts w:ascii="Cambria Math" w:eastAsia="Calibri" w:hAnsi="Cambria Math" w:cs="Cambria Math"/>
          <w:sz w:val="24"/>
          <w:szCs w:val="24"/>
          <w:lang w:val="en-US" w:eastAsia="en-US"/>
        </w:rPr>
        <w:t>‐</w:t>
      </w:r>
      <w:r w:rsidRPr="00AA5087">
        <w:rPr>
          <w:rFonts w:ascii="Times New Roman" w:eastAsia="Calibri" w:hAnsi="Times New Roman" w:cs="Times New Roman"/>
          <w:sz w:val="24"/>
          <w:szCs w:val="24"/>
          <w:lang w:val="en-US" w:eastAsia="en-US"/>
        </w:rPr>
        <w:t>analysis’, </w:t>
      </w:r>
      <w:r w:rsidRPr="00AA5087">
        <w:rPr>
          <w:rFonts w:ascii="Times New Roman" w:eastAsia="Calibri" w:hAnsi="Times New Roman" w:cs="Times New Roman"/>
          <w:i/>
          <w:iCs/>
          <w:sz w:val="24"/>
          <w:szCs w:val="24"/>
          <w:lang w:val="en-US" w:eastAsia="en-US"/>
        </w:rPr>
        <w:t>International Journal of Auditing</w:t>
      </w:r>
      <w:r w:rsidRPr="00AA5087">
        <w:rPr>
          <w:rFonts w:ascii="Times New Roman" w:eastAsia="Calibri" w:hAnsi="Times New Roman" w:cs="Times New Roman"/>
          <w:sz w:val="24"/>
          <w:szCs w:val="24"/>
          <w:lang w:val="en-US" w:eastAsia="en-US"/>
        </w:rPr>
        <w:t xml:space="preserve">, </w:t>
      </w:r>
      <w:r w:rsidR="00152653">
        <w:rPr>
          <w:rFonts w:ascii="Times New Roman" w:eastAsia="Calibri" w:hAnsi="Times New Roman" w:cs="Times New Roman"/>
          <w:sz w:val="24"/>
          <w:szCs w:val="24"/>
          <w:lang w:eastAsia="en-US"/>
        </w:rPr>
        <w:t>14 (</w:t>
      </w:r>
      <w:r w:rsidRPr="00AA5087">
        <w:rPr>
          <w:rFonts w:ascii="Times New Roman" w:eastAsia="Calibri" w:hAnsi="Times New Roman" w:cs="Times New Roman"/>
          <w:sz w:val="24"/>
          <w:szCs w:val="24"/>
          <w:lang w:eastAsia="en-US"/>
        </w:rPr>
        <w:t>1</w:t>
      </w:r>
      <w:r w:rsidR="00152653">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val="en-US" w:eastAsia="en-US"/>
        </w:rPr>
        <w:t>, 57</w:t>
      </w:r>
      <w:r w:rsidR="003D244F" w:rsidRPr="00AA5087">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val="en-US" w:eastAsia="en-US"/>
        </w:rPr>
        <w:t>77.</w:t>
      </w:r>
    </w:p>
    <w:p w14:paraId="785D695C" w14:textId="48A4B0F3" w:rsidR="00B73B45" w:rsidRPr="00AA5087" w:rsidRDefault="00B73B45" w:rsidP="002115E1">
      <w:pPr>
        <w:spacing w:after="0" w:line="240" w:lineRule="auto"/>
        <w:ind w:left="142" w:hanging="142"/>
        <w:jc w:val="both"/>
        <w:rPr>
          <w:rFonts w:ascii="Times New Roman" w:eastAsia="Calibri" w:hAnsi="Times New Roman" w:cs="Times New Roman"/>
          <w:sz w:val="24"/>
          <w:szCs w:val="24"/>
          <w:lang w:eastAsia="en-US"/>
        </w:rPr>
      </w:pPr>
      <w:r w:rsidRPr="00AA5087">
        <w:rPr>
          <w:rFonts w:ascii="Times New Roman" w:eastAsia="Calibri" w:hAnsi="Times New Roman" w:cs="Times New Roman"/>
          <w:sz w:val="24"/>
          <w:szCs w:val="24"/>
          <w:lang w:eastAsia="en-US"/>
        </w:rPr>
        <w:t>Lin, Z. J., &amp; Liu, M. (2009), ‘The impact of corporate governance on auditor choice: Evidence from China’, </w:t>
      </w:r>
      <w:r w:rsidRPr="00AA5087">
        <w:rPr>
          <w:rFonts w:ascii="Times New Roman" w:eastAsia="Calibri" w:hAnsi="Times New Roman" w:cs="Times New Roman"/>
          <w:i/>
          <w:iCs/>
          <w:sz w:val="24"/>
          <w:szCs w:val="24"/>
          <w:lang w:eastAsia="en-US"/>
        </w:rPr>
        <w:t>Journal of International Accounting, Auditing and Taxation</w:t>
      </w:r>
      <w:r w:rsidRPr="00AA5087">
        <w:rPr>
          <w:rFonts w:ascii="Times New Roman" w:eastAsia="Calibri" w:hAnsi="Times New Roman" w:cs="Times New Roman"/>
          <w:sz w:val="24"/>
          <w:szCs w:val="24"/>
          <w:lang w:eastAsia="en-US"/>
        </w:rPr>
        <w:t>, 18</w:t>
      </w:r>
      <w:r w:rsidR="00152653">
        <w:rPr>
          <w:rFonts w:ascii="Times New Roman" w:eastAsia="Calibri" w:hAnsi="Times New Roman" w:cs="Times New Roman"/>
          <w:sz w:val="24"/>
          <w:szCs w:val="24"/>
          <w:lang w:eastAsia="en-US"/>
        </w:rPr>
        <w:t xml:space="preserve"> (</w:t>
      </w:r>
      <w:r w:rsidRPr="00AA5087">
        <w:rPr>
          <w:rFonts w:ascii="Times New Roman" w:eastAsia="Calibri" w:hAnsi="Times New Roman" w:cs="Times New Roman"/>
          <w:sz w:val="24"/>
          <w:szCs w:val="24"/>
          <w:lang w:eastAsia="en-US"/>
        </w:rPr>
        <w:t>1</w:t>
      </w:r>
      <w:r w:rsidR="00152653">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 44</w:t>
      </w:r>
      <w:r w:rsidR="003D244F" w:rsidRPr="00AA5087">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59.</w:t>
      </w:r>
    </w:p>
    <w:p w14:paraId="329FE2A3" w14:textId="5D76A46D" w:rsidR="00B73B45" w:rsidRPr="00AA5087" w:rsidRDefault="00B73B45" w:rsidP="002115E1">
      <w:pPr>
        <w:spacing w:after="0" w:line="240" w:lineRule="auto"/>
        <w:ind w:left="142" w:hanging="142"/>
        <w:jc w:val="both"/>
        <w:rPr>
          <w:rFonts w:ascii="Times New Roman" w:eastAsia="Calibri" w:hAnsi="Times New Roman" w:cs="Times New Roman"/>
          <w:sz w:val="24"/>
          <w:szCs w:val="24"/>
          <w:lang w:eastAsia="en-US"/>
        </w:rPr>
      </w:pPr>
      <w:r w:rsidRPr="00AA5087">
        <w:rPr>
          <w:rFonts w:ascii="Times New Roman" w:eastAsia="Calibri" w:hAnsi="Times New Roman" w:cs="Times New Roman"/>
          <w:sz w:val="24"/>
          <w:szCs w:val="24"/>
          <w:lang w:eastAsia="en-US"/>
        </w:rPr>
        <w:t>Lin, Z. J., &amp; Liu, M. (2010), ‘The determinants of auditor switching from the perspective of corporate governance in China’, </w:t>
      </w:r>
      <w:r w:rsidRPr="00AA5087">
        <w:rPr>
          <w:rFonts w:ascii="Times New Roman" w:eastAsia="Calibri" w:hAnsi="Times New Roman" w:cs="Times New Roman"/>
          <w:i/>
          <w:iCs/>
          <w:sz w:val="24"/>
          <w:szCs w:val="24"/>
          <w:lang w:eastAsia="en-US"/>
        </w:rPr>
        <w:t>Advances in Accounting</w:t>
      </w:r>
      <w:r w:rsidRPr="00AA5087">
        <w:rPr>
          <w:rFonts w:ascii="Times New Roman" w:eastAsia="Calibri" w:hAnsi="Times New Roman" w:cs="Times New Roman"/>
          <w:sz w:val="24"/>
          <w:szCs w:val="24"/>
          <w:lang w:eastAsia="en-US"/>
        </w:rPr>
        <w:t>, 26</w:t>
      </w:r>
      <w:r w:rsidR="00152653">
        <w:rPr>
          <w:rFonts w:ascii="Times New Roman" w:eastAsia="Calibri" w:hAnsi="Times New Roman" w:cs="Times New Roman"/>
          <w:sz w:val="24"/>
          <w:szCs w:val="24"/>
          <w:lang w:eastAsia="en-US"/>
        </w:rPr>
        <w:t xml:space="preserve"> (</w:t>
      </w:r>
      <w:r w:rsidRPr="00AA5087">
        <w:rPr>
          <w:rFonts w:ascii="Times New Roman" w:eastAsia="Calibri" w:hAnsi="Times New Roman" w:cs="Times New Roman"/>
          <w:sz w:val="24"/>
          <w:szCs w:val="24"/>
          <w:lang w:eastAsia="en-US"/>
        </w:rPr>
        <w:t>1</w:t>
      </w:r>
      <w:r w:rsidR="00152653">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 117</w:t>
      </w:r>
      <w:r w:rsidR="003D244F" w:rsidRPr="00AA5087">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127.</w:t>
      </w:r>
    </w:p>
    <w:p w14:paraId="46206578" w14:textId="1494B8EB" w:rsidR="00B73B45" w:rsidRPr="00AA5087" w:rsidRDefault="001F4F87" w:rsidP="002115E1">
      <w:pPr>
        <w:spacing w:after="0" w:line="240" w:lineRule="auto"/>
        <w:ind w:left="142" w:hanging="142"/>
        <w:jc w:val="both"/>
        <w:rPr>
          <w:rFonts w:ascii="Times New Roman" w:eastAsia="Calibri" w:hAnsi="Times New Roman" w:cs="Times New Roman"/>
          <w:sz w:val="24"/>
          <w:szCs w:val="24"/>
          <w:lang w:eastAsia="en-US"/>
        </w:rPr>
      </w:pPr>
      <w:r w:rsidRPr="00AA5087">
        <w:rPr>
          <w:rFonts w:ascii="Times New Roman" w:eastAsia="Calibri" w:hAnsi="Times New Roman" w:cs="Times New Roman"/>
          <w:sz w:val="24"/>
          <w:szCs w:val="24"/>
          <w:lang w:eastAsia="en-US"/>
        </w:rPr>
        <w:t>Mateescu, R. A. (2015),</w:t>
      </w:r>
      <w:r w:rsidR="00B73B45" w:rsidRPr="00AA5087">
        <w:rPr>
          <w:rFonts w:ascii="Times New Roman" w:eastAsia="Calibri" w:hAnsi="Times New Roman" w:cs="Times New Roman"/>
          <w:sz w:val="24"/>
          <w:szCs w:val="24"/>
          <w:lang w:eastAsia="en-US"/>
        </w:rPr>
        <w:t xml:space="preserve"> </w:t>
      </w:r>
      <w:r w:rsidRPr="00AA5087">
        <w:rPr>
          <w:rFonts w:ascii="Times New Roman" w:eastAsia="Calibri" w:hAnsi="Times New Roman" w:cs="Times New Roman"/>
          <w:sz w:val="24"/>
          <w:szCs w:val="24"/>
          <w:lang w:eastAsia="en-US"/>
        </w:rPr>
        <w:t>‘</w:t>
      </w:r>
      <w:r w:rsidR="00B73B45" w:rsidRPr="00AA5087">
        <w:rPr>
          <w:rFonts w:ascii="Times New Roman" w:eastAsia="Calibri" w:hAnsi="Times New Roman" w:cs="Times New Roman"/>
          <w:sz w:val="24"/>
          <w:szCs w:val="24"/>
          <w:lang w:eastAsia="en-US"/>
        </w:rPr>
        <w:t>Corporate governance disclosure practices</w:t>
      </w:r>
      <w:r w:rsidRPr="00AA5087">
        <w:rPr>
          <w:rFonts w:ascii="Times New Roman" w:eastAsia="Calibri" w:hAnsi="Times New Roman" w:cs="Times New Roman"/>
          <w:sz w:val="24"/>
          <w:szCs w:val="24"/>
          <w:lang w:eastAsia="en-US"/>
        </w:rPr>
        <w:t>’,</w:t>
      </w:r>
      <w:r w:rsidR="00B73B45" w:rsidRPr="00AA5087">
        <w:rPr>
          <w:rFonts w:ascii="Times New Roman" w:eastAsia="Calibri" w:hAnsi="Times New Roman" w:cs="Times New Roman"/>
          <w:sz w:val="24"/>
          <w:szCs w:val="24"/>
          <w:lang w:eastAsia="en-US"/>
        </w:rPr>
        <w:t> </w:t>
      </w:r>
      <w:r w:rsidR="00B73B45" w:rsidRPr="00AA5087">
        <w:rPr>
          <w:rFonts w:ascii="Times New Roman" w:eastAsia="Calibri" w:hAnsi="Times New Roman" w:cs="Times New Roman"/>
          <w:i/>
          <w:iCs/>
          <w:sz w:val="24"/>
          <w:szCs w:val="24"/>
          <w:lang w:eastAsia="en-US"/>
        </w:rPr>
        <w:t>Accounting and Management Information Systems</w:t>
      </w:r>
      <w:r w:rsidR="00B73B45" w:rsidRPr="00AA5087">
        <w:rPr>
          <w:rFonts w:ascii="Times New Roman" w:eastAsia="Calibri" w:hAnsi="Times New Roman" w:cs="Times New Roman"/>
          <w:sz w:val="24"/>
          <w:szCs w:val="24"/>
          <w:lang w:eastAsia="en-US"/>
        </w:rPr>
        <w:t>, 14</w:t>
      </w:r>
      <w:r w:rsidR="00152653">
        <w:rPr>
          <w:rFonts w:ascii="Times New Roman" w:eastAsia="Calibri" w:hAnsi="Times New Roman" w:cs="Times New Roman"/>
          <w:sz w:val="24"/>
          <w:szCs w:val="24"/>
          <w:lang w:eastAsia="en-US"/>
        </w:rPr>
        <w:t xml:space="preserve"> (</w:t>
      </w:r>
      <w:r w:rsidR="00B73B45" w:rsidRPr="00AA5087">
        <w:rPr>
          <w:rFonts w:ascii="Times New Roman" w:eastAsia="Calibri" w:hAnsi="Times New Roman" w:cs="Times New Roman"/>
          <w:sz w:val="24"/>
          <w:szCs w:val="24"/>
          <w:lang w:eastAsia="en-US"/>
        </w:rPr>
        <w:t>1</w:t>
      </w:r>
      <w:r w:rsidR="00152653">
        <w:rPr>
          <w:rFonts w:ascii="Times New Roman" w:eastAsia="Calibri" w:hAnsi="Times New Roman" w:cs="Times New Roman"/>
          <w:sz w:val="24"/>
          <w:szCs w:val="24"/>
          <w:lang w:eastAsia="en-US"/>
        </w:rPr>
        <w:t>)</w:t>
      </w:r>
      <w:r w:rsidR="00B73B45" w:rsidRPr="00AA5087">
        <w:rPr>
          <w:rFonts w:ascii="Times New Roman" w:eastAsia="Calibri" w:hAnsi="Times New Roman" w:cs="Times New Roman"/>
          <w:sz w:val="24"/>
          <w:szCs w:val="24"/>
          <w:lang w:eastAsia="en-US"/>
        </w:rPr>
        <w:t>, 170</w:t>
      </w:r>
      <w:r w:rsidR="003D244F" w:rsidRPr="00AA5087">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192</w:t>
      </w:r>
      <w:r w:rsidR="00B73B45" w:rsidRPr="00AA5087">
        <w:rPr>
          <w:rFonts w:ascii="Times New Roman" w:eastAsia="Calibri" w:hAnsi="Times New Roman" w:cs="Times New Roman"/>
          <w:sz w:val="24"/>
          <w:szCs w:val="24"/>
          <w:lang w:eastAsia="en-US"/>
        </w:rPr>
        <w:t>.</w:t>
      </w:r>
    </w:p>
    <w:p w14:paraId="0CF3885B" w14:textId="3CD2768A" w:rsidR="002E3E29" w:rsidRPr="00AA5087" w:rsidRDefault="002E3E29" w:rsidP="002115E1">
      <w:pPr>
        <w:spacing w:after="0" w:line="240" w:lineRule="auto"/>
        <w:ind w:left="142" w:hanging="142"/>
        <w:jc w:val="both"/>
        <w:rPr>
          <w:rFonts w:ascii="Times New Roman" w:eastAsia="Calibri" w:hAnsi="Times New Roman" w:cs="Times New Roman"/>
          <w:sz w:val="24"/>
          <w:szCs w:val="24"/>
          <w:lang w:eastAsia="en-US"/>
        </w:rPr>
      </w:pPr>
      <w:r w:rsidRPr="00AA5087">
        <w:rPr>
          <w:rFonts w:ascii="Times New Roman" w:eastAsia="Calibri" w:hAnsi="Times New Roman" w:cs="Times New Roman"/>
          <w:sz w:val="24"/>
          <w:szCs w:val="24"/>
          <w:lang w:val="de-DE" w:eastAsia="en-US"/>
        </w:rPr>
        <w:t xml:space="preserve">Naser, K., &amp; Hassan, Y. M. (2016). </w:t>
      </w:r>
      <w:r w:rsidRPr="00AA5087">
        <w:rPr>
          <w:rFonts w:ascii="Times New Roman" w:eastAsia="Calibri" w:hAnsi="Times New Roman" w:cs="Times New Roman"/>
          <w:sz w:val="24"/>
          <w:szCs w:val="24"/>
          <w:lang w:eastAsia="en-US"/>
        </w:rPr>
        <w:t>Factors influencing external audit fees of companies listed on Dubai Financial Market’, </w:t>
      </w:r>
      <w:r w:rsidRPr="00AA5087">
        <w:rPr>
          <w:rFonts w:ascii="Times New Roman" w:eastAsia="Calibri" w:hAnsi="Times New Roman" w:cs="Times New Roman"/>
          <w:i/>
          <w:iCs/>
          <w:sz w:val="24"/>
          <w:szCs w:val="24"/>
          <w:lang w:eastAsia="en-US"/>
        </w:rPr>
        <w:t>International Journal of Islamic and Middle Eastern Finance and Management</w:t>
      </w:r>
      <w:r w:rsidRPr="00AA5087">
        <w:rPr>
          <w:rFonts w:ascii="Times New Roman" w:eastAsia="Calibri" w:hAnsi="Times New Roman" w:cs="Times New Roman"/>
          <w:sz w:val="24"/>
          <w:szCs w:val="24"/>
          <w:lang w:eastAsia="en-US"/>
        </w:rPr>
        <w:t>, </w:t>
      </w:r>
      <w:r w:rsidRPr="00AA5087">
        <w:rPr>
          <w:rFonts w:ascii="Times New Roman" w:eastAsia="Calibri" w:hAnsi="Times New Roman" w:cs="Times New Roman"/>
          <w:iCs/>
          <w:sz w:val="24"/>
          <w:szCs w:val="24"/>
          <w:lang w:eastAsia="en-US"/>
        </w:rPr>
        <w:t>9</w:t>
      </w:r>
      <w:r w:rsidRPr="00AA5087">
        <w:rPr>
          <w:rFonts w:ascii="Times New Roman" w:eastAsia="Calibri" w:hAnsi="Times New Roman" w:cs="Times New Roman"/>
          <w:sz w:val="24"/>
          <w:szCs w:val="24"/>
          <w:lang w:eastAsia="en-US"/>
        </w:rPr>
        <w:t xml:space="preserve"> </w:t>
      </w:r>
      <w:r w:rsidR="00152653">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3</w:t>
      </w:r>
      <w:r w:rsidR="00152653">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 346</w:t>
      </w:r>
      <w:r w:rsidR="001E15ED" w:rsidRPr="00AA5087">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363.</w:t>
      </w:r>
    </w:p>
    <w:p w14:paraId="24956804" w14:textId="563EA56B" w:rsidR="009B2705" w:rsidRPr="00AA5087" w:rsidRDefault="009B2705" w:rsidP="002115E1">
      <w:pPr>
        <w:spacing w:after="0" w:line="240" w:lineRule="auto"/>
        <w:ind w:left="142" w:hanging="142"/>
        <w:jc w:val="both"/>
        <w:rPr>
          <w:rFonts w:ascii="Times New Roman" w:eastAsia="Calibri" w:hAnsi="Times New Roman" w:cs="Times New Roman"/>
          <w:sz w:val="24"/>
          <w:szCs w:val="24"/>
          <w:lang w:eastAsia="en-US"/>
        </w:rPr>
      </w:pPr>
      <w:r w:rsidRPr="00AA5087">
        <w:rPr>
          <w:rFonts w:ascii="Times New Roman" w:eastAsia="Calibri" w:hAnsi="Times New Roman" w:cs="Times New Roman"/>
          <w:sz w:val="24"/>
          <w:szCs w:val="24"/>
          <w:lang w:eastAsia="en-US"/>
        </w:rPr>
        <w:t>Niemi, L. (2005), ‘Audit effort and fees under concentrated client ownership: Evidence from four international audit</w:t>
      </w:r>
      <w:r w:rsidR="00152653">
        <w:rPr>
          <w:rFonts w:ascii="Times New Roman" w:eastAsia="Calibri" w:hAnsi="Times New Roman" w:cs="Times New Roman"/>
          <w:sz w:val="24"/>
          <w:szCs w:val="24"/>
          <w:lang w:eastAsia="en-US"/>
        </w:rPr>
        <w:t xml:space="preserve"> </w:t>
      </w:r>
      <w:r w:rsidRPr="00AA5087">
        <w:rPr>
          <w:rFonts w:ascii="Times New Roman" w:eastAsia="Calibri" w:hAnsi="Times New Roman" w:cs="Times New Roman"/>
          <w:sz w:val="24"/>
          <w:szCs w:val="24"/>
          <w:lang w:eastAsia="en-US"/>
        </w:rPr>
        <w:t xml:space="preserve">firms’,  </w:t>
      </w:r>
      <w:r w:rsidRPr="00AA5087">
        <w:rPr>
          <w:rFonts w:ascii="Times New Roman" w:eastAsia="Calibri" w:hAnsi="Times New Roman" w:cs="Times New Roman"/>
          <w:i/>
          <w:iCs/>
          <w:sz w:val="24"/>
          <w:szCs w:val="24"/>
          <w:lang w:eastAsia="en-US"/>
        </w:rPr>
        <w:t>The International Journal of Accounting</w:t>
      </w:r>
      <w:r w:rsidRPr="00AA5087">
        <w:rPr>
          <w:rFonts w:ascii="Times New Roman" w:eastAsia="Calibri" w:hAnsi="Times New Roman" w:cs="Times New Roman"/>
          <w:sz w:val="24"/>
          <w:szCs w:val="24"/>
          <w:lang w:eastAsia="en-US"/>
        </w:rPr>
        <w:t xml:space="preserve">, </w:t>
      </w:r>
      <w:r w:rsidRPr="00AA5087">
        <w:rPr>
          <w:rFonts w:ascii="Times New Roman" w:eastAsia="Calibri" w:hAnsi="Times New Roman" w:cs="Times New Roman"/>
          <w:iCs/>
          <w:sz w:val="24"/>
          <w:szCs w:val="24"/>
          <w:lang w:eastAsia="en-US"/>
        </w:rPr>
        <w:t>40</w:t>
      </w:r>
      <w:r w:rsidR="00152653">
        <w:rPr>
          <w:rFonts w:ascii="Times New Roman" w:eastAsia="Calibri" w:hAnsi="Times New Roman" w:cs="Times New Roman"/>
          <w:iCs/>
          <w:sz w:val="24"/>
          <w:szCs w:val="24"/>
          <w:lang w:eastAsia="en-US"/>
        </w:rPr>
        <w:t xml:space="preserve"> (</w:t>
      </w:r>
      <w:r w:rsidRPr="00AA5087">
        <w:rPr>
          <w:rFonts w:ascii="Times New Roman" w:eastAsia="Calibri" w:hAnsi="Times New Roman" w:cs="Times New Roman"/>
          <w:sz w:val="24"/>
          <w:szCs w:val="24"/>
          <w:lang w:eastAsia="en-US"/>
        </w:rPr>
        <w:t>4</w:t>
      </w:r>
      <w:r w:rsidR="00152653">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 303–323.</w:t>
      </w:r>
    </w:p>
    <w:p w14:paraId="63E18010" w14:textId="4651C731" w:rsidR="00B73B45" w:rsidRPr="00AA5087" w:rsidRDefault="00B73B45" w:rsidP="002115E1">
      <w:pPr>
        <w:spacing w:after="0" w:line="240" w:lineRule="auto"/>
        <w:ind w:left="142" w:hanging="142"/>
        <w:jc w:val="both"/>
        <w:rPr>
          <w:rFonts w:ascii="Times New Roman" w:eastAsia="Calibri" w:hAnsi="Times New Roman" w:cs="Times New Roman"/>
          <w:sz w:val="24"/>
          <w:szCs w:val="24"/>
          <w:lang w:eastAsia="en-US"/>
        </w:rPr>
      </w:pPr>
      <w:r w:rsidRPr="00AA5087">
        <w:rPr>
          <w:rFonts w:ascii="Times New Roman" w:eastAsia="Calibri" w:hAnsi="Times New Roman" w:cs="Times New Roman"/>
          <w:sz w:val="24"/>
          <w:szCs w:val="24"/>
          <w:lang w:eastAsia="en-US"/>
        </w:rPr>
        <w:t>Mohamed, D. M., &amp; Habib, H. M. (2013), ‘Auditor independence, audit quality and the mandatory auditor rotation in Egypt’, </w:t>
      </w:r>
      <w:r w:rsidRPr="00AA5087">
        <w:rPr>
          <w:rFonts w:ascii="Times New Roman" w:eastAsia="Calibri" w:hAnsi="Times New Roman" w:cs="Times New Roman"/>
          <w:i/>
          <w:iCs/>
          <w:sz w:val="24"/>
          <w:szCs w:val="24"/>
          <w:lang w:eastAsia="en-US"/>
        </w:rPr>
        <w:t>Education, Business and Society: Contemporary Middle Eastern Issues</w:t>
      </w:r>
      <w:r w:rsidRPr="00AA5087">
        <w:rPr>
          <w:rFonts w:ascii="Times New Roman" w:eastAsia="Calibri" w:hAnsi="Times New Roman" w:cs="Times New Roman"/>
          <w:sz w:val="24"/>
          <w:szCs w:val="24"/>
          <w:lang w:eastAsia="en-US"/>
        </w:rPr>
        <w:t>, 6</w:t>
      </w:r>
      <w:r w:rsidR="00152653">
        <w:rPr>
          <w:rFonts w:ascii="Times New Roman" w:eastAsia="Calibri" w:hAnsi="Times New Roman" w:cs="Times New Roman"/>
          <w:sz w:val="24"/>
          <w:szCs w:val="24"/>
          <w:lang w:eastAsia="en-US"/>
        </w:rPr>
        <w:t xml:space="preserve"> (</w:t>
      </w:r>
      <w:r w:rsidRPr="00AA5087">
        <w:rPr>
          <w:rFonts w:ascii="Times New Roman" w:eastAsia="Calibri" w:hAnsi="Times New Roman" w:cs="Times New Roman"/>
          <w:sz w:val="24"/>
          <w:szCs w:val="24"/>
          <w:lang w:eastAsia="en-US"/>
        </w:rPr>
        <w:t>2</w:t>
      </w:r>
      <w:r w:rsidR="00152653">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 116</w:t>
      </w:r>
      <w:r w:rsidR="003D244F" w:rsidRPr="00AA5087">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144.</w:t>
      </w:r>
    </w:p>
    <w:p w14:paraId="238ECB4B" w14:textId="51D46D1D" w:rsidR="00AF7C26" w:rsidRPr="00AA5087" w:rsidRDefault="00AF7C26" w:rsidP="002115E1">
      <w:pPr>
        <w:spacing w:after="0" w:line="240" w:lineRule="auto"/>
        <w:ind w:left="142" w:hanging="142"/>
        <w:jc w:val="both"/>
        <w:rPr>
          <w:rFonts w:ascii="Times New Roman" w:eastAsia="Calibri" w:hAnsi="Times New Roman" w:cs="Times New Roman"/>
          <w:sz w:val="24"/>
          <w:szCs w:val="24"/>
          <w:lang w:val="en-US" w:eastAsia="en-US"/>
        </w:rPr>
      </w:pPr>
      <w:r w:rsidRPr="00AA5087">
        <w:rPr>
          <w:rFonts w:ascii="Times New Roman" w:eastAsia="Calibri" w:hAnsi="Times New Roman" w:cs="Times New Roman"/>
          <w:sz w:val="24"/>
          <w:szCs w:val="24"/>
          <w:lang w:val="en-US" w:eastAsia="en-US"/>
        </w:rPr>
        <w:t>Ntim, C. G., &amp; Soobaroyen, T. (2013), ‘Corporate Governance and Performance in Socially Responsible Corporations: New Empirical Insights from a Neo</w:t>
      </w:r>
      <w:r w:rsidRPr="00AA5087">
        <w:rPr>
          <w:rFonts w:ascii="Cambria Math" w:eastAsia="Calibri" w:hAnsi="Cambria Math" w:cs="Cambria Math"/>
          <w:sz w:val="24"/>
          <w:szCs w:val="24"/>
          <w:lang w:val="en-US" w:eastAsia="en-US"/>
        </w:rPr>
        <w:t>‐</w:t>
      </w:r>
      <w:r w:rsidRPr="00AA5087">
        <w:rPr>
          <w:rFonts w:ascii="Times New Roman" w:eastAsia="Calibri" w:hAnsi="Times New Roman" w:cs="Times New Roman"/>
          <w:sz w:val="24"/>
          <w:szCs w:val="24"/>
          <w:lang w:val="en-US" w:eastAsia="en-US"/>
        </w:rPr>
        <w:t>Institutional Framework’, </w:t>
      </w:r>
      <w:r w:rsidRPr="00AA5087">
        <w:rPr>
          <w:rFonts w:ascii="Times New Roman" w:eastAsia="Calibri" w:hAnsi="Times New Roman" w:cs="Times New Roman"/>
          <w:i/>
          <w:iCs/>
          <w:sz w:val="24"/>
          <w:szCs w:val="24"/>
          <w:lang w:val="en-US" w:eastAsia="en-US"/>
        </w:rPr>
        <w:t>Corporate Governance: An International Review</w:t>
      </w:r>
      <w:r w:rsidRPr="00AA5087">
        <w:rPr>
          <w:rFonts w:ascii="Times New Roman" w:eastAsia="Calibri" w:hAnsi="Times New Roman" w:cs="Times New Roman"/>
          <w:sz w:val="24"/>
          <w:szCs w:val="24"/>
          <w:lang w:val="en-US" w:eastAsia="en-US"/>
        </w:rPr>
        <w:t>,</w:t>
      </w:r>
      <w:r w:rsidRPr="00AA5087">
        <w:rPr>
          <w:rFonts w:ascii="Times New Roman" w:eastAsia="Calibri" w:hAnsi="Times New Roman" w:cs="Times New Roman"/>
          <w:sz w:val="24"/>
          <w:szCs w:val="24"/>
          <w:lang w:eastAsia="en-US"/>
        </w:rPr>
        <w:t xml:space="preserve"> 21 </w:t>
      </w:r>
      <w:r w:rsidR="00152653">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5</w:t>
      </w:r>
      <w:r w:rsidR="00152653">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val="en-US" w:eastAsia="en-US"/>
        </w:rPr>
        <w:t>, 468</w:t>
      </w:r>
      <w:r w:rsidRPr="00AA5087">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val="en-US" w:eastAsia="en-US"/>
        </w:rPr>
        <w:t>494.</w:t>
      </w:r>
    </w:p>
    <w:p w14:paraId="511488BA" w14:textId="056F0A6B" w:rsidR="00AF7C26" w:rsidRPr="00AA5087" w:rsidRDefault="00AF7C26" w:rsidP="002115E1">
      <w:pPr>
        <w:spacing w:after="0" w:line="240" w:lineRule="auto"/>
        <w:ind w:left="142" w:hanging="142"/>
        <w:jc w:val="both"/>
        <w:rPr>
          <w:rFonts w:ascii="Times New Roman" w:eastAsia="Calibri" w:hAnsi="Times New Roman" w:cs="Times New Roman"/>
          <w:sz w:val="24"/>
          <w:szCs w:val="24"/>
          <w:lang w:eastAsia="en-US"/>
        </w:rPr>
      </w:pPr>
      <w:r w:rsidRPr="00AA5087">
        <w:rPr>
          <w:rFonts w:ascii="Times New Roman" w:eastAsia="Calibri" w:hAnsi="Times New Roman" w:cs="Times New Roman"/>
          <w:sz w:val="24"/>
          <w:szCs w:val="24"/>
          <w:lang w:eastAsia="en-US"/>
        </w:rPr>
        <w:t>O’sullivan, N. (2000), ‘The impact of board composition and ownership on audit quality: Evidence from large UK companies’, </w:t>
      </w:r>
      <w:r w:rsidRPr="00AA5087">
        <w:rPr>
          <w:rFonts w:ascii="Times New Roman" w:eastAsia="Calibri" w:hAnsi="Times New Roman" w:cs="Times New Roman"/>
          <w:i/>
          <w:iCs/>
          <w:sz w:val="24"/>
          <w:szCs w:val="24"/>
          <w:lang w:eastAsia="en-US"/>
        </w:rPr>
        <w:t>The British Accounting Review</w:t>
      </w:r>
      <w:r w:rsidRPr="00AA5087">
        <w:rPr>
          <w:rFonts w:ascii="Times New Roman" w:eastAsia="Calibri" w:hAnsi="Times New Roman" w:cs="Times New Roman"/>
          <w:sz w:val="24"/>
          <w:szCs w:val="24"/>
          <w:lang w:eastAsia="en-US"/>
        </w:rPr>
        <w:t xml:space="preserve">, 32 </w:t>
      </w:r>
      <w:r w:rsidR="00152653">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4</w:t>
      </w:r>
      <w:r w:rsidR="00152653">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 397–414.</w:t>
      </w:r>
    </w:p>
    <w:p w14:paraId="4CF5F58D" w14:textId="5AFD3652" w:rsidR="00AF7C26" w:rsidRPr="00AA5087" w:rsidRDefault="00AF7C26" w:rsidP="002115E1">
      <w:pPr>
        <w:spacing w:after="0" w:line="240" w:lineRule="auto"/>
        <w:ind w:left="142" w:hanging="142"/>
        <w:jc w:val="both"/>
        <w:rPr>
          <w:rFonts w:ascii="Times New Roman" w:eastAsia="Calibri" w:hAnsi="Times New Roman" w:cs="Times New Roman"/>
          <w:sz w:val="24"/>
          <w:szCs w:val="24"/>
          <w:lang w:eastAsia="en-US"/>
        </w:rPr>
      </w:pPr>
      <w:r w:rsidRPr="00AA5087">
        <w:rPr>
          <w:rFonts w:ascii="Times New Roman" w:eastAsia="Calibri" w:hAnsi="Times New Roman" w:cs="Times New Roman"/>
          <w:sz w:val="24"/>
          <w:szCs w:val="24"/>
          <w:lang w:eastAsia="en-US"/>
        </w:rPr>
        <w:t>O'sullivan, N., &amp; Diacon, S. R. (2002), ‘The impact of ownership, governance and non</w:t>
      </w:r>
      <w:r w:rsidRPr="00AA5087">
        <w:rPr>
          <w:rFonts w:ascii="Cambria Math" w:eastAsia="Calibri" w:hAnsi="Cambria Math" w:cs="Cambria Math"/>
          <w:sz w:val="24"/>
          <w:szCs w:val="24"/>
          <w:lang w:eastAsia="en-US"/>
        </w:rPr>
        <w:t>‐</w:t>
      </w:r>
      <w:r w:rsidRPr="00AA5087">
        <w:rPr>
          <w:rFonts w:ascii="Times New Roman" w:eastAsia="Calibri" w:hAnsi="Times New Roman" w:cs="Times New Roman"/>
          <w:sz w:val="24"/>
          <w:szCs w:val="24"/>
          <w:lang w:eastAsia="en-US"/>
        </w:rPr>
        <w:t xml:space="preserve">audit services on audit fees: Evidence from the insurance industry’, </w:t>
      </w:r>
      <w:r w:rsidRPr="00AA5087">
        <w:rPr>
          <w:rFonts w:ascii="Times New Roman" w:eastAsia="Calibri" w:hAnsi="Times New Roman" w:cs="Times New Roman"/>
          <w:i/>
          <w:iCs/>
          <w:sz w:val="24"/>
          <w:szCs w:val="24"/>
          <w:lang w:eastAsia="en-US"/>
        </w:rPr>
        <w:t>International Journal of Auditing</w:t>
      </w:r>
      <w:r w:rsidRPr="00AA5087">
        <w:rPr>
          <w:rFonts w:ascii="Times New Roman" w:eastAsia="Calibri" w:hAnsi="Times New Roman" w:cs="Times New Roman"/>
          <w:sz w:val="24"/>
          <w:szCs w:val="24"/>
          <w:lang w:eastAsia="en-US"/>
        </w:rPr>
        <w:t xml:space="preserve">, 6 </w:t>
      </w:r>
      <w:r w:rsidR="00152653">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1</w:t>
      </w:r>
      <w:r w:rsidR="00152653">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w:t>
      </w:r>
      <w:r w:rsidR="00152653">
        <w:rPr>
          <w:rFonts w:ascii="Times New Roman" w:eastAsia="Calibri" w:hAnsi="Times New Roman" w:cs="Times New Roman"/>
          <w:sz w:val="24"/>
          <w:szCs w:val="24"/>
          <w:lang w:eastAsia="en-US"/>
        </w:rPr>
        <w:t xml:space="preserve"> </w:t>
      </w:r>
      <w:r w:rsidRPr="00AA5087">
        <w:rPr>
          <w:rFonts w:ascii="Times New Roman" w:eastAsia="Calibri" w:hAnsi="Times New Roman" w:cs="Times New Roman"/>
          <w:sz w:val="24"/>
          <w:szCs w:val="24"/>
          <w:lang w:eastAsia="en-US"/>
        </w:rPr>
        <w:t>93–107.</w:t>
      </w:r>
    </w:p>
    <w:p w14:paraId="0D9A3DD8" w14:textId="6252E29A" w:rsidR="00B73B45" w:rsidRPr="00AA5087" w:rsidRDefault="00B73B45" w:rsidP="002115E1">
      <w:pPr>
        <w:spacing w:after="0" w:line="240" w:lineRule="auto"/>
        <w:ind w:left="142" w:hanging="142"/>
        <w:jc w:val="both"/>
        <w:rPr>
          <w:rFonts w:ascii="Times New Roman" w:eastAsia="Calibri" w:hAnsi="Times New Roman" w:cs="Times New Roman"/>
          <w:sz w:val="24"/>
          <w:szCs w:val="24"/>
          <w:lang w:eastAsia="en-US"/>
        </w:rPr>
      </w:pPr>
      <w:r w:rsidRPr="00AA5087">
        <w:rPr>
          <w:rFonts w:ascii="Times New Roman" w:eastAsia="Calibri" w:hAnsi="Times New Roman" w:cs="Times New Roman"/>
          <w:sz w:val="24"/>
          <w:szCs w:val="24"/>
          <w:lang w:eastAsia="en-US"/>
        </w:rPr>
        <w:t xml:space="preserve">Piesse, J., Strange, R., &amp; Toonsi, F. (2012), ‘Is there a distinctive MENA model of corporate governance?’, </w:t>
      </w:r>
      <w:r w:rsidRPr="00AA5087">
        <w:rPr>
          <w:rFonts w:ascii="Times New Roman" w:eastAsia="Calibri" w:hAnsi="Times New Roman" w:cs="Times New Roman"/>
          <w:i/>
          <w:iCs/>
          <w:sz w:val="24"/>
          <w:szCs w:val="24"/>
          <w:lang w:eastAsia="en-US"/>
        </w:rPr>
        <w:t>Journal of Management &amp; Governance</w:t>
      </w:r>
      <w:r w:rsidRPr="00AA5087">
        <w:rPr>
          <w:rFonts w:ascii="Times New Roman" w:eastAsia="Calibri" w:hAnsi="Times New Roman" w:cs="Times New Roman"/>
          <w:sz w:val="24"/>
          <w:szCs w:val="24"/>
          <w:lang w:eastAsia="en-US"/>
        </w:rPr>
        <w:t>, 16</w:t>
      </w:r>
      <w:r w:rsidR="00152653">
        <w:rPr>
          <w:rFonts w:ascii="Times New Roman" w:eastAsia="Calibri" w:hAnsi="Times New Roman" w:cs="Times New Roman"/>
          <w:sz w:val="24"/>
          <w:szCs w:val="24"/>
          <w:lang w:eastAsia="en-US"/>
        </w:rPr>
        <w:t xml:space="preserve"> (</w:t>
      </w:r>
      <w:r w:rsidRPr="00AA5087">
        <w:rPr>
          <w:rFonts w:ascii="Times New Roman" w:eastAsia="Calibri" w:hAnsi="Times New Roman" w:cs="Times New Roman"/>
          <w:sz w:val="24"/>
          <w:szCs w:val="24"/>
          <w:lang w:eastAsia="en-US"/>
        </w:rPr>
        <w:t>4</w:t>
      </w:r>
      <w:r w:rsidR="00152653">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 645</w:t>
      </w:r>
      <w:r w:rsidR="003D244F" w:rsidRPr="00AA5087">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681.</w:t>
      </w:r>
    </w:p>
    <w:p w14:paraId="766E8097" w14:textId="065D2D8A" w:rsidR="009547DA" w:rsidRPr="00AA5087" w:rsidRDefault="009547DA" w:rsidP="002115E1">
      <w:pPr>
        <w:spacing w:after="0" w:line="240" w:lineRule="auto"/>
        <w:ind w:left="142" w:hanging="142"/>
        <w:jc w:val="both"/>
        <w:rPr>
          <w:rFonts w:ascii="Times New Roman" w:eastAsia="Calibri" w:hAnsi="Times New Roman" w:cs="Times New Roman"/>
          <w:sz w:val="24"/>
          <w:szCs w:val="24"/>
          <w:lang w:eastAsia="en-US"/>
        </w:rPr>
      </w:pPr>
      <w:r w:rsidRPr="00AA5087">
        <w:rPr>
          <w:rFonts w:ascii="Times New Roman" w:eastAsia="Calibri" w:hAnsi="Times New Roman" w:cs="Times New Roman"/>
          <w:sz w:val="24"/>
          <w:szCs w:val="24"/>
          <w:lang w:eastAsia="en-US"/>
        </w:rPr>
        <w:t>Pfeffer, J. (1973), ‘Size, composition, and function of hospital boards of directors: A study of organization-environment linkage. </w:t>
      </w:r>
      <w:r w:rsidRPr="00AA5087">
        <w:rPr>
          <w:rFonts w:ascii="Times New Roman" w:eastAsia="Calibri" w:hAnsi="Times New Roman" w:cs="Times New Roman"/>
          <w:i/>
          <w:iCs/>
          <w:sz w:val="24"/>
          <w:szCs w:val="24"/>
          <w:lang w:eastAsia="en-US"/>
        </w:rPr>
        <w:t>Administrative Science Quarterly</w:t>
      </w:r>
      <w:r w:rsidRPr="00AA5087">
        <w:rPr>
          <w:rFonts w:ascii="Times New Roman" w:eastAsia="Calibri" w:hAnsi="Times New Roman" w:cs="Times New Roman"/>
          <w:sz w:val="24"/>
          <w:szCs w:val="24"/>
          <w:lang w:eastAsia="en-US"/>
        </w:rPr>
        <w:t xml:space="preserve">, 18 </w:t>
      </w:r>
      <w:r w:rsidR="00152653">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3</w:t>
      </w:r>
      <w:r w:rsidR="00152653">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 349-364.</w:t>
      </w:r>
    </w:p>
    <w:p w14:paraId="1A340A9B" w14:textId="77777777" w:rsidR="00B73B45" w:rsidRPr="00AA5087" w:rsidRDefault="00B73B45" w:rsidP="002115E1">
      <w:pPr>
        <w:spacing w:after="0" w:line="240" w:lineRule="auto"/>
        <w:ind w:left="142" w:hanging="142"/>
        <w:jc w:val="both"/>
        <w:rPr>
          <w:rFonts w:ascii="Times New Roman" w:eastAsia="Calibri" w:hAnsi="Times New Roman" w:cs="Times New Roman"/>
          <w:sz w:val="24"/>
          <w:szCs w:val="24"/>
          <w:lang w:eastAsia="en-US"/>
        </w:rPr>
      </w:pPr>
      <w:r w:rsidRPr="00AA5087">
        <w:rPr>
          <w:rFonts w:ascii="Times New Roman" w:eastAsia="Calibri" w:hAnsi="Times New Roman" w:cs="Times New Roman"/>
          <w:sz w:val="24"/>
          <w:szCs w:val="24"/>
          <w:lang w:eastAsia="en-US"/>
        </w:rPr>
        <w:t>Public Oversight Board (POB) (1994), ‘</w:t>
      </w:r>
      <w:r w:rsidRPr="00AA5087">
        <w:rPr>
          <w:rFonts w:ascii="Times New Roman" w:eastAsia="Calibri" w:hAnsi="Times New Roman" w:cs="Times New Roman"/>
          <w:i/>
          <w:sz w:val="24"/>
          <w:szCs w:val="24"/>
          <w:lang w:eastAsia="en-US"/>
        </w:rPr>
        <w:t>Strengthening the professionalism of the independent auditor’,</w:t>
      </w:r>
      <w:r w:rsidRPr="00AA5087">
        <w:rPr>
          <w:rFonts w:ascii="Times New Roman" w:eastAsia="Calibri" w:hAnsi="Times New Roman" w:cs="Times New Roman"/>
          <w:sz w:val="24"/>
          <w:szCs w:val="24"/>
          <w:lang w:eastAsia="en-US"/>
        </w:rPr>
        <w:t> </w:t>
      </w:r>
      <w:r w:rsidRPr="00AA5087">
        <w:rPr>
          <w:rFonts w:ascii="Times New Roman" w:eastAsia="Calibri" w:hAnsi="Times New Roman" w:cs="Times New Roman"/>
          <w:iCs/>
          <w:sz w:val="24"/>
          <w:szCs w:val="24"/>
          <w:lang w:eastAsia="en-US"/>
        </w:rPr>
        <w:t>Stamford</w:t>
      </w:r>
      <w:r w:rsidRPr="00AA5087">
        <w:rPr>
          <w:rFonts w:ascii="Times New Roman" w:eastAsia="Calibri" w:hAnsi="Times New Roman" w:cs="Times New Roman"/>
          <w:i/>
          <w:iCs/>
          <w:sz w:val="24"/>
          <w:szCs w:val="24"/>
          <w:lang w:eastAsia="en-US"/>
        </w:rPr>
        <w:t>, CT: POB</w:t>
      </w:r>
      <w:r w:rsidRPr="00AA5087">
        <w:rPr>
          <w:rFonts w:ascii="Times New Roman" w:eastAsia="Calibri" w:hAnsi="Times New Roman" w:cs="Times New Roman"/>
          <w:sz w:val="24"/>
          <w:szCs w:val="24"/>
          <w:lang w:eastAsia="en-US"/>
        </w:rPr>
        <w:t>.</w:t>
      </w:r>
    </w:p>
    <w:p w14:paraId="615740C6" w14:textId="295C3B3F" w:rsidR="00B73B45" w:rsidRPr="00AA5087" w:rsidRDefault="00B73B45" w:rsidP="002115E1">
      <w:pPr>
        <w:spacing w:after="0" w:line="240" w:lineRule="auto"/>
        <w:ind w:left="142" w:hanging="142"/>
        <w:jc w:val="both"/>
        <w:rPr>
          <w:rFonts w:ascii="Times New Roman" w:eastAsia="Calibri" w:hAnsi="Times New Roman" w:cs="Times New Roman"/>
          <w:sz w:val="24"/>
          <w:szCs w:val="24"/>
          <w:lang w:eastAsia="en-US"/>
        </w:rPr>
      </w:pPr>
      <w:r w:rsidRPr="00AA5087">
        <w:rPr>
          <w:rFonts w:ascii="Times New Roman" w:eastAsia="Calibri" w:hAnsi="Times New Roman" w:cs="Times New Roman"/>
          <w:sz w:val="24"/>
          <w:szCs w:val="24"/>
          <w:lang w:eastAsia="en-US"/>
        </w:rPr>
        <w:t>Samaha, K., &amp; Hegazy, M. (2010), ‘An empirical investigation of the use of ISA 520 “analytical procedures” among Big 4 versus non-Big 4 audit firms in Egypt’, </w:t>
      </w:r>
      <w:r w:rsidRPr="00AA5087">
        <w:rPr>
          <w:rFonts w:ascii="Times New Roman" w:eastAsia="Calibri" w:hAnsi="Times New Roman" w:cs="Times New Roman"/>
          <w:i/>
          <w:iCs/>
          <w:sz w:val="24"/>
          <w:szCs w:val="24"/>
          <w:lang w:eastAsia="en-US"/>
        </w:rPr>
        <w:t>Managerial Auditing Journal</w:t>
      </w:r>
      <w:r w:rsidRPr="00AA5087">
        <w:rPr>
          <w:rFonts w:ascii="Times New Roman" w:eastAsia="Calibri" w:hAnsi="Times New Roman" w:cs="Times New Roman"/>
          <w:sz w:val="24"/>
          <w:szCs w:val="24"/>
          <w:lang w:eastAsia="en-US"/>
        </w:rPr>
        <w:t xml:space="preserve">, 25 </w:t>
      </w:r>
      <w:r w:rsidR="00152653">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9</w:t>
      </w:r>
      <w:r w:rsidR="00152653">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 882</w:t>
      </w:r>
      <w:r w:rsidR="003D244F" w:rsidRPr="00AA5087">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911.</w:t>
      </w:r>
    </w:p>
    <w:p w14:paraId="40088990" w14:textId="2556F1CF" w:rsidR="00F10B14" w:rsidRPr="00AA5087" w:rsidRDefault="00F10B14" w:rsidP="002115E1">
      <w:pPr>
        <w:spacing w:after="0" w:line="240" w:lineRule="auto"/>
        <w:ind w:left="142" w:hanging="142"/>
        <w:jc w:val="both"/>
        <w:rPr>
          <w:rFonts w:ascii="Times New Roman" w:eastAsia="Calibri" w:hAnsi="Times New Roman" w:cs="Times New Roman"/>
          <w:sz w:val="24"/>
          <w:szCs w:val="24"/>
          <w:lang w:eastAsia="en-US"/>
        </w:rPr>
      </w:pPr>
      <w:r w:rsidRPr="00AA5087">
        <w:rPr>
          <w:rFonts w:ascii="Times New Roman" w:eastAsia="Calibri" w:hAnsi="Times New Roman" w:cs="Times New Roman"/>
          <w:sz w:val="24"/>
          <w:szCs w:val="24"/>
          <w:lang w:eastAsia="en-US"/>
        </w:rPr>
        <w:t>Sharma, V. D. (2004), ‘Board of director characteristics, institutional ownership, and fraud: Evidence from Australia’, </w:t>
      </w:r>
      <w:r w:rsidRPr="00AA5087">
        <w:rPr>
          <w:rFonts w:ascii="Times New Roman" w:eastAsia="Calibri" w:hAnsi="Times New Roman" w:cs="Times New Roman"/>
          <w:i/>
          <w:iCs/>
          <w:sz w:val="24"/>
          <w:szCs w:val="24"/>
          <w:lang w:eastAsia="en-US"/>
        </w:rPr>
        <w:t>Auditing: A Journal of Practice &amp; Theory</w:t>
      </w:r>
      <w:r w:rsidRPr="00AA5087">
        <w:rPr>
          <w:rFonts w:ascii="Times New Roman" w:eastAsia="Calibri" w:hAnsi="Times New Roman" w:cs="Times New Roman"/>
          <w:sz w:val="24"/>
          <w:szCs w:val="24"/>
          <w:lang w:eastAsia="en-US"/>
        </w:rPr>
        <w:t>, 23</w:t>
      </w:r>
      <w:r w:rsidR="00152653">
        <w:rPr>
          <w:rFonts w:ascii="Times New Roman" w:eastAsia="Calibri" w:hAnsi="Times New Roman" w:cs="Times New Roman"/>
          <w:sz w:val="24"/>
          <w:szCs w:val="24"/>
          <w:lang w:eastAsia="en-US"/>
        </w:rPr>
        <w:t xml:space="preserve"> (</w:t>
      </w:r>
      <w:r w:rsidRPr="00AA5087">
        <w:rPr>
          <w:rFonts w:ascii="Times New Roman" w:eastAsia="Calibri" w:hAnsi="Times New Roman" w:cs="Times New Roman"/>
          <w:sz w:val="24"/>
          <w:szCs w:val="24"/>
          <w:lang w:eastAsia="en-US"/>
        </w:rPr>
        <w:t>2</w:t>
      </w:r>
      <w:r w:rsidR="00152653">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 105</w:t>
      </w:r>
      <w:r w:rsidR="003D244F" w:rsidRPr="00AA5087">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117.</w:t>
      </w:r>
    </w:p>
    <w:p w14:paraId="20BD3F29" w14:textId="3164FC48" w:rsidR="00B73B45" w:rsidRPr="00AA5087" w:rsidRDefault="00B73B45" w:rsidP="002115E1">
      <w:pPr>
        <w:spacing w:after="0" w:line="240" w:lineRule="auto"/>
        <w:ind w:left="142" w:hanging="142"/>
        <w:jc w:val="both"/>
        <w:rPr>
          <w:rFonts w:ascii="Times New Roman" w:eastAsia="Calibri" w:hAnsi="Times New Roman" w:cs="Times New Roman"/>
          <w:sz w:val="24"/>
          <w:szCs w:val="24"/>
          <w:lang w:eastAsia="en-US"/>
        </w:rPr>
      </w:pPr>
      <w:r w:rsidRPr="00AA5087">
        <w:rPr>
          <w:rFonts w:ascii="Times New Roman" w:eastAsia="Calibri" w:hAnsi="Times New Roman" w:cs="Times New Roman"/>
          <w:sz w:val="24"/>
          <w:szCs w:val="24"/>
          <w:lang w:eastAsia="en-US"/>
        </w:rPr>
        <w:t>Shleifer, A., &amp; Vishny, R. W. (1997), ’A survey of corporate governance’, </w:t>
      </w:r>
      <w:r w:rsidRPr="00AA5087">
        <w:rPr>
          <w:rFonts w:ascii="Times New Roman" w:eastAsia="Calibri" w:hAnsi="Times New Roman" w:cs="Times New Roman"/>
          <w:i/>
          <w:iCs/>
          <w:sz w:val="24"/>
          <w:szCs w:val="24"/>
          <w:lang w:eastAsia="en-US"/>
        </w:rPr>
        <w:t>The Journal of Finance</w:t>
      </w:r>
      <w:r w:rsidRPr="00AA5087">
        <w:rPr>
          <w:rFonts w:ascii="Times New Roman" w:eastAsia="Calibri" w:hAnsi="Times New Roman" w:cs="Times New Roman"/>
          <w:sz w:val="24"/>
          <w:szCs w:val="24"/>
          <w:lang w:eastAsia="en-US"/>
        </w:rPr>
        <w:t xml:space="preserve">, 52 </w:t>
      </w:r>
      <w:r w:rsidR="00152653">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2</w:t>
      </w:r>
      <w:r w:rsidR="00152653">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 737</w:t>
      </w:r>
      <w:r w:rsidR="003D244F" w:rsidRPr="00AA5087">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783.</w:t>
      </w:r>
    </w:p>
    <w:p w14:paraId="172CC7A9" w14:textId="65B29A62" w:rsidR="00B73B45" w:rsidRPr="00AA5087" w:rsidRDefault="00B73B45" w:rsidP="002115E1">
      <w:pPr>
        <w:spacing w:after="0" w:line="240" w:lineRule="auto"/>
        <w:ind w:left="142" w:hanging="142"/>
        <w:jc w:val="both"/>
        <w:rPr>
          <w:rFonts w:ascii="Times New Roman" w:eastAsia="Calibri" w:hAnsi="Times New Roman" w:cs="Times New Roman"/>
          <w:sz w:val="24"/>
          <w:szCs w:val="24"/>
          <w:lang w:eastAsia="en-US"/>
        </w:rPr>
      </w:pPr>
      <w:r w:rsidRPr="00AA5087">
        <w:rPr>
          <w:rFonts w:ascii="Times New Roman" w:eastAsia="Calibri" w:hAnsi="Times New Roman" w:cs="Times New Roman"/>
          <w:sz w:val="24"/>
          <w:szCs w:val="24"/>
          <w:lang w:eastAsia="en-US"/>
        </w:rPr>
        <w:t xml:space="preserve">Simunic, D. A. (1980), ‘The pricing of audit services: Theory and evidence’, </w:t>
      </w:r>
      <w:r w:rsidRPr="00AA5087">
        <w:rPr>
          <w:rFonts w:ascii="Times New Roman" w:eastAsia="Calibri" w:hAnsi="Times New Roman" w:cs="Times New Roman"/>
          <w:i/>
          <w:iCs/>
          <w:sz w:val="24"/>
          <w:szCs w:val="24"/>
          <w:lang w:eastAsia="en-US"/>
        </w:rPr>
        <w:t>Journal of Accounting Research</w:t>
      </w:r>
      <w:r w:rsidRPr="00AA5087">
        <w:rPr>
          <w:rFonts w:ascii="Times New Roman" w:eastAsia="Calibri" w:hAnsi="Times New Roman" w:cs="Times New Roman"/>
          <w:sz w:val="24"/>
          <w:szCs w:val="24"/>
          <w:lang w:eastAsia="en-US"/>
        </w:rPr>
        <w:t>, 18</w:t>
      </w:r>
      <w:r w:rsidR="00152653">
        <w:rPr>
          <w:rFonts w:ascii="Times New Roman" w:eastAsia="Calibri" w:hAnsi="Times New Roman" w:cs="Times New Roman"/>
          <w:sz w:val="24"/>
          <w:szCs w:val="24"/>
          <w:lang w:eastAsia="en-US"/>
        </w:rPr>
        <w:t xml:space="preserve"> (</w:t>
      </w:r>
      <w:r w:rsidRPr="00AA5087">
        <w:rPr>
          <w:rFonts w:ascii="Times New Roman" w:eastAsia="Calibri" w:hAnsi="Times New Roman" w:cs="Times New Roman"/>
          <w:sz w:val="24"/>
          <w:szCs w:val="24"/>
          <w:lang w:eastAsia="en-US"/>
        </w:rPr>
        <w:t>1</w:t>
      </w:r>
      <w:r w:rsidR="00152653">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 161</w:t>
      </w:r>
      <w:r w:rsidR="003D244F" w:rsidRPr="00AA5087">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190.</w:t>
      </w:r>
    </w:p>
    <w:p w14:paraId="37814D80" w14:textId="1FCF2491" w:rsidR="00FA0D41" w:rsidRPr="00AA5087" w:rsidRDefault="00FA0D41" w:rsidP="002115E1">
      <w:pPr>
        <w:spacing w:after="0" w:line="240" w:lineRule="auto"/>
        <w:jc w:val="both"/>
        <w:rPr>
          <w:rFonts w:ascii="Times New Roman" w:eastAsia="Calibri" w:hAnsi="Times New Roman" w:cs="Times New Roman"/>
          <w:sz w:val="24"/>
          <w:szCs w:val="24"/>
          <w:lang w:eastAsia="en-US"/>
        </w:rPr>
      </w:pPr>
      <w:r w:rsidRPr="00AA5087">
        <w:rPr>
          <w:rFonts w:ascii="Times New Roman" w:eastAsia="Calibri" w:hAnsi="Times New Roman" w:cs="Times New Roman"/>
          <w:sz w:val="24"/>
          <w:szCs w:val="24"/>
          <w:lang w:eastAsia="en-US"/>
        </w:rPr>
        <w:lastRenderedPageBreak/>
        <w:t>Transparency International Survey. (2014), ‘</w:t>
      </w:r>
      <w:r w:rsidRPr="00AA5087">
        <w:rPr>
          <w:rFonts w:ascii="Times New Roman" w:eastAsia="Calibri" w:hAnsi="Times New Roman" w:cs="Times New Roman"/>
          <w:i/>
          <w:sz w:val="24"/>
          <w:szCs w:val="24"/>
          <w:lang w:eastAsia="en-US"/>
        </w:rPr>
        <w:t>Corruption Perceptions Index</w:t>
      </w:r>
      <w:r w:rsidRPr="00AA5087">
        <w:rPr>
          <w:rFonts w:ascii="Times New Roman" w:eastAsia="Calibri" w:hAnsi="Times New Roman" w:cs="Times New Roman"/>
          <w:sz w:val="24"/>
          <w:szCs w:val="24"/>
          <w:lang w:eastAsia="en-US"/>
        </w:rPr>
        <w:t xml:space="preserve">’, </w:t>
      </w:r>
      <w:r w:rsidR="00D44951" w:rsidRPr="00AA5087">
        <w:rPr>
          <w:rFonts w:ascii="Times New Roman" w:eastAsia="Calibri" w:hAnsi="Times New Roman" w:cs="Times New Roman"/>
          <w:sz w:val="24"/>
          <w:szCs w:val="24"/>
          <w:lang w:eastAsia="en-US"/>
        </w:rPr>
        <w:t xml:space="preserve">Available </w:t>
      </w:r>
      <w:r w:rsidRPr="00AA5087">
        <w:rPr>
          <w:rFonts w:ascii="Times New Roman" w:eastAsia="Calibri" w:hAnsi="Times New Roman" w:cs="Times New Roman"/>
          <w:sz w:val="24"/>
          <w:szCs w:val="24"/>
          <w:lang w:eastAsia="en-US"/>
        </w:rPr>
        <w:t>at:</w:t>
      </w:r>
      <w:r w:rsidRPr="00AA5087">
        <w:rPr>
          <w:sz w:val="24"/>
          <w:szCs w:val="24"/>
        </w:rPr>
        <w:t xml:space="preserve"> </w:t>
      </w:r>
      <w:r w:rsidRPr="00AA5087">
        <w:rPr>
          <w:rFonts w:ascii="Times New Roman" w:eastAsia="Calibri" w:hAnsi="Times New Roman" w:cs="Times New Roman"/>
          <w:sz w:val="24"/>
          <w:szCs w:val="24"/>
          <w:lang w:eastAsia="en-US"/>
        </w:rPr>
        <w:t>https://www.transparency.org/</w:t>
      </w:r>
      <w:r w:rsidRPr="00AA5087">
        <w:rPr>
          <w:rFonts w:ascii="Times New Roman" w:eastAsia="Calibri" w:hAnsi="Times New Roman" w:cs="Times New Roman"/>
          <w:i/>
          <w:sz w:val="24"/>
          <w:szCs w:val="24"/>
          <w:lang w:eastAsia="en-US"/>
        </w:rPr>
        <w:t>.</w:t>
      </w:r>
    </w:p>
    <w:p w14:paraId="60EA68C7" w14:textId="27865CC5" w:rsidR="00BE7541" w:rsidRPr="00AA5087" w:rsidRDefault="007366D9" w:rsidP="002115E1">
      <w:pPr>
        <w:spacing w:after="0" w:line="240" w:lineRule="auto"/>
        <w:ind w:left="142" w:hanging="142"/>
        <w:jc w:val="both"/>
        <w:rPr>
          <w:rFonts w:ascii="Times New Roman" w:eastAsia="Calibri" w:hAnsi="Times New Roman" w:cs="Times New Roman"/>
          <w:sz w:val="24"/>
          <w:szCs w:val="24"/>
          <w:lang w:eastAsia="en-US"/>
        </w:rPr>
      </w:pPr>
      <w:r w:rsidRPr="00AA5087">
        <w:rPr>
          <w:rFonts w:ascii="Times New Roman" w:eastAsia="Calibri" w:hAnsi="Times New Roman" w:cs="Times New Roman"/>
          <w:sz w:val="24"/>
          <w:szCs w:val="24"/>
          <w:lang w:eastAsia="en-US"/>
        </w:rPr>
        <w:t>Tsui, J., Jaggi, B., &amp; Gul, F. (2001), ‘CEO domination, discretionary accruals and audit fees’, </w:t>
      </w:r>
      <w:r w:rsidRPr="00AA5087">
        <w:rPr>
          <w:rFonts w:ascii="Times New Roman" w:eastAsia="Calibri" w:hAnsi="Times New Roman" w:cs="Times New Roman"/>
          <w:i/>
          <w:iCs/>
          <w:sz w:val="24"/>
          <w:szCs w:val="24"/>
          <w:lang w:eastAsia="en-US"/>
        </w:rPr>
        <w:t>Journal of Accounting, Auditing and Finance</w:t>
      </w:r>
      <w:r w:rsidRPr="00AA5087">
        <w:rPr>
          <w:rFonts w:ascii="Times New Roman" w:eastAsia="Calibri" w:hAnsi="Times New Roman" w:cs="Times New Roman"/>
          <w:sz w:val="24"/>
          <w:szCs w:val="24"/>
          <w:lang w:eastAsia="en-US"/>
        </w:rPr>
        <w:t>, </w:t>
      </w:r>
      <w:r w:rsidRPr="00AA5087">
        <w:rPr>
          <w:rFonts w:ascii="Times New Roman" w:eastAsia="Calibri" w:hAnsi="Times New Roman" w:cs="Times New Roman"/>
          <w:iCs/>
          <w:sz w:val="24"/>
          <w:szCs w:val="24"/>
          <w:lang w:eastAsia="en-US"/>
        </w:rPr>
        <w:t>16</w:t>
      </w:r>
      <w:r w:rsidR="00152653">
        <w:rPr>
          <w:rFonts w:ascii="Times New Roman" w:eastAsia="Calibri" w:hAnsi="Times New Roman" w:cs="Times New Roman"/>
          <w:iCs/>
          <w:sz w:val="24"/>
          <w:szCs w:val="24"/>
          <w:lang w:eastAsia="en-US"/>
        </w:rPr>
        <w:t xml:space="preserve"> (</w:t>
      </w:r>
      <w:r w:rsidRPr="00AA5087">
        <w:rPr>
          <w:rFonts w:ascii="Times New Roman" w:eastAsia="Calibri" w:hAnsi="Times New Roman" w:cs="Times New Roman"/>
          <w:sz w:val="24"/>
          <w:szCs w:val="24"/>
          <w:lang w:eastAsia="en-US"/>
        </w:rPr>
        <w:t>2</w:t>
      </w:r>
      <w:r w:rsidR="00152653">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 189</w:t>
      </w:r>
      <w:r w:rsidR="001E15ED" w:rsidRPr="00AA5087">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207.</w:t>
      </w:r>
    </w:p>
    <w:p w14:paraId="14E7BFDF" w14:textId="19F42106" w:rsidR="00EB6C04" w:rsidRPr="00AA5087" w:rsidRDefault="00EB6C04" w:rsidP="002115E1">
      <w:pPr>
        <w:spacing w:after="0" w:line="240" w:lineRule="auto"/>
        <w:ind w:left="142" w:hanging="142"/>
        <w:jc w:val="both"/>
        <w:rPr>
          <w:rFonts w:ascii="Times New Roman" w:eastAsia="Calibri" w:hAnsi="Times New Roman" w:cs="Times New Roman"/>
          <w:sz w:val="24"/>
          <w:szCs w:val="24"/>
          <w:lang w:eastAsia="en-US"/>
        </w:rPr>
      </w:pPr>
      <w:r w:rsidRPr="00AA5087">
        <w:rPr>
          <w:rFonts w:ascii="Times New Roman" w:eastAsia="Calibri" w:hAnsi="Times New Roman" w:cs="Times New Roman"/>
          <w:sz w:val="24"/>
          <w:szCs w:val="24"/>
          <w:lang w:eastAsia="en-US"/>
        </w:rPr>
        <w:t>Wahba, H.</w:t>
      </w:r>
      <w:r w:rsidR="000A1505" w:rsidRPr="00AA5087">
        <w:rPr>
          <w:rFonts w:ascii="Times New Roman" w:eastAsia="Calibri" w:hAnsi="Times New Roman" w:cs="Times New Roman"/>
          <w:sz w:val="24"/>
          <w:szCs w:val="24"/>
          <w:lang w:eastAsia="en-US"/>
        </w:rPr>
        <w:t xml:space="preserve"> </w:t>
      </w:r>
      <w:r w:rsidRPr="00AA5087">
        <w:rPr>
          <w:rFonts w:ascii="Times New Roman" w:eastAsia="Calibri" w:hAnsi="Times New Roman" w:cs="Times New Roman"/>
          <w:sz w:val="24"/>
          <w:szCs w:val="24"/>
          <w:lang w:eastAsia="en-US"/>
        </w:rPr>
        <w:t>(2014)</w:t>
      </w:r>
      <w:r w:rsidR="000A1505" w:rsidRPr="00AA5087">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 xml:space="preserve"> </w:t>
      </w:r>
      <w:r w:rsidR="000A1505" w:rsidRPr="00AA5087">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Capital structure, managerial ownership and firm performance: evidence from Egypt</w:t>
      </w:r>
      <w:r w:rsidR="000A1505" w:rsidRPr="00AA5087">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 </w:t>
      </w:r>
      <w:r w:rsidRPr="00AA5087">
        <w:rPr>
          <w:rFonts w:ascii="Times New Roman" w:eastAsia="Calibri" w:hAnsi="Times New Roman" w:cs="Times New Roman"/>
          <w:i/>
          <w:iCs/>
          <w:sz w:val="24"/>
          <w:szCs w:val="24"/>
          <w:lang w:eastAsia="en-US"/>
        </w:rPr>
        <w:t>Journal of Management &amp; Governance</w:t>
      </w:r>
      <w:r w:rsidRPr="00AA5087">
        <w:rPr>
          <w:rFonts w:ascii="Times New Roman" w:eastAsia="Calibri" w:hAnsi="Times New Roman" w:cs="Times New Roman"/>
          <w:sz w:val="24"/>
          <w:szCs w:val="24"/>
          <w:lang w:eastAsia="en-US"/>
        </w:rPr>
        <w:t>, </w:t>
      </w:r>
      <w:r w:rsidRPr="00AA5087">
        <w:rPr>
          <w:rFonts w:ascii="Times New Roman" w:eastAsia="Calibri" w:hAnsi="Times New Roman" w:cs="Times New Roman"/>
          <w:iCs/>
          <w:sz w:val="24"/>
          <w:szCs w:val="24"/>
          <w:lang w:eastAsia="en-US"/>
        </w:rPr>
        <w:t>18</w:t>
      </w:r>
      <w:r w:rsidR="000A1505" w:rsidRPr="00AA5087">
        <w:rPr>
          <w:rFonts w:ascii="Times New Roman" w:eastAsia="Calibri" w:hAnsi="Times New Roman" w:cs="Times New Roman"/>
          <w:sz w:val="24"/>
          <w:szCs w:val="24"/>
          <w:lang w:eastAsia="en-US"/>
        </w:rPr>
        <w:t xml:space="preserve"> </w:t>
      </w:r>
      <w:r w:rsidR="00152653">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4</w:t>
      </w:r>
      <w:r w:rsidR="00152653">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 1041</w:t>
      </w:r>
      <w:r w:rsidR="00A3225D" w:rsidRPr="00AA5087">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1061.</w:t>
      </w:r>
    </w:p>
    <w:p w14:paraId="425A3808" w14:textId="6758C11F" w:rsidR="00B73B45" w:rsidRPr="00AA5087" w:rsidRDefault="00B73B45" w:rsidP="002115E1">
      <w:pPr>
        <w:spacing w:after="0" w:line="240" w:lineRule="auto"/>
        <w:ind w:left="142" w:hanging="142"/>
        <w:jc w:val="both"/>
        <w:rPr>
          <w:rFonts w:ascii="Times New Roman" w:eastAsia="Calibri" w:hAnsi="Times New Roman" w:cs="Times New Roman"/>
          <w:sz w:val="24"/>
          <w:szCs w:val="24"/>
          <w:lang w:eastAsia="en-US"/>
        </w:rPr>
      </w:pPr>
      <w:r w:rsidRPr="00AA5087">
        <w:rPr>
          <w:rFonts w:ascii="Times New Roman" w:eastAsia="Calibri" w:hAnsi="Times New Roman" w:cs="Times New Roman"/>
          <w:sz w:val="24"/>
          <w:szCs w:val="24"/>
          <w:lang w:eastAsia="en-US"/>
        </w:rPr>
        <w:t>Wahdan, M. A., Spronck, P. H. M., Ali, H. F., Vaassen, E., and Van den Herik, H. J. (2005), ‘</w:t>
      </w:r>
      <w:r w:rsidRPr="00AA5087">
        <w:rPr>
          <w:rFonts w:ascii="Times New Roman" w:eastAsia="Calibri" w:hAnsi="Times New Roman" w:cs="Times New Roman"/>
          <w:i/>
          <w:sz w:val="24"/>
          <w:szCs w:val="24"/>
          <w:lang w:eastAsia="en-US"/>
        </w:rPr>
        <w:t>Auditing in Egypt: A study of challenges, problems, and possibility of an automatic formulation of the auditor's report</w:t>
      </w:r>
      <w:r w:rsidRPr="00AA5087">
        <w:rPr>
          <w:rFonts w:ascii="Times New Roman" w:eastAsia="Calibri" w:hAnsi="Times New Roman" w:cs="Times New Roman"/>
          <w:sz w:val="24"/>
          <w:szCs w:val="24"/>
          <w:lang w:eastAsia="en-US"/>
        </w:rPr>
        <w:t>’, The 14</w:t>
      </w:r>
      <w:r w:rsidRPr="00AA5087">
        <w:rPr>
          <w:rFonts w:ascii="Times New Roman" w:eastAsia="Calibri" w:hAnsi="Times New Roman" w:cs="Times New Roman"/>
          <w:sz w:val="24"/>
          <w:szCs w:val="24"/>
          <w:vertAlign w:val="superscript"/>
          <w:lang w:eastAsia="en-US"/>
        </w:rPr>
        <w:t>th</w:t>
      </w:r>
      <w:r w:rsidRPr="00AA5087">
        <w:rPr>
          <w:rFonts w:ascii="Times New Roman" w:eastAsia="Calibri" w:hAnsi="Times New Roman" w:cs="Times New Roman"/>
          <w:sz w:val="24"/>
          <w:szCs w:val="24"/>
          <w:lang w:eastAsia="en-US"/>
        </w:rPr>
        <w:t xml:space="preserve"> World Business Congress, IMDA, Granada, Spain, July 10-14, 91</w:t>
      </w:r>
      <w:r w:rsidR="003D244F" w:rsidRPr="00AA5087">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98.</w:t>
      </w:r>
    </w:p>
    <w:p w14:paraId="662BC618" w14:textId="5CFC4279" w:rsidR="00B73B45" w:rsidRPr="00AA5087" w:rsidRDefault="00B73B45" w:rsidP="002115E1">
      <w:pPr>
        <w:spacing w:after="0" w:line="240" w:lineRule="auto"/>
        <w:ind w:left="142" w:hanging="142"/>
        <w:jc w:val="both"/>
        <w:rPr>
          <w:rFonts w:ascii="Times New Roman" w:eastAsia="Calibri" w:hAnsi="Times New Roman" w:cs="Times New Roman"/>
          <w:sz w:val="24"/>
          <w:szCs w:val="24"/>
          <w:lang w:eastAsia="en-US"/>
        </w:rPr>
      </w:pPr>
      <w:r w:rsidRPr="00AA5087">
        <w:rPr>
          <w:rFonts w:ascii="Times New Roman" w:eastAsia="Calibri" w:hAnsi="Times New Roman" w:cs="Times New Roman"/>
          <w:sz w:val="24"/>
          <w:szCs w:val="24"/>
          <w:lang w:eastAsia="en-US"/>
        </w:rPr>
        <w:t>Watts, R. L., &amp; Zimmerman, J. L. (1983), ‘Agency problems, auditing, and the theory of the firm: Some evidence’, </w:t>
      </w:r>
      <w:r w:rsidRPr="00AA5087">
        <w:rPr>
          <w:rFonts w:ascii="Times New Roman" w:eastAsia="Calibri" w:hAnsi="Times New Roman" w:cs="Times New Roman"/>
          <w:i/>
          <w:iCs/>
          <w:sz w:val="24"/>
          <w:szCs w:val="24"/>
          <w:lang w:eastAsia="en-US"/>
        </w:rPr>
        <w:t>The Journal of Law &amp; Economics</w:t>
      </w:r>
      <w:r w:rsidRPr="00AA5087">
        <w:rPr>
          <w:rFonts w:ascii="Times New Roman" w:eastAsia="Calibri" w:hAnsi="Times New Roman" w:cs="Times New Roman"/>
          <w:sz w:val="24"/>
          <w:szCs w:val="24"/>
          <w:lang w:eastAsia="en-US"/>
        </w:rPr>
        <w:t xml:space="preserve">, 26 </w:t>
      </w:r>
      <w:r w:rsidR="005F1156">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3</w:t>
      </w:r>
      <w:r w:rsidR="005F1156">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 613</w:t>
      </w:r>
      <w:r w:rsidR="003D244F" w:rsidRPr="00AA5087">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633.</w:t>
      </w:r>
    </w:p>
    <w:p w14:paraId="43DFEF98" w14:textId="77777777" w:rsidR="00B73B45" w:rsidRPr="00AA5087" w:rsidRDefault="00B73B45" w:rsidP="002115E1">
      <w:pPr>
        <w:spacing w:after="0" w:line="240" w:lineRule="auto"/>
        <w:ind w:left="142" w:hanging="142"/>
        <w:jc w:val="both"/>
        <w:rPr>
          <w:rFonts w:ascii="Times New Roman" w:eastAsia="Calibri" w:hAnsi="Times New Roman" w:cs="Times New Roman"/>
          <w:sz w:val="24"/>
          <w:szCs w:val="24"/>
          <w:lang w:eastAsia="en-US"/>
        </w:rPr>
      </w:pPr>
      <w:r w:rsidRPr="00AA5087">
        <w:rPr>
          <w:rFonts w:ascii="Times New Roman" w:eastAsia="Calibri" w:hAnsi="Times New Roman" w:cs="Times New Roman"/>
          <w:sz w:val="24"/>
          <w:szCs w:val="24"/>
          <w:lang w:eastAsia="en-US"/>
        </w:rPr>
        <w:t>Wooldridge, J. M. (2010), ‘</w:t>
      </w:r>
      <w:r w:rsidRPr="00AA5087">
        <w:rPr>
          <w:rFonts w:ascii="Times New Roman" w:eastAsia="Calibri" w:hAnsi="Times New Roman" w:cs="Times New Roman"/>
          <w:bCs/>
          <w:i/>
          <w:iCs/>
          <w:sz w:val="24"/>
          <w:szCs w:val="24"/>
          <w:lang w:eastAsia="en-US"/>
        </w:rPr>
        <w:t>Econometric analysis of cross section and</w:t>
      </w:r>
      <w:r w:rsidRPr="00AA5087">
        <w:rPr>
          <w:rFonts w:ascii="Times New Roman" w:eastAsia="Calibri" w:hAnsi="Times New Roman" w:cs="Times New Roman"/>
          <w:b/>
          <w:bCs/>
          <w:i/>
          <w:iCs/>
          <w:sz w:val="24"/>
          <w:szCs w:val="24"/>
          <w:lang w:eastAsia="en-US"/>
        </w:rPr>
        <w:t xml:space="preserve"> </w:t>
      </w:r>
      <w:r w:rsidRPr="00AA5087">
        <w:rPr>
          <w:rFonts w:ascii="Times New Roman" w:eastAsia="Calibri" w:hAnsi="Times New Roman" w:cs="Times New Roman"/>
          <w:i/>
          <w:sz w:val="24"/>
          <w:szCs w:val="24"/>
          <w:lang w:eastAsia="en-US"/>
        </w:rPr>
        <w:t>panel data’,</w:t>
      </w:r>
      <w:r w:rsidRPr="00AA5087">
        <w:rPr>
          <w:rFonts w:ascii="Times New Roman" w:eastAsia="Calibri" w:hAnsi="Times New Roman" w:cs="Times New Roman"/>
          <w:sz w:val="24"/>
          <w:szCs w:val="24"/>
          <w:lang w:eastAsia="en-US"/>
        </w:rPr>
        <w:t xml:space="preserve"> Cambridge, MA: MIT Press.</w:t>
      </w:r>
    </w:p>
    <w:p w14:paraId="63AACD46" w14:textId="1BF72096" w:rsidR="0028722C" w:rsidRPr="00AA5087" w:rsidRDefault="0028722C" w:rsidP="002115E1">
      <w:pPr>
        <w:spacing w:after="0" w:line="240" w:lineRule="auto"/>
        <w:ind w:left="142" w:hanging="142"/>
        <w:jc w:val="both"/>
        <w:rPr>
          <w:rFonts w:ascii="Times New Roman" w:eastAsia="Calibri" w:hAnsi="Times New Roman" w:cs="Times New Roman"/>
          <w:sz w:val="24"/>
          <w:szCs w:val="24"/>
          <w:lang w:eastAsia="en-US"/>
        </w:rPr>
      </w:pPr>
      <w:r w:rsidRPr="00AA5087">
        <w:rPr>
          <w:rFonts w:ascii="Times New Roman" w:eastAsia="Calibri" w:hAnsi="Times New Roman" w:cs="Times New Roman"/>
          <w:sz w:val="24"/>
          <w:szCs w:val="24"/>
          <w:lang w:eastAsia="en-US"/>
        </w:rPr>
        <w:t>Zahra, S. A. (2014), ‘Public and corporate governance and young global entrepreneurial firms’, </w:t>
      </w:r>
      <w:r w:rsidRPr="00AA5087">
        <w:rPr>
          <w:rFonts w:ascii="Times New Roman" w:eastAsia="Calibri" w:hAnsi="Times New Roman" w:cs="Times New Roman"/>
          <w:i/>
          <w:iCs/>
          <w:sz w:val="24"/>
          <w:szCs w:val="24"/>
          <w:lang w:eastAsia="en-US"/>
        </w:rPr>
        <w:t>Corporate Governance: An International Review</w:t>
      </w:r>
      <w:r w:rsidRPr="00AA5087">
        <w:rPr>
          <w:rFonts w:ascii="Times New Roman" w:eastAsia="Calibri" w:hAnsi="Times New Roman" w:cs="Times New Roman"/>
          <w:sz w:val="24"/>
          <w:szCs w:val="24"/>
          <w:lang w:eastAsia="en-US"/>
        </w:rPr>
        <w:t>, </w:t>
      </w:r>
      <w:r w:rsidRPr="00AA5087">
        <w:rPr>
          <w:rFonts w:ascii="Times New Roman" w:eastAsia="Calibri" w:hAnsi="Times New Roman" w:cs="Times New Roman"/>
          <w:iCs/>
          <w:sz w:val="24"/>
          <w:szCs w:val="24"/>
          <w:lang w:eastAsia="en-US"/>
        </w:rPr>
        <w:t xml:space="preserve">22 </w:t>
      </w:r>
      <w:r w:rsidR="00AF33B3">
        <w:rPr>
          <w:rFonts w:ascii="Times New Roman" w:eastAsia="Calibri" w:hAnsi="Times New Roman" w:cs="Times New Roman"/>
          <w:iCs/>
          <w:sz w:val="24"/>
          <w:szCs w:val="24"/>
          <w:lang w:eastAsia="en-US"/>
        </w:rPr>
        <w:t>(</w:t>
      </w:r>
      <w:r w:rsidRPr="00AA5087">
        <w:rPr>
          <w:rFonts w:ascii="Times New Roman" w:eastAsia="Calibri" w:hAnsi="Times New Roman" w:cs="Times New Roman"/>
          <w:sz w:val="24"/>
          <w:szCs w:val="24"/>
          <w:lang w:eastAsia="en-US"/>
        </w:rPr>
        <w:t>2</w:t>
      </w:r>
      <w:r w:rsidR="00AF33B3">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 77</w:t>
      </w:r>
      <w:r w:rsidR="001E15ED" w:rsidRPr="00AA5087">
        <w:rPr>
          <w:rFonts w:ascii="Times New Roman" w:eastAsia="Calibri" w:hAnsi="Times New Roman" w:cs="Times New Roman"/>
          <w:sz w:val="24"/>
          <w:szCs w:val="24"/>
          <w:lang w:eastAsia="en-US"/>
        </w:rPr>
        <w:t>–</w:t>
      </w:r>
      <w:r w:rsidRPr="00AA5087">
        <w:rPr>
          <w:rFonts w:ascii="Times New Roman" w:eastAsia="Calibri" w:hAnsi="Times New Roman" w:cs="Times New Roman"/>
          <w:sz w:val="24"/>
          <w:szCs w:val="24"/>
          <w:lang w:eastAsia="en-US"/>
        </w:rPr>
        <w:t>83.</w:t>
      </w:r>
    </w:p>
    <w:p w14:paraId="5B35977D" w14:textId="77777777" w:rsidR="00C53BDF" w:rsidRDefault="00C53BDF" w:rsidP="008A52BA">
      <w:pPr>
        <w:spacing w:after="0" w:line="240" w:lineRule="auto"/>
        <w:ind w:left="142" w:hanging="142"/>
        <w:jc w:val="both"/>
        <w:rPr>
          <w:rFonts w:ascii="Times New Roman" w:eastAsia="Calibri" w:hAnsi="Times New Roman" w:cs="Times New Roman"/>
          <w:sz w:val="20"/>
          <w:szCs w:val="20"/>
          <w:lang w:eastAsia="en-US"/>
        </w:rPr>
      </w:pPr>
    </w:p>
    <w:p w14:paraId="3EE0C2FC" w14:textId="77777777" w:rsidR="00F8442B" w:rsidRDefault="00F8442B" w:rsidP="008A52BA">
      <w:pPr>
        <w:spacing w:after="0" w:line="240" w:lineRule="auto"/>
        <w:ind w:left="142" w:hanging="142"/>
        <w:jc w:val="both"/>
        <w:rPr>
          <w:rFonts w:ascii="Times New Roman" w:eastAsia="Calibri" w:hAnsi="Times New Roman" w:cs="Times New Roman"/>
          <w:sz w:val="20"/>
          <w:szCs w:val="20"/>
          <w:lang w:eastAsia="en-US"/>
        </w:rPr>
      </w:pPr>
    </w:p>
    <w:p w14:paraId="0E9ABA1F" w14:textId="77777777" w:rsidR="000116CC" w:rsidRDefault="000116CC" w:rsidP="008A52BA">
      <w:pPr>
        <w:spacing w:after="0" w:line="240" w:lineRule="auto"/>
        <w:ind w:left="142" w:hanging="142"/>
        <w:jc w:val="both"/>
        <w:rPr>
          <w:rFonts w:ascii="Times New Roman" w:eastAsia="Calibri" w:hAnsi="Times New Roman" w:cs="Times New Roman"/>
          <w:sz w:val="20"/>
          <w:szCs w:val="20"/>
          <w:lang w:eastAsia="en-US"/>
        </w:rPr>
      </w:pPr>
    </w:p>
    <w:p w14:paraId="60E2FC32" w14:textId="77777777" w:rsidR="000116CC" w:rsidRDefault="000116CC" w:rsidP="008A52BA">
      <w:pPr>
        <w:spacing w:after="0" w:line="240" w:lineRule="auto"/>
        <w:ind w:left="142" w:hanging="142"/>
        <w:jc w:val="both"/>
        <w:rPr>
          <w:rFonts w:ascii="Times New Roman" w:eastAsia="Calibri" w:hAnsi="Times New Roman" w:cs="Times New Roman"/>
          <w:sz w:val="20"/>
          <w:szCs w:val="20"/>
          <w:lang w:eastAsia="en-US"/>
        </w:rPr>
      </w:pPr>
    </w:p>
    <w:p w14:paraId="4FA52519" w14:textId="77777777" w:rsidR="00F8442B" w:rsidRDefault="00F8442B" w:rsidP="008A52BA">
      <w:pPr>
        <w:spacing w:after="0" w:line="240" w:lineRule="auto"/>
        <w:ind w:left="142" w:hanging="142"/>
        <w:jc w:val="both"/>
        <w:rPr>
          <w:rFonts w:ascii="Times New Roman" w:eastAsia="Calibri" w:hAnsi="Times New Roman" w:cs="Times New Roman"/>
          <w:sz w:val="20"/>
          <w:szCs w:val="20"/>
          <w:lang w:eastAsia="en-US"/>
        </w:rPr>
      </w:pPr>
    </w:p>
    <w:p w14:paraId="0D8D0AF9" w14:textId="77777777" w:rsidR="00F8442B" w:rsidRDefault="00F8442B" w:rsidP="008A52BA">
      <w:pPr>
        <w:spacing w:after="0" w:line="240" w:lineRule="auto"/>
        <w:ind w:left="142" w:hanging="142"/>
        <w:jc w:val="both"/>
        <w:rPr>
          <w:rFonts w:ascii="Times New Roman" w:eastAsia="Calibri" w:hAnsi="Times New Roman" w:cs="Times New Roman"/>
          <w:sz w:val="20"/>
          <w:szCs w:val="20"/>
          <w:lang w:eastAsia="en-US"/>
        </w:rPr>
      </w:pPr>
    </w:p>
    <w:p w14:paraId="4392B00C" w14:textId="77777777" w:rsidR="00C46A88" w:rsidRDefault="00C46A88" w:rsidP="008A52BA">
      <w:pPr>
        <w:spacing w:after="0" w:line="240" w:lineRule="auto"/>
        <w:ind w:left="142" w:hanging="142"/>
        <w:jc w:val="both"/>
        <w:rPr>
          <w:rFonts w:ascii="Times New Roman" w:eastAsia="Calibri" w:hAnsi="Times New Roman" w:cs="Times New Roman"/>
          <w:sz w:val="20"/>
          <w:szCs w:val="20"/>
          <w:lang w:eastAsia="en-US"/>
        </w:rPr>
      </w:pPr>
    </w:p>
    <w:p w14:paraId="6D78A5B5" w14:textId="77777777" w:rsidR="00C46A88" w:rsidRDefault="00C46A88" w:rsidP="008A52BA">
      <w:pPr>
        <w:spacing w:after="0" w:line="240" w:lineRule="auto"/>
        <w:ind w:left="142" w:hanging="142"/>
        <w:jc w:val="both"/>
        <w:rPr>
          <w:rFonts w:ascii="Times New Roman" w:eastAsia="Calibri" w:hAnsi="Times New Roman" w:cs="Times New Roman"/>
          <w:sz w:val="20"/>
          <w:szCs w:val="20"/>
          <w:lang w:eastAsia="en-US"/>
        </w:rPr>
      </w:pPr>
    </w:p>
    <w:p w14:paraId="4879F96E" w14:textId="77777777" w:rsidR="00C46A88" w:rsidRDefault="00C46A88" w:rsidP="008A52BA">
      <w:pPr>
        <w:spacing w:after="0" w:line="240" w:lineRule="auto"/>
        <w:ind w:left="142" w:hanging="142"/>
        <w:jc w:val="both"/>
        <w:rPr>
          <w:rFonts w:ascii="Times New Roman" w:eastAsia="Calibri" w:hAnsi="Times New Roman" w:cs="Times New Roman"/>
          <w:sz w:val="20"/>
          <w:szCs w:val="20"/>
          <w:lang w:eastAsia="en-US"/>
        </w:rPr>
      </w:pPr>
    </w:p>
    <w:p w14:paraId="253A522B" w14:textId="77777777" w:rsidR="003D45E4" w:rsidRDefault="003D45E4" w:rsidP="008A52BA">
      <w:pPr>
        <w:spacing w:after="0" w:line="240" w:lineRule="auto"/>
        <w:ind w:left="142" w:hanging="142"/>
        <w:jc w:val="both"/>
        <w:rPr>
          <w:rFonts w:ascii="Times New Roman" w:eastAsia="Calibri" w:hAnsi="Times New Roman" w:cs="Times New Roman"/>
          <w:sz w:val="20"/>
          <w:szCs w:val="20"/>
          <w:lang w:eastAsia="en-US"/>
        </w:rPr>
      </w:pPr>
    </w:p>
    <w:p w14:paraId="7EF1E832" w14:textId="77777777" w:rsidR="000116CC" w:rsidRDefault="000116CC" w:rsidP="008A52BA">
      <w:pPr>
        <w:spacing w:after="0" w:line="240" w:lineRule="auto"/>
        <w:ind w:left="142" w:hanging="142"/>
        <w:jc w:val="both"/>
        <w:rPr>
          <w:rFonts w:ascii="Times New Roman" w:eastAsia="Calibri" w:hAnsi="Times New Roman" w:cs="Times New Roman"/>
          <w:sz w:val="20"/>
          <w:szCs w:val="20"/>
          <w:lang w:eastAsia="en-US"/>
        </w:rPr>
      </w:pPr>
    </w:p>
    <w:p w14:paraId="496F0F9E" w14:textId="77777777" w:rsidR="003D45E4" w:rsidRDefault="003D45E4" w:rsidP="008A52BA">
      <w:pPr>
        <w:spacing w:after="0" w:line="240" w:lineRule="auto"/>
        <w:ind w:left="142" w:hanging="142"/>
        <w:jc w:val="both"/>
        <w:rPr>
          <w:rFonts w:ascii="Times New Roman" w:eastAsia="Calibri" w:hAnsi="Times New Roman" w:cs="Times New Roman"/>
          <w:sz w:val="20"/>
          <w:szCs w:val="20"/>
          <w:lang w:eastAsia="en-US"/>
        </w:rPr>
      </w:pPr>
    </w:p>
    <w:p w14:paraId="15E1EDAC" w14:textId="77777777" w:rsidR="008C2327" w:rsidRDefault="008C2327" w:rsidP="008A52BA">
      <w:pPr>
        <w:spacing w:after="0" w:line="240" w:lineRule="auto"/>
        <w:ind w:left="142" w:hanging="142"/>
        <w:jc w:val="both"/>
        <w:rPr>
          <w:rFonts w:ascii="Times New Roman" w:eastAsia="Calibri" w:hAnsi="Times New Roman" w:cs="Times New Roman"/>
          <w:sz w:val="20"/>
          <w:szCs w:val="20"/>
          <w:lang w:eastAsia="en-US"/>
        </w:rPr>
      </w:pPr>
    </w:p>
    <w:p w14:paraId="176793DD" w14:textId="77777777" w:rsidR="008C2327" w:rsidRDefault="008C2327" w:rsidP="008A52BA">
      <w:pPr>
        <w:spacing w:after="0" w:line="240" w:lineRule="auto"/>
        <w:ind w:left="142" w:hanging="142"/>
        <w:jc w:val="both"/>
        <w:rPr>
          <w:rFonts w:ascii="Times New Roman" w:eastAsia="Calibri" w:hAnsi="Times New Roman" w:cs="Times New Roman"/>
          <w:sz w:val="20"/>
          <w:szCs w:val="20"/>
          <w:lang w:eastAsia="en-US"/>
        </w:rPr>
      </w:pPr>
    </w:p>
    <w:p w14:paraId="7BA0377C" w14:textId="77777777" w:rsidR="008C2327" w:rsidRDefault="008C2327" w:rsidP="008A52BA">
      <w:pPr>
        <w:spacing w:after="0" w:line="240" w:lineRule="auto"/>
        <w:ind w:left="142" w:hanging="142"/>
        <w:jc w:val="both"/>
        <w:rPr>
          <w:rFonts w:ascii="Times New Roman" w:eastAsia="Calibri" w:hAnsi="Times New Roman" w:cs="Times New Roman"/>
          <w:sz w:val="20"/>
          <w:szCs w:val="20"/>
          <w:lang w:eastAsia="en-US"/>
        </w:rPr>
      </w:pPr>
    </w:p>
    <w:p w14:paraId="4C7D84B6" w14:textId="77777777" w:rsidR="008C2327" w:rsidRDefault="008C2327" w:rsidP="008A52BA">
      <w:pPr>
        <w:spacing w:after="0" w:line="240" w:lineRule="auto"/>
        <w:ind w:left="142" w:hanging="142"/>
        <w:jc w:val="both"/>
        <w:rPr>
          <w:rFonts w:ascii="Times New Roman" w:eastAsia="Calibri" w:hAnsi="Times New Roman" w:cs="Times New Roman"/>
          <w:sz w:val="20"/>
          <w:szCs w:val="20"/>
          <w:lang w:eastAsia="en-US"/>
        </w:rPr>
      </w:pPr>
    </w:p>
    <w:p w14:paraId="06590CEB" w14:textId="77777777" w:rsidR="008C2327" w:rsidRDefault="008C2327" w:rsidP="008A52BA">
      <w:pPr>
        <w:spacing w:after="0" w:line="240" w:lineRule="auto"/>
        <w:ind w:left="142" w:hanging="142"/>
        <w:jc w:val="both"/>
        <w:rPr>
          <w:rFonts w:ascii="Times New Roman" w:eastAsia="Calibri" w:hAnsi="Times New Roman" w:cs="Times New Roman"/>
          <w:sz w:val="20"/>
          <w:szCs w:val="20"/>
          <w:lang w:eastAsia="en-US"/>
        </w:rPr>
      </w:pPr>
    </w:p>
    <w:p w14:paraId="21513BD6" w14:textId="77777777" w:rsidR="008C2327" w:rsidRDefault="008C2327" w:rsidP="008A52BA">
      <w:pPr>
        <w:spacing w:after="0" w:line="240" w:lineRule="auto"/>
        <w:ind w:left="142" w:hanging="142"/>
        <w:jc w:val="both"/>
        <w:rPr>
          <w:rFonts w:ascii="Times New Roman" w:eastAsia="Calibri" w:hAnsi="Times New Roman" w:cs="Times New Roman"/>
          <w:sz w:val="20"/>
          <w:szCs w:val="20"/>
          <w:lang w:eastAsia="en-US"/>
        </w:rPr>
      </w:pPr>
    </w:p>
    <w:p w14:paraId="44713784" w14:textId="77777777" w:rsidR="008C2327" w:rsidRDefault="008C2327" w:rsidP="008A52BA">
      <w:pPr>
        <w:spacing w:after="0" w:line="240" w:lineRule="auto"/>
        <w:ind w:left="142" w:hanging="142"/>
        <w:jc w:val="both"/>
        <w:rPr>
          <w:rFonts w:ascii="Times New Roman" w:eastAsia="Calibri" w:hAnsi="Times New Roman" w:cs="Times New Roman"/>
          <w:sz w:val="20"/>
          <w:szCs w:val="20"/>
          <w:lang w:eastAsia="en-US"/>
        </w:rPr>
      </w:pPr>
    </w:p>
    <w:p w14:paraId="466B9453" w14:textId="77777777" w:rsidR="008C2327" w:rsidRDefault="008C2327" w:rsidP="008A52BA">
      <w:pPr>
        <w:spacing w:after="0" w:line="240" w:lineRule="auto"/>
        <w:ind w:left="142" w:hanging="142"/>
        <w:jc w:val="both"/>
        <w:rPr>
          <w:rFonts w:ascii="Times New Roman" w:eastAsia="Calibri" w:hAnsi="Times New Roman" w:cs="Times New Roman"/>
          <w:sz w:val="20"/>
          <w:szCs w:val="20"/>
          <w:lang w:eastAsia="en-US"/>
        </w:rPr>
      </w:pPr>
    </w:p>
    <w:p w14:paraId="28261809" w14:textId="77777777" w:rsidR="008C2327" w:rsidRDefault="008C2327" w:rsidP="008A52BA">
      <w:pPr>
        <w:spacing w:after="0" w:line="240" w:lineRule="auto"/>
        <w:ind w:left="142" w:hanging="142"/>
        <w:jc w:val="both"/>
        <w:rPr>
          <w:rFonts w:ascii="Times New Roman" w:eastAsia="Calibri" w:hAnsi="Times New Roman" w:cs="Times New Roman"/>
          <w:sz w:val="20"/>
          <w:szCs w:val="20"/>
          <w:lang w:eastAsia="en-US"/>
        </w:rPr>
      </w:pPr>
    </w:p>
    <w:p w14:paraId="5874C99D" w14:textId="77777777" w:rsidR="008C2327" w:rsidRDefault="008C2327" w:rsidP="008A52BA">
      <w:pPr>
        <w:spacing w:after="0" w:line="240" w:lineRule="auto"/>
        <w:ind w:left="142" w:hanging="142"/>
        <w:jc w:val="both"/>
        <w:rPr>
          <w:rFonts w:ascii="Times New Roman" w:eastAsia="Calibri" w:hAnsi="Times New Roman" w:cs="Times New Roman"/>
          <w:sz w:val="20"/>
          <w:szCs w:val="20"/>
          <w:lang w:eastAsia="en-US"/>
        </w:rPr>
      </w:pPr>
    </w:p>
    <w:p w14:paraId="13677CA8" w14:textId="77777777" w:rsidR="008C2327" w:rsidRDefault="008C2327" w:rsidP="008A52BA">
      <w:pPr>
        <w:spacing w:after="0" w:line="240" w:lineRule="auto"/>
        <w:ind w:left="142" w:hanging="142"/>
        <w:jc w:val="both"/>
        <w:rPr>
          <w:rFonts w:ascii="Times New Roman" w:eastAsia="Calibri" w:hAnsi="Times New Roman" w:cs="Times New Roman"/>
          <w:sz w:val="20"/>
          <w:szCs w:val="20"/>
          <w:lang w:eastAsia="en-US"/>
        </w:rPr>
      </w:pPr>
    </w:p>
    <w:p w14:paraId="0425ECBC" w14:textId="77777777" w:rsidR="008C2327" w:rsidRDefault="008C2327" w:rsidP="008A52BA">
      <w:pPr>
        <w:spacing w:after="0" w:line="240" w:lineRule="auto"/>
        <w:ind w:left="142" w:hanging="142"/>
        <w:jc w:val="both"/>
        <w:rPr>
          <w:rFonts w:ascii="Times New Roman" w:eastAsia="Calibri" w:hAnsi="Times New Roman" w:cs="Times New Roman"/>
          <w:sz w:val="20"/>
          <w:szCs w:val="20"/>
          <w:lang w:eastAsia="en-US"/>
        </w:rPr>
      </w:pPr>
    </w:p>
    <w:p w14:paraId="3DF7A883" w14:textId="77777777" w:rsidR="008C2327" w:rsidRDefault="008C2327" w:rsidP="008A52BA">
      <w:pPr>
        <w:spacing w:after="0" w:line="240" w:lineRule="auto"/>
        <w:ind w:left="142" w:hanging="142"/>
        <w:jc w:val="both"/>
        <w:rPr>
          <w:rFonts w:ascii="Times New Roman" w:eastAsia="Calibri" w:hAnsi="Times New Roman" w:cs="Times New Roman"/>
          <w:sz w:val="20"/>
          <w:szCs w:val="20"/>
          <w:lang w:eastAsia="en-US"/>
        </w:rPr>
      </w:pPr>
    </w:p>
    <w:p w14:paraId="6108769D" w14:textId="77777777" w:rsidR="008C2327" w:rsidRDefault="008C2327" w:rsidP="008A52BA">
      <w:pPr>
        <w:spacing w:after="0" w:line="240" w:lineRule="auto"/>
        <w:ind w:left="142" w:hanging="142"/>
        <w:jc w:val="both"/>
        <w:rPr>
          <w:rFonts w:ascii="Times New Roman" w:eastAsia="Calibri" w:hAnsi="Times New Roman" w:cs="Times New Roman"/>
          <w:sz w:val="20"/>
          <w:szCs w:val="20"/>
          <w:lang w:eastAsia="en-US"/>
        </w:rPr>
      </w:pPr>
    </w:p>
    <w:p w14:paraId="1CBB5AC0" w14:textId="77777777" w:rsidR="008C2327" w:rsidRDefault="008C2327" w:rsidP="008A52BA">
      <w:pPr>
        <w:spacing w:after="0" w:line="240" w:lineRule="auto"/>
        <w:ind w:left="142" w:hanging="142"/>
        <w:jc w:val="both"/>
        <w:rPr>
          <w:rFonts w:ascii="Times New Roman" w:eastAsia="Calibri" w:hAnsi="Times New Roman" w:cs="Times New Roman"/>
          <w:sz w:val="20"/>
          <w:szCs w:val="20"/>
          <w:lang w:eastAsia="en-US"/>
        </w:rPr>
      </w:pPr>
    </w:p>
    <w:p w14:paraId="5A9538F0" w14:textId="77777777" w:rsidR="008C2327" w:rsidRDefault="008C2327" w:rsidP="008A52BA">
      <w:pPr>
        <w:spacing w:after="0" w:line="240" w:lineRule="auto"/>
        <w:ind w:left="142" w:hanging="142"/>
        <w:jc w:val="both"/>
        <w:rPr>
          <w:rFonts w:ascii="Times New Roman" w:eastAsia="Calibri" w:hAnsi="Times New Roman" w:cs="Times New Roman"/>
          <w:sz w:val="20"/>
          <w:szCs w:val="20"/>
          <w:lang w:eastAsia="en-US"/>
        </w:rPr>
      </w:pPr>
    </w:p>
    <w:p w14:paraId="29B62A14" w14:textId="77777777" w:rsidR="008C2327" w:rsidRDefault="008C2327" w:rsidP="008A52BA">
      <w:pPr>
        <w:spacing w:after="0" w:line="240" w:lineRule="auto"/>
        <w:ind w:left="142" w:hanging="142"/>
        <w:jc w:val="both"/>
        <w:rPr>
          <w:rFonts w:ascii="Times New Roman" w:eastAsia="Calibri" w:hAnsi="Times New Roman" w:cs="Times New Roman"/>
          <w:sz w:val="20"/>
          <w:szCs w:val="20"/>
          <w:lang w:eastAsia="en-US"/>
        </w:rPr>
      </w:pPr>
    </w:p>
    <w:p w14:paraId="4C790167" w14:textId="77777777" w:rsidR="008C2327" w:rsidRDefault="008C2327" w:rsidP="008A52BA">
      <w:pPr>
        <w:spacing w:after="0" w:line="240" w:lineRule="auto"/>
        <w:ind w:left="142" w:hanging="142"/>
        <w:jc w:val="both"/>
        <w:rPr>
          <w:rFonts w:ascii="Times New Roman" w:eastAsia="Calibri" w:hAnsi="Times New Roman" w:cs="Times New Roman"/>
          <w:sz w:val="20"/>
          <w:szCs w:val="20"/>
          <w:lang w:eastAsia="en-US"/>
        </w:rPr>
      </w:pPr>
    </w:p>
    <w:p w14:paraId="5937B8D7" w14:textId="77777777" w:rsidR="008C2327" w:rsidRDefault="008C2327" w:rsidP="008A52BA">
      <w:pPr>
        <w:spacing w:after="0" w:line="240" w:lineRule="auto"/>
        <w:ind w:left="142" w:hanging="142"/>
        <w:jc w:val="both"/>
        <w:rPr>
          <w:rFonts w:ascii="Times New Roman" w:eastAsia="Calibri" w:hAnsi="Times New Roman" w:cs="Times New Roman"/>
          <w:sz w:val="20"/>
          <w:szCs w:val="20"/>
          <w:lang w:eastAsia="en-US"/>
        </w:rPr>
      </w:pPr>
    </w:p>
    <w:p w14:paraId="49BAE393" w14:textId="77777777" w:rsidR="008C2327" w:rsidRDefault="008C2327" w:rsidP="008A52BA">
      <w:pPr>
        <w:spacing w:after="0" w:line="240" w:lineRule="auto"/>
        <w:ind w:left="142" w:hanging="142"/>
        <w:jc w:val="both"/>
        <w:rPr>
          <w:rFonts w:ascii="Times New Roman" w:eastAsia="Calibri" w:hAnsi="Times New Roman" w:cs="Times New Roman"/>
          <w:sz w:val="20"/>
          <w:szCs w:val="20"/>
          <w:lang w:eastAsia="en-US"/>
        </w:rPr>
      </w:pPr>
    </w:p>
    <w:p w14:paraId="21B96595" w14:textId="77777777" w:rsidR="008C2327" w:rsidRDefault="008C2327" w:rsidP="008A52BA">
      <w:pPr>
        <w:spacing w:after="0" w:line="240" w:lineRule="auto"/>
        <w:ind w:left="142" w:hanging="142"/>
        <w:jc w:val="both"/>
        <w:rPr>
          <w:rFonts w:ascii="Times New Roman" w:eastAsia="Calibri" w:hAnsi="Times New Roman" w:cs="Times New Roman"/>
          <w:sz w:val="20"/>
          <w:szCs w:val="20"/>
          <w:lang w:eastAsia="en-US"/>
        </w:rPr>
      </w:pPr>
    </w:p>
    <w:p w14:paraId="607ABD2C" w14:textId="77777777" w:rsidR="008C2327" w:rsidRDefault="008C2327" w:rsidP="008A52BA">
      <w:pPr>
        <w:spacing w:after="0" w:line="240" w:lineRule="auto"/>
        <w:ind w:left="142" w:hanging="142"/>
        <w:jc w:val="both"/>
        <w:rPr>
          <w:rFonts w:ascii="Times New Roman" w:eastAsia="Calibri" w:hAnsi="Times New Roman" w:cs="Times New Roman"/>
          <w:sz w:val="20"/>
          <w:szCs w:val="20"/>
          <w:lang w:eastAsia="en-US"/>
        </w:rPr>
      </w:pPr>
    </w:p>
    <w:p w14:paraId="5FB83C17" w14:textId="77777777" w:rsidR="008C2327" w:rsidRDefault="008C2327" w:rsidP="008A52BA">
      <w:pPr>
        <w:spacing w:after="0" w:line="240" w:lineRule="auto"/>
        <w:ind w:left="142" w:hanging="142"/>
        <w:jc w:val="both"/>
        <w:rPr>
          <w:rFonts w:ascii="Times New Roman" w:eastAsia="Calibri" w:hAnsi="Times New Roman" w:cs="Times New Roman"/>
          <w:sz w:val="20"/>
          <w:szCs w:val="20"/>
          <w:lang w:eastAsia="en-US"/>
        </w:rPr>
      </w:pPr>
    </w:p>
    <w:p w14:paraId="39E628E7" w14:textId="77777777" w:rsidR="008C2327" w:rsidRDefault="008C2327" w:rsidP="008A52BA">
      <w:pPr>
        <w:spacing w:after="0" w:line="240" w:lineRule="auto"/>
        <w:ind w:left="142" w:hanging="142"/>
        <w:jc w:val="both"/>
        <w:rPr>
          <w:rFonts w:ascii="Times New Roman" w:eastAsia="Calibri" w:hAnsi="Times New Roman" w:cs="Times New Roman"/>
          <w:sz w:val="20"/>
          <w:szCs w:val="20"/>
          <w:lang w:eastAsia="en-US"/>
        </w:rPr>
      </w:pPr>
    </w:p>
    <w:p w14:paraId="4DBC0AFF" w14:textId="77777777" w:rsidR="008C2327" w:rsidRDefault="008C2327" w:rsidP="008A52BA">
      <w:pPr>
        <w:spacing w:after="0" w:line="240" w:lineRule="auto"/>
        <w:ind w:left="142" w:hanging="142"/>
        <w:jc w:val="both"/>
        <w:rPr>
          <w:rFonts w:ascii="Times New Roman" w:eastAsia="Calibri" w:hAnsi="Times New Roman" w:cs="Times New Roman"/>
          <w:sz w:val="20"/>
          <w:szCs w:val="20"/>
          <w:lang w:eastAsia="en-US"/>
        </w:rPr>
      </w:pPr>
    </w:p>
    <w:p w14:paraId="41FEB3C0" w14:textId="77777777" w:rsidR="008C2327" w:rsidRDefault="008C2327" w:rsidP="008A52BA">
      <w:pPr>
        <w:spacing w:after="0" w:line="240" w:lineRule="auto"/>
        <w:ind w:left="142" w:hanging="142"/>
        <w:jc w:val="both"/>
        <w:rPr>
          <w:rFonts w:ascii="Times New Roman" w:eastAsia="Calibri" w:hAnsi="Times New Roman" w:cs="Times New Roman"/>
          <w:sz w:val="20"/>
          <w:szCs w:val="20"/>
          <w:lang w:eastAsia="en-US"/>
        </w:rPr>
      </w:pPr>
    </w:p>
    <w:p w14:paraId="6342A1CB" w14:textId="77777777" w:rsidR="008C2327" w:rsidRDefault="008C2327" w:rsidP="008A52BA">
      <w:pPr>
        <w:spacing w:after="0" w:line="240" w:lineRule="auto"/>
        <w:ind w:left="142" w:hanging="142"/>
        <w:jc w:val="both"/>
        <w:rPr>
          <w:rFonts w:ascii="Times New Roman" w:eastAsia="Calibri" w:hAnsi="Times New Roman" w:cs="Times New Roman"/>
          <w:sz w:val="20"/>
          <w:szCs w:val="20"/>
          <w:lang w:eastAsia="en-US"/>
        </w:rPr>
      </w:pPr>
    </w:p>
    <w:p w14:paraId="0E45C8CF" w14:textId="77777777" w:rsidR="008C2327" w:rsidRDefault="008C2327" w:rsidP="008A52BA">
      <w:pPr>
        <w:spacing w:after="0" w:line="240" w:lineRule="auto"/>
        <w:ind w:left="142" w:hanging="142"/>
        <w:jc w:val="both"/>
        <w:rPr>
          <w:rFonts w:ascii="Times New Roman" w:eastAsia="Calibri" w:hAnsi="Times New Roman" w:cs="Times New Roman"/>
          <w:sz w:val="20"/>
          <w:szCs w:val="20"/>
          <w:lang w:eastAsia="en-US"/>
        </w:rPr>
      </w:pPr>
      <w:bookmarkStart w:id="0" w:name="_GoBack"/>
      <w:bookmarkEnd w:id="0"/>
    </w:p>
    <w:p w14:paraId="538764F5" w14:textId="77777777" w:rsidR="00F8442B" w:rsidRDefault="00F8442B" w:rsidP="008A52BA">
      <w:pPr>
        <w:spacing w:after="0" w:line="240" w:lineRule="auto"/>
        <w:ind w:left="142" w:hanging="142"/>
        <w:jc w:val="both"/>
        <w:rPr>
          <w:rFonts w:ascii="Times New Roman" w:eastAsia="Calibri" w:hAnsi="Times New Roman" w:cs="Times New Roman"/>
          <w:sz w:val="20"/>
          <w:szCs w:val="20"/>
          <w:lang w:eastAsia="en-US"/>
        </w:rPr>
      </w:pPr>
    </w:p>
    <w:p w14:paraId="1E4BB4F7" w14:textId="63661994" w:rsidR="007F5801" w:rsidRDefault="007F5801" w:rsidP="007B3DAF">
      <w:pPr>
        <w:spacing w:after="0" w:line="240" w:lineRule="auto"/>
        <w:jc w:val="lowKashida"/>
        <w:rPr>
          <w:rFonts w:ascii="Times New Roman" w:eastAsia="Times New Roman" w:hAnsi="Times New Roman" w:cs="Times New Roman"/>
          <w:color w:val="222222"/>
          <w:szCs w:val="18"/>
          <w:shd w:val="clear" w:color="auto" w:fill="FFFFFF"/>
          <w:lang w:val="en-US"/>
        </w:rPr>
      </w:pPr>
      <w:r w:rsidRPr="00161AB9">
        <w:rPr>
          <w:rFonts w:ascii="Times New Roman" w:eastAsia="Times New Roman" w:hAnsi="Times New Roman" w:cs="Times New Roman"/>
          <w:b/>
          <w:color w:val="222222"/>
          <w:szCs w:val="18"/>
          <w:shd w:val="clear" w:color="auto" w:fill="FFFFFF"/>
          <w:lang w:val="en-US"/>
        </w:rPr>
        <w:lastRenderedPageBreak/>
        <w:t>Table</w:t>
      </w:r>
      <w:r w:rsidR="00003742">
        <w:rPr>
          <w:rFonts w:ascii="Times New Roman" w:eastAsia="Times New Roman" w:hAnsi="Times New Roman" w:cs="Times New Roman"/>
          <w:b/>
          <w:color w:val="222222"/>
          <w:szCs w:val="18"/>
          <w:shd w:val="clear" w:color="auto" w:fill="FFFFFF"/>
          <w:lang w:val="en-US"/>
        </w:rPr>
        <w:t xml:space="preserve"> </w:t>
      </w:r>
      <w:r w:rsidR="00F8442B">
        <w:rPr>
          <w:rFonts w:ascii="Times New Roman" w:eastAsia="Times New Roman" w:hAnsi="Times New Roman" w:cs="Times New Roman"/>
          <w:b/>
          <w:color w:val="222222"/>
          <w:szCs w:val="18"/>
          <w:shd w:val="clear" w:color="auto" w:fill="FFFFFF"/>
          <w:lang w:val="en-US"/>
        </w:rPr>
        <w:t>1</w:t>
      </w:r>
      <w:r w:rsidRPr="00161AB9">
        <w:rPr>
          <w:rFonts w:ascii="Times New Roman" w:eastAsia="Times New Roman" w:hAnsi="Times New Roman" w:cs="Times New Roman"/>
          <w:b/>
          <w:color w:val="222222"/>
          <w:szCs w:val="18"/>
          <w:shd w:val="clear" w:color="auto" w:fill="FFFFFF"/>
          <w:lang w:val="en-US"/>
        </w:rPr>
        <w:t xml:space="preserve">. </w:t>
      </w:r>
      <w:r w:rsidRPr="00161AB9">
        <w:rPr>
          <w:rFonts w:ascii="Times New Roman" w:eastAsia="Times New Roman" w:hAnsi="Times New Roman" w:cs="Times New Roman"/>
          <w:color w:val="222222"/>
          <w:szCs w:val="18"/>
          <w:shd w:val="clear" w:color="auto" w:fill="FFFFFF"/>
          <w:lang w:val="en-US"/>
        </w:rPr>
        <w:t xml:space="preserve">Summary of variables and measures </w:t>
      </w:r>
    </w:p>
    <w:tbl>
      <w:tblPr>
        <w:tblW w:w="9782" w:type="dxa"/>
        <w:jc w:val="center"/>
        <w:tblLook w:val="04A0" w:firstRow="1" w:lastRow="0" w:firstColumn="1" w:lastColumn="0" w:noHBand="0" w:noVBand="1"/>
      </w:tblPr>
      <w:tblGrid>
        <w:gridCol w:w="1217"/>
        <w:gridCol w:w="8565"/>
      </w:tblGrid>
      <w:tr w:rsidR="007F5801" w:rsidRPr="00161AB9" w14:paraId="0E45DBEE" w14:textId="77777777" w:rsidTr="00D23D6D">
        <w:trPr>
          <w:jc w:val="center"/>
        </w:trPr>
        <w:tc>
          <w:tcPr>
            <w:tcW w:w="9782" w:type="dxa"/>
            <w:gridSpan w:val="2"/>
            <w:tcBorders>
              <w:top w:val="single" w:sz="12" w:space="0" w:color="auto"/>
              <w:bottom w:val="single" w:sz="12" w:space="0" w:color="auto"/>
            </w:tcBorders>
          </w:tcPr>
          <w:p w14:paraId="574F0A2A" w14:textId="77777777" w:rsidR="007F5801" w:rsidRPr="00161AB9" w:rsidRDefault="007F5801" w:rsidP="00D23D6D">
            <w:pPr>
              <w:autoSpaceDE w:val="0"/>
              <w:autoSpaceDN w:val="0"/>
              <w:adjustRightInd w:val="0"/>
              <w:spacing w:after="0" w:line="240" w:lineRule="auto"/>
              <w:rPr>
                <w:rFonts w:ascii="Times New Roman" w:eastAsia="Calibri" w:hAnsi="Times New Roman" w:cs="Times New Roman"/>
                <w:b/>
                <w:sz w:val="20"/>
                <w:szCs w:val="20"/>
                <w:lang w:val="en-US" w:eastAsia="en-US"/>
              </w:rPr>
            </w:pPr>
            <w:r w:rsidRPr="00161AB9">
              <w:rPr>
                <w:rFonts w:ascii="Times New Roman" w:eastAsia="Calibri" w:hAnsi="Times New Roman" w:cs="Times New Roman"/>
                <w:b/>
                <w:sz w:val="20"/>
                <w:szCs w:val="20"/>
                <w:lang w:eastAsia="en-US"/>
              </w:rPr>
              <w:t>Dependent variables</w:t>
            </w:r>
          </w:p>
        </w:tc>
      </w:tr>
      <w:tr w:rsidR="007F5801" w:rsidRPr="00161AB9" w14:paraId="7B8FBF74" w14:textId="77777777" w:rsidTr="006B4C19">
        <w:trPr>
          <w:jc w:val="center"/>
        </w:trPr>
        <w:tc>
          <w:tcPr>
            <w:tcW w:w="1217" w:type="dxa"/>
            <w:tcBorders>
              <w:top w:val="single" w:sz="12" w:space="0" w:color="auto"/>
            </w:tcBorders>
          </w:tcPr>
          <w:p w14:paraId="2912F7CE" w14:textId="77777777" w:rsidR="007F5801" w:rsidRPr="00161AB9" w:rsidRDefault="007F5801" w:rsidP="00D23D6D">
            <w:pPr>
              <w:autoSpaceDE w:val="0"/>
              <w:autoSpaceDN w:val="0"/>
              <w:adjustRightInd w:val="0"/>
              <w:spacing w:after="0" w:line="240" w:lineRule="auto"/>
              <w:rPr>
                <w:rFonts w:ascii="Times New Roman" w:eastAsia="Calibri" w:hAnsi="Times New Roman" w:cs="Times New Roman"/>
                <w:sz w:val="20"/>
                <w:szCs w:val="20"/>
                <w:lang w:val="en-US" w:eastAsia="en-US"/>
              </w:rPr>
            </w:pPr>
            <w:r w:rsidRPr="00E76D69">
              <w:rPr>
                <w:rFonts w:ascii="Times New Roman" w:eastAsia="Calibri" w:hAnsi="Times New Roman" w:cs="Times New Roman"/>
                <w:sz w:val="20"/>
                <w:szCs w:val="20"/>
                <w:lang w:val="en-US" w:eastAsia="en-US"/>
              </w:rPr>
              <w:t>BIG4</w:t>
            </w:r>
          </w:p>
        </w:tc>
        <w:tc>
          <w:tcPr>
            <w:tcW w:w="8565" w:type="dxa"/>
            <w:tcBorders>
              <w:top w:val="single" w:sz="12" w:space="0" w:color="auto"/>
            </w:tcBorders>
          </w:tcPr>
          <w:p w14:paraId="57B9521B" w14:textId="77777777" w:rsidR="007F5801" w:rsidRPr="00161AB9" w:rsidRDefault="007F5801" w:rsidP="00D23D6D">
            <w:pPr>
              <w:autoSpaceDE w:val="0"/>
              <w:autoSpaceDN w:val="0"/>
              <w:adjustRightInd w:val="0"/>
              <w:spacing w:after="0" w:line="240" w:lineRule="auto"/>
              <w:jc w:val="both"/>
              <w:rPr>
                <w:rFonts w:ascii="Times New Roman" w:eastAsia="Calibri" w:hAnsi="Times New Roman" w:cs="Times New Roman"/>
                <w:sz w:val="20"/>
                <w:szCs w:val="20"/>
                <w:lang w:val="en-US" w:eastAsia="en-US"/>
              </w:rPr>
            </w:pPr>
            <w:r w:rsidRPr="00E76D69">
              <w:rPr>
                <w:rFonts w:ascii="Times New Roman" w:eastAsia="Calibri" w:hAnsi="Times New Roman" w:cs="Times New Roman"/>
                <w:sz w:val="20"/>
                <w:szCs w:val="20"/>
                <w:lang w:val="en-US" w:eastAsia="en-US"/>
              </w:rPr>
              <w:t xml:space="preserve">A dummy variable that takes the value of 1 if a firm is audited by a big four audit firm (PricewaterhouseCoopers, Deloitte &amp; Touche, Ernst &amp; Young, and KPMG), 0 otherwise.  </w:t>
            </w:r>
          </w:p>
        </w:tc>
      </w:tr>
      <w:tr w:rsidR="007F5801" w:rsidRPr="00161AB9" w14:paraId="46F0547F" w14:textId="77777777" w:rsidTr="006B4C19">
        <w:trPr>
          <w:jc w:val="center"/>
        </w:trPr>
        <w:tc>
          <w:tcPr>
            <w:tcW w:w="1217" w:type="dxa"/>
            <w:tcBorders>
              <w:bottom w:val="single" w:sz="12" w:space="0" w:color="auto"/>
            </w:tcBorders>
          </w:tcPr>
          <w:p w14:paraId="54B0C9B0" w14:textId="7834B713" w:rsidR="007F5801" w:rsidRPr="00161AB9" w:rsidRDefault="00A66DBF" w:rsidP="00D23D6D">
            <w:pPr>
              <w:autoSpaceDE w:val="0"/>
              <w:autoSpaceDN w:val="0"/>
              <w:adjustRightInd w:val="0"/>
              <w:spacing w:after="0" w:line="240" w:lineRule="auto"/>
              <w:rPr>
                <w:rFonts w:ascii="Times New Roman" w:eastAsia="Calibri" w:hAnsi="Times New Roman" w:cs="Times New Roman"/>
                <w:sz w:val="20"/>
                <w:szCs w:val="20"/>
                <w:lang w:val="en-US" w:eastAsia="en-US"/>
              </w:rPr>
            </w:pPr>
            <w:r>
              <w:rPr>
                <w:rFonts w:ascii="Times New Roman" w:eastAsia="Calibri" w:hAnsi="Times New Roman" w:cs="Times New Roman"/>
                <w:iCs/>
                <w:sz w:val="20"/>
                <w:szCs w:val="20"/>
                <w:lang w:eastAsia="en-US"/>
              </w:rPr>
              <w:t>LNFE</w:t>
            </w:r>
          </w:p>
        </w:tc>
        <w:tc>
          <w:tcPr>
            <w:tcW w:w="8565" w:type="dxa"/>
            <w:tcBorders>
              <w:bottom w:val="single" w:sz="12" w:space="0" w:color="auto"/>
            </w:tcBorders>
          </w:tcPr>
          <w:p w14:paraId="1D364B38" w14:textId="72DA2DC1" w:rsidR="007F5801" w:rsidRPr="00161AB9" w:rsidRDefault="007F5801" w:rsidP="00D23D6D">
            <w:pPr>
              <w:autoSpaceDE w:val="0"/>
              <w:autoSpaceDN w:val="0"/>
              <w:adjustRightInd w:val="0"/>
              <w:spacing w:after="0" w:line="240" w:lineRule="auto"/>
              <w:jc w:val="both"/>
              <w:rPr>
                <w:rFonts w:ascii="Times New Roman" w:eastAsia="Calibri" w:hAnsi="Times New Roman" w:cs="Times New Roman"/>
                <w:sz w:val="20"/>
                <w:szCs w:val="20"/>
                <w:lang w:val="en-US" w:eastAsia="en-US"/>
              </w:rPr>
            </w:pPr>
            <w:r w:rsidRPr="00E76D69">
              <w:rPr>
                <w:rFonts w:ascii="Times New Roman" w:eastAsia="Calibri" w:hAnsi="Times New Roman" w:cs="Times New Roman"/>
                <w:sz w:val="20"/>
                <w:szCs w:val="20"/>
                <w:lang w:eastAsia="en-US"/>
              </w:rPr>
              <w:t xml:space="preserve">Natural log of audit fee in thousands of </w:t>
            </w:r>
            <w:r w:rsidR="00282D16">
              <w:rPr>
                <w:rFonts w:ascii="Times New Roman" w:eastAsia="Calibri" w:hAnsi="Times New Roman" w:cs="Times New Roman"/>
                <w:sz w:val="20"/>
                <w:szCs w:val="20"/>
                <w:lang w:eastAsia="en-US"/>
              </w:rPr>
              <w:t xml:space="preserve">US </w:t>
            </w:r>
            <w:r w:rsidRPr="00E76D69">
              <w:rPr>
                <w:rFonts w:ascii="Times New Roman" w:eastAsia="Calibri" w:hAnsi="Times New Roman" w:cs="Times New Roman"/>
                <w:sz w:val="20"/>
                <w:szCs w:val="20"/>
                <w:lang w:eastAsia="en-US"/>
              </w:rPr>
              <w:t>dollars.</w:t>
            </w:r>
            <w:r w:rsidRPr="00161AB9">
              <w:rPr>
                <w:rFonts w:ascii="Times New Roman" w:eastAsia="Calibri" w:hAnsi="Times New Roman" w:cs="Times New Roman"/>
                <w:sz w:val="20"/>
                <w:szCs w:val="20"/>
                <w:lang w:val="en-US" w:eastAsia="en-US"/>
              </w:rPr>
              <w:t xml:space="preserve">   </w:t>
            </w:r>
          </w:p>
        </w:tc>
      </w:tr>
      <w:tr w:rsidR="007F5801" w:rsidRPr="00161AB9" w14:paraId="7EC8EF24" w14:textId="77777777" w:rsidTr="00D23D6D">
        <w:trPr>
          <w:jc w:val="center"/>
        </w:trPr>
        <w:tc>
          <w:tcPr>
            <w:tcW w:w="9782" w:type="dxa"/>
            <w:gridSpan w:val="2"/>
            <w:tcBorders>
              <w:top w:val="single" w:sz="12" w:space="0" w:color="auto"/>
              <w:bottom w:val="single" w:sz="12" w:space="0" w:color="auto"/>
            </w:tcBorders>
          </w:tcPr>
          <w:p w14:paraId="0CE66BF9" w14:textId="505F73FA" w:rsidR="007F5801" w:rsidRPr="00161AB9" w:rsidRDefault="009B6416" w:rsidP="00D23D6D">
            <w:pPr>
              <w:autoSpaceDE w:val="0"/>
              <w:autoSpaceDN w:val="0"/>
              <w:adjustRightInd w:val="0"/>
              <w:spacing w:after="0" w:line="240" w:lineRule="auto"/>
              <w:rPr>
                <w:rFonts w:ascii="Times New Roman" w:eastAsia="Calibri" w:hAnsi="Times New Roman" w:cs="Times New Roman"/>
                <w:b/>
                <w:sz w:val="20"/>
                <w:szCs w:val="20"/>
                <w:lang w:val="en-US" w:eastAsia="en-US"/>
              </w:rPr>
            </w:pPr>
            <w:r w:rsidRPr="00161AB9">
              <w:rPr>
                <w:rFonts w:ascii="Times New Roman" w:eastAsia="Calibri" w:hAnsi="Times New Roman" w:cs="Times New Roman"/>
                <w:b/>
                <w:sz w:val="20"/>
                <w:szCs w:val="20"/>
                <w:lang w:val="en-US" w:eastAsia="en-US"/>
              </w:rPr>
              <w:t>Independent</w:t>
            </w:r>
            <w:r>
              <w:rPr>
                <w:rFonts w:ascii="Times New Roman" w:eastAsia="Calibri" w:hAnsi="Times New Roman" w:cs="Times New Roman"/>
                <w:b/>
                <w:sz w:val="20"/>
                <w:szCs w:val="20"/>
                <w:lang w:val="en-US" w:eastAsia="en-US"/>
              </w:rPr>
              <w:t xml:space="preserve">/ </w:t>
            </w:r>
            <w:r w:rsidR="000C27D6">
              <w:rPr>
                <w:rFonts w:ascii="Times New Roman" w:eastAsia="Calibri" w:hAnsi="Times New Roman" w:cs="Times New Roman"/>
                <w:b/>
                <w:sz w:val="20"/>
                <w:szCs w:val="20"/>
                <w:lang w:val="en-US" w:eastAsia="en-US"/>
              </w:rPr>
              <w:t>Firm</w:t>
            </w:r>
            <w:r>
              <w:rPr>
                <w:rFonts w:ascii="Times New Roman" w:eastAsia="Calibri" w:hAnsi="Times New Roman" w:cs="Times New Roman"/>
                <w:b/>
                <w:sz w:val="20"/>
                <w:szCs w:val="20"/>
                <w:lang w:val="en-US" w:eastAsia="en-US"/>
              </w:rPr>
              <w:t>-level governance</w:t>
            </w:r>
            <w:r w:rsidR="00791B87" w:rsidRPr="00161AB9">
              <w:rPr>
                <w:rFonts w:ascii="Times New Roman" w:eastAsia="Calibri" w:hAnsi="Times New Roman" w:cs="Times New Roman"/>
                <w:b/>
                <w:sz w:val="20"/>
                <w:szCs w:val="20"/>
                <w:lang w:val="en-US" w:eastAsia="en-US"/>
              </w:rPr>
              <w:t xml:space="preserve"> </w:t>
            </w:r>
            <w:r w:rsidR="007F5801" w:rsidRPr="00161AB9">
              <w:rPr>
                <w:rFonts w:ascii="Times New Roman" w:eastAsia="Calibri" w:hAnsi="Times New Roman" w:cs="Times New Roman"/>
                <w:b/>
                <w:sz w:val="20"/>
                <w:szCs w:val="20"/>
                <w:lang w:val="en-US" w:eastAsia="en-US"/>
              </w:rPr>
              <w:t xml:space="preserve">variables </w:t>
            </w:r>
          </w:p>
        </w:tc>
      </w:tr>
      <w:tr w:rsidR="007F5801" w:rsidRPr="00161AB9" w14:paraId="19FB5344" w14:textId="77777777" w:rsidTr="006B4C19">
        <w:trPr>
          <w:jc w:val="center"/>
        </w:trPr>
        <w:tc>
          <w:tcPr>
            <w:tcW w:w="1217" w:type="dxa"/>
            <w:tcBorders>
              <w:top w:val="single" w:sz="12" w:space="0" w:color="auto"/>
            </w:tcBorders>
          </w:tcPr>
          <w:p w14:paraId="7D8B476A" w14:textId="1BE18A5C" w:rsidR="007F5801" w:rsidRPr="00161AB9" w:rsidRDefault="007F5801" w:rsidP="00A66DBF">
            <w:pPr>
              <w:autoSpaceDE w:val="0"/>
              <w:autoSpaceDN w:val="0"/>
              <w:adjustRightInd w:val="0"/>
              <w:spacing w:after="0" w:line="240" w:lineRule="auto"/>
              <w:rPr>
                <w:rFonts w:ascii="Times New Roman" w:eastAsia="Calibri" w:hAnsi="Times New Roman" w:cs="Times New Roman"/>
                <w:sz w:val="20"/>
                <w:szCs w:val="20"/>
                <w:lang w:val="en-US" w:eastAsia="en-US"/>
              </w:rPr>
            </w:pPr>
            <w:r w:rsidRPr="00161AB9">
              <w:rPr>
                <w:rFonts w:ascii="Times New Roman" w:eastAsia="Calibri" w:hAnsi="Times New Roman" w:cs="Times New Roman"/>
                <w:sz w:val="20"/>
                <w:szCs w:val="20"/>
                <w:lang w:val="en-US" w:eastAsia="en-US"/>
              </w:rPr>
              <w:t>B</w:t>
            </w:r>
            <w:r w:rsidR="00A66DBF">
              <w:rPr>
                <w:rFonts w:ascii="Times New Roman" w:eastAsia="Calibri" w:hAnsi="Times New Roman" w:cs="Times New Roman"/>
                <w:sz w:val="20"/>
                <w:szCs w:val="20"/>
                <w:lang w:val="en-US" w:eastAsia="en-US"/>
              </w:rPr>
              <w:t>RD</w:t>
            </w:r>
            <w:r w:rsidRPr="00161AB9">
              <w:rPr>
                <w:rFonts w:ascii="Times New Roman" w:eastAsia="Calibri" w:hAnsi="Times New Roman" w:cs="Times New Roman"/>
                <w:sz w:val="20"/>
                <w:szCs w:val="20"/>
                <w:lang w:val="en-US" w:eastAsia="en-US"/>
              </w:rPr>
              <w:t>S</w:t>
            </w:r>
          </w:p>
        </w:tc>
        <w:tc>
          <w:tcPr>
            <w:tcW w:w="8565" w:type="dxa"/>
            <w:tcBorders>
              <w:top w:val="single" w:sz="12" w:space="0" w:color="auto"/>
            </w:tcBorders>
          </w:tcPr>
          <w:p w14:paraId="633F99C7" w14:textId="77777777" w:rsidR="007F5801" w:rsidRPr="00161AB9" w:rsidRDefault="007F5801" w:rsidP="00D23D6D">
            <w:pPr>
              <w:autoSpaceDE w:val="0"/>
              <w:autoSpaceDN w:val="0"/>
              <w:adjustRightInd w:val="0"/>
              <w:spacing w:after="0" w:line="240" w:lineRule="auto"/>
              <w:rPr>
                <w:rFonts w:ascii="Times New Roman" w:eastAsia="Calibri" w:hAnsi="Times New Roman" w:cs="Times New Roman"/>
                <w:sz w:val="20"/>
                <w:szCs w:val="20"/>
                <w:lang w:val="en-US" w:eastAsia="en-US"/>
              </w:rPr>
            </w:pPr>
            <w:r w:rsidRPr="00161AB9">
              <w:rPr>
                <w:rFonts w:ascii="Times New Roman" w:eastAsia="Calibri" w:hAnsi="Times New Roman" w:cs="Times New Roman"/>
                <w:sz w:val="20"/>
                <w:szCs w:val="20"/>
                <w:lang w:val="en-US" w:eastAsia="en-US"/>
              </w:rPr>
              <w:t>Natural log of the total number of directors on the board of a company.</w:t>
            </w:r>
          </w:p>
        </w:tc>
      </w:tr>
      <w:tr w:rsidR="007F5801" w:rsidRPr="00161AB9" w14:paraId="0821E256" w14:textId="77777777" w:rsidTr="006B4C19">
        <w:trPr>
          <w:jc w:val="center"/>
        </w:trPr>
        <w:tc>
          <w:tcPr>
            <w:tcW w:w="1217" w:type="dxa"/>
          </w:tcPr>
          <w:p w14:paraId="59B627BA" w14:textId="6C21BB9F" w:rsidR="007F5801" w:rsidRPr="00161AB9" w:rsidRDefault="00E80B25" w:rsidP="00D23D6D">
            <w:pPr>
              <w:autoSpaceDE w:val="0"/>
              <w:autoSpaceDN w:val="0"/>
              <w:adjustRightInd w:val="0"/>
              <w:spacing w:after="0" w:line="240" w:lineRule="auto"/>
              <w:rPr>
                <w:rFonts w:ascii="Times New Roman" w:eastAsia="Calibri" w:hAnsi="Times New Roman" w:cs="Times New Roman"/>
                <w:sz w:val="20"/>
                <w:szCs w:val="20"/>
                <w:lang w:val="en-US" w:eastAsia="en-US"/>
              </w:rPr>
            </w:pPr>
            <w:r w:rsidRPr="00E80B25">
              <w:rPr>
                <w:rFonts w:ascii="Times New Roman" w:eastAsia="Calibri" w:hAnsi="Times New Roman" w:cs="Times New Roman"/>
                <w:sz w:val="20"/>
                <w:szCs w:val="20"/>
                <w:lang w:val="en-US" w:eastAsia="en-US"/>
              </w:rPr>
              <w:t>IND</w:t>
            </w:r>
          </w:p>
        </w:tc>
        <w:tc>
          <w:tcPr>
            <w:tcW w:w="8565" w:type="dxa"/>
          </w:tcPr>
          <w:p w14:paraId="3C1EE41C" w14:textId="77777777" w:rsidR="007F5801" w:rsidRPr="00161AB9" w:rsidRDefault="007F5801" w:rsidP="00D23D6D">
            <w:pPr>
              <w:autoSpaceDE w:val="0"/>
              <w:autoSpaceDN w:val="0"/>
              <w:adjustRightInd w:val="0"/>
              <w:spacing w:after="0" w:line="240" w:lineRule="auto"/>
              <w:rPr>
                <w:rFonts w:ascii="Times New Roman" w:eastAsia="Calibri" w:hAnsi="Times New Roman" w:cs="Times New Roman"/>
                <w:sz w:val="20"/>
                <w:szCs w:val="20"/>
                <w:lang w:val="en-US" w:eastAsia="en-US"/>
              </w:rPr>
            </w:pPr>
            <w:r w:rsidRPr="00161AB9">
              <w:rPr>
                <w:rFonts w:ascii="Times New Roman" w:eastAsia="Calibri" w:hAnsi="Times New Roman" w:cs="Times New Roman"/>
                <w:sz w:val="20"/>
                <w:szCs w:val="20"/>
                <w:lang w:val="en-US" w:eastAsia="en-US"/>
              </w:rPr>
              <w:t>The percentage of non-executive directors to the total number of board directors.</w:t>
            </w:r>
          </w:p>
        </w:tc>
      </w:tr>
      <w:tr w:rsidR="007F5801" w:rsidRPr="00161AB9" w14:paraId="228FA9F2" w14:textId="77777777" w:rsidTr="006B4C19">
        <w:trPr>
          <w:jc w:val="center"/>
        </w:trPr>
        <w:tc>
          <w:tcPr>
            <w:tcW w:w="1217" w:type="dxa"/>
          </w:tcPr>
          <w:p w14:paraId="16F4C0C1" w14:textId="3B2DD8D1" w:rsidR="007F5801" w:rsidRPr="00161AB9" w:rsidRDefault="007F5801" w:rsidP="00A66DBF">
            <w:pPr>
              <w:autoSpaceDE w:val="0"/>
              <w:autoSpaceDN w:val="0"/>
              <w:adjustRightInd w:val="0"/>
              <w:spacing w:after="0" w:line="240" w:lineRule="auto"/>
              <w:rPr>
                <w:rFonts w:ascii="Times New Roman" w:eastAsia="Calibri" w:hAnsi="Times New Roman" w:cs="Times New Roman"/>
                <w:sz w:val="20"/>
                <w:szCs w:val="20"/>
                <w:lang w:val="en-US" w:eastAsia="en-US"/>
              </w:rPr>
            </w:pPr>
            <w:r>
              <w:rPr>
                <w:rFonts w:ascii="Times New Roman" w:eastAsia="Calibri" w:hAnsi="Times New Roman" w:cs="Times New Roman"/>
                <w:sz w:val="20"/>
                <w:szCs w:val="20"/>
                <w:lang w:val="en-US" w:eastAsia="en-US"/>
              </w:rPr>
              <w:t>U</w:t>
            </w:r>
            <w:r w:rsidR="00A66DBF">
              <w:rPr>
                <w:rFonts w:ascii="Times New Roman" w:eastAsia="Calibri" w:hAnsi="Times New Roman" w:cs="Times New Roman"/>
                <w:sz w:val="20"/>
                <w:szCs w:val="20"/>
                <w:lang w:val="en-US" w:eastAsia="en-US"/>
              </w:rPr>
              <w:t>B</w:t>
            </w:r>
            <w:r>
              <w:rPr>
                <w:rFonts w:ascii="Times New Roman" w:eastAsia="Calibri" w:hAnsi="Times New Roman" w:cs="Times New Roman"/>
                <w:sz w:val="20"/>
                <w:szCs w:val="20"/>
                <w:lang w:val="en-US" w:eastAsia="en-US"/>
              </w:rPr>
              <w:t>L</w:t>
            </w:r>
          </w:p>
        </w:tc>
        <w:tc>
          <w:tcPr>
            <w:tcW w:w="8565" w:type="dxa"/>
          </w:tcPr>
          <w:p w14:paraId="469378D7" w14:textId="77777777" w:rsidR="007F5801" w:rsidRPr="00161AB9" w:rsidRDefault="007F5801" w:rsidP="00D23D6D">
            <w:pPr>
              <w:autoSpaceDE w:val="0"/>
              <w:autoSpaceDN w:val="0"/>
              <w:adjustRightInd w:val="0"/>
              <w:spacing w:after="0" w:line="240" w:lineRule="auto"/>
              <w:jc w:val="both"/>
              <w:rPr>
                <w:rFonts w:ascii="Times New Roman" w:eastAsia="Calibri" w:hAnsi="Times New Roman" w:cs="Times New Roman"/>
                <w:sz w:val="20"/>
                <w:szCs w:val="20"/>
                <w:lang w:val="en-US" w:eastAsia="en-US"/>
              </w:rPr>
            </w:pPr>
            <w:r w:rsidRPr="00161AB9">
              <w:rPr>
                <w:rFonts w:ascii="Times New Roman" w:eastAsia="Calibri" w:hAnsi="Times New Roman" w:cs="Times New Roman"/>
                <w:sz w:val="20"/>
                <w:szCs w:val="20"/>
                <w:lang w:val="en-US" w:eastAsia="en-US"/>
              </w:rPr>
              <w:t xml:space="preserve">A dummy variable that takes the value of 1 if the roles of chairperson and CEO of firm are </w:t>
            </w:r>
            <w:r>
              <w:rPr>
                <w:rFonts w:ascii="Times New Roman" w:eastAsia="Calibri" w:hAnsi="Times New Roman" w:cs="Times New Roman"/>
                <w:sz w:val="20"/>
                <w:szCs w:val="20"/>
                <w:lang w:val="en-US" w:eastAsia="en-US"/>
              </w:rPr>
              <w:t>combin</w:t>
            </w:r>
            <w:r w:rsidRPr="00161AB9">
              <w:rPr>
                <w:rFonts w:ascii="Times New Roman" w:eastAsia="Calibri" w:hAnsi="Times New Roman" w:cs="Times New Roman"/>
                <w:sz w:val="20"/>
                <w:szCs w:val="20"/>
                <w:lang w:val="en-US" w:eastAsia="en-US"/>
              </w:rPr>
              <w:t>ed at the end of its financial year, 0 otherwise.</w:t>
            </w:r>
          </w:p>
        </w:tc>
      </w:tr>
      <w:tr w:rsidR="007F5801" w:rsidRPr="00161AB9" w14:paraId="3FEC6BEF" w14:textId="77777777" w:rsidTr="006B4C19">
        <w:trPr>
          <w:jc w:val="center"/>
        </w:trPr>
        <w:tc>
          <w:tcPr>
            <w:tcW w:w="1217" w:type="dxa"/>
          </w:tcPr>
          <w:p w14:paraId="7C777A95" w14:textId="02822986" w:rsidR="007F5801" w:rsidRPr="00161AB9" w:rsidRDefault="007F5801" w:rsidP="00A66DBF">
            <w:pPr>
              <w:autoSpaceDE w:val="0"/>
              <w:autoSpaceDN w:val="0"/>
              <w:adjustRightInd w:val="0"/>
              <w:spacing w:after="0" w:line="240" w:lineRule="auto"/>
              <w:rPr>
                <w:rFonts w:ascii="Times New Roman" w:eastAsia="Calibri" w:hAnsi="Times New Roman" w:cs="Times New Roman"/>
                <w:sz w:val="20"/>
                <w:szCs w:val="20"/>
                <w:lang w:val="en-US" w:eastAsia="en-US"/>
              </w:rPr>
            </w:pPr>
            <w:r w:rsidRPr="00161AB9">
              <w:rPr>
                <w:rFonts w:ascii="Times New Roman" w:eastAsia="Calibri" w:hAnsi="Times New Roman" w:cs="Times New Roman"/>
                <w:sz w:val="20"/>
                <w:szCs w:val="20"/>
                <w:lang w:val="en-US" w:eastAsia="en-US"/>
              </w:rPr>
              <w:t>GO</w:t>
            </w:r>
            <w:r w:rsidR="00A66DBF">
              <w:rPr>
                <w:rFonts w:ascii="Times New Roman" w:eastAsia="Calibri" w:hAnsi="Times New Roman" w:cs="Times New Roman"/>
                <w:sz w:val="20"/>
                <w:szCs w:val="20"/>
                <w:lang w:val="en-US" w:eastAsia="en-US"/>
              </w:rPr>
              <w:t>SH</w:t>
            </w:r>
          </w:p>
          <w:p w14:paraId="0EA6A5E3" w14:textId="000432EF" w:rsidR="007F5801" w:rsidRPr="00161AB9" w:rsidRDefault="00A66DBF" w:rsidP="00A66DBF">
            <w:pPr>
              <w:autoSpaceDE w:val="0"/>
              <w:autoSpaceDN w:val="0"/>
              <w:adjustRightInd w:val="0"/>
              <w:spacing w:after="0" w:line="240" w:lineRule="auto"/>
              <w:rPr>
                <w:rFonts w:ascii="Times New Roman" w:eastAsia="Calibri" w:hAnsi="Times New Roman" w:cs="Times New Roman"/>
                <w:sz w:val="20"/>
                <w:szCs w:val="20"/>
                <w:lang w:val="en-US" w:eastAsia="en-US"/>
              </w:rPr>
            </w:pPr>
            <w:r>
              <w:rPr>
                <w:rFonts w:ascii="Times New Roman" w:eastAsia="Calibri" w:hAnsi="Times New Roman" w:cs="Times New Roman"/>
                <w:sz w:val="20"/>
                <w:szCs w:val="20"/>
                <w:lang w:val="en-US" w:eastAsia="en-US"/>
              </w:rPr>
              <w:t>DISH</w:t>
            </w:r>
          </w:p>
        </w:tc>
        <w:tc>
          <w:tcPr>
            <w:tcW w:w="8565" w:type="dxa"/>
          </w:tcPr>
          <w:p w14:paraId="2A369D67" w14:textId="77777777" w:rsidR="007F5801" w:rsidRPr="00161AB9" w:rsidRDefault="007F5801" w:rsidP="00D23D6D">
            <w:pPr>
              <w:autoSpaceDE w:val="0"/>
              <w:autoSpaceDN w:val="0"/>
              <w:adjustRightInd w:val="0"/>
              <w:spacing w:after="0" w:line="240" w:lineRule="auto"/>
              <w:rPr>
                <w:rFonts w:ascii="Times New Roman" w:eastAsia="Calibri" w:hAnsi="Times New Roman" w:cs="Times New Roman"/>
                <w:sz w:val="20"/>
                <w:szCs w:val="20"/>
                <w:lang w:val="en-US" w:eastAsia="en-US"/>
              </w:rPr>
            </w:pPr>
            <w:r w:rsidRPr="00161AB9">
              <w:rPr>
                <w:rFonts w:ascii="Times New Roman" w:eastAsia="Calibri" w:hAnsi="Times New Roman" w:cs="Times New Roman"/>
                <w:sz w:val="20"/>
                <w:szCs w:val="20"/>
                <w:lang w:val="en-US" w:eastAsia="en-US"/>
              </w:rPr>
              <w:t>Percentage of shares held by government.</w:t>
            </w:r>
          </w:p>
          <w:p w14:paraId="0C414B24" w14:textId="77777777" w:rsidR="007F5801" w:rsidRPr="00161AB9" w:rsidRDefault="007F5801" w:rsidP="00D23D6D">
            <w:pPr>
              <w:autoSpaceDE w:val="0"/>
              <w:autoSpaceDN w:val="0"/>
              <w:adjustRightInd w:val="0"/>
              <w:spacing w:after="0" w:line="240" w:lineRule="auto"/>
              <w:rPr>
                <w:rFonts w:ascii="Times New Roman" w:eastAsia="Calibri" w:hAnsi="Times New Roman" w:cs="Times New Roman"/>
                <w:sz w:val="20"/>
                <w:szCs w:val="20"/>
                <w:lang w:val="en-US" w:eastAsia="en-US"/>
              </w:rPr>
            </w:pPr>
            <w:r w:rsidRPr="00161AB9">
              <w:rPr>
                <w:rFonts w:ascii="Times New Roman" w:eastAsia="Calibri" w:hAnsi="Times New Roman" w:cs="Times New Roman"/>
                <w:sz w:val="20"/>
                <w:szCs w:val="20"/>
                <w:lang w:val="en-US" w:eastAsia="en-US"/>
              </w:rPr>
              <w:t>Percentage of shares held by board of directors.</w:t>
            </w:r>
          </w:p>
        </w:tc>
      </w:tr>
      <w:tr w:rsidR="00791B87" w:rsidRPr="00161AB9" w14:paraId="1EF2A4E6" w14:textId="77777777" w:rsidTr="006B4C19">
        <w:trPr>
          <w:jc w:val="center"/>
        </w:trPr>
        <w:tc>
          <w:tcPr>
            <w:tcW w:w="1217" w:type="dxa"/>
            <w:tcBorders>
              <w:bottom w:val="single" w:sz="12" w:space="0" w:color="auto"/>
            </w:tcBorders>
          </w:tcPr>
          <w:p w14:paraId="5F186042" w14:textId="1F45A685" w:rsidR="00791B87" w:rsidRPr="00161AB9" w:rsidRDefault="002E03FE" w:rsidP="00791B87">
            <w:pPr>
              <w:autoSpaceDE w:val="0"/>
              <w:autoSpaceDN w:val="0"/>
              <w:adjustRightInd w:val="0"/>
              <w:spacing w:after="0" w:line="240" w:lineRule="auto"/>
              <w:rPr>
                <w:rFonts w:ascii="Times New Roman" w:eastAsia="Calibri" w:hAnsi="Times New Roman" w:cs="Times New Roman"/>
                <w:sz w:val="20"/>
                <w:szCs w:val="20"/>
                <w:lang w:val="en-US" w:eastAsia="en-US"/>
              </w:rPr>
            </w:pPr>
            <w:r>
              <w:rPr>
                <w:rFonts w:ascii="Times New Roman" w:eastAsia="Calibri" w:hAnsi="Times New Roman" w:cs="Times New Roman"/>
                <w:sz w:val="20"/>
                <w:szCs w:val="20"/>
                <w:lang w:val="en-US" w:eastAsia="en-US"/>
              </w:rPr>
              <w:t>F</w:t>
            </w:r>
            <w:r w:rsidRPr="00791B87">
              <w:rPr>
                <w:rFonts w:ascii="Times New Roman" w:eastAsia="Calibri" w:hAnsi="Times New Roman" w:cs="Times New Roman"/>
                <w:sz w:val="20"/>
                <w:szCs w:val="20"/>
                <w:lang w:val="en-US" w:eastAsia="en-US"/>
              </w:rPr>
              <w:t>LSH</w:t>
            </w:r>
          </w:p>
        </w:tc>
        <w:tc>
          <w:tcPr>
            <w:tcW w:w="8565" w:type="dxa"/>
            <w:tcBorders>
              <w:bottom w:val="single" w:sz="12" w:space="0" w:color="auto"/>
            </w:tcBorders>
          </w:tcPr>
          <w:p w14:paraId="4531B4D2" w14:textId="382E884E" w:rsidR="00791B87" w:rsidRPr="00161AB9" w:rsidRDefault="00791B87" w:rsidP="00791B87">
            <w:pPr>
              <w:autoSpaceDE w:val="0"/>
              <w:autoSpaceDN w:val="0"/>
              <w:adjustRightInd w:val="0"/>
              <w:spacing w:after="0" w:line="240" w:lineRule="auto"/>
              <w:rPr>
                <w:rFonts w:ascii="Times New Roman" w:eastAsia="Calibri" w:hAnsi="Times New Roman" w:cs="Times New Roman"/>
                <w:sz w:val="20"/>
                <w:szCs w:val="20"/>
                <w:lang w:val="en-US" w:eastAsia="en-US"/>
              </w:rPr>
            </w:pPr>
            <w:r w:rsidRPr="00791B87">
              <w:rPr>
                <w:rFonts w:ascii="Times New Roman" w:eastAsia="Calibri" w:hAnsi="Times New Roman" w:cs="Times New Roman"/>
                <w:sz w:val="20"/>
                <w:szCs w:val="20"/>
                <w:lang w:val="en-US" w:eastAsia="en-US"/>
              </w:rPr>
              <w:t xml:space="preserve">Percentage of shares held by </w:t>
            </w:r>
            <w:r w:rsidR="002E03FE" w:rsidRPr="002E03FE">
              <w:rPr>
                <w:rFonts w:ascii="Times New Roman" w:eastAsia="Calibri" w:hAnsi="Times New Roman" w:cs="Times New Roman"/>
                <w:sz w:val="20"/>
                <w:szCs w:val="20"/>
                <w:lang w:eastAsia="en-US"/>
              </w:rPr>
              <w:t>family members</w:t>
            </w:r>
            <w:r w:rsidRPr="00791B87">
              <w:rPr>
                <w:rFonts w:ascii="Times New Roman" w:eastAsia="Calibri" w:hAnsi="Times New Roman" w:cs="Times New Roman"/>
                <w:sz w:val="20"/>
                <w:szCs w:val="20"/>
                <w:lang w:val="en-US" w:eastAsia="en-US"/>
              </w:rPr>
              <w:t>.</w:t>
            </w:r>
          </w:p>
        </w:tc>
      </w:tr>
      <w:tr w:rsidR="00791B87" w:rsidRPr="00161AB9" w14:paraId="2E7C0ECB" w14:textId="77777777" w:rsidTr="00791B87">
        <w:trPr>
          <w:jc w:val="center"/>
        </w:trPr>
        <w:tc>
          <w:tcPr>
            <w:tcW w:w="9782" w:type="dxa"/>
            <w:gridSpan w:val="2"/>
            <w:tcBorders>
              <w:top w:val="single" w:sz="12" w:space="0" w:color="auto"/>
              <w:bottom w:val="single" w:sz="12" w:space="0" w:color="auto"/>
            </w:tcBorders>
          </w:tcPr>
          <w:p w14:paraId="1EC96032" w14:textId="531D0BF7" w:rsidR="00791B87" w:rsidRPr="00791B87" w:rsidRDefault="009B6416" w:rsidP="009B6416">
            <w:pPr>
              <w:autoSpaceDE w:val="0"/>
              <w:autoSpaceDN w:val="0"/>
              <w:adjustRightInd w:val="0"/>
              <w:spacing w:after="0" w:line="240" w:lineRule="auto"/>
              <w:rPr>
                <w:rFonts w:ascii="Times New Roman" w:eastAsia="Calibri" w:hAnsi="Times New Roman" w:cs="Times New Roman"/>
                <w:b/>
                <w:bCs/>
                <w:sz w:val="20"/>
                <w:szCs w:val="20"/>
                <w:lang w:val="en-US" w:eastAsia="en-US"/>
              </w:rPr>
            </w:pPr>
            <w:r w:rsidRPr="009B6416">
              <w:rPr>
                <w:rFonts w:ascii="Times New Roman" w:eastAsia="Calibri" w:hAnsi="Times New Roman" w:cs="Times New Roman"/>
                <w:b/>
                <w:bCs/>
                <w:sz w:val="20"/>
                <w:szCs w:val="20"/>
                <w:lang w:val="en-US" w:eastAsia="en-US"/>
              </w:rPr>
              <w:t>Independent</w:t>
            </w:r>
            <w:r>
              <w:rPr>
                <w:rFonts w:ascii="Times New Roman" w:eastAsia="Calibri" w:hAnsi="Times New Roman" w:cs="Times New Roman"/>
                <w:b/>
                <w:bCs/>
                <w:sz w:val="20"/>
                <w:szCs w:val="20"/>
                <w:lang w:val="en-US" w:eastAsia="en-US"/>
              </w:rPr>
              <w:t>/</w:t>
            </w:r>
            <w:r w:rsidRPr="009B6416">
              <w:rPr>
                <w:rFonts w:ascii="Times New Roman" w:eastAsia="Calibri" w:hAnsi="Times New Roman" w:cs="Times New Roman"/>
                <w:b/>
                <w:bCs/>
                <w:sz w:val="20"/>
                <w:szCs w:val="20"/>
                <w:lang w:val="en-US" w:eastAsia="en-US"/>
              </w:rPr>
              <w:t xml:space="preserve"> </w:t>
            </w:r>
            <w:r w:rsidR="000C27D6" w:rsidRPr="00791B87">
              <w:rPr>
                <w:rFonts w:ascii="Times New Roman" w:eastAsia="Calibri" w:hAnsi="Times New Roman" w:cs="Times New Roman"/>
                <w:b/>
                <w:bCs/>
                <w:sz w:val="20"/>
                <w:szCs w:val="20"/>
                <w:lang w:val="en-US" w:eastAsia="en-US"/>
              </w:rPr>
              <w:t>Country</w:t>
            </w:r>
            <w:r w:rsidR="00791B87" w:rsidRPr="00791B87">
              <w:rPr>
                <w:rFonts w:ascii="Times New Roman" w:eastAsia="Calibri" w:hAnsi="Times New Roman" w:cs="Times New Roman"/>
                <w:b/>
                <w:bCs/>
                <w:sz w:val="20"/>
                <w:szCs w:val="20"/>
                <w:lang w:val="en-US" w:eastAsia="en-US"/>
              </w:rPr>
              <w:t>-level governance variables</w:t>
            </w:r>
          </w:p>
        </w:tc>
      </w:tr>
      <w:tr w:rsidR="006B4C19" w:rsidRPr="00161AB9" w14:paraId="06E6CBE9" w14:textId="77777777" w:rsidTr="00EC79AD">
        <w:trPr>
          <w:trHeight w:val="527"/>
          <w:jc w:val="center"/>
        </w:trPr>
        <w:tc>
          <w:tcPr>
            <w:tcW w:w="1217" w:type="dxa"/>
            <w:tcBorders>
              <w:top w:val="single" w:sz="12" w:space="0" w:color="auto"/>
            </w:tcBorders>
          </w:tcPr>
          <w:p w14:paraId="46CBA3A0" w14:textId="77777777" w:rsidR="006B4C19" w:rsidRPr="00161AB9" w:rsidRDefault="006B4C19" w:rsidP="00D23D6D">
            <w:pPr>
              <w:autoSpaceDE w:val="0"/>
              <w:autoSpaceDN w:val="0"/>
              <w:adjustRightInd w:val="0"/>
              <w:spacing w:after="0" w:line="240" w:lineRule="auto"/>
              <w:rPr>
                <w:rFonts w:ascii="Times New Roman" w:eastAsia="Calibri" w:hAnsi="Times New Roman" w:cs="Times New Roman"/>
                <w:sz w:val="20"/>
                <w:szCs w:val="20"/>
                <w:lang w:val="en-US" w:eastAsia="en-US"/>
              </w:rPr>
            </w:pPr>
            <w:r>
              <w:rPr>
                <w:rFonts w:ascii="Times New Roman" w:eastAsia="Calibri" w:hAnsi="Times New Roman" w:cs="Times New Roman"/>
                <w:bCs/>
                <w:sz w:val="20"/>
                <w:szCs w:val="20"/>
                <w:lang w:eastAsia="en-US"/>
              </w:rPr>
              <w:t>NGI</w:t>
            </w:r>
          </w:p>
        </w:tc>
        <w:tc>
          <w:tcPr>
            <w:tcW w:w="8565" w:type="dxa"/>
            <w:tcBorders>
              <w:top w:val="single" w:sz="12" w:space="0" w:color="auto"/>
            </w:tcBorders>
          </w:tcPr>
          <w:p w14:paraId="7B299FDD" w14:textId="2D9C7483" w:rsidR="006B4C19" w:rsidRPr="00322D27" w:rsidRDefault="006B4C19" w:rsidP="00D23D6D">
            <w:pPr>
              <w:autoSpaceDE w:val="0"/>
              <w:autoSpaceDN w:val="0"/>
              <w:adjustRightInd w:val="0"/>
              <w:spacing w:after="0" w:line="240" w:lineRule="auto"/>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val="en-US" w:eastAsia="en-US"/>
              </w:rPr>
              <w:t xml:space="preserve">National </w:t>
            </w:r>
            <w:r w:rsidRPr="000341E2">
              <w:rPr>
                <w:rFonts w:ascii="Times New Roman" w:eastAsia="Calibri" w:hAnsi="Times New Roman" w:cs="Times New Roman"/>
                <w:sz w:val="20"/>
                <w:szCs w:val="20"/>
                <w:lang w:val="en-US" w:eastAsia="en-US"/>
              </w:rPr>
              <w:t xml:space="preserve">Governance </w:t>
            </w:r>
            <w:r w:rsidRPr="000341E2">
              <w:rPr>
                <w:rFonts w:ascii="Times New Roman" w:eastAsia="Calibri" w:hAnsi="Times New Roman" w:cs="Times New Roman"/>
                <w:sz w:val="20"/>
                <w:szCs w:val="20"/>
                <w:lang w:eastAsia="en-US"/>
              </w:rPr>
              <w:t xml:space="preserve">Index which is </w:t>
            </w:r>
            <w:r>
              <w:rPr>
                <w:rFonts w:ascii="Times New Roman" w:eastAsia="Calibri" w:hAnsi="Times New Roman" w:cs="Times New Roman"/>
                <w:sz w:val="20"/>
                <w:szCs w:val="20"/>
                <w:lang w:eastAsia="en-US"/>
              </w:rPr>
              <w:t>the average of</w:t>
            </w:r>
            <w:r w:rsidRPr="000341E2">
              <w:rPr>
                <w:rFonts w:ascii="Times New Roman" w:eastAsia="Calibri" w:hAnsi="Times New Roman" w:cs="Times New Roman"/>
                <w:sz w:val="20"/>
                <w:szCs w:val="20"/>
                <w:lang w:eastAsia="en-US"/>
              </w:rPr>
              <w:t xml:space="preserve"> the six indices (i.e., </w:t>
            </w:r>
            <w:r w:rsidRPr="00E33B54">
              <w:rPr>
                <w:rFonts w:ascii="Times New Roman" w:eastAsia="Calibri" w:hAnsi="Times New Roman" w:cs="Times New Roman"/>
                <w:bCs/>
                <w:sz w:val="20"/>
                <w:szCs w:val="20"/>
                <w:lang w:eastAsia="en-US"/>
              </w:rPr>
              <w:t>voice and accountability, political stability and absence of violence/terrorism, government effectiveness, regulatory quality, rule of law, and control of corruption</w:t>
            </w:r>
            <w:r w:rsidRPr="000341E2">
              <w:rPr>
                <w:rFonts w:ascii="Times New Roman" w:eastAsia="Calibri" w:hAnsi="Times New Roman" w:cs="Times New Roman"/>
                <w:sz w:val="20"/>
                <w:szCs w:val="20"/>
                <w:lang w:eastAsia="en-US"/>
              </w:rPr>
              <w:t>)</w:t>
            </w:r>
            <w:r>
              <w:rPr>
                <w:rFonts w:ascii="Times New Roman" w:eastAsia="Calibri" w:hAnsi="Times New Roman" w:cs="Times New Roman"/>
                <w:sz w:val="20"/>
                <w:szCs w:val="20"/>
                <w:lang w:eastAsia="en-US"/>
              </w:rPr>
              <w:t>.</w:t>
            </w:r>
          </w:p>
        </w:tc>
      </w:tr>
      <w:tr w:rsidR="006B4C19" w:rsidRPr="00161AB9" w14:paraId="66ADA9B2" w14:textId="77777777" w:rsidTr="00EC79AD">
        <w:trPr>
          <w:trHeight w:val="390"/>
          <w:jc w:val="center"/>
        </w:trPr>
        <w:tc>
          <w:tcPr>
            <w:tcW w:w="1217" w:type="dxa"/>
          </w:tcPr>
          <w:p w14:paraId="793C16F8" w14:textId="2EECB527" w:rsidR="006B4C19" w:rsidRDefault="00EC79AD" w:rsidP="00D23D6D">
            <w:pPr>
              <w:autoSpaceDE w:val="0"/>
              <w:autoSpaceDN w:val="0"/>
              <w:adjustRightInd w:val="0"/>
              <w:spacing w:after="0" w:line="240" w:lineRule="auto"/>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VOICE</w:t>
            </w:r>
          </w:p>
        </w:tc>
        <w:tc>
          <w:tcPr>
            <w:tcW w:w="8565" w:type="dxa"/>
          </w:tcPr>
          <w:p w14:paraId="114A33B0" w14:textId="2FCF3876" w:rsidR="006B4C19" w:rsidRPr="00751C58" w:rsidRDefault="00751C58" w:rsidP="00E33B54">
            <w:pPr>
              <w:autoSpaceDE w:val="0"/>
              <w:autoSpaceDN w:val="0"/>
              <w:adjustRightInd w:val="0"/>
              <w:spacing w:after="0" w:line="240" w:lineRule="auto"/>
              <w:jc w:val="both"/>
              <w:rPr>
                <w:rFonts w:ascii="Times New Roman" w:eastAsia="Calibri" w:hAnsi="Times New Roman" w:cs="Times New Roman"/>
                <w:sz w:val="20"/>
                <w:szCs w:val="20"/>
                <w:lang w:eastAsia="en-US"/>
              </w:rPr>
            </w:pPr>
            <w:r w:rsidRPr="00751C58">
              <w:rPr>
                <w:rFonts w:ascii="Times New Roman" w:eastAsia="Calibri" w:hAnsi="Times New Roman" w:cs="Times New Roman"/>
                <w:sz w:val="20"/>
                <w:szCs w:val="20"/>
                <w:lang w:eastAsia="en-US"/>
              </w:rPr>
              <w:t>Voice and accountability</w:t>
            </w:r>
            <w:r w:rsidRPr="00751C58">
              <w:rPr>
                <w:rFonts w:ascii="Times New Roman" w:eastAsia="Calibri" w:hAnsi="Times New Roman" w:cs="Times New Roman" w:hint="eastAsia"/>
                <w:sz w:val="20"/>
                <w:szCs w:val="20"/>
                <w:lang w:eastAsia="en-US"/>
              </w:rPr>
              <w:t>:</w:t>
            </w:r>
            <w:r w:rsidRPr="00751C58">
              <w:rPr>
                <w:rFonts w:ascii="Times New Roman" w:eastAsia="Calibri" w:hAnsi="Times New Roman" w:cs="Times New Roman"/>
                <w:sz w:val="20"/>
                <w:szCs w:val="20"/>
                <w:lang w:eastAsia="en-US"/>
              </w:rPr>
              <w:t xml:space="preserve"> measuring perceptions of the extent to which a country’s citizens are able to participate in selecting their government, as well as freedom of expression, freedom of association, and a free media.</w:t>
            </w:r>
          </w:p>
        </w:tc>
      </w:tr>
      <w:tr w:rsidR="006B4C19" w:rsidRPr="00161AB9" w14:paraId="5661F909" w14:textId="77777777" w:rsidTr="00EC79AD">
        <w:trPr>
          <w:trHeight w:val="390"/>
          <w:jc w:val="center"/>
        </w:trPr>
        <w:tc>
          <w:tcPr>
            <w:tcW w:w="1217" w:type="dxa"/>
          </w:tcPr>
          <w:p w14:paraId="2F540BCC" w14:textId="49EE6BD0" w:rsidR="006B4C19" w:rsidRDefault="00EC79AD" w:rsidP="00D23D6D">
            <w:pPr>
              <w:autoSpaceDE w:val="0"/>
              <w:autoSpaceDN w:val="0"/>
              <w:adjustRightInd w:val="0"/>
              <w:spacing w:after="0" w:line="240" w:lineRule="auto"/>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POLTC</w:t>
            </w:r>
          </w:p>
        </w:tc>
        <w:tc>
          <w:tcPr>
            <w:tcW w:w="8565" w:type="dxa"/>
          </w:tcPr>
          <w:p w14:paraId="46556DCC" w14:textId="1455668C" w:rsidR="006B4C19" w:rsidRPr="00751C58" w:rsidRDefault="00751C58" w:rsidP="00E33B54">
            <w:pPr>
              <w:autoSpaceDE w:val="0"/>
              <w:autoSpaceDN w:val="0"/>
              <w:adjustRightInd w:val="0"/>
              <w:spacing w:after="0" w:line="240" w:lineRule="auto"/>
              <w:jc w:val="both"/>
              <w:rPr>
                <w:rFonts w:ascii="Times New Roman" w:eastAsia="Calibri" w:hAnsi="Times New Roman" w:cs="Times New Roman"/>
                <w:sz w:val="20"/>
                <w:szCs w:val="20"/>
                <w:lang w:eastAsia="en-US"/>
              </w:rPr>
            </w:pPr>
            <w:r w:rsidRPr="00751C58">
              <w:rPr>
                <w:rFonts w:ascii="Times New Roman" w:eastAsia="Calibri" w:hAnsi="Times New Roman" w:cs="Times New Roman"/>
                <w:sz w:val="20"/>
                <w:szCs w:val="20"/>
                <w:lang w:eastAsia="en-US"/>
              </w:rPr>
              <w:t xml:space="preserve">Political stability and absence of violence/terrorism: measuring perceptions of the likelihood that the government will be destabilised or overthrown by unconstitutional or violent means, including politically-motivated violence and terrorism. </w:t>
            </w:r>
          </w:p>
        </w:tc>
      </w:tr>
      <w:tr w:rsidR="006B4C19" w:rsidRPr="00161AB9" w14:paraId="05D85C1C" w14:textId="77777777" w:rsidTr="00EC79AD">
        <w:trPr>
          <w:trHeight w:val="390"/>
          <w:jc w:val="center"/>
        </w:trPr>
        <w:tc>
          <w:tcPr>
            <w:tcW w:w="1217" w:type="dxa"/>
          </w:tcPr>
          <w:p w14:paraId="079BA484" w14:textId="5AAAF1D0" w:rsidR="006B4C19" w:rsidRDefault="00EC79AD" w:rsidP="00D23D6D">
            <w:pPr>
              <w:autoSpaceDE w:val="0"/>
              <w:autoSpaceDN w:val="0"/>
              <w:adjustRightInd w:val="0"/>
              <w:spacing w:after="0" w:line="240" w:lineRule="auto"/>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GOVT</w:t>
            </w:r>
          </w:p>
        </w:tc>
        <w:tc>
          <w:tcPr>
            <w:tcW w:w="8565" w:type="dxa"/>
          </w:tcPr>
          <w:p w14:paraId="7903120C" w14:textId="597397B8" w:rsidR="006B4C19" w:rsidRPr="00751C58" w:rsidRDefault="00751C58" w:rsidP="00E33B54">
            <w:pPr>
              <w:autoSpaceDE w:val="0"/>
              <w:autoSpaceDN w:val="0"/>
              <w:adjustRightInd w:val="0"/>
              <w:spacing w:after="0" w:line="240" w:lineRule="auto"/>
              <w:jc w:val="both"/>
              <w:rPr>
                <w:rFonts w:ascii="Times New Roman" w:eastAsia="Calibri" w:hAnsi="Times New Roman" w:cs="Times New Roman"/>
                <w:sz w:val="20"/>
                <w:szCs w:val="20"/>
                <w:lang w:eastAsia="en-US"/>
              </w:rPr>
            </w:pPr>
            <w:r w:rsidRPr="00751C58">
              <w:rPr>
                <w:rFonts w:ascii="Times New Roman" w:eastAsia="Calibri" w:hAnsi="Times New Roman" w:cs="Times New Roman"/>
                <w:sz w:val="20"/>
                <w:szCs w:val="20"/>
                <w:lang w:eastAsia="en-US"/>
              </w:rPr>
              <w:t>Government effectiveness: measuring perceptions of the quality of public services, the quality of the civil service and the degree of its independence from political pressures, the quality of policy formulation and implementation, and the credibility of the government’s commitment to such policies.</w:t>
            </w:r>
          </w:p>
        </w:tc>
      </w:tr>
      <w:tr w:rsidR="006B4C19" w:rsidRPr="00161AB9" w14:paraId="720D054E" w14:textId="77777777" w:rsidTr="00EC79AD">
        <w:trPr>
          <w:trHeight w:val="390"/>
          <w:jc w:val="center"/>
        </w:trPr>
        <w:tc>
          <w:tcPr>
            <w:tcW w:w="1217" w:type="dxa"/>
          </w:tcPr>
          <w:p w14:paraId="58525A7D" w14:textId="6B0B9DF0" w:rsidR="006B4C19" w:rsidRDefault="00EC79AD" w:rsidP="00D23D6D">
            <w:pPr>
              <w:autoSpaceDE w:val="0"/>
              <w:autoSpaceDN w:val="0"/>
              <w:adjustRightInd w:val="0"/>
              <w:spacing w:after="0" w:line="240" w:lineRule="auto"/>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REGY</w:t>
            </w:r>
          </w:p>
        </w:tc>
        <w:tc>
          <w:tcPr>
            <w:tcW w:w="8565" w:type="dxa"/>
          </w:tcPr>
          <w:p w14:paraId="6A664FB7" w14:textId="3EB9B63E" w:rsidR="006B4C19" w:rsidRPr="00751C58" w:rsidRDefault="00751C58" w:rsidP="00E33B54">
            <w:pPr>
              <w:autoSpaceDE w:val="0"/>
              <w:autoSpaceDN w:val="0"/>
              <w:adjustRightInd w:val="0"/>
              <w:spacing w:after="0" w:line="240" w:lineRule="auto"/>
              <w:jc w:val="both"/>
              <w:rPr>
                <w:rFonts w:ascii="Times New Roman" w:eastAsia="Calibri" w:hAnsi="Times New Roman" w:cs="Times New Roman"/>
                <w:sz w:val="20"/>
                <w:szCs w:val="20"/>
                <w:lang w:eastAsia="en-US"/>
              </w:rPr>
            </w:pPr>
            <w:r w:rsidRPr="00751C58">
              <w:rPr>
                <w:rFonts w:ascii="Times New Roman" w:eastAsia="Calibri" w:hAnsi="Times New Roman" w:cs="Times New Roman"/>
                <w:sz w:val="20"/>
                <w:szCs w:val="20"/>
                <w:lang w:eastAsia="en-US"/>
              </w:rPr>
              <w:t>Regulatory quality:  measuring perceptions of the ability of the government to formulate and implement sound policies and regulations that permit and promote private sector development.</w:t>
            </w:r>
          </w:p>
        </w:tc>
      </w:tr>
      <w:tr w:rsidR="006B4C19" w:rsidRPr="00161AB9" w14:paraId="19840A77" w14:textId="77777777" w:rsidTr="00EC79AD">
        <w:trPr>
          <w:trHeight w:val="390"/>
          <w:jc w:val="center"/>
        </w:trPr>
        <w:tc>
          <w:tcPr>
            <w:tcW w:w="1217" w:type="dxa"/>
          </w:tcPr>
          <w:p w14:paraId="78917BC4" w14:textId="37B6F72D" w:rsidR="006B4C19" w:rsidRDefault="00EC79AD" w:rsidP="00D23D6D">
            <w:pPr>
              <w:autoSpaceDE w:val="0"/>
              <w:autoSpaceDN w:val="0"/>
              <w:adjustRightInd w:val="0"/>
              <w:spacing w:after="0" w:line="240" w:lineRule="auto"/>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RLAW</w:t>
            </w:r>
          </w:p>
        </w:tc>
        <w:tc>
          <w:tcPr>
            <w:tcW w:w="8565" w:type="dxa"/>
          </w:tcPr>
          <w:p w14:paraId="004606EB" w14:textId="6D2AC9BD" w:rsidR="006B4C19" w:rsidRPr="00751C58" w:rsidRDefault="00751C58" w:rsidP="00E33B54">
            <w:pPr>
              <w:autoSpaceDE w:val="0"/>
              <w:autoSpaceDN w:val="0"/>
              <w:adjustRightInd w:val="0"/>
              <w:spacing w:after="0" w:line="240" w:lineRule="auto"/>
              <w:jc w:val="both"/>
              <w:rPr>
                <w:rFonts w:ascii="Times New Roman" w:eastAsia="Calibri" w:hAnsi="Times New Roman" w:cs="Times New Roman"/>
                <w:sz w:val="20"/>
                <w:szCs w:val="20"/>
                <w:lang w:eastAsia="en-US"/>
              </w:rPr>
            </w:pPr>
            <w:r w:rsidRPr="00751C58">
              <w:rPr>
                <w:rFonts w:ascii="Times New Roman" w:eastAsia="Calibri" w:hAnsi="Times New Roman" w:cs="Times New Roman"/>
                <w:sz w:val="20"/>
                <w:szCs w:val="20"/>
                <w:lang w:eastAsia="en-US"/>
              </w:rPr>
              <w:t>Rule of law: measuring perceptions of the extent to which agents have confidence in and abide by the rules of society, and in particular the quality of contract enforcement, property rights, the police, and the courts, as well as the likelihood of crime and violence.</w:t>
            </w:r>
          </w:p>
        </w:tc>
      </w:tr>
      <w:tr w:rsidR="006B4C19" w:rsidRPr="00161AB9" w14:paraId="38F14821" w14:textId="77777777" w:rsidTr="00EC79AD">
        <w:trPr>
          <w:trHeight w:val="390"/>
          <w:jc w:val="center"/>
        </w:trPr>
        <w:tc>
          <w:tcPr>
            <w:tcW w:w="1217" w:type="dxa"/>
          </w:tcPr>
          <w:p w14:paraId="79922755" w14:textId="01353DE9" w:rsidR="006B4C19" w:rsidRDefault="00EC79AD" w:rsidP="00D23D6D">
            <w:pPr>
              <w:autoSpaceDE w:val="0"/>
              <w:autoSpaceDN w:val="0"/>
              <w:adjustRightInd w:val="0"/>
              <w:spacing w:after="0" w:line="240" w:lineRule="auto"/>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CORN</w:t>
            </w:r>
          </w:p>
        </w:tc>
        <w:tc>
          <w:tcPr>
            <w:tcW w:w="8565" w:type="dxa"/>
            <w:tcBorders>
              <w:bottom w:val="single" w:sz="12" w:space="0" w:color="auto"/>
            </w:tcBorders>
          </w:tcPr>
          <w:p w14:paraId="76FBE79C" w14:textId="543286CA" w:rsidR="006B4C19" w:rsidRDefault="00751C58" w:rsidP="00E33B54">
            <w:pPr>
              <w:autoSpaceDE w:val="0"/>
              <w:autoSpaceDN w:val="0"/>
              <w:adjustRightInd w:val="0"/>
              <w:spacing w:after="0" w:line="240" w:lineRule="auto"/>
              <w:jc w:val="both"/>
              <w:rPr>
                <w:rFonts w:ascii="Times New Roman" w:eastAsia="Calibri" w:hAnsi="Times New Roman" w:cs="Times New Roman"/>
                <w:sz w:val="20"/>
                <w:szCs w:val="20"/>
                <w:lang w:val="en-US" w:eastAsia="en-US"/>
              </w:rPr>
            </w:pPr>
            <w:r w:rsidRPr="00751C58">
              <w:rPr>
                <w:rFonts w:ascii="Times New Roman" w:eastAsia="Calibri" w:hAnsi="Times New Roman" w:cs="Times New Roman"/>
                <w:sz w:val="20"/>
                <w:szCs w:val="20"/>
                <w:lang w:eastAsia="en-US"/>
              </w:rPr>
              <w:t xml:space="preserve">Control of corruption: measuring perceptions of the extent to which public power is exercised for private gain, including both petty and grand forms of corruption, as well as </w:t>
            </w:r>
            <w:r w:rsidRPr="00751C58">
              <w:rPr>
                <w:rFonts w:ascii="Times New Roman" w:eastAsia="Calibri" w:hAnsi="Times New Roman" w:cs="Times New Roman" w:hint="eastAsia"/>
                <w:sz w:val="20"/>
                <w:szCs w:val="20"/>
                <w:lang w:eastAsia="en-US"/>
              </w:rPr>
              <w:t>‘</w:t>
            </w:r>
            <w:r w:rsidRPr="00751C58">
              <w:rPr>
                <w:rFonts w:ascii="Times New Roman" w:eastAsia="Calibri" w:hAnsi="Times New Roman" w:cs="Times New Roman"/>
                <w:sz w:val="20"/>
                <w:szCs w:val="20"/>
                <w:lang w:eastAsia="en-US"/>
              </w:rPr>
              <w:t>capture</w:t>
            </w:r>
            <w:r w:rsidRPr="00751C58">
              <w:rPr>
                <w:rFonts w:ascii="Times New Roman" w:eastAsia="Calibri" w:hAnsi="Times New Roman" w:cs="Times New Roman" w:hint="eastAsia"/>
                <w:sz w:val="20"/>
                <w:szCs w:val="20"/>
                <w:lang w:eastAsia="en-US"/>
              </w:rPr>
              <w:t>’</w:t>
            </w:r>
            <w:r w:rsidRPr="00751C58">
              <w:rPr>
                <w:rFonts w:ascii="Times New Roman" w:eastAsia="Calibri" w:hAnsi="Times New Roman" w:cs="Times New Roman"/>
                <w:sz w:val="20"/>
                <w:szCs w:val="20"/>
                <w:lang w:eastAsia="en-US"/>
              </w:rPr>
              <w:t xml:space="preserve"> of the state by elites and private interests.</w:t>
            </w:r>
          </w:p>
        </w:tc>
      </w:tr>
      <w:tr w:rsidR="007F5801" w:rsidRPr="00161AB9" w14:paraId="53A3A061" w14:textId="77777777" w:rsidTr="00D23D6D">
        <w:trPr>
          <w:jc w:val="center"/>
        </w:trPr>
        <w:tc>
          <w:tcPr>
            <w:tcW w:w="9782" w:type="dxa"/>
            <w:gridSpan w:val="2"/>
            <w:tcBorders>
              <w:top w:val="single" w:sz="12" w:space="0" w:color="auto"/>
              <w:bottom w:val="single" w:sz="12" w:space="0" w:color="auto"/>
            </w:tcBorders>
          </w:tcPr>
          <w:p w14:paraId="5F296F67" w14:textId="77777777" w:rsidR="007F5801" w:rsidRPr="00161AB9" w:rsidRDefault="007F5801" w:rsidP="00D23D6D">
            <w:pPr>
              <w:autoSpaceDE w:val="0"/>
              <w:autoSpaceDN w:val="0"/>
              <w:adjustRightInd w:val="0"/>
              <w:spacing w:after="0" w:line="240" w:lineRule="auto"/>
              <w:rPr>
                <w:rFonts w:ascii="Times New Roman" w:eastAsia="Calibri" w:hAnsi="Times New Roman" w:cs="Times New Roman"/>
                <w:b/>
                <w:sz w:val="20"/>
                <w:szCs w:val="20"/>
                <w:lang w:val="en-US" w:eastAsia="en-US"/>
              </w:rPr>
            </w:pPr>
            <w:r w:rsidRPr="00161AB9">
              <w:rPr>
                <w:rFonts w:ascii="Times New Roman" w:eastAsia="Calibri" w:hAnsi="Times New Roman" w:cs="Times New Roman"/>
                <w:b/>
                <w:sz w:val="20"/>
                <w:szCs w:val="20"/>
                <w:lang w:val="en-US" w:eastAsia="en-US"/>
              </w:rPr>
              <w:t>Control variables</w:t>
            </w:r>
          </w:p>
        </w:tc>
      </w:tr>
      <w:tr w:rsidR="007F5801" w:rsidRPr="00161AB9" w14:paraId="623E140A" w14:textId="77777777" w:rsidTr="006B4C19">
        <w:trPr>
          <w:jc w:val="center"/>
        </w:trPr>
        <w:tc>
          <w:tcPr>
            <w:tcW w:w="1217" w:type="dxa"/>
            <w:tcBorders>
              <w:top w:val="single" w:sz="12" w:space="0" w:color="auto"/>
            </w:tcBorders>
          </w:tcPr>
          <w:p w14:paraId="474C7A89" w14:textId="77777777" w:rsidR="007F5801" w:rsidRPr="00161AB9" w:rsidRDefault="007F5801" w:rsidP="00D23D6D">
            <w:pPr>
              <w:autoSpaceDE w:val="0"/>
              <w:autoSpaceDN w:val="0"/>
              <w:adjustRightInd w:val="0"/>
              <w:spacing w:after="0" w:line="240" w:lineRule="auto"/>
              <w:rPr>
                <w:rFonts w:ascii="Times New Roman" w:eastAsia="Calibri" w:hAnsi="Times New Roman" w:cs="Times New Roman"/>
                <w:sz w:val="20"/>
                <w:szCs w:val="20"/>
                <w:lang w:val="en-US" w:eastAsia="en-US"/>
              </w:rPr>
            </w:pPr>
            <w:r w:rsidRPr="00161AB9">
              <w:rPr>
                <w:rFonts w:ascii="Times New Roman" w:eastAsia="Calibri" w:hAnsi="Times New Roman" w:cs="Times New Roman"/>
                <w:sz w:val="20"/>
                <w:szCs w:val="20"/>
                <w:lang w:val="en-US" w:eastAsia="en-US"/>
              </w:rPr>
              <w:t>LNTA</w:t>
            </w:r>
          </w:p>
        </w:tc>
        <w:tc>
          <w:tcPr>
            <w:tcW w:w="8565" w:type="dxa"/>
            <w:tcBorders>
              <w:top w:val="single" w:sz="12" w:space="0" w:color="auto"/>
            </w:tcBorders>
          </w:tcPr>
          <w:p w14:paraId="5C05B6AE" w14:textId="16A3455F" w:rsidR="007F5801" w:rsidRPr="00161AB9" w:rsidRDefault="007F5801" w:rsidP="0093121C">
            <w:pPr>
              <w:autoSpaceDE w:val="0"/>
              <w:autoSpaceDN w:val="0"/>
              <w:adjustRightInd w:val="0"/>
              <w:spacing w:after="0" w:line="240" w:lineRule="auto"/>
              <w:jc w:val="both"/>
              <w:rPr>
                <w:rFonts w:ascii="Times New Roman" w:eastAsia="Calibri" w:hAnsi="Times New Roman" w:cs="Times New Roman"/>
                <w:sz w:val="20"/>
                <w:szCs w:val="20"/>
                <w:lang w:val="en-US" w:eastAsia="en-US"/>
              </w:rPr>
            </w:pPr>
            <w:r w:rsidRPr="00161AB9">
              <w:rPr>
                <w:rFonts w:ascii="Times New Roman" w:eastAsia="Calibri" w:hAnsi="Times New Roman" w:cs="Times New Roman"/>
                <w:sz w:val="20"/>
                <w:szCs w:val="20"/>
                <w:lang w:val="en-US" w:eastAsia="en-US"/>
              </w:rPr>
              <w:t xml:space="preserve">Natural log of the total assets </w:t>
            </w:r>
            <w:r w:rsidR="00992E18" w:rsidRPr="00992E18">
              <w:rPr>
                <w:rFonts w:ascii="Times New Roman" w:eastAsia="Calibri" w:hAnsi="Times New Roman" w:cs="Times New Roman"/>
                <w:sz w:val="20"/>
                <w:szCs w:val="20"/>
                <w:lang w:eastAsia="en-US"/>
              </w:rPr>
              <w:t xml:space="preserve">in thousands of </w:t>
            </w:r>
            <w:r w:rsidR="00282D16" w:rsidRPr="00282D16">
              <w:rPr>
                <w:rFonts w:ascii="Times New Roman" w:eastAsia="Calibri" w:hAnsi="Times New Roman" w:cs="Times New Roman"/>
                <w:sz w:val="20"/>
                <w:szCs w:val="20"/>
                <w:lang w:eastAsia="en-US"/>
              </w:rPr>
              <w:t xml:space="preserve">US </w:t>
            </w:r>
            <w:r w:rsidR="00992E18" w:rsidRPr="00992E18">
              <w:rPr>
                <w:rFonts w:ascii="Times New Roman" w:eastAsia="Calibri" w:hAnsi="Times New Roman" w:cs="Times New Roman"/>
                <w:sz w:val="20"/>
                <w:szCs w:val="20"/>
                <w:lang w:eastAsia="en-US"/>
              </w:rPr>
              <w:t xml:space="preserve">dollars </w:t>
            </w:r>
            <w:r w:rsidRPr="00161AB9">
              <w:rPr>
                <w:rFonts w:ascii="Times New Roman" w:eastAsia="Calibri" w:hAnsi="Times New Roman" w:cs="Times New Roman"/>
                <w:sz w:val="20"/>
                <w:szCs w:val="20"/>
                <w:lang w:val="en-US" w:eastAsia="en-US"/>
              </w:rPr>
              <w:t>of a firm</w:t>
            </w:r>
            <w:r w:rsidR="0093121C">
              <w:rPr>
                <w:rFonts w:ascii="Times New Roman" w:eastAsia="Calibri" w:hAnsi="Times New Roman" w:cs="Times New Roman"/>
                <w:sz w:val="20"/>
                <w:szCs w:val="20"/>
                <w:lang w:val="en-US" w:eastAsia="en-US"/>
              </w:rPr>
              <w:t xml:space="preserve"> </w:t>
            </w:r>
            <w:r w:rsidR="0093121C" w:rsidRPr="0093121C">
              <w:rPr>
                <w:rFonts w:ascii="Times New Roman" w:eastAsia="Calibri" w:hAnsi="Times New Roman" w:cs="Times New Roman"/>
                <w:sz w:val="20"/>
                <w:szCs w:val="20"/>
                <w:lang w:eastAsia="en-US"/>
              </w:rPr>
              <w:t>(wc02999)</w:t>
            </w:r>
            <w:r w:rsidRPr="00161AB9">
              <w:rPr>
                <w:rFonts w:ascii="Times New Roman" w:eastAsia="Calibri" w:hAnsi="Times New Roman" w:cs="Times New Roman"/>
                <w:sz w:val="20"/>
                <w:szCs w:val="20"/>
                <w:lang w:val="en-US" w:eastAsia="en-US"/>
              </w:rPr>
              <w:t>.</w:t>
            </w:r>
          </w:p>
        </w:tc>
      </w:tr>
      <w:tr w:rsidR="007F5801" w:rsidRPr="00161AB9" w14:paraId="7D82332F" w14:textId="77777777" w:rsidTr="006B4C19">
        <w:trPr>
          <w:jc w:val="center"/>
        </w:trPr>
        <w:tc>
          <w:tcPr>
            <w:tcW w:w="1217" w:type="dxa"/>
          </w:tcPr>
          <w:p w14:paraId="0293B3E1" w14:textId="77777777" w:rsidR="007F5801" w:rsidRPr="00161AB9" w:rsidRDefault="007F5801" w:rsidP="00D23D6D">
            <w:pPr>
              <w:autoSpaceDE w:val="0"/>
              <w:autoSpaceDN w:val="0"/>
              <w:adjustRightInd w:val="0"/>
              <w:spacing w:after="0" w:line="240" w:lineRule="auto"/>
              <w:rPr>
                <w:rFonts w:ascii="Times New Roman" w:eastAsia="Calibri" w:hAnsi="Times New Roman" w:cs="Times New Roman"/>
                <w:sz w:val="20"/>
                <w:szCs w:val="20"/>
                <w:lang w:val="en-US" w:eastAsia="en-US"/>
              </w:rPr>
            </w:pPr>
            <w:r w:rsidRPr="00161AB9">
              <w:rPr>
                <w:rFonts w:ascii="Times New Roman" w:eastAsia="Calibri" w:hAnsi="Times New Roman" w:cs="Times New Roman"/>
                <w:sz w:val="20"/>
                <w:szCs w:val="20"/>
                <w:lang w:eastAsia="en-US"/>
              </w:rPr>
              <w:t>BUSY</w:t>
            </w:r>
          </w:p>
        </w:tc>
        <w:tc>
          <w:tcPr>
            <w:tcW w:w="8565" w:type="dxa"/>
          </w:tcPr>
          <w:p w14:paraId="776875F5" w14:textId="77777777" w:rsidR="007F5801" w:rsidRPr="00161AB9" w:rsidRDefault="007F5801" w:rsidP="00D23D6D">
            <w:pPr>
              <w:autoSpaceDE w:val="0"/>
              <w:autoSpaceDN w:val="0"/>
              <w:adjustRightInd w:val="0"/>
              <w:spacing w:after="0" w:line="240" w:lineRule="auto"/>
              <w:jc w:val="both"/>
              <w:rPr>
                <w:rFonts w:ascii="Times New Roman" w:eastAsia="Calibri" w:hAnsi="Times New Roman" w:cs="Times New Roman"/>
                <w:sz w:val="20"/>
                <w:szCs w:val="20"/>
                <w:lang w:val="en-US" w:eastAsia="en-US"/>
              </w:rPr>
            </w:pPr>
            <w:r w:rsidRPr="00161AB9">
              <w:rPr>
                <w:rFonts w:ascii="Times New Roman" w:eastAsia="Calibri" w:hAnsi="Times New Roman" w:cs="Times New Roman"/>
                <w:sz w:val="20"/>
                <w:szCs w:val="20"/>
                <w:lang w:eastAsia="en-US"/>
              </w:rPr>
              <w:t>Binary variable =1 if financial year-end is between 31 December and 31 March inclusive;=0 otherwise</w:t>
            </w:r>
          </w:p>
        </w:tc>
      </w:tr>
      <w:tr w:rsidR="007F5801" w:rsidRPr="00161AB9" w14:paraId="6342D531" w14:textId="77777777" w:rsidTr="006B4C19">
        <w:trPr>
          <w:jc w:val="center"/>
        </w:trPr>
        <w:tc>
          <w:tcPr>
            <w:tcW w:w="1217" w:type="dxa"/>
          </w:tcPr>
          <w:p w14:paraId="06F29AAC" w14:textId="6A139E46" w:rsidR="007F5801" w:rsidRPr="00161AB9" w:rsidRDefault="00A66DBF" w:rsidP="00D23D6D">
            <w:pPr>
              <w:autoSpaceDE w:val="0"/>
              <w:autoSpaceDN w:val="0"/>
              <w:adjustRightInd w:val="0"/>
              <w:spacing w:after="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QUI</w:t>
            </w:r>
            <w:r w:rsidR="007F5801" w:rsidRPr="00161AB9">
              <w:rPr>
                <w:rFonts w:ascii="Times New Roman" w:eastAsia="Calibri" w:hAnsi="Times New Roman" w:cs="Times New Roman"/>
                <w:sz w:val="20"/>
                <w:szCs w:val="20"/>
                <w:lang w:eastAsia="en-US"/>
              </w:rPr>
              <w:t>K</w:t>
            </w:r>
          </w:p>
          <w:p w14:paraId="2424710F" w14:textId="1BA63E11" w:rsidR="007F5801" w:rsidRPr="00161AB9" w:rsidRDefault="00A66DBF" w:rsidP="00D23D6D">
            <w:pPr>
              <w:autoSpaceDE w:val="0"/>
              <w:autoSpaceDN w:val="0"/>
              <w:adjustRightInd w:val="0"/>
              <w:spacing w:after="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LOS</w:t>
            </w:r>
          </w:p>
        </w:tc>
        <w:tc>
          <w:tcPr>
            <w:tcW w:w="8565" w:type="dxa"/>
          </w:tcPr>
          <w:p w14:paraId="2512053F" w14:textId="09A2FCF7" w:rsidR="007F5801" w:rsidRPr="00161AB9" w:rsidRDefault="007F5801" w:rsidP="00D23D6D">
            <w:pPr>
              <w:autoSpaceDE w:val="0"/>
              <w:autoSpaceDN w:val="0"/>
              <w:adjustRightInd w:val="0"/>
              <w:spacing w:after="0" w:line="240" w:lineRule="auto"/>
              <w:jc w:val="both"/>
              <w:rPr>
                <w:rFonts w:ascii="Times New Roman" w:eastAsia="Calibri" w:hAnsi="Times New Roman" w:cs="Times New Roman"/>
                <w:sz w:val="20"/>
                <w:szCs w:val="20"/>
                <w:lang w:eastAsia="en-US"/>
              </w:rPr>
            </w:pPr>
            <w:r w:rsidRPr="00161AB9">
              <w:rPr>
                <w:rFonts w:ascii="Times New Roman" w:eastAsia="Calibri" w:hAnsi="Times New Roman" w:cs="Times New Roman"/>
                <w:sz w:val="20"/>
                <w:szCs w:val="20"/>
                <w:lang w:eastAsia="en-US"/>
              </w:rPr>
              <w:t>Quick Ratio (</w:t>
            </w:r>
            <w:r w:rsidR="0093121C" w:rsidRPr="00161AB9">
              <w:rPr>
                <w:rFonts w:ascii="Times New Roman" w:eastAsia="Calibri" w:hAnsi="Times New Roman" w:cs="Times New Roman"/>
                <w:sz w:val="20"/>
                <w:szCs w:val="20"/>
                <w:lang w:eastAsia="en-US"/>
              </w:rPr>
              <w:t>wc08101</w:t>
            </w:r>
            <w:r w:rsidRPr="00161AB9">
              <w:rPr>
                <w:rFonts w:ascii="Times New Roman" w:eastAsia="Calibri" w:hAnsi="Times New Roman" w:cs="Times New Roman"/>
                <w:sz w:val="20"/>
                <w:szCs w:val="20"/>
                <w:lang w:eastAsia="en-US"/>
              </w:rPr>
              <w:t xml:space="preserve">) is (Cash &amp; Equivalents + Receivables (Net)) / Current Liabilities-Total. </w:t>
            </w:r>
          </w:p>
          <w:p w14:paraId="3F600F96" w14:textId="77777777" w:rsidR="007F5801" w:rsidRPr="00161AB9" w:rsidRDefault="007F5801" w:rsidP="00D23D6D">
            <w:pPr>
              <w:autoSpaceDE w:val="0"/>
              <w:autoSpaceDN w:val="0"/>
              <w:adjustRightInd w:val="0"/>
              <w:spacing w:after="0" w:line="240" w:lineRule="auto"/>
              <w:jc w:val="both"/>
              <w:rPr>
                <w:rFonts w:ascii="Times New Roman" w:eastAsia="Calibri" w:hAnsi="Times New Roman" w:cs="Times New Roman"/>
                <w:sz w:val="20"/>
                <w:szCs w:val="20"/>
                <w:lang w:eastAsia="en-US"/>
              </w:rPr>
            </w:pPr>
            <w:r w:rsidRPr="00161AB9">
              <w:rPr>
                <w:rFonts w:ascii="Times New Roman" w:eastAsia="Calibri" w:hAnsi="Times New Roman" w:cs="Times New Roman"/>
                <w:sz w:val="20"/>
                <w:szCs w:val="20"/>
                <w:lang w:eastAsia="en-US"/>
              </w:rPr>
              <w:t>Binary variable = 1 if the firm incurred a loss in the previous year, 0 otherwise.</w:t>
            </w:r>
          </w:p>
        </w:tc>
      </w:tr>
      <w:tr w:rsidR="007F5801" w:rsidRPr="00161AB9" w14:paraId="5C756C1F" w14:textId="77777777" w:rsidTr="006B4C19">
        <w:trPr>
          <w:jc w:val="center"/>
        </w:trPr>
        <w:tc>
          <w:tcPr>
            <w:tcW w:w="1217" w:type="dxa"/>
          </w:tcPr>
          <w:p w14:paraId="15F9A1A1" w14:textId="1C1AA914" w:rsidR="007F5801" w:rsidRPr="00161AB9" w:rsidRDefault="00A66DBF" w:rsidP="00D23D6D">
            <w:pPr>
              <w:autoSpaceDE w:val="0"/>
              <w:autoSpaceDN w:val="0"/>
              <w:adjustRightInd w:val="0"/>
              <w:spacing w:after="0" w:line="240" w:lineRule="auto"/>
              <w:rPr>
                <w:rFonts w:ascii="Times New Roman" w:eastAsia="Calibri" w:hAnsi="Times New Roman" w:cs="Times New Roman"/>
                <w:sz w:val="20"/>
                <w:szCs w:val="20"/>
                <w:lang w:val="en-US" w:eastAsia="en-US"/>
              </w:rPr>
            </w:pPr>
            <w:r>
              <w:rPr>
                <w:rFonts w:ascii="Times New Roman" w:eastAsia="Calibri" w:hAnsi="Times New Roman" w:cs="Times New Roman"/>
                <w:sz w:val="20"/>
                <w:szCs w:val="20"/>
                <w:lang w:val="en-US" w:eastAsia="en-US"/>
              </w:rPr>
              <w:t>L</w:t>
            </w:r>
            <w:r w:rsidR="007F5801" w:rsidRPr="00161AB9">
              <w:rPr>
                <w:rFonts w:ascii="Times New Roman" w:eastAsia="Calibri" w:hAnsi="Times New Roman" w:cs="Times New Roman"/>
                <w:sz w:val="20"/>
                <w:szCs w:val="20"/>
                <w:lang w:val="en-US" w:eastAsia="en-US"/>
              </w:rPr>
              <w:t>V</w:t>
            </w:r>
          </w:p>
          <w:p w14:paraId="1B6A7DC6" w14:textId="1047CD51" w:rsidR="007F5801" w:rsidRPr="00A66DBF" w:rsidRDefault="00A66DBF" w:rsidP="00A66DBF">
            <w:pPr>
              <w:autoSpaceDE w:val="0"/>
              <w:autoSpaceDN w:val="0"/>
              <w:adjustRightInd w:val="0"/>
              <w:spacing w:after="0" w:line="240" w:lineRule="auto"/>
              <w:rPr>
                <w:rFonts w:ascii="Times New Roman" w:eastAsia="Calibri" w:hAnsi="Times New Roman" w:cs="Times New Roman"/>
                <w:sz w:val="20"/>
                <w:szCs w:val="20"/>
                <w:lang w:val="en-US" w:eastAsia="en-US"/>
              </w:rPr>
            </w:pPr>
            <w:r>
              <w:rPr>
                <w:rFonts w:ascii="Times New Roman" w:eastAsia="Calibri" w:hAnsi="Times New Roman" w:cs="Times New Roman"/>
                <w:sz w:val="20"/>
                <w:szCs w:val="20"/>
                <w:lang w:val="en-US" w:eastAsia="en-US"/>
              </w:rPr>
              <w:t>SGR</w:t>
            </w:r>
          </w:p>
        </w:tc>
        <w:tc>
          <w:tcPr>
            <w:tcW w:w="8565" w:type="dxa"/>
          </w:tcPr>
          <w:p w14:paraId="5F67E15B" w14:textId="77777777" w:rsidR="007F5801" w:rsidRPr="00161AB9" w:rsidRDefault="007F5801" w:rsidP="00D23D6D">
            <w:pPr>
              <w:autoSpaceDE w:val="0"/>
              <w:autoSpaceDN w:val="0"/>
              <w:adjustRightInd w:val="0"/>
              <w:spacing w:after="0" w:line="240" w:lineRule="auto"/>
              <w:jc w:val="both"/>
              <w:rPr>
                <w:rFonts w:ascii="Times New Roman" w:eastAsia="Calibri" w:hAnsi="Times New Roman" w:cs="Times New Roman"/>
                <w:sz w:val="20"/>
                <w:szCs w:val="20"/>
                <w:lang w:val="en-US" w:eastAsia="en-US"/>
              </w:rPr>
            </w:pPr>
            <w:r w:rsidRPr="00161AB9">
              <w:rPr>
                <w:rFonts w:ascii="Times New Roman" w:eastAsia="Calibri" w:hAnsi="Times New Roman" w:cs="Times New Roman"/>
                <w:sz w:val="20"/>
                <w:szCs w:val="20"/>
                <w:lang w:val="en-US" w:eastAsia="en-US"/>
              </w:rPr>
              <w:t xml:space="preserve">Percentage of total debt (wc03255) to total assets (wc02999) in a financial year </w:t>
            </w:r>
          </w:p>
          <w:p w14:paraId="2F3D4464" w14:textId="77777777" w:rsidR="007F5801" w:rsidRPr="00161AB9" w:rsidRDefault="007F5801" w:rsidP="00D23D6D">
            <w:pPr>
              <w:autoSpaceDE w:val="0"/>
              <w:autoSpaceDN w:val="0"/>
              <w:adjustRightInd w:val="0"/>
              <w:spacing w:after="0" w:line="240" w:lineRule="auto"/>
              <w:jc w:val="both"/>
              <w:rPr>
                <w:rFonts w:ascii="Times New Roman" w:eastAsia="Calibri" w:hAnsi="Times New Roman" w:cs="Times New Roman"/>
                <w:sz w:val="20"/>
                <w:szCs w:val="20"/>
                <w:lang w:eastAsia="en-US"/>
              </w:rPr>
            </w:pPr>
            <w:r w:rsidRPr="00161AB9">
              <w:rPr>
                <w:rFonts w:ascii="Times New Roman" w:eastAsia="Calibri" w:hAnsi="Times New Roman" w:cs="Times New Roman"/>
                <w:sz w:val="20"/>
                <w:szCs w:val="20"/>
                <w:lang w:val="en-US" w:eastAsia="en-US"/>
              </w:rPr>
              <w:t>Percentage of current year’s sales (wc01001) minus previous year’s sales scaled by previous year’s sales.</w:t>
            </w:r>
          </w:p>
        </w:tc>
      </w:tr>
      <w:tr w:rsidR="007F5801" w:rsidRPr="00161AB9" w14:paraId="3351E522" w14:textId="77777777" w:rsidTr="006B4C19">
        <w:trPr>
          <w:jc w:val="center"/>
        </w:trPr>
        <w:tc>
          <w:tcPr>
            <w:tcW w:w="1217" w:type="dxa"/>
          </w:tcPr>
          <w:p w14:paraId="1FC1B928" w14:textId="77777777" w:rsidR="007F5801" w:rsidRPr="00161AB9" w:rsidRDefault="007F5801" w:rsidP="00D23D6D">
            <w:pPr>
              <w:autoSpaceDE w:val="0"/>
              <w:autoSpaceDN w:val="0"/>
              <w:adjustRightInd w:val="0"/>
              <w:spacing w:after="0" w:line="240" w:lineRule="auto"/>
              <w:rPr>
                <w:rFonts w:ascii="Times New Roman" w:eastAsia="Calibri" w:hAnsi="Times New Roman" w:cs="Times New Roman"/>
                <w:sz w:val="20"/>
                <w:szCs w:val="20"/>
                <w:lang w:val="en-US" w:eastAsia="en-US"/>
              </w:rPr>
            </w:pPr>
            <w:r w:rsidRPr="00161AB9">
              <w:rPr>
                <w:rFonts w:ascii="Times New Roman" w:eastAsia="Calibri" w:hAnsi="Times New Roman" w:cs="Times New Roman"/>
                <w:sz w:val="20"/>
                <w:szCs w:val="20"/>
                <w:lang w:val="en-US" w:eastAsia="en-US"/>
              </w:rPr>
              <w:t xml:space="preserve">ROA </w:t>
            </w:r>
          </w:p>
        </w:tc>
        <w:tc>
          <w:tcPr>
            <w:tcW w:w="8565" w:type="dxa"/>
          </w:tcPr>
          <w:p w14:paraId="65E8E97A" w14:textId="77777777" w:rsidR="007F5801" w:rsidRPr="00161AB9" w:rsidRDefault="007F5801" w:rsidP="00D23D6D">
            <w:pPr>
              <w:autoSpaceDE w:val="0"/>
              <w:autoSpaceDN w:val="0"/>
              <w:adjustRightInd w:val="0"/>
              <w:spacing w:after="0" w:line="240" w:lineRule="auto"/>
              <w:jc w:val="both"/>
              <w:rPr>
                <w:rFonts w:ascii="Times New Roman" w:eastAsia="Calibri" w:hAnsi="Times New Roman" w:cs="Times New Roman"/>
                <w:sz w:val="20"/>
                <w:szCs w:val="20"/>
                <w:lang w:val="en-US" w:eastAsia="en-US"/>
              </w:rPr>
            </w:pPr>
            <w:r w:rsidRPr="00161AB9">
              <w:rPr>
                <w:rFonts w:ascii="Times New Roman" w:eastAsia="Calibri" w:hAnsi="Times New Roman" w:cs="Times New Roman"/>
                <w:sz w:val="20"/>
                <w:szCs w:val="20"/>
                <w:lang w:eastAsia="en-US"/>
              </w:rPr>
              <w:t>Percentage of operating profit (wc01250) to total assets (wc02999) in a financial year</w:t>
            </w:r>
            <w:r w:rsidRPr="00161AB9">
              <w:rPr>
                <w:rFonts w:ascii="Times New Roman" w:eastAsia="Calibri" w:hAnsi="Times New Roman" w:cs="Times New Roman"/>
                <w:sz w:val="20"/>
                <w:szCs w:val="20"/>
                <w:lang w:val="en-US" w:eastAsia="en-US"/>
              </w:rPr>
              <w:t>.</w:t>
            </w:r>
          </w:p>
        </w:tc>
      </w:tr>
      <w:tr w:rsidR="007F5801" w:rsidRPr="00161AB9" w14:paraId="74667881" w14:textId="77777777" w:rsidTr="006B4C19">
        <w:trPr>
          <w:jc w:val="center"/>
        </w:trPr>
        <w:tc>
          <w:tcPr>
            <w:tcW w:w="1217" w:type="dxa"/>
          </w:tcPr>
          <w:p w14:paraId="67D00DD5" w14:textId="77777777" w:rsidR="007F5801" w:rsidRPr="00161AB9" w:rsidRDefault="007F5801" w:rsidP="00D23D6D">
            <w:pPr>
              <w:autoSpaceDE w:val="0"/>
              <w:autoSpaceDN w:val="0"/>
              <w:adjustRightInd w:val="0"/>
              <w:spacing w:after="0" w:line="240" w:lineRule="auto"/>
              <w:rPr>
                <w:rFonts w:ascii="Times New Roman" w:eastAsia="Calibri" w:hAnsi="Times New Roman" w:cs="Times New Roman"/>
                <w:sz w:val="20"/>
                <w:szCs w:val="20"/>
                <w:lang w:val="en-US" w:eastAsia="en-US"/>
              </w:rPr>
            </w:pPr>
            <w:r w:rsidRPr="00161AB9">
              <w:rPr>
                <w:rFonts w:ascii="Times New Roman" w:eastAsia="Calibri" w:hAnsi="Times New Roman" w:cs="Times New Roman"/>
                <w:sz w:val="20"/>
                <w:szCs w:val="20"/>
                <w:lang w:val="en-US" w:eastAsia="en-US"/>
              </w:rPr>
              <w:t>YDU</w:t>
            </w:r>
          </w:p>
        </w:tc>
        <w:tc>
          <w:tcPr>
            <w:tcW w:w="8565" w:type="dxa"/>
          </w:tcPr>
          <w:p w14:paraId="33AFA555" w14:textId="77777777" w:rsidR="007F5801" w:rsidRPr="00161AB9" w:rsidRDefault="007F5801" w:rsidP="00D23D6D">
            <w:pPr>
              <w:autoSpaceDE w:val="0"/>
              <w:autoSpaceDN w:val="0"/>
              <w:adjustRightInd w:val="0"/>
              <w:spacing w:after="0" w:line="240" w:lineRule="auto"/>
              <w:jc w:val="both"/>
              <w:rPr>
                <w:rFonts w:ascii="Times New Roman" w:eastAsia="Calibri" w:hAnsi="Times New Roman" w:cs="Times New Roman"/>
                <w:sz w:val="20"/>
                <w:szCs w:val="20"/>
                <w:lang w:val="en-US" w:eastAsia="en-US"/>
              </w:rPr>
            </w:pPr>
            <w:r w:rsidRPr="00161AB9">
              <w:rPr>
                <w:rFonts w:ascii="Times New Roman" w:eastAsia="Calibri" w:hAnsi="Times New Roman" w:cs="Times New Roman"/>
                <w:sz w:val="20"/>
                <w:szCs w:val="20"/>
                <w:lang w:val="en-US" w:eastAsia="en-US"/>
              </w:rPr>
              <w:t>Dummies for the years 2009 to 2014 inclusive.</w:t>
            </w:r>
          </w:p>
        </w:tc>
      </w:tr>
      <w:tr w:rsidR="007F5801" w:rsidRPr="00161AB9" w14:paraId="285FC5E7" w14:textId="77777777" w:rsidTr="006B4C19">
        <w:trPr>
          <w:jc w:val="center"/>
        </w:trPr>
        <w:tc>
          <w:tcPr>
            <w:tcW w:w="1217" w:type="dxa"/>
            <w:tcBorders>
              <w:bottom w:val="single" w:sz="12" w:space="0" w:color="auto"/>
            </w:tcBorders>
          </w:tcPr>
          <w:p w14:paraId="54F9FC9D" w14:textId="456F334E" w:rsidR="007F5801" w:rsidRPr="00161AB9" w:rsidRDefault="004C2ADB" w:rsidP="004C2ADB">
            <w:pPr>
              <w:autoSpaceDE w:val="0"/>
              <w:autoSpaceDN w:val="0"/>
              <w:adjustRightInd w:val="0"/>
              <w:spacing w:after="0" w:line="240" w:lineRule="auto"/>
              <w:rPr>
                <w:rFonts w:ascii="Times New Roman" w:eastAsia="Calibri" w:hAnsi="Times New Roman" w:cs="Times New Roman"/>
                <w:sz w:val="20"/>
                <w:szCs w:val="20"/>
                <w:lang w:val="en-US" w:eastAsia="en-US"/>
              </w:rPr>
            </w:pPr>
            <w:r w:rsidRPr="004C2ADB">
              <w:rPr>
                <w:rFonts w:ascii="Times New Roman" w:eastAsia="Calibri" w:hAnsi="Times New Roman" w:cs="Times New Roman"/>
                <w:sz w:val="20"/>
                <w:szCs w:val="20"/>
                <w:lang w:val="en-US" w:eastAsia="en-US"/>
              </w:rPr>
              <w:t xml:space="preserve">IRY </w:t>
            </w:r>
          </w:p>
        </w:tc>
        <w:tc>
          <w:tcPr>
            <w:tcW w:w="8565" w:type="dxa"/>
            <w:tcBorders>
              <w:bottom w:val="single" w:sz="12" w:space="0" w:color="auto"/>
            </w:tcBorders>
          </w:tcPr>
          <w:p w14:paraId="155CE8E8" w14:textId="08EE95E3" w:rsidR="007F5801" w:rsidRPr="00161AB9" w:rsidRDefault="007F5801" w:rsidP="007F7C86">
            <w:pPr>
              <w:autoSpaceDE w:val="0"/>
              <w:autoSpaceDN w:val="0"/>
              <w:adjustRightInd w:val="0"/>
              <w:spacing w:after="0" w:line="240" w:lineRule="auto"/>
              <w:jc w:val="both"/>
              <w:rPr>
                <w:rFonts w:ascii="Times New Roman" w:eastAsia="Calibri" w:hAnsi="Times New Roman" w:cs="Times New Roman"/>
                <w:sz w:val="20"/>
                <w:szCs w:val="20"/>
                <w:lang w:val="en-US" w:eastAsia="en-US"/>
              </w:rPr>
            </w:pPr>
            <w:r w:rsidRPr="00161AB9">
              <w:rPr>
                <w:rFonts w:ascii="Times New Roman" w:eastAsia="Calibri" w:hAnsi="Times New Roman" w:cs="Times New Roman"/>
                <w:sz w:val="20"/>
                <w:szCs w:val="20"/>
                <w:lang w:val="en-US" w:eastAsia="en-US"/>
              </w:rPr>
              <w:t xml:space="preserve">Dummies for each of the </w:t>
            </w:r>
            <w:r>
              <w:rPr>
                <w:rFonts w:ascii="Times New Roman" w:eastAsia="Calibri" w:hAnsi="Times New Roman" w:cs="Times New Roman"/>
                <w:sz w:val="20"/>
                <w:szCs w:val="20"/>
                <w:lang w:val="en-US" w:eastAsia="en-US"/>
              </w:rPr>
              <w:t>eight</w:t>
            </w:r>
            <w:r w:rsidRPr="00161AB9">
              <w:rPr>
                <w:rFonts w:ascii="Times New Roman" w:eastAsia="Calibri" w:hAnsi="Times New Roman" w:cs="Times New Roman"/>
                <w:sz w:val="20"/>
                <w:szCs w:val="20"/>
                <w:lang w:val="en-US" w:eastAsia="en-US"/>
              </w:rPr>
              <w:t xml:space="preserve"> main industries:</w:t>
            </w:r>
            <w:r w:rsidRPr="00161AB9">
              <w:rPr>
                <w:rFonts w:ascii="Times New Roman" w:eastAsia="Calibri" w:hAnsi="Times New Roman" w:cs="Times New Roman"/>
                <w:sz w:val="20"/>
                <w:szCs w:val="20"/>
                <w:lang w:eastAsia="en-US"/>
              </w:rPr>
              <w:t xml:space="preserve"> basic materials</w:t>
            </w:r>
            <w:r>
              <w:rPr>
                <w:rFonts w:ascii="Times New Roman" w:eastAsia="Calibri" w:hAnsi="Times New Roman" w:cs="Times New Roman"/>
                <w:sz w:val="20"/>
                <w:szCs w:val="20"/>
                <w:lang w:eastAsia="en-US"/>
              </w:rPr>
              <w:t xml:space="preserve">; </w:t>
            </w:r>
            <w:r w:rsidRPr="00161AB9">
              <w:rPr>
                <w:rFonts w:ascii="Times New Roman" w:eastAsia="Calibri" w:hAnsi="Times New Roman" w:cs="Times New Roman"/>
                <w:sz w:val="20"/>
                <w:szCs w:val="20"/>
                <w:lang w:eastAsia="en-US"/>
              </w:rPr>
              <w:t>oil &amp; gas</w:t>
            </w:r>
            <w:r w:rsidR="007F7C86">
              <w:rPr>
                <w:rFonts w:ascii="Times New Roman" w:eastAsia="Calibri" w:hAnsi="Times New Roman" w:cs="Times New Roman"/>
                <w:sz w:val="20"/>
                <w:szCs w:val="20"/>
                <w:lang w:eastAsia="en-US"/>
              </w:rPr>
              <w:t>,</w:t>
            </w:r>
            <w:r w:rsidR="007F7C86" w:rsidRPr="00161AB9">
              <w:rPr>
                <w:rFonts w:ascii="Times New Roman" w:eastAsia="Calibri" w:hAnsi="Times New Roman" w:cs="Times New Roman"/>
                <w:sz w:val="20"/>
                <w:szCs w:val="20"/>
                <w:lang w:eastAsia="en-US"/>
              </w:rPr>
              <w:t xml:space="preserve"> </w:t>
            </w:r>
            <w:r w:rsidRPr="00161AB9">
              <w:rPr>
                <w:rFonts w:ascii="Times New Roman" w:eastAsia="Calibri" w:hAnsi="Times New Roman" w:cs="Times New Roman"/>
                <w:sz w:val="20"/>
                <w:szCs w:val="20"/>
                <w:lang w:eastAsia="en-US"/>
              </w:rPr>
              <w:t>industrial</w:t>
            </w:r>
            <w:r w:rsidR="007F7C86">
              <w:rPr>
                <w:rFonts w:ascii="Times New Roman" w:eastAsia="Calibri" w:hAnsi="Times New Roman" w:cs="Times New Roman"/>
                <w:sz w:val="20"/>
                <w:szCs w:val="20"/>
                <w:lang w:eastAsia="en-US"/>
              </w:rPr>
              <w:t>,</w:t>
            </w:r>
            <w:r w:rsidR="007F7C86" w:rsidRPr="00161AB9">
              <w:rPr>
                <w:rFonts w:ascii="Times New Roman" w:eastAsia="Calibri" w:hAnsi="Times New Roman" w:cs="Times New Roman"/>
                <w:sz w:val="20"/>
                <w:szCs w:val="20"/>
                <w:lang w:eastAsia="en-US"/>
              </w:rPr>
              <w:t xml:space="preserve"> </w:t>
            </w:r>
            <w:r w:rsidRPr="00161AB9">
              <w:rPr>
                <w:rFonts w:ascii="Times New Roman" w:eastAsia="Calibri" w:hAnsi="Times New Roman" w:cs="Times New Roman"/>
                <w:sz w:val="20"/>
                <w:szCs w:val="20"/>
                <w:lang w:eastAsia="en-US"/>
              </w:rPr>
              <w:t>customer goods</w:t>
            </w:r>
            <w:r w:rsidR="007F7C86">
              <w:rPr>
                <w:rFonts w:ascii="Times New Roman" w:eastAsia="Calibri" w:hAnsi="Times New Roman" w:cs="Times New Roman"/>
                <w:sz w:val="20"/>
                <w:szCs w:val="20"/>
                <w:lang w:eastAsia="en-US"/>
              </w:rPr>
              <w:t>,</w:t>
            </w:r>
            <w:r w:rsidR="007F7C86" w:rsidRPr="00161AB9">
              <w:rPr>
                <w:rFonts w:ascii="Times New Roman" w:eastAsia="Calibri" w:hAnsi="Times New Roman" w:cs="Times New Roman"/>
                <w:sz w:val="20"/>
                <w:szCs w:val="20"/>
                <w:lang w:eastAsia="en-US"/>
              </w:rPr>
              <w:t xml:space="preserve"> </w:t>
            </w:r>
            <w:r w:rsidRPr="00161AB9">
              <w:rPr>
                <w:rFonts w:ascii="Times New Roman" w:eastAsia="Calibri" w:hAnsi="Times New Roman" w:cs="Times New Roman"/>
                <w:sz w:val="20"/>
                <w:szCs w:val="20"/>
                <w:lang w:eastAsia="en-US"/>
              </w:rPr>
              <w:t>customer services</w:t>
            </w:r>
            <w:r w:rsidR="007F7C86">
              <w:rPr>
                <w:rFonts w:ascii="Times New Roman" w:eastAsia="Calibri" w:hAnsi="Times New Roman" w:cs="Times New Roman"/>
                <w:sz w:val="20"/>
                <w:szCs w:val="20"/>
                <w:lang w:eastAsia="en-US"/>
              </w:rPr>
              <w:t xml:space="preserve">, </w:t>
            </w:r>
            <w:r w:rsidRPr="00161AB9">
              <w:rPr>
                <w:rFonts w:ascii="Times New Roman" w:eastAsia="Calibri" w:hAnsi="Times New Roman" w:cs="Times New Roman"/>
                <w:sz w:val="20"/>
                <w:szCs w:val="20"/>
                <w:lang w:eastAsia="en-US"/>
              </w:rPr>
              <w:t>health care</w:t>
            </w:r>
            <w:r w:rsidR="007F7C86">
              <w:rPr>
                <w:rFonts w:ascii="Times New Roman" w:eastAsia="Calibri" w:hAnsi="Times New Roman" w:cs="Times New Roman"/>
                <w:sz w:val="20"/>
                <w:szCs w:val="20"/>
                <w:lang w:eastAsia="en-US"/>
              </w:rPr>
              <w:t>,</w:t>
            </w:r>
            <w:r w:rsidR="007F7C86" w:rsidRPr="00161AB9">
              <w:rPr>
                <w:rFonts w:ascii="Times New Roman" w:eastAsia="Calibri" w:hAnsi="Times New Roman" w:cs="Times New Roman"/>
                <w:sz w:val="20"/>
                <w:szCs w:val="20"/>
                <w:lang w:eastAsia="en-US"/>
              </w:rPr>
              <w:t xml:space="preserve"> </w:t>
            </w:r>
            <w:r w:rsidRPr="00161AB9">
              <w:rPr>
                <w:rFonts w:ascii="Times New Roman" w:eastAsia="Calibri" w:hAnsi="Times New Roman" w:cs="Times New Roman"/>
                <w:sz w:val="20"/>
                <w:szCs w:val="20"/>
                <w:lang w:eastAsia="en-US"/>
              </w:rPr>
              <w:t>technology</w:t>
            </w:r>
            <w:r w:rsidR="007F7C86">
              <w:rPr>
                <w:rFonts w:ascii="Times New Roman" w:eastAsia="Calibri" w:hAnsi="Times New Roman" w:cs="Times New Roman"/>
                <w:sz w:val="20"/>
                <w:szCs w:val="20"/>
                <w:lang w:eastAsia="en-US"/>
              </w:rPr>
              <w:t xml:space="preserve">, </w:t>
            </w:r>
            <w:r w:rsidR="00401795">
              <w:rPr>
                <w:rFonts w:ascii="Times New Roman" w:eastAsia="Calibri" w:hAnsi="Times New Roman" w:cs="Times New Roman"/>
                <w:sz w:val="20"/>
                <w:szCs w:val="20"/>
                <w:lang w:eastAsia="en-US"/>
              </w:rPr>
              <w:t xml:space="preserve">and </w:t>
            </w:r>
            <w:r w:rsidRPr="00161AB9">
              <w:rPr>
                <w:rFonts w:ascii="Times New Roman" w:eastAsia="Calibri" w:hAnsi="Times New Roman" w:cs="Times New Roman"/>
                <w:sz w:val="20"/>
                <w:szCs w:val="20"/>
                <w:lang w:eastAsia="en-US"/>
              </w:rPr>
              <w:t>telecommunication</w:t>
            </w:r>
            <w:r w:rsidRPr="00161AB9">
              <w:rPr>
                <w:rFonts w:ascii="Times New Roman" w:eastAsia="Calibri" w:hAnsi="Times New Roman" w:cs="Times New Roman"/>
                <w:sz w:val="20"/>
                <w:szCs w:val="20"/>
                <w:lang w:val="en-US" w:eastAsia="en-US"/>
              </w:rPr>
              <w:t>.</w:t>
            </w:r>
          </w:p>
        </w:tc>
      </w:tr>
    </w:tbl>
    <w:p w14:paraId="3A95864B" w14:textId="77777777" w:rsidR="00D05D96" w:rsidRDefault="00D05D96" w:rsidP="000F3297">
      <w:pPr>
        <w:spacing w:after="0" w:line="240" w:lineRule="auto"/>
        <w:ind w:left="142" w:hanging="142"/>
        <w:jc w:val="both"/>
        <w:rPr>
          <w:rFonts w:ascii="Times New Roman" w:eastAsia="Calibri" w:hAnsi="Times New Roman" w:cs="Times New Roman"/>
          <w:sz w:val="19"/>
          <w:szCs w:val="19"/>
          <w:lang w:eastAsia="en-US"/>
        </w:rPr>
      </w:pPr>
    </w:p>
    <w:p w14:paraId="00DFAF99" w14:textId="77777777" w:rsidR="00D05D96" w:rsidRDefault="00D05D96" w:rsidP="000F3297">
      <w:pPr>
        <w:spacing w:after="0" w:line="240" w:lineRule="auto"/>
        <w:ind w:left="142" w:hanging="142"/>
        <w:jc w:val="both"/>
        <w:rPr>
          <w:rFonts w:ascii="Times New Roman" w:eastAsia="Calibri" w:hAnsi="Times New Roman" w:cs="Times New Roman"/>
          <w:sz w:val="19"/>
          <w:szCs w:val="19"/>
          <w:lang w:eastAsia="en-US"/>
        </w:rPr>
      </w:pPr>
    </w:p>
    <w:p w14:paraId="206037BB" w14:textId="77777777" w:rsidR="00D05D96" w:rsidRDefault="00D05D96" w:rsidP="000F3297">
      <w:pPr>
        <w:spacing w:after="0" w:line="240" w:lineRule="auto"/>
        <w:ind w:left="142" w:hanging="142"/>
        <w:jc w:val="both"/>
        <w:rPr>
          <w:rFonts w:ascii="Times New Roman" w:eastAsia="Calibri" w:hAnsi="Times New Roman" w:cs="Times New Roman"/>
          <w:sz w:val="19"/>
          <w:szCs w:val="19"/>
          <w:lang w:eastAsia="en-US"/>
        </w:rPr>
      </w:pPr>
    </w:p>
    <w:p w14:paraId="29852ECD" w14:textId="77777777" w:rsidR="00291580" w:rsidRDefault="00291580" w:rsidP="000F3297">
      <w:pPr>
        <w:spacing w:after="0" w:line="240" w:lineRule="auto"/>
        <w:ind w:left="142" w:hanging="142"/>
        <w:jc w:val="both"/>
        <w:rPr>
          <w:rFonts w:ascii="Times New Roman" w:eastAsia="Calibri" w:hAnsi="Times New Roman" w:cs="Times New Roman"/>
          <w:sz w:val="19"/>
          <w:szCs w:val="19"/>
          <w:lang w:eastAsia="en-US"/>
        </w:rPr>
      </w:pPr>
    </w:p>
    <w:p w14:paraId="75612B63" w14:textId="77777777" w:rsidR="00291580" w:rsidRDefault="00291580" w:rsidP="000F3297">
      <w:pPr>
        <w:spacing w:after="0" w:line="240" w:lineRule="auto"/>
        <w:ind w:left="142" w:hanging="142"/>
        <w:jc w:val="both"/>
        <w:rPr>
          <w:rFonts w:ascii="Times New Roman" w:eastAsia="Calibri" w:hAnsi="Times New Roman" w:cs="Times New Roman"/>
          <w:sz w:val="19"/>
          <w:szCs w:val="19"/>
          <w:lang w:eastAsia="en-US"/>
        </w:rPr>
      </w:pPr>
    </w:p>
    <w:p w14:paraId="3EC2B65D" w14:textId="77777777" w:rsidR="002D3F33" w:rsidRDefault="002D3F33" w:rsidP="000F3297">
      <w:pPr>
        <w:spacing w:after="0" w:line="240" w:lineRule="auto"/>
        <w:ind w:left="142" w:hanging="142"/>
        <w:jc w:val="both"/>
        <w:rPr>
          <w:rFonts w:ascii="Times New Roman" w:eastAsia="Calibri" w:hAnsi="Times New Roman" w:cs="Times New Roman"/>
          <w:sz w:val="19"/>
          <w:szCs w:val="19"/>
          <w:lang w:eastAsia="en-US"/>
        </w:rPr>
      </w:pPr>
    </w:p>
    <w:p w14:paraId="2BCA68A8" w14:textId="77777777" w:rsidR="00291580" w:rsidRDefault="00291580" w:rsidP="000F3297">
      <w:pPr>
        <w:spacing w:after="0" w:line="240" w:lineRule="auto"/>
        <w:ind w:left="142" w:hanging="142"/>
        <w:jc w:val="both"/>
        <w:rPr>
          <w:rFonts w:ascii="Times New Roman" w:eastAsia="Calibri" w:hAnsi="Times New Roman" w:cs="Times New Roman"/>
          <w:sz w:val="19"/>
          <w:szCs w:val="19"/>
          <w:lang w:eastAsia="en-US"/>
        </w:rPr>
      </w:pPr>
    </w:p>
    <w:p w14:paraId="0F1DB9E5" w14:textId="074808E6" w:rsidR="00291580" w:rsidRDefault="00291580" w:rsidP="000F3297">
      <w:pPr>
        <w:spacing w:after="0" w:line="240" w:lineRule="auto"/>
        <w:ind w:left="142" w:hanging="142"/>
        <w:jc w:val="both"/>
        <w:rPr>
          <w:rFonts w:ascii="Times New Roman" w:eastAsia="Calibri" w:hAnsi="Times New Roman" w:cs="Times New Roman"/>
          <w:sz w:val="19"/>
          <w:szCs w:val="19"/>
          <w:lang w:eastAsia="en-US"/>
        </w:rPr>
      </w:pPr>
    </w:p>
    <w:p w14:paraId="718A1E1E" w14:textId="0A1CEB69" w:rsidR="004D43F3" w:rsidRDefault="004D43F3" w:rsidP="000F3297">
      <w:pPr>
        <w:spacing w:after="0" w:line="240" w:lineRule="auto"/>
        <w:ind w:left="142" w:hanging="142"/>
        <w:jc w:val="both"/>
        <w:rPr>
          <w:rFonts w:ascii="Times New Roman" w:eastAsia="Calibri" w:hAnsi="Times New Roman" w:cs="Times New Roman"/>
          <w:sz w:val="19"/>
          <w:szCs w:val="19"/>
          <w:lang w:eastAsia="en-US"/>
        </w:rPr>
      </w:pPr>
    </w:p>
    <w:p w14:paraId="127FCB1A" w14:textId="77777777" w:rsidR="004D43F3" w:rsidRDefault="004D43F3" w:rsidP="000F3297">
      <w:pPr>
        <w:spacing w:after="0" w:line="240" w:lineRule="auto"/>
        <w:ind w:left="142" w:hanging="142"/>
        <w:jc w:val="both"/>
        <w:rPr>
          <w:rFonts w:ascii="Times New Roman" w:eastAsia="Calibri" w:hAnsi="Times New Roman" w:cs="Times New Roman"/>
          <w:sz w:val="19"/>
          <w:szCs w:val="19"/>
          <w:lang w:eastAsia="en-US"/>
        </w:rPr>
      </w:pPr>
    </w:p>
    <w:p w14:paraId="027136E6" w14:textId="77777777" w:rsidR="00291580" w:rsidRDefault="00291580" w:rsidP="000F3297">
      <w:pPr>
        <w:spacing w:after="0" w:line="240" w:lineRule="auto"/>
        <w:ind w:left="142" w:hanging="142"/>
        <w:jc w:val="both"/>
        <w:rPr>
          <w:rFonts w:ascii="Times New Roman" w:eastAsia="Calibri" w:hAnsi="Times New Roman" w:cs="Times New Roman"/>
          <w:sz w:val="19"/>
          <w:szCs w:val="19"/>
          <w:lang w:eastAsia="en-US"/>
        </w:rPr>
      </w:pPr>
    </w:p>
    <w:p w14:paraId="4C53CB94" w14:textId="77777777" w:rsidR="00291580" w:rsidRDefault="00291580" w:rsidP="000F3297">
      <w:pPr>
        <w:spacing w:after="0" w:line="240" w:lineRule="auto"/>
        <w:ind w:left="142" w:hanging="142"/>
        <w:jc w:val="both"/>
        <w:rPr>
          <w:rFonts w:ascii="Times New Roman" w:eastAsia="Calibri" w:hAnsi="Times New Roman" w:cs="Times New Roman"/>
          <w:sz w:val="19"/>
          <w:szCs w:val="19"/>
          <w:lang w:eastAsia="en-US"/>
        </w:rPr>
      </w:pPr>
    </w:p>
    <w:p w14:paraId="45B5C52F" w14:textId="77777777" w:rsidR="00291580" w:rsidRDefault="00291580" w:rsidP="000F3297">
      <w:pPr>
        <w:spacing w:after="0" w:line="240" w:lineRule="auto"/>
        <w:ind w:left="142" w:hanging="142"/>
        <w:jc w:val="both"/>
        <w:rPr>
          <w:rFonts w:ascii="Times New Roman" w:eastAsia="Calibri" w:hAnsi="Times New Roman" w:cs="Times New Roman"/>
          <w:sz w:val="19"/>
          <w:szCs w:val="19"/>
          <w:lang w:eastAsia="en-US"/>
        </w:rPr>
      </w:pPr>
    </w:p>
    <w:p w14:paraId="6AAAC239" w14:textId="3E6EE1FF" w:rsidR="007F5801" w:rsidRPr="00161AB9" w:rsidRDefault="007F5801" w:rsidP="00C46A88">
      <w:pPr>
        <w:spacing w:after="0" w:line="240" w:lineRule="auto"/>
        <w:ind w:left="851" w:hanging="851"/>
        <w:jc w:val="lowKashida"/>
        <w:rPr>
          <w:rFonts w:ascii="Times New Roman" w:eastAsia="Times New Roman" w:hAnsi="Times New Roman" w:cs="Times New Roman"/>
          <w:color w:val="222222"/>
          <w:sz w:val="20"/>
          <w:szCs w:val="20"/>
          <w:shd w:val="clear" w:color="auto" w:fill="FFFFFF"/>
          <w:lang w:val="en-US"/>
        </w:rPr>
      </w:pPr>
      <w:r w:rsidRPr="00161AB9">
        <w:rPr>
          <w:rFonts w:ascii="Times New Roman" w:eastAsia="Times New Roman" w:hAnsi="Times New Roman" w:cs="Times New Roman"/>
          <w:b/>
          <w:color w:val="222222"/>
          <w:sz w:val="20"/>
          <w:szCs w:val="20"/>
          <w:shd w:val="clear" w:color="auto" w:fill="FFFFFF"/>
          <w:lang w:val="en-US"/>
        </w:rPr>
        <w:lastRenderedPageBreak/>
        <w:t xml:space="preserve">Table </w:t>
      </w:r>
      <w:r w:rsidR="00F8442B">
        <w:rPr>
          <w:rFonts w:ascii="Times New Roman" w:eastAsia="Times New Roman" w:hAnsi="Times New Roman" w:cs="Times New Roman"/>
          <w:b/>
          <w:color w:val="222222"/>
          <w:sz w:val="20"/>
          <w:szCs w:val="20"/>
          <w:shd w:val="clear" w:color="auto" w:fill="FFFFFF"/>
          <w:lang w:val="en-US"/>
        </w:rPr>
        <w:t>2</w:t>
      </w:r>
      <w:r w:rsidRPr="00161AB9">
        <w:rPr>
          <w:rFonts w:ascii="Times New Roman" w:eastAsia="Times New Roman" w:hAnsi="Times New Roman" w:cs="Times New Roman"/>
          <w:b/>
          <w:color w:val="222222"/>
          <w:sz w:val="20"/>
          <w:szCs w:val="20"/>
          <w:shd w:val="clear" w:color="auto" w:fill="FFFFFF"/>
          <w:lang w:val="en-US"/>
        </w:rPr>
        <w:t xml:space="preserve">. </w:t>
      </w:r>
      <w:r w:rsidRPr="00161AB9">
        <w:rPr>
          <w:rFonts w:ascii="Times New Roman" w:eastAsia="Times New Roman" w:hAnsi="Times New Roman" w:cs="Times New Roman"/>
          <w:color w:val="222222"/>
          <w:sz w:val="20"/>
          <w:szCs w:val="20"/>
          <w:shd w:val="clear" w:color="auto" w:fill="FFFFFF"/>
          <w:lang w:val="en-US"/>
        </w:rPr>
        <w:t xml:space="preserve">Summary of descriptive statistics of all variables for all sampled firms </w:t>
      </w:r>
    </w:p>
    <w:tbl>
      <w:tblPr>
        <w:tblStyle w:val="TableGrid1"/>
        <w:tblW w:w="9638"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1418"/>
        <w:gridCol w:w="1417"/>
        <w:gridCol w:w="1175"/>
        <w:gridCol w:w="1276"/>
        <w:gridCol w:w="1373"/>
        <w:gridCol w:w="995"/>
      </w:tblGrid>
      <w:tr w:rsidR="006B7453" w:rsidRPr="00161AB9" w14:paraId="54907855" w14:textId="230FF685" w:rsidTr="006B7453">
        <w:trPr>
          <w:trHeight w:val="83"/>
          <w:jc w:val="center"/>
        </w:trPr>
        <w:tc>
          <w:tcPr>
            <w:tcW w:w="1984" w:type="dxa"/>
            <w:tcBorders>
              <w:top w:val="single" w:sz="12" w:space="0" w:color="auto"/>
              <w:bottom w:val="single" w:sz="12" w:space="0" w:color="auto"/>
            </w:tcBorders>
            <w:noWrap/>
            <w:hideMark/>
          </w:tcPr>
          <w:p w14:paraId="30D45276" w14:textId="77777777" w:rsidR="006B7453" w:rsidRPr="00161AB9" w:rsidRDefault="006B7453" w:rsidP="00D23D6D">
            <w:pPr>
              <w:spacing w:line="276" w:lineRule="auto"/>
              <w:jc w:val="lowKashida"/>
              <w:rPr>
                <w:rFonts w:ascii="Times New Roman" w:eastAsia="Times New Roman" w:hAnsi="Times New Roman" w:cs="Times New Roman"/>
                <w:b/>
                <w:color w:val="222222"/>
                <w:sz w:val="20"/>
                <w:szCs w:val="20"/>
                <w:shd w:val="clear" w:color="auto" w:fill="FFFFFF"/>
                <w:lang w:val="en-US"/>
              </w:rPr>
            </w:pPr>
            <w:r w:rsidRPr="00161AB9">
              <w:rPr>
                <w:rFonts w:ascii="Times New Roman" w:eastAsia="Times New Roman" w:hAnsi="Times New Roman" w:cs="Times New Roman"/>
                <w:color w:val="222222"/>
                <w:sz w:val="20"/>
                <w:szCs w:val="20"/>
                <w:shd w:val="clear" w:color="auto" w:fill="FFFFFF"/>
                <w:lang w:val="en-US"/>
              </w:rPr>
              <w:t xml:space="preserve"> </w:t>
            </w:r>
            <w:r w:rsidRPr="00161AB9">
              <w:rPr>
                <w:rFonts w:ascii="Times New Roman" w:eastAsia="Times New Roman" w:hAnsi="Times New Roman" w:cs="Times New Roman"/>
                <w:b/>
                <w:color w:val="222222"/>
                <w:sz w:val="20"/>
                <w:szCs w:val="20"/>
                <w:shd w:val="clear" w:color="auto" w:fill="FFFFFF"/>
                <w:lang w:val="en-US"/>
              </w:rPr>
              <w:t xml:space="preserve">Variables </w:t>
            </w:r>
          </w:p>
        </w:tc>
        <w:tc>
          <w:tcPr>
            <w:tcW w:w="1418" w:type="dxa"/>
            <w:tcBorders>
              <w:top w:val="single" w:sz="12" w:space="0" w:color="auto"/>
              <w:bottom w:val="single" w:sz="12" w:space="0" w:color="auto"/>
            </w:tcBorders>
            <w:noWrap/>
            <w:hideMark/>
          </w:tcPr>
          <w:p w14:paraId="5C6C39AE" w14:textId="77777777" w:rsidR="006B7453" w:rsidRPr="00161AB9" w:rsidRDefault="006B7453" w:rsidP="00D23D6D">
            <w:pPr>
              <w:spacing w:line="276" w:lineRule="auto"/>
              <w:jc w:val="center"/>
              <w:rPr>
                <w:rFonts w:ascii="Times New Roman" w:eastAsia="Times New Roman" w:hAnsi="Times New Roman" w:cs="Times New Roman"/>
                <w:b/>
                <w:color w:val="222222"/>
                <w:sz w:val="20"/>
                <w:szCs w:val="20"/>
                <w:shd w:val="clear" w:color="auto" w:fill="FFFFFF"/>
                <w:lang w:val="en-US"/>
              </w:rPr>
            </w:pPr>
            <w:r w:rsidRPr="00161AB9">
              <w:rPr>
                <w:rFonts w:ascii="Times New Roman" w:eastAsia="Times New Roman" w:hAnsi="Times New Roman" w:cs="Times New Roman"/>
                <w:b/>
                <w:color w:val="222222"/>
                <w:sz w:val="20"/>
                <w:szCs w:val="20"/>
                <w:shd w:val="clear" w:color="auto" w:fill="FFFFFF"/>
                <w:lang w:val="en-US"/>
              </w:rPr>
              <w:t>Mean</w:t>
            </w:r>
          </w:p>
        </w:tc>
        <w:tc>
          <w:tcPr>
            <w:tcW w:w="1417" w:type="dxa"/>
            <w:tcBorders>
              <w:top w:val="single" w:sz="12" w:space="0" w:color="auto"/>
              <w:bottom w:val="single" w:sz="12" w:space="0" w:color="auto"/>
            </w:tcBorders>
            <w:noWrap/>
            <w:hideMark/>
          </w:tcPr>
          <w:p w14:paraId="3EEDA69F" w14:textId="77777777" w:rsidR="006B7453" w:rsidRPr="00161AB9" w:rsidRDefault="006B7453" w:rsidP="00D23D6D">
            <w:pPr>
              <w:spacing w:line="276" w:lineRule="auto"/>
              <w:jc w:val="center"/>
              <w:rPr>
                <w:rFonts w:ascii="Times New Roman" w:eastAsia="Times New Roman" w:hAnsi="Times New Roman" w:cs="Times New Roman"/>
                <w:b/>
                <w:color w:val="222222"/>
                <w:sz w:val="20"/>
                <w:szCs w:val="20"/>
                <w:shd w:val="clear" w:color="auto" w:fill="FFFFFF"/>
                <w:lang w:val="en-US"/>
              </w:rPr>
            </w:pPr>
            <w:r w:rsidRPr="00161AB9">
              <w:rPr>
                <w:rFonts w:ascii="Times New Roman" w:eastAsia="Times New Roman" w:hAnsi="Times New Roman" w:cs="Times New Roman"/>
                <w:b/>
                <w:color w:val="222222"/>
                <w:sz w:val="20"/>
                <w:szCs w:val="20"/>
                <w:shd w:val="clear" w:color="auto" w:fill="FFFFFF"/>
                <w:lang w:val="en-US"/>
              </w:rPr>
              <w:t>Median</w:t>
            </w:r>
          </w:p>
        </w:tc>
        <w:tc>
          <w:tcPr>
            <w:tcW w:w="1175" w:type="dxa"/>
            <w:tcBorders>
              <w:top w:val="single" w:sz="12" w:space="0" w:color="auto"/>
              <w:bottom w:val="single" w:sz="12" w:space="0" w:color="auto"/>
            </w:tcBorders>
            <w:noWrap/>
            <w:hideMark/>
          </w:tcPr>
          <w:p w14:paraId="3E1DF682" w14:textId="77777777" w:rsidR="006B7453" w:rsidRPr="00161AB9" w:rsidRDefault="006B7453" w:rsidP="00D23D6D">
            <w:pPr>
              <w:spacing w:line="276" w:lineRule="auto"/>
              <w:jc w:val="center"/>
              <w:rPr>
                <w:rFonts w:ascii="Times New Roman" w:eastAsia="Times New Roman" w:hAnsi="Times New Roman" w:cs="Times New Roman"/>
                <w:b/>
                <w:color w:val="222222"/>
                <w:sz w:val="20"/>
                <w:szCs w:val="20"/>
                <w:shd w:val="clear" w:color="auto" w:fill="FFFFFF"/>
                <w:lang w:val="en-US"/>
              </w:rPr>
            </w:pPr>
            <w:r w:rsidRPr="00161AB9">
              <w:rPr>
                <w:rFonts w:ascii="Times New Roman" w:eastAsia="Times New Roman" w:hAnsi="Times New Roman" w:cs="Times New Roman"/>
                <w:b/>
                <w:color w:val="222222"/>
                <w:sz w:val="20"/>
                <w:szCs w:val="20"/>
                <w:shd w:val="clear" w:color="auto" w:fill="FFFFFF"/>
                <w:lang w:val="en-US"/>
              </w:rPr>
              <w:t>STD</w:t>
            </w:r>
          </w:p>
        </w:tc>
        <w:tc>
          <w:tcPr>
            <w:tcW w:w="1276" w:type="dxa"/>
            <w:tcBorders>
              <w:top w:val="single" w:sz="12" w:space="0" w:color="auto"/>
              <w:bottom w:val="single" w:sz="12" w:space="0" w:color="auto"/>
            </w:tcBorders>
            <w:noWrap/>
            <w:hideMark/>
          </w:tcPr>
          <w:p w14:paraId="1E869D6A" w14:textId="77777777" w:rsidR="006B7453" w:rsidRPr="00161AB9" w:rsidRDefault="006B7453" w:rsidP="00D23D6D">
            <w:pPr>
              <w:spacing w:line="276" w:lineRule="auto"/>
              <w:jc w:val="center"/>
              <w:rPr>
                <w:rFonts w:ascii="Times New Roman" w:eastAsia="Times New Roman" w:hAnsi="Times New Roman" w:cs="Times New Roman"/>
                <w:b/>
                <w:color w:val="222222"/>
                <w:sz w:val="20"/>
                <w:szCs w:val="20"/>
                <w:shd w:val="clear" w:color="auto" w:fill="FFFFFF"/>
                <w:lang w:val="en-US"/>
              </w:rPr>
            </w:pPr>
            <w:r w:rsidRPr="00161AB9">
              <w:rPr>
                <w:rFonts w:ascii="Times New Roman" w:eastAsia="Times New Roman" w:hAnsi="Times New Roman" w:cs="Times New Roman"/>
                <w:b/>
                <w:color w:val="222222"/>
                <w:sz w:val="20"/>
                <w:szCs w:val="20"/>
                <w:shd w:val="clear" w:color="auto" w:fill="FFFFFF"/>
                <w:lang w:val="en-US"/>
              </w:rPr>
              <w:t>Minimum</w:t>
            </w:r>
          </w:p>
        </w:tc>
        <w:tc>
          <w:tcPr>
            <w:tcW w:w="1373" w:type="dxa"/>
            <w:tcBorders>
              <w:top w:val="single" w:sz="12" w:space="0" w:color="auto"/>
              <w:bottom w:val="single" w:sz="12" w:space="0" w:color="auto"/>
            </w:tcBorders>
            <w:noWrap/>
            <w:hideMark/>
          </w:tcPr>
          <w:p w14:paraId="2D51AA39" w14:textId="77777777" w:rsidR="006B7453" w:rsidRPr="00161AB9" w:rsidRDefault="006B7453" w:rsidP="00D23D6D">
            <w:pPr>
              <w:spacing w:line="276" w:lineRule="auto"/>
              <w:jc w:val="center"/>
              <w:rPr>
                <w:rFonts w:ascii="Times New Roman" w:eastAsia="Times New Roman" w:hAnsi="Times New Roman" w:cs="Times New Roman"/>
                <w:b/>
                <w:color w:val="222222"/>
                <w:sz w:val="20"/>
                <w:szCs w:val="20"/>
                <w:shd w:val="clear" w:color="auto" w:fill="FFFFFF"/>
                <w:lang w:val="en-US"/>
              </w:rPr>
            </w:pPr>
            <w:r w:rsidRPr="00161AB9">
              <w:rPr>
                <w:rFonts w:ascii="Times New Roman" w:eastAsia="Times New Roman" w:hAnsi="Times New Roman" w:cs="Times New Roman"/>
                <w:b/>
                <w:color w:val="222222"/>
                <w:sz w:val="20"/>
                <w:szCs w:val="20"/>
                <w:shd w:val="clear" w:color="auto" w:fill="FFFFFF"/>
                <w:lang w:val="en-US"/>
              </w:rPr>
              <w:t>Maximum</w:t>
            </w:r>
          </w:p>
        </w:tc>
        <w:tc>
          <w:tcPr>
            <w:tcW w:w="995" w:type="dxa"/>
            <w:tcBorders>
              <w:top w:val="single" w:sz="12" w:space="0" w:color="auto"/>
              <w:bottom w:val="single" w:sz="12" w:space="0" w:color="auto"/>
            </w:tcBorders>
          </w:tcPr>
          <w:p w14:paraId="36710E1B" w14:textId="3C38B9D2" w:rsidR="006B7453" w:rsidRPr="000972D1" w:rsidRDefault="006B7453" w:rsidP="00D23D6D">
            <w:pPr>
              <w:jc w:val="center"/>
              <w:rPr>
                <w:rFonts w:ascii="Times New Roman" w:eastAsia="Times New Roman" w:hAnsi="Times New Roman" w:cs="Times New Roman"/>
                <w:b/>
                <w:color w:val="222222"/>
                <w:sz w:val="20"/>
                <w:szCs w:val="20"/>
                <w:shd w:val="clear" w:color="auto" w:fill="FFFFFF"/>
                <w:lang w:val="en-US"/>
              </w:rPr>
            </w:pPr>
            <w:r w:rsidRPr="000972D1">
              <w:rPr>
                <w:rFonts w:ascii="Times New Roman" w:eastAsia="Times New Roman" w:hAnsi="Times New Roman" w:cs="Times New Roman"/>
                <w:b/>
                <w:color w:val="222222"/>
                <w:sz w:val="20"/>
                <w:szCs w:val="20"/>
                <w:shd w:val="clear" w:color="auto" w:fill="FFFFFF"/>
                <w:lang w:val="en-US"/>
              </w:rPr>
              <w:t>VIF</w:t>
            </w:r>
          </w:p>
        </w:tc>
      </w:tr>
      <w:tr w:rsidR="006B7453" w:rsidRPr="00161AB9" w14:paraId="39E06845" w14:textId="2A36E7B8" w:rsidTr="006B7453">
        <w:trPr>
          <w:trHeight w:val="83"/>
          <w:jc w:val="center"/>
        </w:trPr>
        <w:tc>
          <w:tcPr>
            <w:tcW w:w="8643" w:type="dxa"/>
            <w:gridSpan w:val="6"/>
            <w:tcBorders>
              <w:top w:val="single" w:sz="12" w:space="0" w:color="auto"/>
              <w:bottom w:val="single" w:sz="12" w:space="0" w:color="auto"/>
            </w:tcBorders>
            <w:noWrap/>
          </w:tcPr>
          <w:p w14:paraId="456534F0" w14:textId="77777777" w:rsidR="006B7453" w:rsidRPr="00161AB9" w:rsidRDefault="006B7453" w:rsidP="00D23D6D">
            <w:pPr>
              <w:rPr>
                <w:rFonts w:ascii="Times New Roman" w:eastAsia="Times New Roman" w:hAnsi="Times New Roman" w:cs="Times New Roman"/>
                <w:b/>
                <w:color w:val="222222"/>
                <w:sz w:val="20"/>
                <w:szCs w:val="20"/>
                <w:shd w:val="clear" w:color="auto" w:fill="FFFFFF"/>
                <w:lang w:val="en-US"/>
              </w:rPr>
            </w:pPr>
            <w:r w:rsidRPr="00161AB9">
              <w:rPr>
                <w:rFonts w:ascii="Times New Roman" w:eastAsia="Times New Roman" w:hAnsi="Times New Roman" w:cs="Times New Roman"/>
                <w:b/>
                <w:color w:val="222222"/>
                <w:sz w:val="20"/>
                <w:szCs w:val="20"/>
                <w:shd w:val="clear" w:color="auto" w:fill="FFFFFF"/>
                <w:lang w:val="en-US"/>
              </w:rPr>
              <w:t>Panel A: Dependent variables</w:t>
            </w:r>
          </w:p>
        </w:tc>
        <w:tc>
          <w:tcPr>
            <w:tcW w:w="995" w:type="dxa"/>
            <w:tcBorders>
              <w:top w:val="single" w:sz="12" w:space="0" w:color="auto"/>
              <w:bottom w:val="single" w:sz="12" w:space="0" w:color="auto"/>
            </w:tcBorders>
          </w:tcPr>
          <w:p w14:paraId="17644361" w14:textId="77777777" w:rsidR="006B7453" w:rsidRPr="000972D1" w:rsidRDefault="006B7453" w:rsidP="00D23D6D">
            <w:pPr>
              <w:rPr>
                <w:rFonts w:ascii="Times New Roman" w:eastAsia="Times New Roman" w:hAnsi="Times New Roman" w:cs="Times New Roman"/>
                <w:b/>
                <w:color w:val="222222"/>
                <w:sz w:val="20"/>
                <w:szCs w:val="20"/>
                <w:shd w:val="clear" w:color="auto" w:fill="FFFFFF"/>
                <w:lang w:val="en-US"/>
              </w:rPr>
            </w:pPr>
          </w:p>
        </w:tc>
      </w:tr>
      <w:tr w:rsidR="006B7453" w:rsidRPr="00161AB9" w14:paraId="5874E784" w14:textId="7C79A94A" w:rsidTr="006B7453">
        <w:trPr>
          <w:trHeight w:val="83"/>
          <w:jc w:val="center"/>
        </w:trPr>
        <w:tc>
          <w:tcPr>
            <w:tcW w:w="1984" w:type="dxa"/>
            <w:tcBorders>
              <w:top w:val="single" w:sz="12" w:space="0" w:color="auto"/>
            </w:tcBorders>
            <w:noWrap/>
          </w:tcPr>
          <w:p w14:paraId="710CE605" w14:textId="77777777" w:rsidR="006B7453" w:rsidRPr="00161AB9" w:rsidRDefault="006B7453" w:rsidP="00D23D6D">
            <w:pPr>
              <w:spacing w:line="276" w:lineRule="auto"/>
              <w:jc w:val="lowKashida"/>
              <w:rPr>
                <w:rFonts w:ascii="Times New Roman" w:eastAsia="Times New Roman" w:hAnsi="Times New Roman" w:cs="Times New Roman"/>
                <w:color w:val="222222"/>
                <w:sz w:val="20"/>
                <w:szCs w:val="20"/>
                <w:shd w:val="clear" w:color="auto" w:fill="FFFFFF"/>
                <w:lang w:val="en-US"/>
              </w:rPr>
            </w:pPr>
            <w:r w:rsidRPr="00CE4820">
              <w:rPr>
                <w:rFonts w:ascii="Times New Roman" w:eastAsia="Times New Roman" w:hAnsi="Times New Roman" w:cs="Times New Roman"/>
                <w:iCs/>
                <w:color w:val="222222"/>
                <w:sz w:val="20"/>
                <w:szCs w:val="20"/>
                <w:shd w:val="clear" w:color="auto" w:fill="FFFFFF"/>
                <w:lang w:val="en-US"/>
              </w:rPr>
              <w:t>BIG4%</w:t>
            </w:r>
          </w:p>
        </w:tc>
        <w:tc>
          <w:tcPr>
            <w:tcW w:w="1418" w:type="dxa"/>
            <w:tcBorders>
              <w:top w:val="single" w:sz="12" w:space="0" w:color="auto"/>
            </w:tcBorders>
            <w:noWrap/>
          </w:tcPr>
          <w:p w14:paraId="16E14E8C" w14:textId="77777777" w:rsidR="006B7453" w:rsidRPr="00161AB9" w:rsidRDefault="006B7453" w:rsidP="00D23D6D">
            <w:pPr>
              <w:spacing w:line="276" w:lineRule="auto"/>
              <w:jc w:val="center"/>
              <w:rPr>
                <w:rFonts w:ascii="Times New Roman" w:eastAsia="Times New Roman" w:hAnsi="Times New Roman" w:cs="Times New Roman"/>
                <w:color w:val="222222"/>
                <w:sz w:val="20"/>
                <w:szCs w:val="20"/>
                <w:shd w:val="clear" w:color="auto" w:fill="FFFFFF"/>
                <w:lang w:val="en-US"/>
              </w:rPr>
            </w:pPr>
            <w:r>
              <w:rPr>
                <w:rFonts w:ascii="Times New Roman" w:eastAsia="Times New Roman" w:hAnsi="Times New Roman" w:cs="Times New Roman"/>
                <w:color w:val="222222"/>
                <w:sz w:val="20"/>
                <w:szCs w:val="20"/>
                <w:shd w:val="clear" w:color="auto" w:fill="FFFFFF"/>
                <w:lang w:val="en-US"/>
              </w:rPr>
              <w:t xml:space="preserve">59 </w:t>
            </w:r>
          </w:p>
        </w:tc>
        <w:tc>
          <w:tcPr>
            <w:tcW w:w="1417" w:type="dxa"/>
            <w:tcBorders>
              <w:top w:val="single" w:sz="12" w:space="0" w:color="auto"/>
            </w:tcBorders>
            <w:noWrap/>
          </w:tcPr>
          <w:p w14:paraId="5C8F06BB" w14:textId="77777777" w:rsidR="006B7453" w:rsidRPr="00161AB9" w:rsidRDefault="006B7453" w:rsidP="00D23D6D">
            <w:pPr>
              <w:spacing w:line="276" w:lineRule="auto"/>
              <w:jc w:val="center"/>
              <w:rPr>
                <w:rFonts w:ascii="Times New Roman" w:eastAsia="Times New Roman" w:hAnsi="Times New Roman" w:cs="Times New Roman"/>
                <w:color w:val="222222"/>
                <w:sz w:val="20"/>
                <w:szCs w:val="20"/>
                <w:shd w:val="clear" w:color="auto" w:fill="FFFFFF"/>
                <w:lang w:val="en-US"/>
              </w:rPr>
            </w:pPr>
            <w:r>
              <w:rPr>
                <w:rFonts w:ascii="Times New Roman" w:eastAsia="Times New Roman" w:hAnsi="Times New Roman" w:cs="Times New Roman"/>
                <w:color w:val="222222"/>
                <w:sz w:val="20"/>
                <w:szCs w:val="20"/>
                <w:shd w:val="clear" w:color="auto" w:fill="FFFFFF"/>
                <w:lang w:val="en-US"/>
              </w:rPr>
              <w:t xml:space="preserve">100 </w:t>
            </w:r>
          </w:p>
        </w:tc>
        <w:tc>
          <w:tcPr>
            <w:tcW w:w="1175" w:type="dxa"/>
            <w:tcBorders>
              <w:top w:val="single" w:sz="12" w:space="0" w:color="auto"/>
            </w:tcBorders>
            <w:noWrap/>
          </w:tcPr>
          <w:p w14:paraId="760224C6" w14:textId="77777777" w:rsidR="006B7453" w:rsidRPr="00161AB9" w:rsidRDefault="006B7453" w:rsidP="00D23D6D">
            <w:pPr>
              <w:spacing w:line="276" w:lineRule="auto"/>
              <w:jc w:val="center"/>
              <w:rPr>
                <w:rFonts w:ascii="Times New Roman" w:eastAsia="Times New Roman" w:hAnsi="Times New Roman" w:cs="Times New Roman"/>
                <w:color w:val="222222"/>
                <w:sz w:val="20"/>
                <w:szCs w:val="20"/>
                <w:shd w:val="clear" w:color="auto" w:fill="FFFFFF"/>
                <w:lang w:val="en-US"/>
              </w:rPr>
            </w:pPr>
            <w:r>
              <w:rPr>
                <w:rFonts w:ascii="Times New Roman" w:eastAsia="Times New Roman" w:hAnsi="Times New Roman" w:cs="Times New Roman"/>
                <w:color w:val="222222"/>
                <w:sz w:val="20"/>
                <w:szCs w:val="20"/>
                <w:shd w:val="clear" w:color="auto" w:fill="FFFFFF"/>
                <w:lang w:val="en-US"/>
              </w:rPr>
              <w:t xml:space="preserve">49.30 </w:t>
            </w:r>
          </w:p>
        </w:tc>
        <w:tc>
          <w:tcPr>
            <w:tcW w:w="1276" w:type="dxa"/>
            <w:tcBorders>
              <w:top w:val="single" w:sz="12" w:space="0" w:color="auto"/>
            </w:tcBorders>
            <w:noWrap/>
          </w:tcPr>
          <w:p w14:paraId="4B49AEE6" w14:textId="77777777" w:rsidR="006B7453" w:rsidRPr="00161AB9" w:rsidRDefault="006B7453" w:rsidP="00D23D6D">
            <w:pPr>
              <w:spacing w:line="276" w:lineRule="auto"/>
              <w:jc w:val="center"/>
              <w:rPr>
                <w:rFonts w:ascii="Times New Roman" w:eastAsia="Times New Roman" w:hAnsi="Times New Roman" w:cs="Times New Roman"/>
                <w:color w:val="222222"/>
                <w:sz w:val="20"/>
                <w:szCs w:val="20"/>
                <w:shd w:val="clear" w:color="auto" w:fill="FFFFFF"/>
                <w:lang w:val="en-US"/>
              </w:rPr>
            </w:pPr>
            <w:r>
              <w:rPr>
                <w:rFonts w:ascii="Times New Roman" w:eastAsia="Times New Roman" w:hAnsi="Times New Roman" w:cs="Times New Roman"/>
                <w:color w:val="222222"/>
                <w:sz w:val="20"/>
                <w:szCs w:val="20"/>
                <w:shd w:val="clear" w:color="auto" w:fill="FFFFFF"/>
                <w:lang w:val="en-US"/>
              </w:rPr>
              <w:t xml:space="preserve">0 </w:t>
            </w:r>
          </w:p>
        </w:tc>
        <w:tc>
          <w:tcPr>
            <w:tcW w:w="1373" w:type="dxa"/>
            <w:tcBorders>
              <w:top w:val="single" w:sz="12" w:space="0" w:color="auto"/>
            </w:tcBorders>
            <w:noWrap/>
          </w:tcPr>
          <w:p w14:paraId="64C787D7" w14:textId="77777777" w:rsidR="006B7453" w:rsidRPr="00161AB9" w:rsidRDefault="006B7453" w:rsidP="00D23D6D">
            <w:pPr>
              <w:spacing w:line="276" w:lineRule="auto"/>
              <w:jc w:val="center"/>
              <w:rPr>
                <w:rFonts w:ascii="Times New Roman" w:eastAsia="Times New Roman" w:hAnsi="Times New Roman" w:cs="Times New Roman"/>
                <w:color w:val="222222"/>
                <w:sz w:val="20"/>
                <w:szCs w:val="20"/>
                <w:shd w:val="clear" w:color="auto" w:fill="FFFFFF"/>
                <w:lang w:val="en-US"/>
              </w:rPr>
            </w:pPr>
            <w:r>
              <w:rPr>
                <w:rFonts w:ascii="Times New Roman" w:eastAsia="Times New Roman" w:hAnsi="Times New Roman" w:cs="Times New Roman"/>
                <w:color w:val="222222"/>
                <w:sz w:val="20"/>
                <w:szCs w:val="20"/>
                <w:shd w:val="clear" w:color="auto" w:fill="FFFFFF"/>
                <w:lang w:val="en-US"/>
              </w:rPr>
              <w:t xml:space="preserve">100 </w:t>
            </w:r>
          </w:p>
        </w:tc>
        <w:tc>
          <w:tcPr>
            <w:tcW w:w="995" w:type="dxa"/>
            <w:tcBorders>
              <w:top w:val="single" w:sz="12" w:space="0" w:color="auto"/>
            </w:tcBorders>
          </w:tcPr>
          <w:p w14:paraId="62607FE8" w14:textId="6C937E6E" w:rsidR="006B7453" w:rsidRPr="000972D1" w:rsidRDefault="00981421" w:rsidP="00D23D6D">
            <w:pPr>
              <w:jc w:val="center"/>
              <w:rPr>
                <w:rFonts w:ascii="Times New Roman" w:eastAsia="Times New Roman" w:hAnsi="Times New Roman" w:cs="Times New Roman"/>
                <w:color w:val="222222"/>
                <w:sz w:val="20"/>
                <w:szCs w:val="20"/>
                <w:shd w:val="clear" w:color="auto" w:fill="FFFFFF"/>
                <w:lang w:val="en-US"/>
              </w:rPr>
            </w:pPr>
            <w:r w:rsidRPr="000972D1">
              <w:rPr>
                <w:rFonts w:ascii="Times New Roman" w:eastAsia="Times New Roman" w:hAnsi="Times New Roman" w:cs="Times New Roman"/>
                <w:color w:val="222222"/>
                <w:sz w:val="20"/>
                <w:szCs w:val="20"/>
                <w:shd w:val="clear" w:color="auto" w:fill="FFFFFF"/>
                <w:lang w:val="en-US"/>
              </w:rPr>
              <w:t>1.64</w:t>
            </w:r>
          </w:p>
        </w:tc>
      </w:tr>
      <w:tr w:rsidR="006B7453" w:rsidRPr="00161AB9" w14:paraId="1A2AC84D" w14:textId="2B17C338" w:rsidTr="006B7453">
        <w:trPr>
          <w:trHeight w:val="83"/>
          <w:jc w:val="center"/>
        </w:trPr>
        <w:tc>
          <w:tcPr>
            <w:tcW w:w="1984" w:type="dxa"/>
            <w:tcBorders>
              <w:bottom w:val="single" w:sz="12" w:space="0" w:color="auto"/>
            </w:tcBorders>
            <w:noWrap/>
          </w:tcPr>
          <w:p w14:paraId="17E2A9CB" w14:textId="4B32FC84" w:rsidR="006B7453" w:rsidRPr="00161AB9" w:rsidRDefault="006B7453" w:rsidP="00D23D6D">
            <w:pPr>
              <w:spacing w:line="276" w:lineRule="auto"/>
              <w:jc w:val="lowKashida"/>
              <w:rPr>
                <w:rFonts w:ascii="Times New Roman" w:eastAsia="Times New Roman" w:hAnsi="Times New Roman" w:cs="Times New Roman"/>
                <w:color w:val="222222"/>
                <w:sz w:val="20"/>
                <w:szCs w:val="20"/>
                <w:shd w:val="clear" w:color="auto" w:fill="FFFFFF"/>
                <w:lang w:val="en-US"/>
              </w:rPr>
            </w:pPr>
            <w:r>
              <w:rPr>
                <w:rFonts w:ascii="Times New Roman" w:eastAsia="Times New Roman" w:hAnsi="Times New Roman" w:cs="Times New Roman"/>
                <w:iCs/>
                <w:color w:val="222222"/>
                <w:sz w:val="20"/>
                <w:szCs w:val="20"/>
                <w:shd w:val="clear" w:color="auto" w:fill="FFFFFF"/>
              </w:rPr>
              <w:t>LNFE</w:t>
            </w:r>
            <w:r w:rsidRPr="00CE4820">
              <w:rPr>
                <w:rFonts w:ascii="Times New Roman" w:eastAsia="Times New Roman" w:hAnsi="Times New Roman" w:cs="Times New Roman"/>
                <w:iCs/>
                <w:color w:val="222222"/>
                <w:sz w:val="20"/>
                <w:szCs w:val="20"/>
                <w:shd w:val="clear" w:color="auto" w:fill="FFFFFF"/>
              </w:rPr>
              <w:t xml:space="preserve"> ($ 000)</w:t>
            </w:r>
          </w:p>
        </w:tc>
        <w:tc>
          <w:tcPr>
            <w:tcW w:w="1418" w:type="dxa"/>
            <w:tcBorders>
              <w:bottom w:val="single" w:sz="12" w:space="0" w:color="auto"/>
            </w:tcBorders>
            <w:noWrap/>
          </w:tcPr>
          <w:p w14:paraId="6D98875E" w14:textId="77777777" w:rsidR="006B7453" w:rsidRPr="00161AB9" w:rsidRDefault="006B7453" w:rsidP="00D23D6D">
            <w:pPr>
              <w:spacing w:line="276" w:lineRule="auto"/>
              <w:jc w:val="center"/>
              <w:rPr>
                <w:rFonts w:ascii="Times New Roman" w:eastAsia="Times New Roman" w:hAnsi="Times New Roman" w:cs="Times New Roman"/>
                <w:color w:val="222222"/>
                <w:sz w:val="20"/>
                <w:szCs w:val="20"/>
                <w:shd w:val="clear" w:color="auto" w:fill="FFFFFF"/>
                <w:lang w:val="en-US"/>
              </w:rPr>
            </w:pPr>
            <w:r w:rsidRPr="00CE4820">
              <w:rPr>
                <w:rFonts w:ascii="Times New Roman" w:eastAsia="Times New Roman" w:hAnsi="Times New Roman" w:cs="Times New Roman"/>
                <w:color w:val="222222"/>
                <w:sz w:val="20"/>
                <w:szCs w:val="20"/>
                <w:shd w:val="clear" w:color="auto" w:fill="FFFFFF"/>
                <w:lang w:val="en-US"/>
              </w:rPr>
              <w:t>49.35</w:t>
            </w:r>
          </w:p>
        </w:tc>
        <w:tc>
          <w:tcPr>
            <w:tcW w:w="1417" w:type="dxa"/>
            <w:tcBorders>
              <w:bottom w:val="single" w:sz="12" w:space="0" w:color="auto"/>
            </w:tcBorders>
            <w:noWrap/>
          </w:tcPr>
          <w:p w14:paraId="0F8E0AF3" w14:textId="77777777" w:rsidR="006B7453" w:rsidRPr="00161AB9" w:rsidRDefault="006B7453" w:rsidP="00D23D6D">
            <w:pPr>
              <w:spacing w:line="276" w:lineRule="auto"/>
              <w:jc w:val="center"/>
              <w:rPr>
                <w:rFonts w:ascii="Times New Roman" w:eastAsia="Times New Roman" w:hAnsi="Times New Roman" w:cs="Times New Roman"/>
                <w:color w:val="222222"/>
                <w:sz w:val="20"/>
                <w:szCs w:val="20"/>
                <w:shd w:val="clear" w:color="auto" w:fill="FFFFFF"/>
                <w:lang w:val="en-US"/>
              </w:rPr>
            </w:pPr>
            <w:r w:rsidRPr="00CE4820">
              <w:rPr>
                <w:rFonts w:ascii="Times New Roman" w:eastAsia="Times New Roman" w:hAnsi="Times New Roman" w:cs="Times New Roman"/>
                <w:color w:val="222222"/>
                <w:sz w:val="20"/>
                <w:szCs w:val="20"/>
                <w:shd w:val="clear" w:color="auto" w:fill="FFFFFF"/>
                <w:lang w:val="en-US"/>
              </w:rPr>
              <w:t>23.61</w:t>
            </w:r>
          </w:p>
        </w:tc>
        <w:tc>
          <w:tcPr>
            <w:tcW w:w="1175" w:type="dxa"/>
            <w:tcBorders>
              <w:bottom w:val="single" w:sz="12" w:space="0" w:color="auto"/>
            </w:tcBorders>
            <w:noWrap/>
          </w:tcPr>
          <w:p w14:paraId="5746D209" w14:textId="77777777" w:rsidR="006B7453" w:rsidRPr="00161AB9" w:rsidRDefault="006B7453" w:rsidP="00D23D6D">
            <w:pPr>
              <w:spacing w:line="276" w:lineRule="auto"/>
              <w:jc w:val="center"/>
              <w:rPr>
                <w:rFonts w:ascii="Times New Roman" w:eastAsia="Times New Roman" w:hAnsi="Times New Roman" w:cs="Times New Roman"/>
                <w:color w:val="222222"/>
                <w:sz w:val="20"/>
                <w:szCs w:val="20"/>
                <w:shd w:val="clear" w:color="auto" w:fill="FFFFFF"/>
                <w:lang w:val="en-US"/>
              </w:rPr>
            </w:pPr>
            <w:r w:rsidRPr="00CE4820">
              <w:rPr>
                <w:rFonts w:ascii="Times New Roman" w:eastAsia="Times New Roman" w:hAnsi="Times New Roman" w:cs="Times New Roman"/>
                <w:color w:val="222222"/>
                <w:sz w:val="20"/>
                <w:szCs w:val="20"/>
                <w:shd w:val="clear" w:color="auto" w:fill="FFFFFF"/>
                <w:lang w:val="en-US"/>
              </w:rPr>
              <w:t>82.31</w:t>
            </w:r>
          </w:p>
        </w:tc>
        <w:tc>
          <w:tcPr>
            <w:tcW w:w="1276" w:type="dxa"/>
            <w:tcBorders>
              <w:bottom w:val="single" w:sz="12" w:space="0" w:color="auto"/>
            </w:tcBorders>
            <w:noWrap/>
          </w:tcPr>
          <w:p w14:paraId="52F4813B" w14:textId="77777777" w:rsidR="006B7453" w:rsidRPr="00161AB9" w:rsidRDefault="006B7453" w:rsidP="00D23D6D">
            <w:pPr>
              <w:spacing w:line="276" w:lineRule="auto"/>
              <w:jc w:val="center"/>
              <w:rPr>
                <w:rFonts w:ascii="Times New Roman" w:eastAsia="Times New Roman" w:hAnsi="Times New Roman" w:cs="Times New Roman"/>
                <w:color w:val="222222"/>
                <w:sz w:val="20"/>
                <w:szCs w:val="20"/>
                <w:shd w:val="clear" w:color="auto" w:fill="FFFFFF"/>
                <w:lang w:val="en-US"/>
              </w:rPr>
            </w:pPr>
            <w:r w:rsidRPr="00CE4820">
              <w:rPr>
                <w:rFonts w:ascii="Times New Roman" w:eastAsia="Times New Roman" w:hAnsi="Times New Roman" w:cs="Times New Roman"/>
                <w:color w:val="222222"/>
                <w:sz w:val="20"/>
                <w:szCs w:val="20"/>
                <w:shd w:val="clear" w:color="auto" w:fill="FFFFFF"/>
                <w:lang w:val="en-US"/>
              </w:rPr>
              <w:t>4.06</w:t>
            </w:r>
          </w:p>
        </w:tc>
        <w:tc>
          <w:tcPr>
            <w:tcW w:w="1373" w:type="dxa"/>
            <w:tcBorders>
              <w:bottom w:val="single" w:sz="12" w:space="0" w:color="auto"/>
            </w:tcBorders>
            <w:noWrap/>
          </w:tcPr>
          <w:p w14:paraId="090E85BC" w14:textId="77777777" w:rsidR="006B7453" w:rsidRPr="00161AB9" w:rsidRDefault="006B7453" w:rsidP="00D23D6D">
            <w:pPr>
              <w:spacing w:line="276" w:lineRule="auto"/>
              <w:jc w:val="center"/>
              <w:rPr>
                <w:rFonts w:ascii="Times New Roman" w:eastAsia="Times New Roman" w:hAnsi="Times New Roman" w:cs="Times New Roman"/>
                <w:color w:val="222222"/>
                <w:sz w:val="20"/>
                <w:szCs w:val="20"/>
                <w:shd w:val="clear" w:color="auto" w:fill="FFFFFF"/>
                <w:lang w:val="en-US"/>
              </w:rPr>
            </w:pPr>
            <w:r w:rsidRPr="00CE4820">
              <w:rPr>
                <w:rFonts w:ascii="Times New Roman" w:eastAsia="Times New Roman" w:hAnsi="Times New Roman" w:cs="Times New Roman"/>
                <w:color w:val="222222"/>
                <w:sz w:val="20"/>
                <w:szCs w:val="20"/>
                <w:shd w:val="clear" w:color="auto" w:fill="FFFFFF"/>
                <w:lang w:val="en-US"/>
              </w:rPr>
              <w:t>865.79</w:t>
            </w:r>
          </w:p>
        </w:tc>
        <w:tc>
          <w:tcPr>
            <w:tcW w:w="995" w:type="dxa"/>
            <w:tcBorders>
              <w:bottom w:val="single" w:sz="12" w:space="0" w:color="auto"/>
            </w:tcBorders>
          </w:tcPr>
          <w:p w14:paraId="49A91050" w14:textId="71662833" w:rsidR="006B7453" w:rsidRPr="000972D1" w:rsidRDefault="00981421" w:rsidP="00D23D6D">
            <w:pPr>
              <w:jc w:val="center"/>
              <w:rPr>
                <w:rFonts w:ascii="Times New Roman" w:eastAsia="Times New Roman" w:hAnsi="Times New Roman" w:cs="Times New Roman"/>
                <w:color w:val="222222"/>
                <w:sz w:val="20"/>
                <w:szCs w:val="20"/>
                <w:shd w:val="clear" w:color="auto" w:fill="FFFFFF"/>
                <w:lang w:val="en-US"/>
              </w:rPr>
            </w:pPr>
            <w:r w:rsidRPr="000972D1">
              <w:rPr>
                <w:rFonts w:ascii="Times New Roman" w:eastAsia="Times New Roman" w:hAnsi="Times New Roman" w:cs="Times New Roman"/>
                <w:color w:val="222222"/>
                <w:sz w:val="20"/>
                <w:szCs w:val="20"/>
                <w:shd w:val="clear" w:color="auto" w:fill="FFFFFF"/>
                <w:lang w:val="en-US"/>
              </w:rPr>
              <w:t>-</w:t>
            </w:r>
          </w:p>
        </w:tc>
      </w:tr>
      <w:tr w:rsidR="006B7453" w:rsidRPr="00161AB9" w14:paraId="2C5B488D" w14:textId="75E3A626" w:rsidTr="006B7453">
        <w:trPr>
          <w:trHeight w:val="83"/>
          <w:jc w:val="center"/>
        </w:trPr>
        <w:tc>
          <w:tcPr>
            <w:tcW w:w="8643" w:type="dxa"/>
            <w:gridSpan w:val="6"/>
            <w:tcBorders>
              <w:top w:val="single" w:sz="12" w:space="0" w:color="auto"/>
              <w:bottom w:val="single" w:sz="12" w:space="0" w:color="auto"/>
            </w:tcBorders>
            <w:noWrap/>
          </w:tcPr>
          <w:p w14:paraId="7652FBD9" w14:textId="738613AE" w:rsidR="006B7453" w:rsidRPr="00161AB9" w:rsidRDefault="006B7453" w:rsidP="0081344F">
            <w:pPr>
              <w:spacing w:line="276" w:lineRule="auto"/>
              <w:jc w:val="lowKashida"/>
              <w:rPr>
                <w:rFonts w:ascii="Times New Roman" w:eastAsia="Times New Roman" w:hAnsi="Times New Roman" w:cs="Times New Roman"/>
                <w:color w:val="222222"/>
                <w:sz w:val="20"/>
                <w:szCs w:val="20"/>
                <w:shd w:val="clear" w:color="auto" w:fill="FFFFFF"/>
                <w:lang w:val="en-US"/>
              </w:rPr>
            </w:pPr>
            <w:r w:rsidRPr="00161AB9">
              <w:rPr>
                <w:rFonts w:ascii="Times New Roman" w:eastAsia="Times New Roman" w:hAnsi="Times New Roman" w:cs="Times New Roman"/>
                <w:b/>
                <w:color w:val="222222"/>
                <w:sz w:val="20"/>
                <w:szCs w:val="20"/>
                <w:shd w:val="clear" w:color="auto" w:fill="FFFFFF"/>
                <w:lang w:val="en-US"/>
              </w:rPr>
              <w:t>Panel B: Independent</w:t>
            </w:r>
            <w:r>
              <w:rPr>
                <w:rFonts w:ascii="Times New Roman" w:eastAsia="Times New Roman" w:hAnsi="Times New Roman" w:cs="Times New Roman"/>
                <w:b/>
                <w:color w:val="222222"/>
                <w:sz w:val="20"/>
                <w:szCs w:val="20"/>
                <w:shd w:val="clear" w:color="auto" w:fill="FFFFFF"/>
                <w:lang w:val="en-US"/>
              </w:rPr>
              <w:t>/</w:t>
            </w:r>
            <w:r w:rsidRPr="00161AB9">
              <w:rPr>
                <w:rFonts w:ascii="Times New Roman" w:eastAsia="Times New Roman" w:hAnsi="Times New Roman" w:cs="Times New Roman"/>
                <w:b/>
                <w:color w:val="222222"/>
                <w:sz w:val="20"/>
                <w:szCs w:val="20"/>
                <w:shd w:val="clear" w:color="auto" w:fill="FFFFFF"/>
                <w:lang w:val="en-US"/>
              </w:rPr>
              <w:t xml:space="preserve"> Governance variables</w:t>
            </w:r>
          </w:p>
        </w:tc>
        <w:tc>
          <w:tcPr>
            <w:tcW w:w="995" w:type="dxa"/>
            <w:tcBorders>
              <w:top w:val="single" w:sz="12" w:space="0" w:color="auto"/>
              <w:bottom w:val="single" w:sz="12" w:space="0" w:color="auto"/>
            </w:tcBorders>
          </w:tcPr>
          <w:p w14:paraId="3969FEE2" w14:textId="77777777" w:rsidR="006B7453" w:rsidRPr="000972D1" w:rsidRDefault="006B7453" w:rsidP="0081344F">
            <w:pPr>
              <w:jc w:val="lowKashida"/>
              <w:rPr>
                <w:rFonts w:ascii="Times New Roman" w:eastAsia="Times New Roman" w:hAnsi="Times New Roman" w:cs="Times New Roman"/>
                <w:b/>
                <w:color w:val="222222"/>
                <w:sz w:val="20"/>
                <w:szCs w:val="20"/>
                <w:shd w:val="clear" w:color="auto" w:fill="FFFFFF"/>
                <w:lang w:val="en-US"/>
              </w:rPr>
            </w:pPr>
          </w:p>
        </w:tc>
      </w:tr>
      <w:tr w:rsidR="006B7453" w:rsidRPr="00161AB9" w14:paraId="32C015D0" w14:textId="32640057" w:rsidTr="006B7453">
        <w:trPr>
          <w:trHeight w:val="83"/>
          <w:jc w:val="center"/>
        </w:trPr>
        <w:tc>
          <w:tcPr>
            <w:tcW w:w="1984" w:type="dxa"/>
            <w:noWrap/>
          </w:tcPr>
          <w:p w14:paraId="44FB1B58" w14:textId="54B27DA9" w:rsidR="006B7453" w:rsidRPr="00161AB9" w:rsidRDefault="006B7453" w:rsidP="00CD0B52">
            <w:pPr>
              <w:spacing w:line="276" w:lineRule="auto"/>
              <w:jc w:val="lowKashida"/>
              <w:rPr>
                <w:rFonts w:ascii="Times New Roman" w:eastAsia="Times New Roman" w:hAnsi="Times New Roman" w:cs="Times New Roman"/>
                <w:color w:val="222222"/>
                <w:sz w:val="20"/>
                <w:szCs w:val="20"/>
                <w:shd w:val="clear" w:color="auto" w:fill="FFFFFF"/>
                <w:lang w:val="en-US"/>
              </w:rPr>
            </w:pPr>
            <w:r w:rsidRPr="00CD0B52">
              <w:rPr>
                <w:rFonts w:ascii="Times New Roman" w:eastAsia="Times New Roman" w:hAnsi="Times New Roman" w:cs="Times New Roman"/>
                <w:color w:val="222222"/>
                <w:sz w:val="20"/>
                <w:szCs w:val="20"/>
                <w:shd w:val="clear" w:color="auto" w:fill="FFFFFF"/>
                <w:lang w:val="en-US"/>
              </w:rPr>
              <w:t>BRDS</w:t>
            </w:r>
          </w:p>
        </w:tc>
        <w:tc>
          <w:tcPr>
            <w:tcW w:w="1418" w:type="dxa"/>
            <w:noWrap/>
          </w:tcPr>
          <w:p w14:paraId="7054DBCD" w14:textId="77777777" w:rsidR="006B7453" w:rsidRPr="00161AB9" w:rsidRDefault="006B7453" w:rsidP="00D23D6D">
            <w:pPr>
              <w:spacing w:line="276" w:lineRule="auto"/>
              <w:jc w:val="center"/>
              <w:rPr>
                <w:rFonts w:ascii="Times New Roman" w:eastAsia="Times New Roman" w:hAnsi="Times New Roman" w:cs="Times New Roman"/>
                <w:color w:val="222222"/>
                <w:sz w:val="20"/>
                <w:szCs w:val="20"/>
                <w:shd w:val="clear" w:color="auto" w:fill="FFFFFF"/>
                <w:lang w:val="en-US"/>
              </w:rPr>
            </w:pPr>
            <w:r w:rsidRPr="00161AB9">
              <w:rPr>
                <w:rFonts w:ascii="Times New Roman" w:eastAsia="Times New Roman" w:hAnsi="Times New Roman" w:cs="Times New Roman"/>
                <w:color w:val="222222"/>
                <w:sz w:val="20"/>
                <w:szCs w:val="20"/>
                <w:shd w:val="clear" w:color="auto" w:fill="FFFFFF"/>
                <w:lang w:val="en-US"/>
              </w:rPr>
              <w:t>8.52</w:t>
            </w:r>
          </w:p>
        </w:tc>
        <w:tc>
          <w:tcPr>
            <w:tcW w:w="1417" w:type="dxa"/>
            <w:noWrap/>
          </w:tcPr>
          <w:p w14:paraId="028149B4" w14:textId="77777777" w:rsidR="006B7453" w:rsidRPr="00161AB9" w:rsidRDefault="006B7453" w:rsidP="00D23D6D">
            <w:pPr>
              <w:spacing w:line="276" w:lineRule="auto"/>
              <w:jc w:val="center"/>
              <w:rPr>
                <w:rFonts w:ascii="Times New Roman" w:eastAsia="Times New Roman" w:hAnsi="Times New Roman" w:cs="Times New Roman"/>
                <w:color w:val="222222"/>
                <w:sz w:val="20"/>
                <w:szCs w:val="20"/>
                <w:shd w:val="clear" w:color="auto" w:fill="FFFFFF"/>
                <w:lang w:val="en-US"/>
              </w:rPr>
            </w:pPr>
            <w:r w:rsidRPr="00161AB9">
              <w:rPr>
                <w:rFonts w:ascii="Times New Roman" w:eastAsia="Times New Roman" w:hAnsi="Times New Roman" w:cs="Times New Roman"/>
                <w:color w:val="222222"/>
                <w:sz w:val="20"/>
                <w:szCs w:val="20"/>
                <w:shd w:val="clear" w:color="auto" w:fill="FFFFFF"/>
                <w:lang w:val="en-US"/>
              </w:rPr>
              <w:t>9</w:t>
            </w:r>
          </w:p>
        </w:tc>
        <w:tc>
          <w:tcPr>
            <w:tcW w:w="1175" w:type="dxa"/>
            <w:noWrap/>
          </w:tcPr>
          <w:p w14:paraId="34F5262E" w14:textId="77777777" w:rsidR="006B7453" w:rsidRPr="00161AB9" w:rsidRDefault="006B7453" w:rsidP="00D23D6D">
            <w:pPr>
              <w:spacing w:line="276" w:lineRule="auto"/>
              <w:jc w:val="center"/>
              <w:rPr>
                <w:rFonts w:ascii="Times New Roman" w:eastAsia="Times New Roman" w:hAnsi="Times New Roman" w:cs="Times New Roman"/>
                <w:color w:val="222222"/>
                <w:sz w:val="20"/>
                <w:szCs w:val="20"/>
                <w:shd w:val="clear" w:color="auto" w:fill="FFFFFF"/>
                <w:lang w:val="en-US"/>
              </w:rPr>
            </w:pPr>
            <w:r w:rsidRPr="00161AB9">
              <w:rPr>
                <w:rFonts w:ascii="Times New Roman" w:eastAsia="Times New Roman" w:hAnsi="Times New Roman" w:cs="Times New Roman"/>
                <w:color w:val="222222"/>
                <w:sz w:val="20"/>
                <w:szCs w:val="20"/>
                <w:shd w:val="clear" w:color="auto" w:fill="FFFFFF"/>
                <w:lang w:val="en-US"/>
              </w:rPr>
              <w:t>2.59</w:t>
            </w:r>
          </w:p>
        </w:tc>
        <w:tc>
          <w:tcPr>
            <w:tcW w:w="1276" w:type="dxa"/>
            <w:noWrap/>
          </w:tcPr>
          <w:p w14:paraId="3BC6777F" w14:textId="77777777" w:rsidR="006B7453" w:rsidRPr="00161AB9" w:rsidRDefault="006B7453" w:rsidP="00D23D6D">
            <w:pPr>
              <w:spacing w:line="276" w:lineRule="auto"/>
              <w:jc w:val="center"/>
              <w:rPr>
                <w:rFonts w:ascii="Times New Roman" w:eastAsia="Times New Roman" w:hAnsi="Times New Roman" w:cs="Times New Roman"/>
                <w:color w:val="222222"/>
                <w:sz w:val="20"/>
                <w:szCs w:val="20"/>
                <w:shd w:val="clear" w:color="auto" w:fill="FFFFFF"/>
                <w:lang w:val="en-US"/>
              </w:rPr>
            </w:pPr>
            <w:r w:rsidRPr="00161AB9">
              <w:rPr>
                <w:rFonts w:ascii="Times New Roman" w:eastAsia="Times New Roman" w:hAnsi="Times New Roman" w:cs="Times New Roman"/>
                <w:color w:val="222222"/>
                <w:sz w:val="20"/>
                <w:szCs w:val="20"/>
                <w:shd w:val="clear" w:color="auto" w:fill="FFFFFF"/>
                <w:lang w:val="en-US"/>
              </w:rPr>
              <w:t>4</w:t>
            </w:r>
          </w:p>
        </w:tc>
        <w:tc>
          <w:tcPr>
            <w:tcW w:w="1373" w:type="dxa"/>
            <w:noWrap/>
          </w:tcPr>
          <w:p w14:paraId="47E32A3D" w14:textId="77777777" w:rsidR="006B7453" w:rsidRPr="00161AB9" w:rsidRDefault="006B7453" w:rsidP="00D23D6D">
            <w:pPr>
              <w:spacing w:line="276" w:lineRule="auto"/>
              <w:jc w:val="center"/>
              <w:rPr>
                <w:rFonts w:ascii="Times New Roman" w:eastAsia="Times New Roman" w:hAnsi="Times New Roman" w:cs="Times New Roman"/>
                <w:color w:val="222222"/>
                <w:sz w:val="20"/>
                <w:szCs w:val="20"/>
                <w:shd w:val="clear" w:color="auto" w:fill="FFFFFF"/>
                <w:lang w:val="en-US"/>
              </w:rPr>
            </w:pPr>
            <w:r w:rsidRPr="00161AB9">
              <w:rPr>
                <w:rFonts w:ascii="Times New Roman" w:eastAsia="Times New Roman" w:hAnsi="Times New Roman" w:cs="Times New Roman"/>
                <w:color w:val="222222"/>
                <w:sz w:val="20"/>
                <w:szCs w:val="20"/>
                <w:shd w:val="clear" w:color="auto" w:fill="FFFFFF"/>
                <w:lang w:val="en-US"/>
              </w:rPr>
              <w:t>19</w:t>
            </w:r>
          </w:p>
        </w:tc>
        <w:tc>
          <w:tcPr>
            <w:tcW w:w="995" w:type="dxa"/>
          </w:tcPr>
          <w:p w14:paraId="416DD416" w14:textId="772113DA" w:rsidR="006B7453" w:rsidRPr="000972D1" w:rsidRDefault="00981421" w:rsidP="00D23D6D">
            <w:pPr>
              <w:jc w:val="center"/>
              <w:rPr>
                <w:rFonts w:ascii="Times New Roman" w:eastAsia="Times New Roman" w:hAnsi="Times New Roman" w:cs="Times New Roman"/>
                <w:color w:val="222222"/>
                <w:sz w:val="20"/>
                <w:szCs w:val="20"/>
                <w:shd w:val="clear" w:color="auto" w:fill="FFFFFF"/>
                <w:lang w:val="en-US"/>
              </w:rPr>
            </w:pPr>
            <w:r w:rsidRPr="000972D1">
              <w:rPr>
                <w:rFonts w:ascii="Times New Roman" w:eastAsia="Times New Roman" w:hAnsi="Times New Roman" w:cs="Times New Roman"/>
                <w:color w:val="222222"/>
                <w:sz w:val="20"/>
                <w:szCs w:val="20"/>
                <w:shd w:val="clear" w:color="auto" w:fill="FFFFFF"/>
                <w:lang w:val="en-US"/>
              </w:rPr>
              <w:t>1.56</w:t>
            </w:r>
          </w:p>
        </w:tc>
      </w:tr>
      <w:tr w:rsidR="006B7453" w:rsidRPr="00161AB9" w14:paraId="085B5F50" w14:textId="2D6E1899" w:rsidTr="006B7453">
        <w:trPr>
          <w:trHeight w:val="83"/>
          <w:jc w:val="center"/>
        </w:trPr>
        <w:tc>
          <w:tcPr>
            <w:tcW w:w="1984" w:type="dxa"/>
            <w:noWrap/>
          </w:tcPr>
          <w:p w14:paraId="0E119087" w14:textId="0439F7CA" w:rsidR="006B7453" w:rsidRPr="00161AB9" w:rsidRDefault="006B7453" w:rsidP="00D23D6D">
            <w:pPr>
              <w:spacing w:line="276" w:lineRule="auto"/>
              <w:jc w:val="lowKashida"/>
              <w:rPr>
                <w:rFonts w:ascii="Times New Roman" w:eastAsia="Times New Roman" w:hAnsi="Times New Roman" w:cs="Times New Roman"/>
                <w:color w:val="222222"/>
                <w:sz w:val="20"/>
                <w:szCs w:val="20"/>
                <w:shd w:val="clear" w:color="auto" w:fill="FFFFFF"/>
                <w:lang w:val="en-US"/>
              </w:rPr>
            </w:pPr>
            <w:r w:rsidRPr="00E80B25">
              <w:rPr>
                <w:rFonts w:ascii="Times New Roman" w:eastAsia="Times New Roman" w:hAnsi="Times New Roman" w:cs="Times New Roman"/>
                <w:color w:val="222222"/>
                <w:sz w:val="20"/>
                <w:szCs w:val="20"/>
                <w:shd w:val="clear" w:color="auto" w:fill="FFFFFF"/>
                <w:lang w:val="en-US"/>
              </w:rPr>
              <w:t>IND</w:t>
            </w:r>
            <w:r w:rsidRPr="00161AB9">
              <w:rPr>
                <w:rFonts w:ascii="Times New Roman" w:eastAsia="Times New Roman" w:hAnsi="Times New Roman" w:cs="Times New Roman"/>
                <w:color w:val="222222"/>
                <w:sz w:val="20"/>
                <w:szCs w:val="20"/>
                <w:shd w:val="clear" w:color="auto" w:fill="FFFFFF"/>
                <w:lang w:val="en-US"/>
              </w:rPr>
              <w:t>%</w:t>
            </w:r>
          </w:p>
        </w:tc>
        <w:tc>
          <w:tcPr>
            <w:tcW w:w="1418" w:type="dxa"/>
            <w:noWrap/>
          </w:tcPr>
          <w:p w14:paraId="52E234DA" w14:textId="77777777" w:rsidR="006B7453" w:rsidRPr="00161AB9" w:rsidRDefault="006B7453" w:rsidP="00D23D6D">
            <w:pPr>
              <w:spacing w:line="276" w:lineRule="auto"/>
              <w:jc w:val="center"/>
              <w:rPr>
                <w:rFonts w:ascii="Times New Roman" w:eastAsia="Times New Roman" w:hAnsi="Times New Roman" w:cs="Times New Roman"/>
                <w:color w:val="222222"/>
                <w:sz w:val="20"/>
                <w:szCs w:val="20"/>
                <w:shd w:val="clear" w:color="auto" w:fill="FFFFFF"/>
                <w:lang w:val="en-US"/>
              </w:rPr>
            </w:pPr>
            <w:r w:rsidRPr="00161AB9">
              <w:rPr>
                <w:rFonts w:ascii="Times New Roman" w:eastAsia="Times New Roman" w:hAnsi="Times New Roman" w:cs="Times New Roman"/>
                <w:color w:val="222222"/>
                <w:sz w:val="20"/>
                <w:szCs w:val="20"/>
                <w:shd w:val="clear" w:color="auto" w:fill="FFFFFF"/>
                <w:lang w:val="en-US"/>
              </w:rPr>
              <w:t>87.43</w:t>
            </w:r>
          </w:p>
        </w:tc>
        <w:tc>
          <w:tcPr>
            <w:tcW w:w="1417" w:type="dxa"/>
            <w:noWrap/>
          </w:tcPr>
          <w:p w14:paraId="4B1276AC" w14:textId="77777777" w:rsidR="006B7453" w:rsidRPr="00161AB9" w:rsidRDefault="006B7453" w:rsidP="00D23D6D">
            <w:pPr>
              <w:spacing w:line="276" w:lineRule="auto"/>
              <w:jc w:val="center"/>
              <w:rPr>
                <w:rFonts w:ascii="Times New Roman" w:eastAsia="Times New Roman" w:hAnsi="Times New Roman" w:cs="Times New Roman"/>
                <w:color w:val="222222"/>
                <w:sz w:val="20"/>
                <w:szCs w:val="20"/>
                <w:shd w:val="clear" w:color="auto" w:fill="FFFFFF"/>
                <w:lang w:val="en-US"/>
              </w:rPr>
            </w:pPr>
            <w:r w:rsidRPr="00161AB9">
              <w:rPr>
                <w:rFonts w:ascii="Times New Roman" w:eastAsia="Times New Roman" w:hAnsi="Times New Roman" w:cs="Times New Roman"/>
                <w:color w:val="222222"/>
                <w:sz w:val="20"/>
                <w:szCs w:val="20"/>
                <w:shd w:val="clear" w:color="auto" w:fill="FFFFFF"/>
                <w:lang w:val="en-US"/>
              </w:rPr>
              <w:t>88.89</w:t>
            </w:r>
          </w:p>
        </w:tc>
        <w:tc>
          <w:tcPr>
            <w:tcW w:w="1175" w:type="dxa"/>
            <w:noWrap/>
          </w:tcPr>
          <w:p w14:paraId="1E5F7868" w14:textId="77777777" w:rsidR="006B7453" w:rsidRPr="00161AB9" w:rsidRDefault="006B7453" w:rsidP="00D23D6D">
            <w:pPr>
              <w:spacing w:line="276" w:lineRule="auto"/>
              <w:jc w:val="center"/>
              <w:rPr>
                <w:rFonts w:ascii="Times New Roman" w:eastAsia="Times New Roman" w:hAnsi="Times New Roman" w:cs="Times New Roman"/>
                <w:color w:val="222222"/>
                <w:sz w:val="20"/>
                <w:szCs w:val="20"/>
                <w:shd w:val="clear" w:color="auto" w:fill="FFFFFF"/>
                <w:lang w:val="en-US"/>
              </w:rPr>
            </w:pPr>
            <w:r w:rsidRPr="00161AB9">
              <w:rPr>
                <w:rFonts w:ascii="Times New Roman" w:eastAsia="Times New Roman" w:hAnsi="Times New Roman" w:cs="Times New Roman"/>
                <w:color w:val="222222"/>
                <w:sz w:val="20"/>
                <w:szCs w:val="20"/>
                <w:shd w:val="clear" w:color="auto" w:fill="FFFFFF"/>
                <w:lang w:val="en-US"/>
              </w:rPr>
              <w:t>14.03</w:t>
            </w:r>
          </w:p>
        </w:tc>
        <w:tc>
          <w:tcPr>
            <w:tcW w:w="1276" w:type="dxa"/>
            <w:noWrap/>
          </w:tcPr>
          <w:p w14:paraId="4F9AF20A" w14:textId="77777777" w:rsidR="006B7453" w:rsidRPr="00161AB9" w:rsidRDefault="006B7453" w:rsidP="00D23D6D">
            <w:pPr>
              <w:spacing w:line="276" w:lineRule="auto"/>
              <w:jc w:val="center"/>
              <w:rPr>
                <w:rFonts w:ascii="Times New Roman" w:eastAsia="Times New Roman" w:hAnsi="Times New Roman" w:cs="Times New Roman"/>
                <w:color w:val="222222"/>
                <w:sz w:val="20"/>
                <w:szCs w:val="20"/>
                <w:shd w:val="clear" w:color="auto" w:fill="FFFFFF"/>
                <w:lang w:val="en-US"/>
              </w:rPr>
            </w:pPr>
            <w:r w:rsidRPr="00161AB9">
              <w:rPr>
                <w:rFonts w:ascii="Times New Roman" w:eastAsia="Times New Roman" w:hAnsi="Times New Roman" w:cs="Times New Roman"/>
                <w:color w:val="222222"/>
                <w:sz w:val="20"/>
                <w:szCs w:val="20"/>
                <w:shd w:val="clear" w:color="auto" w:fill="FFFFFF"/>
                <w:lang w:val="en-US"/>
              </w:rPr>
              <w:t>40</w:t>
            </w:r>
          </w:p>
        </w:tc>
        <w:tc>
          <w:tcPr>
            <w:tcW w:w="1373" w:type="dxa"/>
            <w:noWrap/>
          </w:tcPr>
          <w:p w14:paraId="064455AF" w14:textId="77777777" w:rsidR="006B7453" w:rsidRPr="00161AB9" w:rsidRDefault="006B7453" w:rsidP="00D23D6D">
            <w:pPr>
              <w:spacing w:line="276" w:lineRule="auto"/>
              <w:jc w:val="center"/>
              <w:rPr>
                <w:rFonts w:ascii="Times New Roman" w:eastAsia="Times New Roman" w:hAnsi="Times New Roman" w:cs="Times New Roman"/>
                <w:color w:val="222222"/>
                <w:sz w:val="20"/>
                <w:szCs w:val="20"/>
                <w:shd w:val="clear" w:color="auto" w:fill="FFFFFF"/>
                <w:lang w:val="en-US"/>
              </w:rPr>
            </w:pPr>
            <w:r w:rsidRPr="00161AB9">
              <w:rPr>
                <w:rFonts w:ascii="Times New Roman" w:eastAsia="Times New Roman" w:hAnsi="Times New Roman" w:cs="Times New Roman"/>
                <w:color w:val="222222"/>
                <w:sz w:val="20"/>
                <w:szCs w:val="20"/>
                <w:shd w:val="clear" w:color="auto" w:fill="FFFFFF"/>
                <w:lang w:val="en-US"/>
              </w:rPr>
              <w:t>100</w:t>
            </w:r>
          </w:p>
        </w:tc>
        <w:tc>
          <w:tcPr>
            <w:tcW w:w="995" w:type="dxa"/>
          </w:tcPr>
          <w:p w14:paraId="73B27FCB" w14:textId="4B037E9E" w:rsidR="006B7453" w:rsidRPr="000972D1" w:rsidRDefault="00981421" w:rsidP="00D23D6D">
            <w:pPr>
              <w:jc w:val="center"/>
              <w:rPr>
                <w:rFonts w:ascii="Times New Roman" w:eastAsia="Times New Roman" w:hAnsi="Times New Roman" w:cs="Times New Roman"/>
                <w:color w:val="222222"/>
                <w:sz w:val="20"/>
                <w:szCs w:val="20"/>
                <w:shd w:val="clear" w:color="auto" w:fill="FFFFFF"/>
                <w:lang w:val="en-US"/>
              </w:rPr>
            </w:pPr>
            <w:r w:rsidRPr="000972D1">
              <w:rPr>
                <w:rFonts w:ascii="Times New Roman" w:eastAsia="Times New Roman" w:hAnsi="Times New Roman" w:cs="Times New Roman"/>
                <w:color w:val="222222"/>
                <w:sz w:val="20"/>
                <w:szCs w:val="20"/>
                <w:shd w:val="clear" w:color="auto" w:fill="FFFFFF"/>
                <w:lang w:val="en-US"/>
              </w:rPr>
              <w:t>2.09</w:t>
            </w:r>
          </w:p>
        </w:tc>
      </w:tr>
      <w:tr w:rsidR="006B7453" w:rsidRPr="00161AB9" w14:paraId="7F444EF4" w14:textId="21DD8343" w:rsidTr="006B7453">
        <w:trPr>
          <w:trHeight w:val="83"/>
          <w:jc w:val="center"/>
        </w:trPr>
        <w:tc>
          <w:tcPr>
            <w:tcW w:w="1984" w:type="dxa"/>
            <w:noWrap/>
          </w:tcPr>
          <w:p w14:paraId="3464363D" w14:textId="7AC0AC6F" w:rsidR="006B7453" w:rsidRPr="00161AB9" w:rsidRDefault="006B7453" w:rsidP="00CD0B52">
            <w:pPr>
              <w:spacing w:line="276" w:lineRule="auto"/>
              <w:jc w:val="lowKashida"/>
              <w:rPr>
                <w:rFonts w:ascii="Times New Roman" w:eastAsia="Times New Roman" w:hAnsi="Times New Roman" w:cs="Times New Roman"/>
                <w:color w:val="222222"/>
                <w:sz w:val="20"/>
                <w:szCs w:val="20"/>
                <w:shd w:val="clear" w:color="auto" w:fill="FFFFFF"/>
                <w:lang w:val="en-US"/>
              </w:rPr>
            </w:pPr>
            <w:r w:rsidRPr="00CD0B52">
              <w:rPr>
                <w:rFonts w:ascii="Times New Roman" w:eastAsia="Times New Roman" w:hAnsi="Times New Roman" w:cs="Times New Roman"/>
                <w:color w:val="222222"/>
                <w:sz w:val="20"/>
                <w:szCs w:val="20"/>
                <w:shd w:val="clear" w:color="auto" w:fill="FFFFFF"/>
                <w:lang w:val="en-US"/>
              </w:rPr>
              <w:t>UBL</w:t>
            </w:r>
            <w:r w:rsidRPr="00161AB9">
              <w:rPr>
                <w:rFonts w:ascii="Times New Roman" w:eastAsia="Times New Roman" w:hAnsi="Times New Roman" w:cs="Times New Roman"/>
                <w:color w:val="222222"/>
                <w:sz w:val="20"/>
                <w:szCs w:val="20"/>
                <w:shd w:val="clear" w:color="auto" w:fill="FFFFFF"/>
                <w:lang w:val="en-US"/>
              </w:rPr>
              <w:t>%</w:t>
            </w:r>
          </w:p>
        </w:tc>
        <w:tc>
          <w:tcPr>
            <w:tcW w:w="1418" w:type="dxa"/>
            <w:noWrap/>
          </w:tcPr>
          <w:p w14:paraId="03818227" w14:textId="77777777" w:rsidR="006B7453" w:rsidRPr="00161AB9" w:rsidRDefault="006B7453" w:rsidP="00D23D6D">
            <w:pPr>
              <w:spacing w:line="276" w:lineRule="auto"/>
              <w:jc w:val="center"/>
              <w:rPr>
                <w:rFonts w:ascii="Times New Roman" w:eastAsia="Times New Roman" w:hAnsi="Times New Roman" w:cs="Times New Roman"/>
                <w:color w:val="222222"/>
                <w:sz w:val="20"/>
                <w:szCs w:val="20"/>
                <w:shd w:val="clear" w:color="auto" w:fill="FFFFFF"/>
                <w:lang w:val="en-US"/>
              </w:rPr>
            </w:pPr>
            <w:r>
              <w:rPr>
                <w:rFonts w:ascii="Times New Roman" w:eastAsia="Times New Roman" w:hAnsi="Times New Roman" w:cs="Times New Roman"/>
                <w:color w:val="222222"/>
                <w:sz w:val="20"/>
                <w:szCs w:val="20"/>
                <w:shd w:val="clear" w:color="auto" w:fill="FFFFFF"/>
                <w:lang w:val="en-US"/>
              </w:rPr>
              <w:t>21</w:t>
            </w:r>
          </w:p>
        </w:tc>
        <w:tc>
          <w:tcPr>
            <w:tcW w:w="1417" w:type="dxa"/>
            <w:noWrap/>
          </w:tcPr>
          <w:p w14:paraId="1A6ACA4B" w14:textId="77777777" w:rsidR="006B7453" w:rsidRPr="00161AB9" w:rsidRDefault="006B7453" w:rsidP="00D23D6D">
            <w:pPr>
              <w:spacing w:line="276" w:lineRule="auto"/>
              <w:jc w:val="center"/>
              <w:rPr>
                <w:rFonts w:ascii="Times New Roman" w:eastAsia="Times New Roman" w:hAnsi="Times New Roman" w:cs="Times New Roman"/>
                <w:color w:val="222222"/>
                <w:sz w:val="20"/>
                <w:szCs w:val="20"/>
                <w:shd w:val="clear" w:color="auto" w:fill="FFFFFF"/>
                <w:lang w:val="en-US"/>
              </w:rPr>
            </w:pPr>
            <w:r>
              <w:rPr>
                <w:rFonts w:ascii="Times New Roman" w:eastAsia="Times New Roman" w:hAnsi="Times New Roman" w:cs="Times New Roman"/>
                <w:color w:val="222222"/>
                <w:sz w:val="20"/>
                <w:szCs w:val="20"/>
                <w:shd w:val="clear" w:color="auto" w:fill="FFFFFF"/>
                <w:lang w:val="en-US"/>
              </w:rPr>
              <w:t>0</w:t>
            </w:r>
          </w:p>
        </w:tc>
        <w:tc>
          <w:tcPr>
            <w:tcW w:w="1175" w:type="dxa"/>
            <w:noWrap/>
          </w:tcPr>
          <w:p w14:paraId="0DDF5499" w14:textId="77777777" w:rsidR="006B7453" w:rsidRPr="00161AB9" w:rsidRDefault="006B7453" w:rsidP="00D23D6D">
            <w:pPr>
              <w:spacing w:line="276" w:lineRule="auto"/>
              <w:jc w:val="center"/>
              <w:rPr>
                <w:rFonts w:ascii="Times New Roman" w:eastAsia="Times New Roman" w:hAnsi="Times New Roman" w:cs="Times New Roman"/>
                <w:color w:val="222222"/>
                <w:sz w:val="20"/>
                <w:szCs w:val="20"/>
                <w:shd w:val="clear" w:color="auto" w:fill="FFFFFF"/>
                <w:lang w:val="en-US"/>
              </w:rPr>
            </w:pPr>
            <w:r w:rsidRPr="00161AB9">
              <w:rPr>
                <w:rFonts w:ascii="Times New Roman" w:eastAsia="Times New Roman" w:hAnsi="Times New Roman" w:cs="Times New Roman"/>
                <w:color w:val="222222"/>
                <w:sz w:val="20"/>
                <w:szCs w:val="20"/>
                <w:shd w:val="clear" w:color="auto" w:fill="FFFFFF"/>
                <w:lang w:val="en-US"/>
              </w:rPr>
              <w:t>40.90</w:t>
            </w:r>
          </w:p>
        </w:tc>
        <w:tc>
          <w:tcPr>
            <w:tcW w:w="1276" w:type="dxa"/>
            <w:noWrap/>
          </w:tcPr>
          <w:p w14:paraId="4BBD31A5" w14:textId="77777777" w:rsidR="006B7453" w:rsidRPr="00161AB9" w:rsidRDefault="006B7453" w:rsidP="00D23D6D">
            <w:pPr>
              <w:spacing w:line="276" w:lineRule="auto"/>
              <w:jc w:val="center"/>
              <w:rPr>
                <w:rFonts w:ascii="Times New Roman" w:eastAsia="Times New Roman" w:hAnsi="Times New Roman" w:cs="Times New Roman"/>
                <w:color w:val="222222"/>
                <w:sz w:val="20"/>
                <w:szCs w:val="20"/>
                <w:shd w:val="clear" w:color="auto" w:fill="FFFFFF"/>
                <w:lang w:val="en-US"/>
              </w:rPr>
            </w:pPr>
            <w:r w:rsidRPr="00161AB9">
              <w:rPr>
                <w:rFonts w:ascii="Times New Roman" w:eastAsia="Times New Roman" w:hAnsi="Times New Roman" w:cs="Times New Roman"/>
                <w:color w:val="222222"/>
                <w:sz w:val="20"/>
                <w:szCs w:val="20"/>
                <w:shd w:val="clear" w:color="auto" w:fill="FFFFFF"/>
                <w:lang w:val="en-US"/>
              </w:rPr>
              <w:t>0</w:t>
            </w:r>
          </w:p>
        </w:tc>
        <w:tc>
          <w:tcPr>
            <w:tcW w:w="1373" w:type="dxa"/>
            <w:noWrap/>
          </w:tcPr>
          <w:p w14:paraId="34266C65" w14:textId="77777777" w:rsidR="006B7453" w:rsidRPr="00161AB9" w:rsidRDefault="006B7453" w:rsidP="00D23D6D">
            <w:pPr>
              <w:spacing w:line="276" w:lineRule="auto"/>
              <w:jc w:val="center"/>
              <w:rPr>
                <w:rFonts w:ascii="Times New Roman" w:eastAsia="Times New Roman" w:hAnsi="Times New Roman" w:cs="Times New Roman"/>
                <w:color w:val="222222"/>
                <w:sz w:val="20"/>
                <w:szCs w:val="20"/>
                <w:shd w:val="clear" w:color="auto" w:fill="FFFFFF"/>
                <w:lang w:val="en-US"/>
              </w:rPr>
            </w:pPr>
            <w:r w:rsidRPr="00161AB9">
              <w:rPr>
                <w:rFonts w:ascii="Times New Roman" w:eastAsia="Times New Roman" w:hAnsi="Times New Roman" w:cs="Times New Roman"/>
                <w:color w:val="222222"/>
                <w:sz w:val="20"/>
                <w:szCs w:val="20"/>
                <w:shd w:val="clear" w:color="auto" w:fill="FFFFFF"/>
                <w:lang w:val="en-US"/>
              </w:rPr>
              <w:t>100</w:t>
            </w:r>
          </w:p>
        </w:tc>
        <w:tc>
          <w:tcPr>
            <w:tcW w:w="995" w:type="dxa"/>
          </w:tcPr>
          <w:p w14:paraId="4A016633" w14:textId="601D46F1" w:rsidR="006B7453" w:rsidRPr="000972D1" w:rsidRDefault="00981421" w:rsidP="00D23D6D">
            <w:pPr>
              <w:jc w:val="center"/>
              <w:rPr>
                <w:rFonts w:ascii="Times New Roman" w:eastAsia="Times New Roman" w:hAnsi="Times New Roman" w:cs="Times New Roman"/>
                <w:color w:val="222222"/>
                <w:sz w:val="20"/>
                <w:szCs w:val="20"/>
                <w:shd w:val="clear" w:color="auto" w:fill="FFFFFF"/>
                <w:lang w:val="en-US"/>
              </w:rPr>
            </w:pPr>
            <w:r w:rsidRPr="000972D1">
              <w:rPr>
                <w:rFonts w:ascii="Times New Roman" w:eastAsia="Times New Roman" w:hAnsi="Times New Roman" w:cs="Times New Roman"/>
                <w:color w:val="222222"/>
                <w:sz w:val="20"/>
                <w:szCs w:val="20"/>
                <w:shd w:val="clear" w:color="auto" w:fill="FFFFFF"/>
                <w:lang w:val="en-US"/>
              </w:rPr>
              <w:t>2.12</w:t>
            </w:r>
          </w:p>
        </w:tc>
      </w:tr>
      <w:tr w:rsidR="006B7453" w:rsidRPr="00161AB9" w14:paraId="1C90BBE2" w14:textId="32BA8998" w:rsidTr="006B7453">
        <w:trPr>
          <w:trHeight w:val="108"/>
          <w:jc w:val="center"/>
        </w:trPr>
        <w:tc>
          <w:tcPr>
            <w:tcW w:w="1984" w:type="dxa"/>
            <w:noWrap/>
          </w:tcPr>
          <w:p w14:paraId="7A95EEEF" w14:textId="2EC0B2C7" w:rsidR="006B7453" w:rsidRPr="00161AB9" w:rsidRDefault="006B7453" w:rsidP="004039E0">
            <w:pPr>
              <w:jc w:val="lowKashida"/>
              <w:rPr>
                <w:rFonts w:ascii="Times New Roman" w:eastAsia="Times New Roman" w:hAnsi="Times New Roman" w:cs="Times New Roman"/>
                <w:color w:val="222222"/>
                <w:sz w:val="20"/>
                <w:szCs w:val="20"/>
                <w:shd w:val="clear" w:color="auto" w:fill="FFFFFF"/>
                <w:lang w:val="en-US"/>
              </w:rPr>
            </w:pPr>
            <w:r w:rsidRPr="004039E0">
              <w:rPr>
                <w:rFonts w:ascii="Times New Roman" w:eastAsia="Times New Roman" w:hAnsi="Times New Roman" w:cs="Times New Roman"/>
                <w:color w:val="222222"/>
                <w:sz w:val="20"/>
                <w:szCs w:val="20"/>
                <w:shd w:val="clear" w:color="auto" w:fill="FFFFFF"/>
                <w:lang w:val="en-US"/>
              </w:rPr>
              <w:t>GOSH</w:t>
            </w:r>
            <w:r w:rsidRPr="00161AB9">
              <w:rPr>
                <w:rFonts w:ascii="Times New Roman" w:eastAsia="Times New Roman" w:hAnsi="Times New Roman" w:cs="Times New Roman"/>
                <w:color w:val="222222"/>
                <w:sz w:val="20"/>
                <w:szCs w:val="20"/>
                <w:shd w:val="clear" w:color="auto" w:fill="FFFFFF"/>
                <w:lang w:val="en-US"/>
              </w:rPr>
              <w:t>%</w:t>
            </w:r>
          </w:p>
        </w:tc>
        <w:tc>
          <w:tcPr>
            <w:tcW w:w="1418" w:type="dxa"/>
            <w:noWrap/>
          </w:tcPr>
          <w:p w14:paraId="64FC303F" w14:textId="77777777" w:rsidR="006B7453" w:rsidRPr="00161AB9" w:rsidRDefault="006B7453" w:rsidP="00D23D6D">
            <w:pPr>
              <w:jc w:val="center"/>
              <w:rPr>
                <w:rFonts w:ascii="Times New Roman" w:eastAsia="Times New Roman" w:hAnsi="Times New Roman" w:cs="Times New Roman"/>
                <w:color w:val="222222"/>
                <w:sz w:val="20"/>
                <w:szCs w:val="20"/>
                <w:shd w:val="clear" w:color="auto" w:fill="FFFFFF"/>
                <w:lang w:val="en-US"/>
              </w:rPr>
            </w:pPr>
            <w:r w:rsidRPr="00161AB9">
              <w:rPr>
                <w:rFonts w:ascii="Times New Roman" w:eastAsia="Times New Roman" w:hAnsi="Times New Roman" w:cs="Times New Roman"/>
                <w:color w:val="222222"/>
                <w:sz w:val="20"/>
                <w:szCs w:val="20"/>
                <w:shd w:val="clear" w:color="auto" w:fill="FFFFFF"/>
                <w:lang w:val="en-US"/>
              </w:rPr>
              <w:t>16.15</w:t>
            </w:r>
          </w:p>
        </w:tc>
        <w:tc>
          <w:tcPr>
            <w:tcW w:w="1417" w:type="dxa"/>
            <w:noWrap/>
          </w:tcPr>
          <w:p w14:paraId="39D3D09B" w14:textId="77777777" w:rsidR="006B7453" w:rsidRPr="00161AB9" w:rsidRDefault="006B7453" w:rsidP="00D23D6D">
            <w:pPr>
              <w:jc w:val="center"/>
              <w:rPr>
                <w:rFonts w:ascii="Times New Roman" w:eastAsia="Times New Roman" w:hAnsi="Times New Roman" w:cs="Times New Roman"/>
                <w:color w:val="222222"/>
                <w:sz w:val="20"/>
                <w:szCs w:val="20"/>
                <w:shd w:val="clear" w:color="auto" w:fill="FFFFFF"/>
                <w:lang w:val="en-US"/>
              </w:rPr>
            </w:pPr>
            <w:r w:rsidRPr="00161AB9">
              <w:rPr>
                <w:rFonts w:ascii="Times New Roman" w:eastAsia="Times New Roman" w:hAnsi="Times New Roman" w:cs="Times New Roman"/>
                <w:color w:val="222222"/>
                <w:sz w:val="20"/>
                <w:szCs w:val="20"/>
                <w:shd w:val="clear" w:color="auto" w:fill="FFFFFF"/>
                <w:lang w:val="en-US"/>
              </w:rPr>
              <w:t>3.29</w:t>
            </w:r>
          </w:p>
        </w:tc>
        <w:tc>
          <w:tcPr>
            <w:tcW w:w="1175" w:type="dxa"/>
            <w:noWrap/>
          </w:tcPr>
          <w:p w14:paraId="0DF69D7B" w14:textId="77777777" w:rsidR="006B7453" w:rsidRPr="00161AB9" w:rsidRDefault="006B7453" w:rsidP="00D23D6D">
            <w:pPr>
              <w:jc w:val="center"/>
              <w:rPr>
                <w:rFonts w:ascii="Times New Roman" w:eastAsia="Times New Roman" w:hAnsi="Times New Roman" w:cs="Times New Roman"/>
                <w:color w:val="222222"/>
                <w:sz w:val="20"/>
                <w:szCs w:val="20"/>
                <w:shd w:val="clear" w:color="auto" w:fill="FFFFFF"/>
                <w:lang w:val="en-US"/>
              </w:rPr>
            </w:pPr>
            <w:r w:rsidRPr="00161AB9">
              <w:rPr>
                <w:rFonts w:ascii="Times New Roman" w:eastAsia="Times New Roman" w:hAnsi="Times New Roman" w:cs="Times New Roman"/>
                <w:color w:val="222222"/>
                <w:sz w:val="20"/>
                <w:szCs w:val="20"/>
                <w:shd w:val="clear" w:color="auto" w:fill="FFFFFF"/>
                <w:lang w:val="en-US"/>
              </w:rPr>
              <w:t>24.60</w:t>
            </w:r>
          </w:p>
        </w:tc>
        <w:tc>
          <w:tcPr>
            <w:tcW w:w="1276" w:type="dxa"/>
            <w:noWrap/>
          </w:tcPr>
          <w:p w14:paraId="490442FC" w14:textId="77777777" w:rsidR="006B7453" w:rsidRPr="00161AB9" w:rsidRDefault="006B7453" w:rsidP="00D23D6D">
            <w:pPr>
              <w:jc w:val="center"/>
              <w:rPr>
                <w:rFonts w:ascii="Times New Roman" w:eastAsia="Times New Roman" w:hAnsi="Times New Roman" w:cs="Times New Roman"/>
                <w:color w:val="222222"/>
                <w:sz w:val="20"/>
                <w:szCs w:val="20"/>
                <w:shd w:val="clear" w:color="auto" w:fill="FFFFFF"/>
                <w:lang w:val="en-US"/>
              </w:rPr>
            </w:pPr>
            <w:r w:rsidRPr="00161AB9">
              <w:rPr>
                <w:rFonts w:ascii="Times New Roman" w:eastAsia="Times New Roman" w:hAnsi="Times New Roman" w:cs="Times New Roman"/>
                <w:color w:val="222222"/>
                <w:sz w:val="20"/>
                <w:szCs w:val="20"/>
                <w:shd w:val="clear" w:color="auto" w:fill="FFFFFF"/>
                <w:lang w:val="en-US"/>
              </w:rPr>
              <w:t>0</w:t>
            </w:r>
          </w:p>
        </w:tc>
        <w:tc>
          <w:tcPr>
            <w:tcW w:w="1373" w:type="dxa"/>
            <w:noWrap/>
          </w:tcPr>
          <w:p w14:paraId="438AAC71" w14:textId="77777777" w:rsidR="006B7453" w:rsidRPr="00161AB9" w:rsidRDefault="006B7453" w:rsidP="00D23D6D">
            <w:pPr>
              <w:jc w:val="center"/>
              <w:rPr>
                <w:rFonts w:ascii="Times New Roman" w:eastAsia="Times New Roman" w:hAnsi="Times New Roman" w:cs="Times New Roman"/>
                <w:color w:val="222222"/>
                <w:sz w:val="20"/>
                <w:szCs w:val="20"/>
                <w:shd w:val="clear" w:color="auto" w:fill="FFFFFF"/>
                <w:lang w:val="en-US"/>
              </w:rPr>
            </w:pPr>
            <w:r w:rsidRPr="00161AB9">
              <w:rPr>
                <w:rFonts w:ascii="Times New Roman" w:eastAsia="Times New Roman" w:hAnsi="Times New Roman" w:cs="Times New Roman"/>
                <w:color w:val="222222"/>
                <w:sz w:val="20"/>
                <w:szCs w:val="20"/>
                <w:shd w:val="clear" w:color="auto" w:fill="FFFFFF"/>
                <w:lang w:val="en-US"/>
              </w:rPr>
              <w:t>98.67</w:t>
            </w:r>
          </w:p>
        </w:tc>
        <w:tc>
          <w:tcPr>
            <w:tcW w:w="995" w:type="dxa"/>
          </w:tcPr>
          <w:p w14:paraId="393D689B" w14:textId="5E3779B2" w:rsidR="006B7453" w:rsidRPr="000972D1" w:rsidRDefault="00981421" w:rsidP="00D23D6D">
            <w:pPr>
              <w:jc w:val="center"/>
              <w:rPr>
                <w:rFonts w:ascii="Times New Roman" w:eastAsia="Times New Roman" w:hAnsi="Times New Roman" w:cs="Times New Roman"/>
                <w:color w:val="222222"/>
                <w:sz w:val="20"/>
                <w:szCs w:val="20"/>
                <w:shd w:val="clear" w:color="auto" w:fill="FFFFFF"/>
                <w:lang w:val="en-US"/>
              </w:rPr>
            </w:pPr>
            <w:r w:rsidRPr="000972D1">
              <w:rPr>
                <w:rFonts w:ascii="Times New Roman" w:eastAsia="Times New Roman" w:hAnsi="Times New Roman" w:cs="Times New Roman"/>
                <w:color w:val="222222"/>
                <w:sz w:val="20"/>
                <w:szCs w:val="20"/>
                <w:shd w:val="clear" w:color="auto" w:fill="FFFFFF"/>
                <w:lang w:val="en-US"/>
              </w:rPr>
              <w:t>2.12</w:t>
            </w:r>
          </w:p>
        </w:tc>
      </w:tr>
      <w:tr w:rsidR="006B7453" w:rsidRPr="00161AB9" w14:paraId="4D530E2B" w14:textId="03E2DABA" w:rsidTr="006B7453">
        <w:trPr>
          <w:trHeight w:val="108"/>
          <w:jc w:val="center"/>
        </w:trPr>
        <w:tc>
          <w:tcPr>
            <w:tcW w:w="1984" w:type="dxa"/>
            <w:noWrap/>
          </w:tcPr>
          <w:p w14:paraId="77849182" w14:textId="75466CEA" w:rsidR="006B7453" w:rsidRPr="00161AB9" w:rsidRDefault="006B7453" w:rsidP="00203345">
            <w:pPr>
              <w:spacing w:line="276" w:lineRule="auto"/>
              <w:jc w:val="lowKashida"/>
              <w:rPr>
                <w:rFonts w:ascii="Times New Roman" w:eastAsia="Times New Roman" w:hAnsi="Times New Roman" w:cs="Times New Roman"/>
                <w:color w:val="222222"/>
                <w:sz w:val="20"/>
                <w:szCs w:val="20"/>
                <w:shd w:val="clear" w:color="auto" w:fill="FFFFFF"/>
                <w:lang w:val="en-US"/>
              </w:rPr>
            </w:pPr>
            <w:r w:rsidRPr="00203345">
              <w:rPr>
                <w:rFonts w:ascii="Times New Roman" w:eastAsia="Times New Roman" w:hAnsi="Times New Roman" w:cs="Times New Roman"/>
                <w:color w:val="222222"/>
                <w:sz w:val="20"/>
                <w:szCs w:val="20"/>
                <w:shd w:val="clear" w:color="auto" w:fill="FFFFFF"/>
                <w:lang w:val="en-US"/>
              </w:rPr>
              <w:t>DISH</w:t>
            </w:r>
            <w:r w:rsidRPr="00161AB9">
              <w:rPr>
                <w:rFonts w:ascii="Times New Roman" w:eastAsia="Times New Roman" w:hAnsi="Times New Roman" w:cs="Times New Roman"/>
                <w:color w:val="222222"/>
                <w:sz w:val="20"/>
                <w:szCs w:val="20"/>
                <w:shd w:val="clear" w:color="auto" w:fill="FFFFFF"/>
                <w:lang w:val="en-US"/>
              </w:rPr>
              <w:t>%</w:t>
            </w:r>
          </w:p>
        </w:tc>
        <w:tc>
          <w:tcPr>
            <w:tcW w:w="1418" w:type="dxa"/>
            <w:noWrap/>
          </w:tcPr>
          <w:p w14:paraId="33CF2236" w14:textId="77777777" w:rsidR="006B7453" w:rsidRPr="00161AB9" w:rsidRDefault="006B7453" w:rsidP="00D23D6D">
            <w:pPr>
              <w:spacing w:line="276" w:lineRule="auto"/>
              <w:jc w:val="center"/>
              <w:rPr>
                <w:rFonts w:ascii="Times New Roman" w:eastAsia="Times New Roman" w:hAnsi="Times New Roman" w:cs="Times New Roman"/>
                <w:color w:val="222222"/>
                <w:sz w:val="20"/>
                <w:szCs w:val="20"/>
                <w:shd w:val="clear" w:color="auto" w:fill="FFFFFF"/>
                <w:lang w:val="en-US"/>
              </w:rPr>
            </w:pPr>
            <w:r w:rsidRPr="00161AB9">
              <w:rPr>
                <w:rFonts w:ascii="Times New Roman" w:eastAsia="Times New Roman" w:hAnsi="Times New Roman" w:cs="Times New Roman"/>
                <w:color w:val="222222"/>
                <w:sz w:val="20"/>
                <w:szCs w:val="20"/>
                <w:shd w:val="clear" w:color="auto" w:fill="FFFFFF"/>
                <w:lang w:val="en-US"/>
              </w:rPr>
              <w:t>44.94</w:t>
            </w:r>
          </w:p>
        </w:tc>
        <w:tc>
          <w:tcPr>
            <w:tcW w:w="1417" w:type="dxa"/>
            <w:noWrap/>
          </w:tcPr>
          <w:p w14:paraId="2C60405E" w14:textId="77777777" w:rsidR="006B7453" w:rsidRPr="00161AB9" w:rsidRDefault="006B7453" w:rsidP="00D23D6D">
            <w:pPr>
              <w:spacing w:line="276" w:lineRule="auto"/>
              <w:jc w:val="center"/>
              <w:rPr>
                <w:rFonts w:ascii="Times New Roman" w:eastAsia="Times New Roman" w:hAnsi="Times New Roman" w:cs="Times New Roman"/>
                <w:color w:val="222222"/>
                <w:sz w:val="20"/>
                <w:szCs w:val="20"/>
                <w:shd w:val="clear" w:color="auto" w:fill="FFFFFF"/>
                <w:lang w:val="en-US"/>
              </w:rPr>
            </w:pPr>
            <w:r w:rsidRPr="00161AB9">
              <w:rPr>
                <w:rFonts w:ascii="Times New Roman" w:eastAsia="Times New Roman" w:hAnsi="Times New Roman" w:cs="Times New Roman"/>
                <w:color w:val="222222"/>
                <w:sz w:val="20"/>
                <w:szCs w:val="20"/>
                <w:shd w:val="clear" w:color="auto" w:fill="FFFFFF"/>
                <w:lang w:val="en-US"/>
              </w:rPr>
              <w:t>47.89</w:t>
            </w:r>
          </w:p>
        </w:tc>
        <w:tc>
          <w:tcPr>
            <w:tcW w:w="1175" w:type="dxa"/>
            <w:noWrap/>
          </w:tcPr>
          <w:p w14:paraId="03922C52" w14:textId="77777777" w:rsidR="006B7453" w:rsidRPr="00161AB9" w:rsidRDefault="006B7453" w:rsidP="00D23D6D">
            <w:pPr>
              <w:spacing w:line="276" w:lineRule="auto"/>
              <w:jc w:val="center"/>
              <w:rPr>
                <w:rFonts w:ascii="Times New Roman" w:eastAsia="Times New Roman" w:hAnsi="Times New Roman" w:cs="Times New Roman"/>
                <w:color w:val="222222"/>
                <w:sz w:val="20"/>
                <w:szCs w:val="20"/>
                <w:shd w:val="clear" w:color="auto" w:fill="FFFFFF"/>
                <w:lang w:val="en-US"/>
              </w:rPr>
            </w:pPr>
            <w:r w:rsidRPr="00161AB9">
              <w:rPr>
                <w:rFonts w:ascii="Times New Roman" w:eastAsia="Times New Roman" w:hAnsi="Times New Roman" w:cs="Times New Roman"/>
                <w:color w:val="222222"/>
                <w:sz w:val="20"/>
                <w:szCs w:val="20"/>
                <w:shd w:val="clear" w:color="auto" w:fill="FFFFFF"/>
                <w:lang w:val="en-US"/>
              </w:rPr>
              <w:t>27.90</w:t>
            </w:r>
          </w:p>
        </w:tc>
        <w:tc>
          <w:tcPr>
            <w:tcW w:w="1276" w:type="dxa"/>
            <w:noWrap/>
          </w:tcPr>
          <w:p w14:paraId="19BAF4EC" w14:textId="77777777" w:rsidR="006B7453" w:rsidRPr="00161AB9" w:rsidRDefault="006B7453" w:rsidP="00D23D6D">
            <w:pPr>
              <w:spacing w:line="276" w:lineRule="auto"/>
              <w:jc w:val="center"/>
              <w:rPr>
                <w:rFonts w:ascii="Times New Roman" w:eastAsia="Times New Roman" w:hAnsi="Times New Roman" w:cs="Times New Roman"/>
                <w:color w:val="222222"/>
                <w:sz w:val="20"/>
                <w:szCs w:val="20"/>
                <w:shd w:val="clear" w:color="auto" w:fill="FFFFFF"/>
                <w:lang w:val="en-US"/>
              </w:rPr>
            </w:pPr>
            <w:r w:rsidRPr="00161AB9">
              <w:rPr>
                <w:rFonts w:ascii="Times New Roman" w:eastAsia="Times New Roman" w:hAnsi="Times New Roman" w:cs="Times New Roman"/>
                <w:color w:val="222222"/>
                <w:sz w:val="20"/>
                <w:szCs w:val="20"/>
                <w:shd w:val="clear" w:color="auto" w:fill="FFFFFF"/>
                <w:lang w:val="en-US"/>
              </w:rPr>
              <w:t>0</w:t>
            </w:r>
          </w:p>
        </w:tc>
        <w:tc>
          <w:tcPr>
            <w:tcW w:w="1373" w:type="dxa"/>
            <w:noWrap/>
          </w:tcPr>
          <w:p w14:paraId="3452BEE0" w14:textId="77777777" w:rsidR="006B7453" w:rsidRPr="00161AB9" w:rsidRDefault="006B7453" w:rsidP="00D23D6D">
            <w:pPr>
              <w:spacing w:line="276" w:lineRule="auto"/>
              <w:jc w:val="center"/>
              <w:rPr>
                <w:rFonts w:ascii="Times New Roman" w:eastAsia="Times New Roman" w:hAnsi="Times New Roman" w:cs="Times New Roman"/>
                <w:color w:val="222222"/>
                <w:sz w:val="20"/>
                <w:szCs w:val="20"/>
                <w:shd w:val="clear" w:color="auto" w:fill="FFFFFF"/>
                <w:lang w:val="en-US"/>
              </w:rPr>
            </w:pPr>
            <w:r w:rsidRPr="00161AB9">
              <w:rPr>
                <w:rFonts w:ascii="Times New Roman" w:eastAsia="Times New Roman" w:hAnsi="Times New Roman" w:cs="Times New Roman"/>
                <w:color w:val="222222"/>
                <w:sz w:val="20"/>
                <w:szCs w:val="20"/>
                <w:shd w:val="clear" w:color="auto" w:fill="FFFFFF"/>
                <w:lang w:val="en-US"/>
              </w:rPr>
              <w:t>98.92</w:t>
            </w:r>
          </w:p>
        </w:tc>
        <w:tc>
          <w:tcPr>
            <w:tcW w:w="995" w:type="dxa"/>
          </w:tcPr>
          <w:p w14:paraId="30EDD1EF" w14:textId="11447BF5" w:rsidR="006B7453" w:rsidRPr="000972D1" w:rsidRDefault="00981421" w:rsidP="00D23D6D">
            <w:pPr>
              <w:jc w:val="center"/>
              <w:rPr>
                <w:rFonts w:ascii="Times New Roman" w:eastAsia="Times New Roman" w:hAnsi="Times New Roman" w:cs="Times New Roman"/>
                <w:color w:val="222222"/>
                <w:sz w:val="20"/>
                <w:szCs w:val="20"/>
                <w:shd w:val="clear" w:color="auto" w:fill="FFFFFF"/>
                <w:lang w:val="en-US"/>
              </w:rPr>
            </w:pPr>
            <w:r w:rsidRPr="000972D1">
              <w:rPr>
                <w:rFonts w:ascii="Times New Roman" w:eastAsia="Times New Roman" w:hAnsi="Times New Roman" w:cs="Times New Roman"/>
                <w:color w:val="222222"/>
                <w:sz w:val="20"/>
                <w:szCs w:val="20"/>
                <w:shd w:val="clear" w:color="auto" w:fill="FFFFFF"/>
                <w:lang w:val="en-US"/>
              </w:rPr>
              <w:t>2.08</w:t>
            </w:r>
          </w:p>
        </w:tc>
      </w:tr>
      <w:tr w:rsidR="006B7453" w:rsidRPr="00161AB9" w14:paraId="4781B9DA" w14:textId="2E9B98CA" w:rsidTr="006B7453">
        <w:trPr>
          <w:trHeight w:val="108"/>
          <w:jc w:val="center"/>
        </w:trPr>
        <w:tc>
          <w:tcPr>
            <w:tcW w:w="1984" w:type="dxa"/>
            <w:noWrap/>
          </w:tcPr>
          <w:p w14:paraId="06535FD1" w14:textId="4677C55B" w:rsidR="006B7453" w:rsidRPr="00161AB9" w:rsidRDefault="006B7453" w:rsidP="00203345">
            <w:pPr>
              <w:jc w:val="lowKashida"/>
              <w:rPr>
                <w:rFonts w:ascii="Times New Roman" w:eastAsia="Times New Roman" w:hAnsi="Times New Roman" w:cs="Times New Roman"/>
                <w:color w:val="222222"/>
                <w:sz w:val="20"/>
                <w:szCs w:val="20"/>
                <w:shd w:val="clear" w:color="auto" w:fill="FFFFFF"/>
                <w:lang w:val="en-US"/>
              </w:rPr>
            </w:pPr>
            <w:r>
              <w:rPr>
                <w:rFonts w:ascii="Times New Roman" w:eastAsia="Times New Roman" w:hAnsi="Times New Roman" w:cs="Times New Roman"/>
                <w:color w:val="222222"/>
                <w:sz w:val="20"/>
                <w:szCs w:val="20"/>
                <w:shd w:val="clear" w:color="auto" w:fill="FFFFFF"/>
                <w:lang w:val="en-US"/>
              </w:rPr>
              <w:t>F</w:t>
            </w:r>
            <w:r w:rsidRPr="00203345">
              <w:rPr>
                <w:rFonts w:ascii="Times New Roman" w:eastAsia="Times New Roman" w:hAnsi="Times New Roman" w:cs="Times New Roman"/>
                <w:color w:val="222222"/>
                <w:sz w:val="20"/>
                <w:szCs w:val="20"/>
                <w:shd w:val="clear" w:color="auto" w:fill="FFFFFF"/>
                <w:lang w:val="en-US"/>
              </w:rPr>
              <w:t>LSH</w:t>
            </w:r>
            <w:r w:rsidRPr="00161AB9">
              <w:rPr>
                <w:rFonts w:ascii="Times New Roman" w:eastAsia="Times New Roman" w:hAnsi="Times New Roman" w:cs="Times New Roman"/>
                <w:color w:val="222222"/>
                <w:sz w:val="20"/>
                <w:szCs w:val="20"/>
                <w:shd w:val="clear" w:color="auto" w:fill="FFFFFF"/>
                <w:lang w:val="en-US"/>
              </w:rPr>
              <w:t>%</w:t>
            </w:r>
          </w:p>
        </w:tc>
        <w:tc>
          <w:tcPr>
            <w:tcW w:w="1418" w:type="dxa"/>
            <w:noWrap/>
          </w:tcPr>
          <w:p w14:paraId="478F8062" w14:textId="1903DAFE" w:rsidR="006B7453" w:rsidRPr="00161AB9" w:rsidRDefault="006B7453" w:rsidP="0030136C">
            <w:pPr>
              <w:jc w:val="center"/>
              <w:rPr>
                <w:rFonts w:ascii="Times New Roman" w:eastAsia="Times New Roman" w:hAnsi="Times New Roman" w:cs="Times New Roman"/>
                <w:color w:val="222222"/>
                <w:sz w:val="20"/>
                <w:szCs w:val="20"/>
                <w:shd w:val="clear" w:color="auto" w:fill="FFFFFF"/>
                <w:lang w:val="en-US"/>
              </w:rPr>
            </w:pPr>
            <w:r>
              <w:rPr>
                <w:rFonts w:ascii="Times New Roman" w:eastAsia="Times New Roman" w:hAnsi="Times New Roman" w:cs="Times New Roman"/>
                <w:color w:val="222222"/>
                <w:sz w:val="20"/>
                <w:szCs w:val="20"/>
                <w:shd w:val="clear" w:color="auto" w:fill="FFFFFF"/>
                <w:lang w:val="en-US"/>
              </w:rPr>
              <w:t>49</w:t>
            </w:r>
            <w:r w:rsidRPr="00161AB9">
              <w:rPr>
                <w:rFonts w:ascii="Times New Roman" w:eastAsia="Times New Roman" w:hAnsi="Times New Roman" w:cs="Times New Roman"/>
                <w:color w:val="222222"/>
                <w:sz w:val="20"/>
                <w:szCs w:val="20"/>
                <w:shd w:val="clear" w:color="auto" w:fill="FFFFFF"/>
                <w:lang w:val="en-US"/>
              </w:rPr>
              <w:t>.</w:t>
            </w:r>
            <w:r>
              <w:rPr>
                <w:rFonts w:ascii="Times New Roman" w:eastAsia="Times New Roman" w:hAnsi="Times New Roman" w:cs="Times New Roman"/>
                <w:color w:val="222222"/>
                <w:sz w:val="20"/>
                <w:szCs w:val="20"/>
                <w:shd w:val="clear" w:color="auto" w:fill="FFFFFF"/>
                <w:lang w:val="en-US"/>
              </w:rPr>
              <w:t>85</w:t>
            </w:r>
          </w:p>
        </w:tc>
        <w:tc>
          <w:tcPr>
            <w:tcW w:w="1417" w:type="dxa"/>
            <w:noWrap/>
          </w:tcPr>
          <w:p w14:paraId="673D16ED" w14:textId="6F300E6C" w:rsidR="006B7453" w:rsidRPr="00161AB9" w:rsidRDefault="006B7453" w:rsidP="0030136C">
            <w:pPr>
              <w:jc w:val="center"/>
              <w:rPr>
                <w:rFonts w:ascii="Times New Roman" w:eastAsia="Times New Roman" w:hAnsi="Times New Roman" w:cs="Times New Roman"/>
                <w:color w:val="222222"/>
                <w:sz w:val="20"/>
                <w:szCs w:val="20"/>
                <w:shd w:val="clear" w:color="auto" w:fill="FFFFFF"/>
                <w:lang w:val="en-US"/>
              </w:rPr>
            </w:pPr>
            <w:r>
              <w:rPr>
                <w:rFonts w:ascii="Times New Roman" w:eastAsia="Times New Roman" w:hAnsi="Times New Roman" w:cs="Times New Roman"/>
                <w:color w:val="222222"/>
                <w:sz w:val="20"/>
                <w:szCs w:val="20"/>
                <w:shd w:val="clear" w:color="auto" w:fill="FFFFFF"/>
                <w:lang w:val="en-US"/>
              </w:rPr>
              <w:t>47</w:t>
            </w:r>
            <w:r w:rsidRPr="00161AB9">
              <w:rPr>
                <w:rFonts w:ascii="Times New Roman" w:eastAsia="Times New Roman" w:hAnsi="Times New Roman" w:cs="Times New Roman"/>
                <w:color w:val="222222"/>
                <w:sz w:val="20"/>
                <w:szCs w:val="20"/>
                <w:shd w:val="clear" w:color="auto" w:fill="FFFFFF"/>
                <w:lang w:val="en-US"/>
              </w:rPr>
              <w:t>.</w:t>
            </w:r>
            <w:r>
              <w:rPr>
                <w:rFonts w:ascii="Times New Roman" w:eastAsia="Times New Roman" w:hAnsi="Times New Roman" w:cs="Times New Roman"/>
                <w:color w:val="222222"/>
                <w:sz w:val="20"/>
                <w:szCs w:val="20"/>
                <w:shd w:val="clear" w:color="auto" w:fill="FFFFFF"/>
                <w:lang w:val="en-US"/>
              </w:rPr>
              <w:t>06</w:t>
            </w:r>
          </w:p>
        </w:tc>
        <w:tc>
          <w:tcPr>
            <w:tcW w:w="1175" w:type="dxa"/>
            <w:noWrap/>
          </w:tcPr>
          <w:p w14:paraId="2DA56E72" w14:textId="5868EC30" w:rsidR="006B7453" w:rsidRPr="00161AB9" w:rsidRDefault="006B7453" w:rsidP="0030136C">
            <w:pPr>
              <w:jc w:val="center"/>
              <w:rPr>
                <w:rFonts w:ascii="Times New Roman" w:eastAsia="Times New Roman" w:hAnsi="Times New Roman" w:cs="Times New Roman"/>
                <w:color w:val="222222"/>
                <w:sz w:val="20"/>
                <w:szCs w:val="20"/>
                <w:shd w:val="clear" w:color="auto" w:fill="FFFFFF"/>
                <w:lang w:val="en-US"/>
              </w:rPr>
            </w:pPr>
            <w:r w:rsidRPr="00161AB9">
              <w:rPr>
                <w:rFonts w:ascii="Times New Roman" w:eastAsia="Times New Roman" w:hAnsi="Times New Roman" w:cs="Times New Roman"/>
                <w:color w:val="222222"/>
                <w:sz w:val="20"/>
                <w:szCs w:val="20"/>
                <w:shd w:val="clear" w:color="auto" w:fill="FFFFFF"/>
                <w:lang w:val="en-US"/>
              </w:rPr>
              <w:t>2</w:t>
            </w:r>
            <w:r>
              <w:rPr>
                <w:rFonts w:ascii="Times New Roman" w:eastAsia="Times New Roman" w:hAnsi="Times New Roman" w:cs="Times New Roman"/>
                <w:color w:val="222222"/>
                <w:sz w:val="20"/>
                <w:szCs w:val="20"/>
                <w:shd w:val="clear" w:color="auto" w:fill="FFFFFF"/>
                <w:lang w:val="en-US"/>
              </w:rPr>
              <w:t>8.39</w:t>
            </w:r>
          </w:p>
        </w:tc>
        <w:tc>
          <w:tcPr>
            <w:tcW w:w="1276" w:type="dxa"/>
            <w:noWrap/>
          </w:tcPr>
          <w:p w14:paraId="3E8AD7EB" w14:textId="62B25D07" w:rsidR="006B7453" w:rsidRPr="00161AB9" w:rsidRDefault="006B7453" w:rsidP="00D23D6D">
            <w:pPr>
              <w:jc w:val="center"/>
              <w:rPr>
                <w:rFonts w:ascii="Times New Roman" w:eastAsia="Times New Roman" w:hAnsi="Times New Roman" w:cs="Times New Roman"/>
                <w:color w:val="222222"/>
                <w:sz w:val="20"/>
                <w:szCs w:val="20"/>
                <w:shd w:val="clear" w:color="auto" w:fill="FFFFFF"/>
                <w:lang w:val="en-US"/>
              </w:rPr>
            </w:pPr>
            <w:r>
              <w:rPr>
                <w:rFonts w:ascii="Times New Roman" w:eastAsia="Times New Roman" w:hAnsi="Times New Roman" w:cs="Times New Roman"/>
                <w:color w:val="222222"/>
                <w:sz w:val="20"/>
                <w:szCs w:val="20"/>
                <w:shd w:val="clear" w:color="auto" w:fill="FFFFFF"/>
                <w:lang w:val="en-US"/>
              </w:rPr>
              <w:t>1.08</w:t>
            </w:r>
          </w:p>
        </w:tc>
        <w:tc>
          <w:tcPr>
            <w:tcW w:w="1373" w:type="dxa"/>
            <w:noWrap/>
          </w:tcPr>
          <w:p w14:paraId="6F8A174D" w14:textId="4F0C2491" w:rsidR="006B7453" w:rsidRPr="00161AB9" w:rsidRDefault="006B7453" w:rsidP="00D23D6D">
            <w:pPr>
              <w:jc w:val="center"/>
              <w:rPr>
                <w:rFonts w:ascii="Times New Roman" w:eastAsia="Times New Roman" w:hAnsi="Times New Roman" w:cs="Times New Roman"/>
                <w:color w:val="222222"/>
                <w:sz w:val="20"/>
                <w:szCs w:val="20"/>
                <w:shd w:val="clear" w:color="auto" w:fill="FFFFFF"/>
                <w:lang w:val="en-US"/>
              </w:rPr>
            </w:pPr>
            <w:r>
              <w:rPr>
                <w:rFonts w:ascii="Times New Roman" w:eastAsia="Times New Roman" w:hAnsi="Times New Roman" w:cs="Times New Roman"/>
                <w:color w:val="222222"/>
                <w:sz w:val="20"/>
                <w:szCs w:val="20"/>
                <w:shd w:val="clear" w:color="auto" w:fill="FFFFFF"/>
                <w:lang w:val="en-US"/>
              </w:rPr>
              <w:t>100</w:t>
            </w:r>
          </w:p>
        </w:tc>
        <w:tc>
          <w:tcPr>
            <w:tcW w:w="995" w:type="dxa"/>
          </w:tcPr>
          <w:p w14:paraId="2241447E" w14:textId="0B5414C3" w:rsidR="006B7453" w:rsidRPr="000972D1" w:rsidRDefault="00981421" w:rsidP="00D23D6D">
            <w:pPr>
              <w:jc w:val="center"/>
              <w:rPr>
                <w:rFonts w:ascii="Times New Roman" w:eastAsia="Times New Roman" w:hAnsi="Times New Roman" w:cs="Times New Roman"/>
                <w:color w:val="222222"/>
                <w:sz w:val="20"/>
                <w:szCs w:val="20"/>
                <w:shd w:val="clear" w:color="auto" w:fill="FFFFFF"/>
                <w:lang w:val="en-US"/>
              </w:rPr>
            </w:pPr>
            <w:r w:rsidRPr="000972D1">
              <w:rPr>
                <w:rFonts w:ascii="Times New Roman" w:eastAsia="Times New Roman" w:hAnsi="Times New Roman" w:cs="Times New Roman"/>
                <w:color w:val="222222"/>
                <w:sz w:val="20"/>
                <w:szCs w:val="20"/>
                <w:shd w:val="clear" w:color="auto" w:fill="FFFFFF"/>
                <w:lang w:val="en-US"/>
              </w:rPr>
              <w:t>2.28</w:t>
            </w:r>
          </w:p>
        </w:tc>
      </w:tr>
      <w:tr w:rsidR="006B7453" w:rsidRPr="00161AB9" w14:paraId="0109E45A" w14:textId="3CED57B6" w:rsidTr="006B7453">
        <w:trPr>
          <w:trHeight w:val="48"/>
          <w:jc w:val="center"/>
        </w:trPr>
        <w:tc>
          <w:tcPr>
            <w:tcW w:w="1984" w:type="dxa"/>
            <w:tcBorders>
              <w:bottom w:val="single" w:sz="12" w:space="0" w:color="auto"/>
            </w:tcBorders>
            <w:noWrap/>
          </w:tcPr>
          <w:p w14:paraId="56C3BFF4" w14:textId="77777777" w:rsidR="006B7453" w:rsidRPr="00161AB9" w:rsidRDefault="006B7453" w:rsidP="00D23D6D">
            <w:pPr>
              <w:spacing w:line="276" w:lineRule="auto"/>
              <w:jc w:val="lowKashida"/>
              <w:rPr>
                <w:rFonts w:ascii="Times New Roman" w:eastAsia="Times New Roman" w:hAnsi="Times New Roman" w:cs="Times New Roman"/>
                <w:color w:val="222222"/>
                <w:sz w:val="20"/>
                <w:szCs w:val="20"/>
                <w:shd w:val="clear" w:color="auto" w:fill="FFFFFF"/>
                <w:lang w:val="en-US"/>
              </w:rPr>
            </w:pPr>
            <w:r w:rsidRPr="00AA517C">
              <w:rPr>
                <w:rFonts w:ascii="Times New Roman" w:eastAsia="Times New Roman" w:hAnsi="Times New Roman" w:cs="Times New Roman"/>
                <w:bCs/>
                <w:color w:val="222222"/>
                <w:sz w:val="20"/>
                <w:szCs w:val="20"/>
                <w:shd w:val="clear" w:color="auto" w:fill="FFFFFF"/>
              </w:rPr>
              <w:t xml:space="preserve">NGI </w:t>
            </w:r>
            <w:r>
              <w:rPr>
                <w:rFonts w:ascii="Times New Roman" w:eastAsia="Times New Roman" w:hAnsi="Times New Roman" w:cs="Times New Roman"/>
                <w:bCs/>
                <w:color w:val="222222"/>
                <w:sz w:val="20"/>
                <w:szCs w:val="20"/>
                <w:shd w:val="clear" w:color="auto" w:fill="FFFFFF"/>
              </w:rPr>
              <w:t>%</w:t>
            </w:r>
          </w:p>
        </w:tc>
        <w:tc>
          <w:tcPr>
            <w:tcW w:w="1418" w:type="dxa"/>
            <w:tcBorders>
              <w:bottom w:val="single" w:sz="12" w:space="0" w:color="auto"/>
            </w:tcBorders>
            <w:noWrap/>
          </w:tcPr>
          <w:p w14:paraId="2EA7D2BA" w14:textId="356633FC" w:rsidR="006B7453" w:rsidRPr="00161AB9" w:rsidRDefault="006B7453" w:rsidP="00D23D6D">
            <w:pPr>
              <w:spacing w:line="276" w:lineRule="auto"/>
              <w:jc w:val="center"/>
              <w:rPr>
                <w:rFonts w:ascii="Times New Roman" w:eastAsia="Times New Roman" w:hAnsi="Times New Roman" w:cs="Times New Roman"/>
                <w:color w:val="222222"/>
                <w:sz w:val="20"/>
                <w:szCs w:val="20"/>
                <w:shd w:val="clear" w:color="auto" w:fill="FFFFFF"/>
                <w:lang w:val="en-US"/>
              </w:rPr>
            </w:pPr>
            <w:r>
              <w:rPr>
                <w:rFonts w:ascii="Times New Roman" w:eastAsia="Times New Roman" w:hAnsi="Times New Roman" w:cs="Times New Roman"/>
                <w:color w:val="222222"/>
                <w:sz w:val="20"/>
                <w:szCs w:val="20"/>
                <w:shd w:val="clear" w:color="auto" w:fill="FFFFFF"/>
                <w:lang w:val="en-US"/>
              </w:rPr>
              <w:t>49.37</w:t>
            </w:r>
          </w:p>
        </w:tc>
        <w:tc>
          <w:tcPr>
            <w:tcW w:w="1417" w:type="dxa"/>
            <w:tcBorders>
              <w:bottom w:val="single" w:sz="12" w:space="0" w:color="auto"/>
            </w:tcBorders>
            <w:noWrap/>
          </w:tcPr>
          <w:p w14:paraId="774BF04D" w14:textId="79EC199C" w:rsidR="006B7453" w:rsidRPr="00161AB9" w:rsidRDefault="006B7453" w:rsidP="00D23D6D">
            <w:pPr>
              <w:spacing w:line="276" w:lineRule="auto"/>
              <w:jc w:val="center"/>
              <w:rPr>
                <w:rFonts w:ascii="Times New Roman" w:eastAsia="Times New Roman" w:hAnsi="Times New Roman" w:cs="Times New Roman"/>
                <w:color w:val="222222"/>
                <w:sz w:val="20"/>
                <w:szCs w:val="20"/>
                <w:shd w:val="clear" w:color="auto" w:fill="FFFFFF"/>
                <w:lang w:val="en-US"/>
              </w:rPr>
            </w:pPr>
            <w:r>
              <w:rPr>
                <w:rFonts w:ascii="Times New Roman" w:eastAsia="Times New Roman" w:hAnsi="Times New Roman" w:cs="Times New Roman"/>
                <w:color w:val="222222"/>
                <w:sz w:val="20"/>
                <w:szCs w:val="20"/>
                <w:shd w:val="clear" w:color="auto" w:fill="FFFFFF"/>
                <w:lang w:val="en-US"/>
              </w:rPr>
              <w:t>49.71</w:t>
            </w:r>
          </w:p>
        </w:tc>
        <w:tc>
          <w:tcPr>
            <w:tcW w:w="1175" w:type="dxa"/>
            <w:tcBorders>
              <w:bottom w:val="single" w:sz="12" w:space="0" w:color="auto"/>
            </w:tcBorders>
            <w:noWrap/>
          </w:tcPr>
          <w:p w14:paraId="374EA5CC" w14:textId="06C0D7DC" w:rsidR="006B7453" w:rsidRPr="00161AB9" w:rsidRDefault="006B7453" w:rsidP="00D23D6D">
            <w:pPr>
              <w:spacing w:line="276" w:lineRule="auto"/>
              <w:jc w:val="center"/>
              <w:rPr>
                <w:rFonts w:ascii="Times New Roman" w:eastAsia="Times New Roman" w:hAnsi="Times New Roman" w:cs="Times New Roman"/>
                <w:color w:val="222222"/>
                <w:sz w:val="20"/>
                <w:szCs w:val="20"/>
                <w:shd w:val="clear" w:color="auto" w:fill="FFFFFF"/>
                <w:lang w:val="en-US"/>
              </w:rPr>
            </w:pPr>
            <w:r>
              <w:rPr>
                <w:rFonts w:ascii="Times New Roman" w:eastAsia="Times New Roman" w:hAnsi="Times New Roman" w:cs="Times New Roman"/>
                <w:color w:val="222222"/>
                <w:sz w:val="20"/>
                <w:szCs w:val="20"/>
                <w:shd w:val="clear" w:color="auto" w:fill="FFFFFF"/>
                <w:lang w:val="en-US"/>
              </w:rPr>
              <w:t>13.24</w:t>
            </w:r>
          </w:p>
        </w:tc>
        <w:tc>
          <w:tcPr>
            <w:tcW w:w="1276" w:type="dxa"/>
            <w:tcBorders>
              <w:bottom w:val="single" w:sz="12" w:space="0" w:color="auto"/>
            </w:tcBorders>
            <w:noWrap/>
          </w:tcPr>
          <w:p w14:paraId="5F3B4545" w14:textId="773B9FFC" w:rsidR="006B7453" w:rsidRPr="00161AB9" w:rsidRDefault="006B7453" w:rsidP="00D23D6D">
            <w:pPr>
              <w:spacing w:line="276" w:lineRule="auto"/>
              <w:jc w:val="center"/>
              <w:rPr>
                <w:rFonts w:ascii="Times New Roman" w:eastAsia="Times New Roman" w:hAnsi="Times New Roman" w:cs="Times New Roman"/>
                <w:color w:val="222222"/>
                <w:sz w:val="20"/>
                <w:szCs w:val="20"/>
                <w:shd w:val="clear" w:color="auto" w:fill="FFFFFF"/>
                <w:lang w:val="en-US"/>
              </w:rPr>
            </w:pPr>
            <w:r>
              <w:rPr>
                <w:rFonts w:ascii="Times New Roman" w:eastAsia="Times New Roman" w:hAnsi="Times New Roman" w:cs="Times New Roman"/>
                <w:color w:val="222222"/>
                <w:sz w:val="20"/>
                <w:szCs w:val="20"/>
                <w:shd w:val="clear" w:color="auto" w:fill="FFFFFF"/>
                <w:lang w:val="en-US"/>
              </w:rPr>
              <w:t>21.87</w:t>
            </w:r>
          </w:p>
        </w:tc>
        <w:tc>
          <w:tcPr>
            <w:tcW w:w="1373" w:type="dxa"/>
            <w:tcBorders>
              <w:bottom w:val="single" w:sz="12" w:space="0" w:color="auto"/>
            </w:tcBorders>
            <w:noWrap/>
          </w:tcPr>
          <w:p w14:paraId="7FDD50D0" w14:textId="50B20746" w:rsidR="006B7453" w:rsidRPr="00161AB9" w:rsidRDefault="006B7453" w:rsidP="000116CC">
            <w:pPr>
              <w:spacing w:line="276" w:lineRule="auto"/>
              <w:jc w:val="center"/>
              <w:rPr>
                <w:rFonts w:ascii="Times New Roman" w:eastAsia="Times New Roman" w:hAnsi="Times New Roman" w:cs="Times New Roman"/>
                <w:color w:val="222222"/>
                <w:sz w:val="20"/>
                <w:szCs w:val="20"/>
                <w:shd w:val="clear" w:color="auto" w:fill="FFFFFF"/>
                <w:lang w:val="en-US"/>
              </w:rPr>
            </w:pPr>
            <w:r>
              <w:rPr>
                <w:rFonts w:ascii="Times New Roman" w:eastAsia="Times New Roman" w:hAnsi="Times New Roman" w:cs="Times New Roman"/>
                <w:color w:val="222222"/>
                <w:sz w:val="20"/>
                <w:szCs w:val="20"/>
                <w:shd w:val="clear" w:color="auto" w:fill="FFFFFF"/>
                <w:lang w:val="en-US"/>
              </w:rPr>
              <w:t>71.03</w:t>
            </w:r>
          </w:p>
        </w:tc>
        <w:tc>
          <w:tcPr>
            <w:tcW w:w="995" w:type="dxa"/>
            <w:tcBorders>
              <w:bottom w:val="single" w:sz="12" w:space="0" w:color="auto"/>
            </w:tcBorders>
          </w:tcPr>
          <w:p w14:paraId="784AB4F5" w14:textId="33AD3D81" w:rsidR="006B7453" w:rsidRPr="000972D1" w:rsidRDefault="00981421" w:rsidP="000116CC">
            <w:pPr>
              <w:jc w:val="center"/>
              <w:rPr>
                <w:rFonts w:ascii="Times New Roman" w:eastAsia="Times New Roman" w:hAnsi="Times New Roman" w:cs="Times New Roman"/>
                <w:color w:val="222222"/>
                <w:sz w:val="20"/>
                <w:szCs w:val="20"/>
                <w:shd w:val="clear" w:color="auto" w:fill="FFFFFF"/>
                <w:lang w:val="en-US"/>
              </w:rPr>
            </w:pPr>
            <w:r w:rsidRPr="000972D1">
              <w:rPr>
                <w:rFonts w:ascii="Times New Roman" w:eastAsia="Times New Roman" w:hAnsi="Times New Roman" w:cs="Times New Roman"/>
                <w:color w:val="222222"/>
                <w:sz w:val="20"/>
                <w:szCs w:val="20"/>
                <w:shd w:val="clear" w:color="auto" w:fill="FFFFFF"/>
                <w:lang w:val="en-US"/>
              </w:rPr>
              <w:t>2.33</w:t>
            </w:r>
          </w:p>
        </w:tc>
      </w:tr>
      <w:tr w:rsidR="006B7453" w:rsidRPr="00161AB9" w14:paraId="3812B6FC" w14:textId="650D2505" w:rsidTr="006B7453">
        <w:trPr>
          <w:trHeight w:val="48"/>
          <w:jc w:val="center"/>
        </w:trPr>
        <w:tc>
          <w:tcPr>
            <w:tcW w:w="8643" w:type="dxa"/>
            <w:gridSpan w:val="6"/>
            <w:tcBorders>
              <w:top w:val="single" w:sz="12" w:space="0" w:color="auto"/>
              <w:bottom w:val="single" w:sz="12" w:space="0" w:color="auto"/>
            </w:tcBorders>
            <w:noWrap/>
            <w:hideMark/>
          </w:tcPr>
          <w:p w14:paraId="7389FD5A" w14:textId="77777777" w:rsidR="006B7453" w:rsidRPr="00161AB9" w:rsidRDefault="006B7453" w:rsidP="00D23D6D">
            <w:pPr>
              <w:spacing w:line="276" w:lineRule="auto"/>
              <w:jc w:val="lowKashida"/>
              <w:rPr>
                <w:rFonts w:ascii="Times New Roman" w:eastAsia="Times New Roman" w:hAnsi="Times New Roman" w:cs="Times New Roman"/>
                <w:color w:val="222222"/>
                <w:sz w:val="20"/>
                <w:szCs w:val="20"/>
                <w:shd w:val="clear" w:color="auto" w:fill="FFFFFF"/>
                <w:lang w:val="en-US"/>
              </w:rPr>
            </w:pPr>
            <w:r w:rsidRPr="00161AB9">
              <w:rPr>
                <w:rFonts w:ascii="Times New Roman" w:eastAsia="Times New Roman" w:hAnsi="Times New Roman" w:cs="Times New Roman"/>
                <w:b/>
                <w:color w:val="222222"/>
                <w:sz w:val="20"/>
                <w:szCs w:val="20"/>
                <w:shd w:val="clear" w:color="auto" w:fill="FFFFFF"/>
                <w:lang w:val="en-US"/>
              </w:rPr>
              <w:t xml:space="preserve">Panel </w:t>
            </w:r>
            <w:r>
              <w:rPr>
                <w:rFonts w:ascii="Times New Roman" w:eastAsia="Times New Roman" w:hAnsi="Times New Roman" w:cs="Times New Roman"/>
                <w:b/>
                <w:color w:val="222222"/>
                <w:sz w:val="20"/>
                <w:szCs w:val="20"/>
                <w:shd w:val="clear" w:color="auto" w:fill="FFFFFF"/>
                <w:lang w:val="en-US"/>
              </w:rPr>
              <w:t>C</w:t>
            </w:r>
            <w:r w:rsidRPr="00161AB9">
              <w:rPr>
                <w:rFonts w:ascii="Times New Roman" w:eastAsia="Times New Roman" w:hAnsi="Times New Roman" w:cs="Times New Roman"/>
                <w:b/>
                <w:color w:val="222222"/>
                <w:sz w:val="20"/>
                <w:szCs w:val="20"/>
                <w:shd w:val="clear" w:color="auto" w:fill="FFFFFF"/>
                <w:lang w:val="en-US"/>
              </w:rPr>
              <w:t>: Firm control variables</w:t>
            </w:r>
          </w:p>
        </w:tc>
        <w:tc>
          <w:tcPr>
            <w:tcW w:w="995" w:type="dxa"/>
            <w:tcBorders>
              <w:top w:val="single" w:sz="12" w:space="0" w:color="auto"/>
              <w:bottom w:val="single" w:sz="12" w:space="0" w:color="auto"/>
            </w:tcBorders>
          </w:tcPr>
          <w:p w14:paraId="44522122" w14:textId="77777777" w:rsidR="006B7453" w:rsidRPr="000972D1" w:rsidRDefault="006B7453" w:rsidP="00D23D6D">
            <w:pPr>
              <w:jc w:val="lowKashida"/>
              <w:rPr>
                <w:rFonts w:ascii="Times New Roman" w:eastAsia="Times New Roman" w:hAnsi="Times New Roman" w:cs="Times New Roman"/>
                <w:b/>
                <w:color w:val="222222"/>
                <w:sz w:val="20"/>
                <w:szCs w:val="20"/>
                <w:shd w:val="clear" w:color="auto" w:fill="FFFFFF"/>
                <w:lang w:val="en-US"/>
              </w:rPr>
            </w:pPr>
          </w:p>
        </w:tc>
      </w:tr>
      <w:tr w:rsidR="006B7453" w:rsidRPr="00161AB9" w14:paraId="049F9432" w14:textId="1DCDF9E8" w:rsidTr="006B7453">
        <w:trPr>
          <w:trHeight w:val="57"/>
          <w:jc w:val="center"/>
        </w:trPr>
        <w:tc>
          <w:tcPr>
            <w:tcW w:w="1984" w:type="dxa"/>
            <w:tcBorders>
              <w:top w:val="single" w:sz="12" w:space="0" w:color="auto"/>
            </w:tcBorders>
            <w:noWrap/>
          </w:tcPr>
          <w:p w14:paraId="4102B9F6" w14:textId="77777777" w:rsidR="006B7453" w:rsidRPr="00161AB9" w:rsidRDefault="006B7453" w:rsidP="00D23D6D">
            <w:pPr>
              <w:spacing w:line="276" w:lineRule="auto"/>
              <w:jc w:val="lowKashida"/>
              <w:rPr>
                <w:rFonts w:ascii="Times New Roman" w:eastAsia="Times New Roman" w:hAnsi="Times New Roman" w:cs="Times New Roman"/>
                <w:color w:val="222222"/>
                <w:sz w:val="20"/>
                <w:szCs w:val="20"/>
                <w:shd w:val="clear" w:color="auto" w:fill="FFFFFF"/>
                <w:lang w:val="en-US"/>
              </w:rPr>
            </w:pPr>
            <w:r w:rsidRPr="00161AB9">
              <w:rPr>
                <w:rFonts w:ascii="Times New Roman" w:eastAsia="Times New Roman" w:hAnsi="Times New Roman" w:cs="Times New Roman"/>
                <w:color w:val="222222"/>
                <w:sz w:val="20"/>
                <w:szCs w:val="20"/>
                <w:shd w:val="clear" w:color="auto" w:fill="FFFFFF"/>
                <w:lang w:val="en-US"/>
              </w:rPr>
              <w:t>LNTA ($000,000)</w:t>
            </w:r>
          </w:p>
        </w:tc>
        <w:tc>
          <w:tcPr>
            <w:tcW w:w="1418" w:type="dxa"/>
            <w:tcBorders>
              <w:top w:val="single" w:sz="12" w:space="0" w:color="auto"/>
            </w:tcBorders>
            <w:noWrap/>
          </w:tcPr>
          <w:p w14:paraId="20A4F919" w14:textId="77777777" w:rsidR="006B7453" w:rsidRPr="00161AB9" w:rsidRDefault="006B7453" w:rsidP="00D23D6D">
            <w:pPr>
              <w:jc w:val="center"/>
              <w:rPr>
                <w:rFonts w:ascii="Times New Roman" w:eastAsia="Times New Roman" w:hAnsi="Times New Roman" w:cs="Times New Roman"/>
                <w:color w:val="222222"/>
                <w:sz w:val="20"/>
                <w:szCs w:val="20"/>
                <w:shd w:val="clear" w:color="auto" w:fill="FFFFFF"/>
                <w:lang w:val="en-US"/>
              </w:rPr>
            </w:pPr>
            <w:r w:rsidRPr="00161AB9">
              <w:rPr>
                <w:rFonts w:ascii="Times New Roman" w:eastAsia="Times New Roman" w:hAnsi="Times New Roman" w:cs="Times New Roman"/>
                <w:color w:val="222222"/>
                <w:sz w:val="20"/>
                <w:szCs w:val="20"/>
                <w:shd w:val="clear" w:color="auto" w:fill="FFFFFF"/>
                <w:lang w:val="en-US"/>
              </w:rPr>
              <w:t>2089.75</w:t>
            </w:r>
          </w:p>
        </w:tc>
        <w:tc>
          <w:tcPr>
            <w:tcW w:w="1417" w:type="dxa"/>
            <w:tcBorders>
              <w:top w:val="single" w:sz="12" w:space="0" w:color="auto"/>
            </w:tcBorders>
            <w:noWrap/>
          </w:tcPr>
          <w:p w14:paraId="73F4E8AE" w14:textId="77777777" w:rsidR="006B7453" w:rsidRPr="00161AB9" w:rsidRDefault="006B7453" w:rsidP="00D23D6D">
            <w:pPr>
              <w:jc w:val="center"/>
              <w:rPr>
                <w:rFonts w:ascii="Times New Roman" w:eastAsia="Times New Roman" w:hAnsi="Times New Roman" w:cs="Times New Roman"/>
                <w:color w:val="222222"/>
                <w:sz w:val="20"/>
                <w:szCs w:val="20"/>
                <w:shd w:val="clear" w:color="auto" w:fill="FFFFFF"/>
                <w:lang w:val="en-US"/>
              </w:rPr>
            </w:pPr>
            <w:r w:rsidRPr="00161AB9">
              <w:rPr>
                <w:rFonts w:ascii="Times New Roman" w:eastAsia="Times New Roman" w:hAnsi="Times New Roman" w:cs="Times New Roman"/>
                <w:color w:val="222222"/>
                <w:sz w:val="20"/>
                <w:szCs w:val="20"/>
                <w:shd w:val="clear" w:color="auto" w:fill="FFFFFF"/>
                <w:lang w:val="en-US"/>
              </w:rPr>
              <w:t>184.45</w:t>
            </w:r>
          </w:p>
        </w:tc>
        <w:tc>
          <w:tcPr>
            <w:tcW w:w="1175" w:type="dxa"/>
            <w:tcBorders>
              <w:top w:val="single" w:sz="12" w:space="0" w:color="auto"/>
            </w:tcBorders>
            <w:noWrap/>
          </w:tcPr>
          <w:p w14:paraId="158F48AF" w14:textId="77777777" w:rsidR="006B7453" w:rsidRPr="00161AB9" w:rsidRDefault="006B7453" w:rsidP="00D23D6D">
            <w:pPr>
              <w:jc w:val="center"/>
              <w:rPr>
                <w:rFonts w:ascii="Times New Roman" w:eastAsia="Times New Roman" w:hAnsi="Times New Roman" w:cs="Times New Roman"/>
                <w:color w:val="222222"/>
                <w:sz w:val="20"/>
                <w:szCs w:val="20"/>
                <w:shd w:val="clear" w:color="auto" w:fill="FFFFFF"/>
                <w:lang w:val="en-US"/>
              </w:rPr>
            </w:pPr>
            <w:r w:rsidRPr="00161AB9">
              <w:rPr>
                <w:rFonts w:ascii="Times New Roman" w:eastAsia="Times New Roman" w:hAnsi="Times New Roman" w:cs="Times New Roman"/>
                <w:color w:val="222222"/>
                <w:sz w:val="20"/>
                <w:szCs w:val="20"/>
                <w:shd w:val="clear" w:color="auto" w:fill="FFFFFF"/>
                <w:lang w:val="en-US"/>
              </w:rPr>
              <w:t>5728.52</w:t>
            </w:r>
          </w:p>
        </w:tc>
        <w:tc>
          <w:tcPr>
            <w:tcW w:w="1276" w:type="dxa"/>
            <w:tcBorders>
              <w:top w:val="single" w:sz="12" w:space="0" w:color="auto"/>
            </w:tcBorders>
            <w:noWrap/>
          </w:tcPr>
          <w:p w14:paraId="34E42396" w14:textId="77777777" w:rsidR="006B7453" w:rsidRPr="00161AB9" w:rsidRDefault="006B7453" w:rsidP="00D23D6D">
            <w:pPr>
              <w:jc w:val="center"/>
              <w:rPr>
                <w:rFonts w:ascii="Times New Roman" w:eastAsia="Times New Roman" w:hAnsi="Times New Roman" w:cs="Times New Roman"/>
                <w:color w:val="222222"/>
                <w:sz w:val="20"/>
                <w:szCs w:val="20"/>
                <w:shd w:val="clear" w:color="auto" w:fill="FFFFFF"/>
                <w:lang w:val="en-US"/>
              </w:rPr>
            </w:pPr>
            <w:r w:rsidRPr="00161AB9">
              <w:rPr>
                <w:rFonts w:ascii="Times New Roman" w:eastAsia="Times New Roman" w:hAnsi="Times New Roman" w:cs="Times New Roman"/>
                <w:color w:val="222222"/>
                <w:sz w:val="20"/>
                <w:szCs w:val="20"/>
                <w:shd w:val="clear" w:color="auto" w:fill="FFFFFF"/>
                <w:lang w:val="en-US"/>
              </w:rPr>
              <w:t>3.45</w:t>
            </w:r>
          </w:p>
        </w:tc>
        <w:tc>
          <w:tcPr>
            <w:tcW w:w="1373" w:type="dxa"/>
            <w:tcBorders>
              <w:top w:val="single" w:sz="12" w:space="0" w:color="auto"/>
            </w:tcBorders>
            <w:noWrap/>
          </w:tcPr>
          <w:p w14:paraId="2F360C4E" w14:textId="77777777" w:rsidR="006B7453" w:rsidRPr="00161AB9" w:rsidRDefault="006B7453" w:rsidP="00D23D6D">
            <w:pPr>
              <w:jc w:val="center"/>
              <w:rPr>
                <w:rFonts w:ascii="Times New Roman" w:eastAsia="Times New Roman" w:hAnsi="Times New Roman" w:cs="Times New Roman"/>
                <w:color w:val="222222"/>
                <w:sz w:val="20"/>
                <w:szCs w:val="20"/>
                <w:shd w:val="clear" w:color="auto" w:fill="FFFFFF"/>
                <w:lang w:val="en-US"/>
              </w:rPr>
            </w:pPr>
            <w:r w:rsidRPr="00161AB9">
              <w:rPr>
                <w:rFonts w:ascii="Times New Roman" w:eastAsia="Times New Roman" w:hAnsi="Times New Roman" w:cs="Times New Roman"/>
                <w:color w:val="222222"/>
                <w:sz w:val="20"/>
                <w:szCs w:val="20"/>
                <w:shd w:val="clear" w:color="auto" w:fill="FFFFFF"/>
                <w:lang w:val="en-US"/>
              </w:rPr>
              <w:t>35222.66</w:t>
            </w:r>
          </w:p>
        </w:tc>
        <w:tc>
          <w:tcPr>
            <w:tcW w:w="995" w:type="dxa"/>
            <w:tcBorders>
              <w:top w:val="single" w:sz="12" w:space="0" w:color="auto"/>
            </w:tcBorders>
          </w:tcPr>
          <w:p w14:paraId="01F909FC" w14:textId="181D4E57" w:rsidR="006B7453" w:rsidRPr="000972D1" w:rsidRDefault="00981421" w:rsidP="00D23D6D">
            <w:pPr>
              <w:jc w:val="center"/>
              <w:rPr>
                <w:rFonts w:ascii="Times New Roman" w:eastAsia="Times New Roman" w:hAnsi="Times New Roman" w:cs="Times New Roman"/>
                <w:color w:val="222222"/>
                <w:sz w:val="20"/>
                <w:szCs w:val="20"/>
                <w:shd w:val="clear" w:color="auto" w:fill="FFFFFF"/>
                <w:lang w:val="en-US"/>
              </w:rPr>
            </w:pPr>
            <w:r w:rsidRPr="000972D1">
              <w:rPr>
                <w:rFonts w:ascii="Times New Roman" w:eastAsia="Times New Roman" w:hAnsi="Times New Roman" w:cs="Times New Roman"/>
                <w:color w:val="222222"/>
                <w:sz w:val="20"/>
                <w:szCs w:val="20"/>
                <w:shd w:val="clear" w:color="auto" w:fill="FFFFFF"/>
                <w:lang w:val="en-US"/>
              </w:rPr>
              <w:t>2.69</w:t>
            </w:r>
          </w:p>
        </w:tc>
      </w:tr>
      <w:tr w:rsidR="006B7453" w:rsidRPr="00161AB9" w14:paraId="01A324C9" w14:textId="4A00ADB6" w:rsidTr="006B7453">
        <w:trPr>
          <w:trHeight w:val="57"/>
          <w:jc w:val="center"/>
        </w:trPr>
        <w:tc>
          <w:tcPr>
            <w:tcW w:w="1984" w:type="dxa"/>
            <w:noWrap/>
          </w:tcPr>
          <w:p w14:paraId="7904EEE5" w14:textId="77777777" w:rsidR="006B7453" w:rsidRPr="00161AB9" w:rsidRDefault="006B7453" w:rsidP="00D23D6D">
            <w:pPr>
              <w:spacing w:line="276" w:lineRule="auto"/>
              <w:jc w:val="lowKashida"/>
              <w:rPr>
                <w:rFonts w:ascii="Times New Roman" w:eastAsia="Times New Roman" w:hAnsi="Times New Roman" w:cs="Times New Roman"/>
                <w:color w:val="222222"/>
                <w:sz w:val="20"/>
                <w:szCs w:val="20"/>
                <w:shd w:val="clear" w:color="auto" w:fill="FFFFFF"/>
                <w:lang w:val="en-US"/>
              </w:rPr>
            </w:pPr>
            <w:r w:rsidRPr="00161AB9">
              <w:rPr>
                <w:rFonts w:ascii="Times New Roman" w:eastAsia="Times New Roman" w:hAnsi="Times New Roman" w:cs="Times New Roman"/>
                <w:color w:val="222222"/>
                <w:sz w:val="20"/>
                <w:szCs w:val="20"/>
                <w:shd w:val="clear" w:color="auto" w:fill="FFFFFF"/>
                <w:lang w:val="en-US"/>
              </w:rPr>
              <w:t>BUSY%</w:t>
            </w:r>
          </w:p>
        </w:tc>
        <w:tc>
          <w:tcPr>
            <w:tcW w:w="1418" w:type="dxa"/>
            <w:noWrap/>
          </w:tcPr>
          <w:p w14:paraId="4D4DB1E4" w14:textId="77777777" w:rsidR="006B7453" w:rsidRPr="00161AB9" w:rsidRDefault="006B7453" w:rsidP="00D23D6D">
            <w:pPr>
              <w:jc w:val="center"/>
              <w:rPr>
                <w:rFonts w:ascii="Times New Roman" w:eastAsia="Times New Roman" w:hAnsi="Times New Roman" w:cs="Times New Roman"/>
                <w:color w:val="222222"/>
                <w:sz w:val="20"/>
                <w:szCs w:val="20"/>
                <w:shd w:val="clear" w:color="auto" w:fill="FFFFFF"/>
                <w:lang w:val="en-US"/>
              </w:rPr>
            </w:pPr>
            <w:r w:rsidRPr="00161AB9">
              <w:rPr>
                <w:rFonts w:ascii="Times New Roman" w:eastAsia="Times New Roman" w:hAnsi="Times New Roman" w:cs="Times New Roman"/>
                <w:color w:val="222222"/>
                <w:sz w:val="20"/>
                <w:szCs w:val="20"/>
                <w:shd w:val="clear" w:color="auto" w:fill="FFFFFF"/>
                <w:lang w:val="en-US"/>
              </w:rPr>
              <w:t>95</w:t>
            </w:r>
          </w:p>
        </w:tc>
        <w:tc>
          <w:tcPr>
            <w:tcW w:w="1417" w:type="dxa"/>
            <w:noWrap/>
          </w:tcPr>
          <w:p w14:paraId="38AE447B" w14:textId="77777777" w:rsidR="006B7453" w:rsidRPr="00161AB9" w:rsidRDefault="006B7453" w:rsidP="00D23D6D">
            <w:pPr>
              <w:jc w:val="center"/>
              <w:rPr>
                <w:rFonts w:ascii="Times New Roman" w:eastAsia="Times New Roman" w:hAnsi="Times New Roman" w:cs="Times New Roman"/>
                <w:color w:val="222222"/>
                <w:sz w:val="20"/>
                <w:szCs w:val="20"/>
                <w:shd w:val="clear" w:color="auto" w:fill="FFFFFF"/>
                <w:lang w:val="en-US"/>
              </w:rPr>
            </w:pPr>
            <w:r w:rsidRPr="00161AB9">
              <w:rPr>
                <w:rFonts w:ascii="Times New Roman" w:eastAsia="Times New Roman" w:hAnsi="Times New Roman" w:cs="Times New Roman"/>
                <w:color w:val="222222"/>
                <w:sz w:val="20"/>
                <w:szCs w:val="20"/>
                <w:shd w:val="clear" w:color="auto" w:fill="FFFFFF"/>
                <w:lang w:val="en-US"/>
              </w:rPr>
              <w:t>100</w:t>
            </w:r>
          </w:p>
        </w:tc>
        <w:tc>
          <w:tcPr>
            <w:tcW w:w="1175" w:type="dxa"/>
            <w:noWrap/>
          </w:tcPr>
          <w:p w14:paraId="1085F58F" w14:textId="77777777" w:rsidR="006B7453" w:rsidRPr="00161AB9" w:rsidRDefault="006B7453" w:rsidP="00D23D6D">
            <w:pPr>
              <w:jc w:val="center"/>
              <w:rPr>
                <w:rFonts w:ascii="Times New Roman" w:eastAsia="Times New Roman" w:hAnsi="Times New Roman" w:cs="Times New Roman"/>
                <w:color w:val="222222"/>
                <w:sz w:val="20"/>
                <w:szCs w:val="20"/>
                <w:shd w:val="clear" w:color="auto" w:fill="FFFFFF"/>
                <w:lang w:val="en-US"/>
              </w:rPr>
            </w:pPr>
            <w:r w:rsidRPr="00161AB9">
              <w:rPr>
                <w:rFonts w:ascii="Times New Roman" w:eastAsia="Times New Roman" w:hAnsi="Times New Roman" w:cs="Times New Roman"/>
                <w:color w:val="222222"/>
                <w:sz w:val="20"/>
                <w:szCs w:val="20"/>
                <w:shd w:val="clear" w:color="auto" w:fill="FFFFFF"/>
                <w:lang w:val="en-US"/>
              </w:rPr>
              <w:t>22.50</w:t>
            </w:r>
          </w:p>
        </w:tc>
        <w:tc>
          <w:tcPr>
            <w:tcW w:w="1276" w:type="dxa"/>
            <w:noWrap/>
          </w:tcPr>
          <w:p w14:paraId="7E2A1E60" w14:textId="77777777" w:rsidR="006B7453" w:rsidRPr="00161AB9" w:rsidRDefault="006B7453" w:rsidP="00D23D6D">
            <w:pPr>
              <w:jc w:val="center"/>
              <w:rPr>
                <w:rFonts w:ascii="Times New Roman" w:eastAsia="Times New Roman" w:hAnsi="Times New Roman" w:cs="Times New Roman"/>
                <w:color w:val="222222"/>
                <w:sz w:val="20"/>
                <w:szCs w:val="20"/>
                <w:shd w:val="clear" w:color="auto" w:fill="FFFFFF"/>
                <w:lang w:val="en-US"/>
              </w:rPr>
            </w:pPr>
            <w:r w:rsidRPr="00161AB9">
              <w:rPr>
                <w:rFonts w:ascii="Times New Roman" w:eastAsia="Times New Roman" w:hAnsi="Times New Roman" w:cs="Times New Roman"/>
                <w:color w:val="222222"/>
                <w:sz w:val="20"/>
                <w:szCs w:val="20"/>
                <w:shd w:val="clear" w:color="auto" w:fill="FFFFFF"/>
                <w:lang w:val="en-US"/>
              </w:rPr>
              <w:t>0</w:t>
            </w:r>
          </w:p>
        </w:tc>
        <w:tc>
          <w:tcPr>
            <w:tcW w:w="1373" w:type="dxa"/>
            <w:noWrap/>
          </w:tcPr>
          <w:p w14:paraId="30DC4841" w14:textId="77777777" w:rsidR="006B7453" w:rsidRPr="00161AB9" w:rsidRDefault="006B7453" w:rsidP="00D23D6D">
            <w:pPr>
              <w:jc w:val="center"/>
              <w:rPr>
                <w:rFonts w:ascii="Times New Roman" w:eastAsia="Times New Roman" w:hAnsi="Times New Roman" w:cs="Times New Roman"/>
                <w:color w:val="222222"/>
                <w:sz w:val="20"/>
                <w:szCs w:val="20"/>
                <w:shd w:val="clear" w:color="auto" w:fill="FFFFFF"/>
                <w:lang w:val="en-US"/>
              </w:rPr>
            </w:pPr>
            <w:r w:rsidRPr="00161AB9">
              <w:rPr>
                <w:rFonts w:ascii="Times New Roman" w:eastAsia="Times New Roman" w:hAnsi="Times New Roman" w:cs="Times New Roman"/>
                <w:color w:val="222222"/>
                <w:sz w:val="20"/>
                <w:szCs w:val="20"/>
                <w:shd w:val="clear" w:color="auto" w:fill="FFFFFF"/>
                <w:lang w:val="en-US"/>
              </w:rPr>
              <w:t>100</w:t>
            </w:r>
          </w:p>
        </w:tc>
        <w:tc>
          <w:tcPr>
            <w:tcW w:w="995" w:type="dxa"/>
          </w:tcPr>
          <w:p w14:paraId="1714FC8F" w14:textId="3753163B" w:rsidR="006B7453" w:rsidRPr="000972D1" w:rsidRDefault="00981421" w:rsidP="00D23D6D">
            <w:pPr>
              <w:jc w:val="center"/>
              <w:rPr>
                <w:rFonts w:ascii="Times New Roman" w:eastAsia="Times New Roman" w:hAnsi="Times New Roman" w:cs="Times New Roman"/>
                <w:color w:val="222222"/>
                <w:sz w:val="20"/>
                <w:szCs w:val="20"/>
                <w:shd w:val="clear" w:color="auto" w:fill="FFFFFF"/>
                <w:lang w:val="en-US"/>
              </w:rPr>
            </w:pPr>
            <w:r w:rsidRPr="000972D1">
              <w:rPr>
                <w:rFonts w:ascii="Times New Roman" w:eastAsia="Times New Roman" w:hAnsi="Times New Roman" w:cs="Times New Roman"/>
                <w:color w:val="222222"/>
                <w:sz w:val="20"/>
                <w:szCs w:val="20"/>
                <w:shd w:val="clear" w:color="auto" w:fill="FFFFFF"/>
                <w:lang w:val="en-US"/>
              </w:rPr>
              <w:t>1.54</w:t>
            </w:r>
          </w:p>
        </w:tc>
      </w:tr>
      <w:tr w:rsidR="006B7453" w:rsidRPr="00161AB9" w14:paraId="3F3337C8" w14:textId="1B29B179" w:rsidTr="006B7453">
        <w:trPr>
          <w:trHeight w:val="57"/>
          <w:jc w:val="center"/>
        </w:trPr>
        <w:tc>
          <w:tcPr>
            <w:tcW w:w="1984" w:type="dxa"/>
            <w:noWrap/>
          </w:tcPr>
          <w:p w14:paraId="6AC6D6C2" w14:textId="5E3A42BA" w:rsidR="006B7453" w:rsidRPr="00161AB9" w:rsidRDefault="006B7453" w:rsidP="00D23D6D">
            <w:pPr>
              <w:spacing w:line="276" w:lineRule="auto"/>
              <w:jc w:val="lowKashida"/>
              <w:rPr>
                <w:rFonts w:ascii="Times New Roman" w:eastAsia="Times New Roman" w:hAnsi="Times New Roman" w:cs="Times New Roman"/>
                <w:color w:val="222222"/>
                <w:sz w:val="20"/>
                <w:szCs w:val="20"/>
                <w:shd w:val="clear" w:color="auto" w:fill="FFFFFF"/>
                <w:lang w:val="en-US"/>
              </w:rPr>
            </w:pPr>
            <w:r>
              <w:rPr>
                <w:rFonts w:ascii="Times New Roman" w:eastAsia="Times New Roman" w:hAnsi="Times New Roman" w:cs="Times New Roman"/>
                <w:color w:val="222222"/>
                <w:sz w:val="20"/>
                <w:szCs w:val="20"/>
                <w:shd w:val="clear" w:color="auto" w:fill="FFFFFF"/>
                <w:lang w:val="en-US"/>
              </w:rPr>
              <w:t>QUI</w:t>
            </w:r>
            <w:r w:rsidRPr="00161AB9">
              <w:rPr>
                <w:rFonts w:ascii="Times New Roman" w:eastAsia="Times New Roman" w:hAnsi="Times New Roman" w:cs="Times New Roman"/>
                <w:color w:val="222222"/>
                <w:sz w:val="20"/>
                <w:szCs w:val="20"/>
                <w:shd w:val="clear" w:color="auto" w:fill="FFFFFF"/>
                <w:lang w:val="en-US"/>
              </w:rPr>
              <w:t>K%</w:t>
            </w:r>
          </w:p>
        </w:tc>
        <w:tc>
          <w:tcPr>
            <w:tcW w:w="1418" w:type="dxa"/>
            <w:noWrap/>
          </w:tcPr>
          <w:p w14:paraId="6929C2F7" w14:textId="77777777" w:rsidR="006B7453" w:rsidRPr="00161AB9" w:rsidRDefault="006B7453" w:rsidP="00D23D6D">
            <w:pPr>
              <w:jc w:val="center"/>
              <w:rPr>
                <w:rFonts w:ascii="Times New Roman" w:eastAsia="Times New Roman" w:hAnsi="Times New Roman" w:cs="Times New Roman"/>
                <w:color w:val="222222"/>
                <w:sz w:val="20"/>
                <w:szCs w:val="20"/>
                <w:shd w:val="clear" w:color="auto" w:fill="FFFFFF"/>
                <w:lang w:val="en-US"/>
              </w:rPr>
            </w:pPr>
            <w:r w:rsidRPr="00161AB9">
              <w:rPr>
                <w:rFonts w:ascii="Times New Roman" w:eastAsia="Times New Roman" w:hAnsi="Times New Roman" w:cs="Times New Roman"/>
                <w:color w:val="222222"/>
                <w:sz w:val="20"/>
                <w:szCs w:val="20"/>
                <w:shd w:val="clear" w:color="auto" w:fill="FFFFFF"/>
                <w:lang w:val="en-US"/>
              </w:rPr>
              <w:t>139.71</w:t>
            </w:r>
          </w:p>
        </w:tc>
        <w:tc>
          <w:tcPr>
            <w:tcW w:w="1417" w:type="dxa"/>
            <w:noWrap/>
          </w:tcPr>
          <w:p w14:paraId="02297818" w14:textId="77777777" w:rsidR="006B7453" w:rsidRPr="00161AB9" w:rsidRDefault="006B7453" w:rsidP="00D23D6D">
            <w:pPr>
              <w:jc w:val="center"/>
              <w:rPr>
                <w:rFonts w:ascii="Times New Roman" w:eastAsia="Times New Roman" w:hAnsi="Times New Roman" w:cs="Times New Roman"/>
                <w:color w:val="222222"/>
                <w:sz w:val="20"/>
                <w:szCs w:val="20"/>
                <w:shd w:val="clear" w:color="auto" w:fill="FFFFFF"/>
                <w:lang w:val="en-US"/>
              </w:rPr>
            </w:pPr>
            <w:r w:rsidRPr="00161AB9">
              <w:rPr>
                <w:rFonts w:ascii="Times New Roman" w:eastAsia="Times New Roman" w:hAnsi="Times New Roman" w:cs="Times New Roman"/>
                <w:color w:val="222222"/>
                <w:sz w:val="20"/>
                <w:szCs w:val="20"/>
                <w:shd w:val="clear" w:color="auto" w:fill="FFFFFF"/>
                <w:lang w:val="en-US"/>
              </w:rPr>
              <w:t>100</w:t>
            </w:r>
          </w:p>
        </w:tc>
        <w:tc>
          <w:tcPr>
            <w:tcW w:w="1175" w:type="dxa"/>
            <w:noWrap/>
          </w:tcPr>
          <w:p w14:paraId="0BF0D596" w14:textId="77777777" w:rsidR="006B7453" w:rsidRPr="00161AB9" w:rsidRDefault="006B7453" w:rsidP="00D23D6D">
            <w:pPr>
              <w:jc w:val="center"/>
              <w:rPr>
                <w:rFonts w:ascii="Times New Roman" w:eastAsia="Times New Roman" w:hAnsi="Times New Roman" w:cs="Times New Roman"/>
                <w:color w:val="222222"/>
                <w:sz w:val="20"/>
                <w:szCs w:val="20"/>
                <w:shd w:val="clear" w:color="auto" w:fill="FFFFFF"/>
                <w:lang w:val="en-US"/>
              </w:rPr>
            </w:pPr>
            <w:r w:rsidRPr="00161AB9">
              <w:rPr>
                <w:rFonts w:ascii="Times New Roman" w:eastAsia="Times New Roman" w:hAnsi="Times New Roman" w:cs="Times New Roman"/>
                <w:color w:val="222222"/>
                <w:sz w:val="20"/>
                <w:szCs w:val="20"/>
                <w:shd w:val="clear" w:color="auto" w:fill="FFFFFF"/>
                <w:lang w:val="en-US"/>
              </w:rPr>
              <w:t>132.88</w:t>
            </w:r>
          </w:p>
        </w:tc>
        <w:tc>
          <w:tcPr>
            <w:tcW w:w="1276" w:type="dxa"/>
            <w:noWrap/>
          </w:tcPr>
          <w:p w14:paraId="313E9D0F" w14:textId="77777777" w:rsidR="006B7453" w:rsidRPr="00161AB9" w:rsidRDefault="006B7453" w:rsidP="00D23D6D">
            <w:pPr>
              <w:jc w:val="center"/>
              <w:rPr>
                <w:rFonts w:ascii="Times New Roman" w:eastAsia="Times New Roman" w:hAnsi="Times New Roman" w:cs="Times New Roman"/>
                <w:color w:val="222222"/>
                <w:sz w:val="20"/>
                <w:szCs w:val="20"/>
                <w:shd w:val="clear" w:color="auto" w:fill="FFFFFF"/>
                <w:lang w:val="en-US"/>
              </w:rPr>
            </w:pPr>
            <w:r w:rsidRPr="00161AB9">
              <w:rPr>
                <w:rFonts w:ascii="Times New Roman" w:eastAsia="Times New Roman" w:hAnsi="Times New Roman" w:cs="Times New Roman"/>
                <w:color w:val="222222"/>
                <w:sz w:val="20"/>
                <w:szCs w:val="20"/>
                <w:shd w:val="clear" w:color="auto" w:fill="FFFFFF"/>
                <w:lang w:val="en-US"/>
              </w:rPr>
              <w:t>10</w:t>
            </w:r>
          </w:p>
        </w:tc>
        <w:tc>
          <w:tcPr>
            <w:tcW w:w="1373" w:type="dxa"/>
            <w:noWrap/>
          </w:tcPr>
          <w:p w14:paraId="4A1C1072" w14:textId="77777777" w:rsidR="006B7453" w:rsidRPr="00161AB9" w:rsidRDefault="006B7453" w:rsidP="00D23D6D">
            <w:pPr>
              <w:jc w:val="center"/>
              <w:rPr>
                <w:rFonts w:ascii="Times New Roman" w:eastAsia="Times New Roman" w:hAnsi="Times New Roman" w:cs="Times New Roman"/>
                <w:color w:val="222222"/>
                <w:sz w:val="20"/>
                <w:szCs w:val="20"/>
                <w:shd w:val="clear" w:color="auto" w:fill="FFFFFF"/>
                <w:lang w:val="en-US"/>
              </w:rPr>
            </w:pPr>
            <w:r w:rsidRPr="00161AB9">
              <w:rPr>
                <w:rFonts w:ascii="Times New Roman" w:eastAsia="Times New Roman" w:hAnsi="Times New Roman" w:cs="Times New Roman"/>
                <w:color w:val="222222"/>
                <w:sz w:val="20"/>
                <w:szCs w:val="20"/>
                <w:shd w:val="clear" w:color="auto" w:fill="FFFFFF"/>
                <w:lang w:val="en-US"/>
              </w:rPr>
              <w:t>967</w:t>
            </w:r>
          </w:p>
        </w:tc>
        <w:tc>
          <w:tcPr>
            <w:tcW w:w="995" w:type="dxa"/>
          </w:tcPr>
          <w:p w14:paraId="298A394A" w14:textId="098898DF" w:rsidR="006B7453" w:rsidRPr="000972D1" w:rsidRDefault="00981421" w:rsidP="00D23D6D">
            <w:pPr>
              <w:jc w:val="center"/>
              <w:rPr>
                <w:rFonts w:ascii="Times New Roman" w:eastAsia="Times New Roman" w:hAnsi="Times New Roman" w:cs="Times New Roman"/>
                <w:color w:val="222222"/>
                <w:sz w:val="20"/>
                <w:szCs w:val="20"/>
                <w:shd w:val="clear" w:color="auto" w:fill="FFFFFF"/>
                <w:lang w:val="en-US"/>
              </w:rPr>
            </w:pPr>
            <w:r w:rsidRPr="000972D1">
              <w:rPr>
                <w:rFonts w:ascii="Times New Roman" w:eastAsia="Times New Roman" w:hAnsi="Times New Roman" w:cs="Times New Roman"/>
                <w:color w:val="222222"/>
                <w:sz w:val="20"/>
                <w:szCs w:val="20"/>
                <w:shd w:val="clear" w:color="auto" w:fill="FFFFFF"/>
                <w:lang w:val="en-US"/>
              </w:rPr>
              <w:t>2.31</w:t>
            </w:r>
          </w:p>
        </w:tc>
      </w:tr>
      <w:tr w:rsidR="006B7453" w:rsidRPr="00161AB9" w14:paraId="10F6C4F4" w14:textId="36C4868D" w:rsidTr="006B7453">
        <w:trPr>
          <w:trHeight w:val="57"/>
          <w:jc w:val="center"/>
        </w:trPr>
        <w:tc>
          <w:tcPr>
            <w:tcW w:w="1984" w:type="dxa"/>
            <w:noWrap/>
          </w:tcPr>
          <w:p w14:paraId="2AEFD9EF" w14:textId="234320AD" w:rsidR="006B7453" w:rsidRPr="00161AB9" w:rsidRDefault="006B7453" w:rsidP="00D23D6D">
            <w:pPr>
              <w:spacing w:line="276" w:lineRule="auto"/>
              <w:jc w:val="lowKashida"/>
              <w:rPr>
                <w:rFonts w:ascii="Times New Roman" w:eastAsia="Times New Roman" w:hAnsi="Times New Roman" w:cs="Times New Roman"/>
                <w:color w:val="222222"/>
                <w:sz w:val="20"/>
                <w:szCs w:val="20"/>
                <w:shd w:val="clear" w:color="auto" w:fill="FFFFFF"/>
                <w:lang w:val="en-US"/>
              </w:rPr>
            </w:pPr>
            <w:r>
              <w:rPr>
                <w:rFonts w:ascii="Times New Roman" w:eastAsia="Times New Roman" w:hAnsi="Times New Roman" w:cs="Times New Roman"/>
                <w:color w:val="222222"/>
                <w:sz w:val="20"/>
                <w:szCs w:val="20"/>
                <w:shd w:val="clear" w:color="auto" w:fill="FFFFFF"/>
                <w:lang w:val="en-US"/>
              </w:rPr>
              <w:t>LO</w:t>
            </w:r>
            <w:r w:rsidRPr="00161AB9">
              <w:rPr>
                <w:rFonts w:ascii="Times New Roman" w:eastAsia="Times New Roman" w:hAnsi="Times New Roman" w:cs="Times New Roman"/>
                <w:color w:val="222222"/>
                <w:sz w:val="20"/>
                <w:szCs w:val="20"/>
                <w:shd w:val="clear" w:color="auto" w:fill="FFFFFF"/>
                <w:lang w:val="en-US"/>
              </w:rPr>
              <w:t>S%</w:t>
            </w:r>
          </w:p>
        </w:tc>
        <w:tc>
          <w:tcPr>
            <w:tcW w:w="1418" w:type="dxa"/>
            <w:noWrap/>
          </w:tcPr>
          <w:p w14:paraId="4E887D57" w14:textId="77777777" w:rsidR="006B7453" w:rsidRPr="00161AB9" w:rsidRDefault="006B7453" w:rsidP="00D23D6D">
            <w:pPr>
              <w:jc w:val="center"/>
              <w:rPr>
                <w:rFonts w:ascii="Times New Roman" w:eastAsia="Times New Roman" w:hAnsi="Times New Roman" w:cs="Times New Roman"/>
                <w:color w:val="222222"/>
                <w:sz w:val="20"/>
                <w:szCs w:val="20"/>
                <w:shd w:val="clear" w:color="auto" w:fill="FFFFFF"/>
                <w:lang w:val="en-US"/>
              </w:rPr>
            </w:pPr>
            <w:r w:rsidRPr="00161AB9">
              <w:rPr>
                <w:rFonts w:ascii="Times New Roman" w:eastAsia="Times New Roman" w:hAnsi="Times New Roman" w:cs="Times New Roman"/>
                <w:color w:val="222222"/>
                <w:sz w:val="20"/>
                <w:szCs w:val="20"/>
                <w:shd w:val="clear" w:color="auto" w:fill="FFFFFF"/>
                <w:lang w:val="en-US"/>
              </w:rPr>
              <w:t>16</w:t>
            </w:r>
          </w:p>
        </w:tc>
        <w:tc>
          <w:tcPr>
            <w:tcW w:w="1417" w:type="dxa"/>
            <w:noWrap/>
          </w:tcPr>
          <w:p w14:paraId="653D5270" w14:textId="77777777" w:rsidR="006B7453" w:rsidRPr="00161AB9" w:rsidRDefault="006B7453" w:rsidP="00D23D6D">
            <w:pPr>
              <w:jc w:val="center"/>
              <w:rPr>
                <w:rFonts w:ascii="Times New Roman" w:eastAsia="Times New Roman" w:hAnsi="Times New Roman" w:cs="Times New Roman"/>
                <w:color w:val="222222"/>
                <w:sz w:val="20"/>
                <w:szCs w:val="20"/>
                <w:shd w:val="clear" w:color="auto" w:fill="FFFFFF"/>
                <w:lang w:val="en-US"/>
              </w:rPr>
            </w:pPr>
            <w:r w:rsidRPr="00161AB9">
              <w:rPr>
                <w:rFonts w:ascii="Times New Roman" w:eastAsia="Times New Roman" w:hAnsi="Times New Roman" w:cs="Times New Roman"/>
                <w:color w:val="222222"/>
                <w:sz w:val="20"/>
                <w:szCs w:val="20"/>
                <w:shd w:val="clear" w:color="auto" w:fill="FFFFFF"/>
                <w:lang w:val="en-US"/>
              </w:rPr>
              <w:t>0</w:t>
            </w:r>
          </w:p>
        </w:tc>
        <w:tc>
          <w:tcPr>
            <w:tcW w:w="1175" w:type="dxa"/>
            <w:noWrap/>
          </w:tcPr>
          <w:p w14:paraId="7C9078BD" w14:textId="77777777" w:rsidR="006B7453" w:rsidRPr="00161AB9" w:rsidRDefault="006B7453" w:rsidP="00D23D6D">
            <w:pPr>
              <w:jc w:val="center"/>
              <w:rPr>
                <w:rFonts w:ascii="Times New Roman" w:eastAsia="Times New Roman" w:hAnsi="Times New Roman" w:cs="Times New Roman"/>
                <w:color w:val="222222"/>
                <w:sz w:val="20"/>
                <w:szCs w:val="20"/>
                <w:shd w:val="clear" w:color="auto" w:fill="FFFFFF"/>
                <w:lang w:val="en-US"/>
              </w:rPr>
            </w:pPr>
            <w:r w:rsidRPr="00161AB9">
              <w:rPr>
                <w:rFonts w:ascii="Times New Roman" w:eastAsia="Times New Roman" w:hAnsi="Times New Roman" w:cs="Times New Roman"/>
                <w:color w:val="222222"/>
                <w:sz w:val="20"/>
                <w:szCs w:val="20"/>
                <w:shd w:val="clear" w:color="auto" w:fill="FFFFFF"/>
                <w:lang w:val="en-US"/>
              </w:rPr>
              <w:t>36.40</w:t>
            </w:r>
          </w:p>
        </w:tc>
        <w:tc>
          <w:tcPr>
            <w:tcW w:w="1276" w:type="dxa"/>
            <w:noWrap/>
          </w:tcPr>
          <w:p w14:paraId="4D74D3A2" w14:textId="77777777" w:rsidR="006B7453" w:rsidRPr="00161AB9" w:rsidRDefault="006B7453" w:rsidP="00D23D6D">
            <w:pPr>
              <w:jc w:val="center"/>
              <w:rPr>
                <w:rFonts w:ascii="Times New Roman" w:eastAsia="Times New Roman" w:hAnsi="Times New Roman" w:cs="Times New Roman"/>
                <w:color w:val="222222"/>
                <w:sz w:val="20"/>
                <w:szCs w:val="20"/>
                <w:shd w:val="clear" w:color="auto" w:fill="FFFFFF"/>
                <w:lang w:val="en-US"/>
              </w:rPr>
            </w:pPr>
            <w:r w:rsidRPr="00161AB9">
              <w:rPr>
                <w:rFonts w:ascii="Times New Roman" w:eastAsia="Times New Roman" w:hAnsi="Times New Roman" w:cs="Times New Roman"/>
                <w:color w:val="222222"/>
                <w:sz w:val="20"/>
                <w:szCs w:val="20"/>
                <w:shd w:val="clear" w:color="auto" w:fill="FFFFFF"/>
                <w:lang w:val="en-US"/>
              </w:rPr>
              <w:t>0</w:t>
            </w:r>
          </w:p>
        </w:tc>
        <w:tc>
          <w:tcPr>
            <w:tcW w:w="1373" w:type="dxa"/>
            <w:noWrap/>
          </w:tcPr>
          <w:p w14:paraId="15E7DA20" w14:textId="77777777" w:rsidR="006B7453" w:rsidRPr="00161AB9" w:rsidRDefault="006B7453" w:rsidP="00D23D6D">
            <w:pPr>
              <w:jc w:val="center"/>
              <w:rPr>
                <w:rFonts w:ascii="Times New Roman" w:eastAsia="Times New Roman" w:hAnsi="Times New Roman" w:cs="Times New Roman"/>
                <w:color w:val="222222"/>
                <w:sz w:val="20"/>
                <w:szCs w:val="20"/>
                <w:shd w:val="clear" w:color="auto" w:fill="FFFFFF"/>
                <w:lang w:val="en-US"/>
              </w:rPr>
            </w:pPr>
            <w:r w:rsidRPr="00161AB9">
              <w:rPr>
                <w:rFonts w:ascii="Times New Roman" w:eastAsia="Times New Roman" w:hAnsi="Times New Roman" w:cs="Times New Roman"/>
                <w:color w:val="222222"/>
                <w:sz w:val="20"/>
                <w:szCs w:val="20"/>
                <w:shd w:val="clear" w:color="auto" w:fill="FFFFFF"/>
                <w:lang w:val="en-US"/>
              </w:rPr>
              <w:t>1</w:t>
            </w:r>
            <w:r>
              <w:rPr>
                <w:rFonts w:ascii="Times New Roman" w:eastAsia="Times New Roman" w:hAnsi="Times New Roman" w:cs="Times New Roman"/>
                <w:color w:val="222222"/>
                <w:sz w:val="20"/>
                <w:szCs w:val="20"/>
                <w:shd w:val="clear" w:color="auto" w:fill="FFFFFF"/>
                <w:lang w:val="en-US"/>
              </w:rPr>
              <w:t>00</w:t>
            </w:r>
          </w:p>
        </w:tc>
        <w:tc>
          <w:tcPr>
            <w:tcW w:w="995" w:type="dxa"/>
          </w:tcPr>
          <w:p w14:paraId="2C6AB1AE" w14:textId="585D68C5" w:rsidR="006B7453" w:rsidRPr="000972D1" w:rsidRDefault="00981421" w:rsidP="00D23D6D">
            <w:pPr>
              <w:jc w:val="center"/>
              <w:rPr>
                <w:rFonts w:ascii="Times New Roman" w:eastAsia="Times New Roman" w:hAnsi="Times New Roman" w:cs="Times New Roman"/>
                <w:color w:val="222222"/>
                <w:sz w:val="20"/>
                <w:szCs w:val="20"/>
                <w:shd w:val="clear" w:color="auto" w:fill="FFFFFF"/>
                <w:lang w:val="en-US"/>
              </w:rPr>
            </w:pPr>
            <w:r w:rsidRPr="000972D1">
              <w:rPr>
                <w:rFonts w:ascii="Times New Roman" w:eastAsia="Times New Roman" w:hAnsi="Times New Roman" w:cs="Times New Roman"/>
                <w:color w:val="222222"/>
                <w:sz w:val="20"/>
                <w:szCs w:val="20"/>
                <w:shd w:val="clear" w:color="auto" w:fill="FFFFFF"/>
                <w:lang w:val="en-US"/>
              </w:rPr>
              <w:t>1.35</w:t>
            </w:r>
          </w:p>
        </w:tc>
      </w:tr>
      <w:tr w:rsidR="006B7453" w:rsidRPr="00161AB9" w14:paraId="69C069DE" w14:textId="142F2D9D" w:rsidTr="006B7453">
        <w:trPr>
          <w:trHeight w:val="57"/>
          <w:jc w:val="center"/>
        </w:trPr>
        <w:tc>
          <w:tcPr>
            <w:tcW w:w="1984" w:type="dxa"/>
            <w:noWrap/>
          </w:tcPr>
          <w:p w14:paraId="65EE7C03" w14:textId="01DEB88F" w:rsidR="006B7453" w:rsidRPr="00161AB9" w:rsidRDefault="006B7453" w:rsidP="00D23D6D">
            <w:pPr>
              <w:spacing w:line="276" w:lineRule="auto"/>
              <w:jc w:val="lowKashida"/>
              <w:rPr>
                <w:rFonts w:ascii="Times New Roman" w:eastAsia="Times New Roman" w:hAnsi="Times New Roman" w:cs="Times New Roman"/>
                <w:color w:val="222222"/>
                <w:sz w:val="20"/>
                <w:szCs w:val="20"/>
                <w:shd w:val="clear" w:color="auto" w:fill="FFFFFF"/>
                <w:lang w:val="en-US"/>
              </w:rPr>
            </w:pPr>
            <w:r>
              <w:rPr>
                <w:rFonts w:ascii="Times New Roman" w:eastAsia="Times New Roman" w:hAnsi="Times New Roman" w:cs="Times New Roman"/>
                <w:color w:val="222222"/>
                <w:sz w:val="20"/>
                <w:szCs w:val="20"/>
                <w:shd w:val="clear" w:color="auto" w:fill="FFFFFF"/>
                <w:lang w:val="en-US"/>
              </w:rPr>
              <w:t>L</w:t>
            </w:r>
            <w:r w:rsidRPr="00161AB9">
              <w:rPr>
                <w:rFonts w:ascii="Times New Roman" w:eastAsia="Times New Roman" w:hAnsi="Times New Roman" w:cs="Times New Roman"/>
                <w:color w:val="222222"/>
                <w:sz w:val="20"/>
                <w:szCs w:val="20"/>
                <w:shd w:val="clear" w:color="auto" w:fill="FFFFFF"/>
                <w:lang w:val="en-US"/>
              </w:rPr>
              <w:t>V%</w:t>
            </w:r>
          </w:p>
        </w:tc>
        <w:tc>
          <w:tcPr>
            <w:tcW w:w="1418" w:type="dxa"/>
            <w:noWrap/>
          </w:tcPr>
          <w:p w14:paraId="091861D9" w14:textId="77777777" w:rsidR="006B7453" w:rsidRPr="00161AB9" w:rsidRDefault="006B7453" w:rsidP="00D23D6D">
            <w:pPr>
              <w:jc w:val="center"/>
              <w:rPr>
                <w:rFonts w:ascii="Times New Roman" w:eastAsia="Times New Roman" w:hAnsi="Times New Roman" w:cs="Times New Roman"/>
                <w:color w:val="222222"/>
                <w:sz w:val="20"/>
                <w:szCs w:val="20"/>
                <w:shd w:val="clear" w:color="auto" w:fill="FFFFFF"/>
                <w:lang w:val="en-US"/>
              </w:rPr>
            </w:pPr>
            <w:r w:rsidRPr="00161AB9">
              <w:rPr>
                <w:rFonts w:ascii="Times New Roman" w:eastAsia="Times New Roman" w:hAnsi="Times New Roman" w:cs="Times New Roman"/>
                <w:color w:val="222222"/>
                <w:sz w:val="20"/>
                <w:szCs w:val="20"/>
                <w:shd w:val="clear" w:color="auto" w:fill="FFFFFF"/>
                <w:lang w:val="en-US"/>
              </w:rPr>
              <w:t>20.38</w:t>
            </w:r>
          </w:p>
        </w:tc>
        <w:tc>
          <w:tcPr>
            <w:tcW w:w="1417" w:type="dxa"/>
            <w:noWrap/>
          </w:tcPr>
          <w:p w14:paraId="076E84BF" w14:textId="77777777" w:rsidR="006B7453" w:rsidRPr="00161AB9" w:rsidRDefault="006B7453" w:rsidP="00D23D6D">
            <w:pPr>
              <w:jc w:val="center"/>
              <w:rPr>
                <w:rFonts w:ascii="Times New Roman" w:eastAsia="Times New Roman" w:hAnsi="Times New Roman" w:cs="Times New Roman"/>
                <w:color w:val="222222"/>
                <w:sz w:val="20"/>
                <w:szCs w:val="20"/>
                <w:shd w:val="clear" w:color="auto" w:fill="FFFFFF"/>
                <w:lang w:val="en-US"/>
              </w:rPr>
            </w:pPr>
            <w:r w:rsidRPr="00161AB9">
              <w:rPr>
                <w:rFonts w:ascii="Times New Roman" w:eastAsia="Times New Roman" w:hAnsi="Times New Roman" w:cs="Times New Roman"/>
                <w:color w:val="222222"/>
                <w:sz w:val="20"/>
                <w:szCs w:val="20"/>
                <w:shd w:val="clear" w:color="auto" w:fill="FFFFFF"/>
                <w:lang w:val="en-US"/>
              </w:rPr>
              <w:t>17.99</w:t>
            </w:r>
          </w:p>
        </w:tc>
        <w:tc>
          <w:tcPr>
            <w:tcW w:w="1175" w:type="dxa"/>
            <w:noWrap/>
          </w:tcPr>
          <w:p w14:paraId="35E74EBB" w14:textId="77777777" w:rsidR="006B7453" w:rsidRPr="00161AB9" w:rsidRDefault="006B7453" w:rsidP="00D23D6D">
            <w:pPr>
              <w:jc w:val="center"/>
              <w:rPr>
                <w:rFonts w:ascii="Times New Roman" w:eastAsia="Times New Roman" w:hAnsi="Times New Roman" w:cs="Times New Roman"/>
                <w:color w:val="222222"/>
                <w:sz w:val="20"/>
                <w:szCs w:val="20"/>
                <w:shd w:val="clear" w:color="auto" w:fill="FFFFFF"/>
                <w:lang w:val="en-US"/>
              </w:rPr>
            </w:pPr>
            <w:r w:rsidRPr="00161AB9">
              <w:rPr>
                <w:rFonts w:ascii="Times New Roman" w:eastAsia="Times New Roman" w:hAnsi="Times New Roman" w:cs="Times New Roman"/>
                <w:color w:val="222222"/>
                <w:sz w:val="20"/>
                <w:szCs w:val="20"/>
                <w:shd w:val="clear" w:color="auto" w:fill="FFFFFF"/>
                <w:lang w:val="en-US"/>
              </w:rPr>
              <w:t>17.65</w:t>
            </w:r>
          </w:p>
        </w:tc>
        <w:tc>
          <w:tcPr>
            <w:tcW w:w="1276" w:type="dxa"/>
            <w:noWrap/>
          </w:tcPr>
          <w:p w14:paraId="05C43062" w14:textId="77777777" w:rsidR="006B7453" w:rsidRPr="00161AB9" w:rsidRDefault="006B7453" w:rsidP="00D23D6D">
            <w:pPr>
              <w:jc w:val="center"/>
              <w:rPr>
                <w:rFonts w:ascii="Times New Roman" w:eastAsia="Times New Roman" w:hAnsi="Times New Roman" w:cs="Times New Roman"/>
                <w:color w:val="222222"/>
                <w:sz w:val="20"/>
                <w:szCs w:val="20"/>
                <w:shd w:val="clear" w:color="auto" w:fill="FFFFFF"/>
                <w:lang w:val="en-US"/>
              </w:rPr>
            </w:pPr>
            <w:r w:rsidRPr="00161AB9">
              <w:rPr>
                <w:rFonts w:ascii="Times New Roman" w:eastAsia="Times New Roman" w:hAnsi="Times New Roman" w:cs="Times New Roman"/>
                <w:color w:val="222222"/>
                <w:sz w:val="20"/>
                <w:szCs w:val="20"/>
                <w:shd w:val="clear" w:color="auto" w:fill="FFFFFF"/>
                <w:lang w:val="en-US"/>
              </w:rPr>
              <w:t>0</w:t>
            </w:r>
          </w:p>
        </w:tc>
        <w:tc>
          <w:tcPr>
            <w:tcW w:w="1373" w:type="dxa"/>
            <w:noWrap/>
          </w:tcPr>
          <w:p w14:paraId="5280C7EA" w14:textId="77777777" w:rsidR="006B7453" w:rsidRPr="00161AB9" w:rsidRDefault="006B7453" w:rsidP="00D23D6D">
            <w:pPr>
              <w:jc w:val="center"/>
              <w:rPr>
                <w:rFonts w:ascii="Times New Roman" w:eastAsia="Times New Roman" w:hAnsi="Times New Roman" w:cs="Times New Roman"/>
                <w:color w:val="222222"/>
                <w:sz w:val="20"/>
                <w:szCs w:val="20"/>
                <w:shd w:val="clear" w:color="auto" w:fill="FFFFFF"/>
                <w:lang w:val="en-US"/>
              </w:rPr>
            </w:pPr>
            <w:r w:rsidRPr="00161AB9">
              <w:rPr>
                <w:rFonts w:ascii="Times New Roman" w:eastAsia="Times New Roman" w:hAnsi="Times New Roman" w:cs="Times New Roman"/>
                <w:color w:val="222222"/>
                <w:sz w:val="20"/>
                <w:szCs w:val="20"/>
                <w:shd w:val="clear" w:color="auto" w:fill="FFFFFF"/>
                <w:lang w:val="en-US"/>
              </w:rPr>
              <w:t>69.75</w:t>
            </w:r>
          </w:p>
        </w:tc>
        <w:tc>
          <w:tcPr>
            <w:tcW w:w="995" w:type="dxa"/>
          </w:tcPr>
          <w:p w14:paraId="70F5ABDC" w14:textId="12892B88" w:rsidR="006B7453" w:rsidRPr="000972D1" w:rsidRDefault="00981421" w:rsidP="00D23D6D">
            <w:pPr>
              <w:jc w:val="center"/>
              <w:rPr>
                <w:rFonts w:ascii="Times New Roman" w:eastAsia="Times New Roman" w:hAnsi="Times New Roman" w:cs="Times New Roman"/>
                <w:color w:val="222222"/>
                <w:sz w:val="20"/>
                <w:szCs w:val="20"/>
                <w:shd w:val="clear" w:color="auto" w:fill="FFFFFF"/>
                <w:lang w:val="en-US"/>
              </w:rPr>
            </w:pPr>
            <w:r w:rsidRPr="000972D1">
              <w:rPr>
                <w:rFonts w:ascii="Times New Roman" w:eastAsia="Times New Roman" w:hAnsi="Times New Roman" w:cs="Times New Roman"/>
                <w:color w:val="222222"/>
                <w:sz w:val="20"/>
                <w:szCs w:val="20"/>
                <w:shd w:val="clear" w:color="auto" w:fill="FFFFFF"/>
                <w:lang w:val="en-US"/>
              </w:rPr>
              <w:t>2.22</w:t>
            </w:r>
          </w:p>
        </w:tc>
      </w:tr>
      <w:tr w:rsidR="006B7453" w:rsidRPr="00161AB9" w14:paraId="4AD8CBDE" w14:textId="1BCF103C" w:rsidTr="006B7453">
        <w:trPr>
          <w:trHeight w:val="57"/>
          <w:jc w:val="center"/>
        </w:trPr>
        <w:tc>
          <w:tcPr>
            <w:tcW w:w="1984" w:type="dxa"/>
            <w:noWrap/>
          </w:tcPr>
          <w:p w14:paraId="15AA4CC8" w14:textId="77777777" w:rsidR="006B7453" w:rsidRPr="00161AB9" w:rsidRDefault="006B7453" w:rsidP="00D23D6D">
            <w:pPr>
              <w:spacing w:line="276" w:lineRule="auto"/>
              <w:jc w:val="lowKashida"/>
              <w:rPr>
                <w:rFonts w:ascii="Times New Roman" w:eastAsia="Times New Roman" w:hAnsi="Times New Roman" w:cs="Times New Roman"/>
                <w:color w:val="222222"/>
                <w:sz w:val="20"/>
                <w:szCs w:val="20"/>
                <w:shd w:val="clear" w:color="auto" w:fill="FFFFFF"/>
                <w:lang w:val="en-US"/>
              </w:rPr>
            </w:pPr>
            <w:r w:rsidRPr="00161AB9">
              <w:rPr>
                <w:rFonts w:ascii="Times New Roman" w:eastAsia="Times New Roman" w:hAnsi="Times New Roman" w:cs="Times New Roman"/>
                <w:color w:val="222222"/>
                <w:sz w:val="20"/>
                <w:szCs w:val="20"/>
                <w:shd w:val="clear" w:color="auto" w:fill="FFFFFF"/>
                <w:lang w:val="en-US"/>
              </w:rPr>
              <w:t>SGR%</w:t>
            </w:r>
          </w:p>
        </w:tc>
        <w:tc>
          <w:tcPr>
            <w:tcW w:w="1418" w:type="dxa"/>
            <w:noWrap/>
          </w:tcPr>
          <w:p w14:paraId="4150540C" w14:textId="77777777" w:rsidR="006B7453" w:rsidRPr="00161AB9" w:rsidRDefault="006B7453" w:rsidP="00D23D6D">
            <w:pPr>
              <w:spacing w:line="276" w:lineRule="auto"/>
              <w:jc w:val="center"/>
              <w:rPr>
                <w:rFonts w:ascii="Times New Roman" w:eastAsia="Times New Roman" w:hAnsi="Times New Roman" w:cs="Times New Roman"/>
                <w:color w:val="222222"/>
                <w:sz w:val="20"/>
                <w:szCs w:val="20"/>
                <w:shd w:val="clear" w:color="auto" w:fill="FFFFFF"/>
                <w:lang w:val="en-US"/>
              </w:rPr>
            </w:pPr>
            <w:r w:rsidRPr="00161AB9">
              <w:rPr>
                <w:rFonts w:ascii="Times New Roman" w:eastAsia="Times New Roman" w:hAnsi="Times New Roman" w:cs="Times New Roman"/>
                <w:color w:val="222222"/>
                <w:sz w:val="20"/>
                <w:szCs w:val="20"/>
                <w:shd w:val="clear" w:color="auto" w:fill="FFFFFF"/>
                <w:lang w:val="en-US"/>
              </w:rPr>
              <w:t>9.06</w:t>
            </w:r>
          </w:p>
        </w:tc>
        <w:tc>
          <w:tcPr>
            <w:tcW w:w="1417" w:type="dxa"/>
            <w:noWrap/>
          </w:tcPr>
          <w:p w14:paraId="41B51D76" w14:textId="77777777" w:rsidR="006B7453" w:rsidRPr="00161AB9" w:rsidRDefault="006B7453" w:rsidP="00D23D6D">
            <w:pPr>
              <w:spacing w:line="276" w:lineRule="auto"/>
              <w:jc w:val="center"/>
              <w:rPr>
                <w:rFonts w:ascii="Times New Roman" w:eastAsia="Times New Roman" w:hAnsi="Times New Roman" w:cs="Times New Roman"/>
                <w:color w:val="222222"/>
                <w:sz w:val="20"/>
                <w:szCs w:val="20"/>
                <w:shd w:val="clear" w:color="auto" w:fill="FFFFFF"/>
                <w:lang w:val="en-US"/>
              </w:rPr>
            </w:pPr>
            <w:r w:rsidRPr="00161AB9">
              <w:rPr>
                <w:rFonts w:ascii="Times New Roman" w:eastAsia="Times New Roman" w:hAnsi="Times New Roman" w:cs="Times New Roman"/>
                <w:color w:val="222222"/>
                <w:sz w:val="20"/>
                <w:szCs w:val="20"/>
                <w:shd w:val="clear" w:color="auto" w:fill="FFFFFF"/>
                <w:lang w:val="en-US"/>
              </w:rPr>
              <w:t>6.01</w:t>
            </w:r>
          </w:p>
        </w:tc>
        <w:tc>
          <w:tcPr>
            <w:tcW w:w="1175" w:type="dxa"/>
            <w:noWrap/>
          </w:tcPr>
          <w:p w14:paraId="5C380E2F" w14:textId="77777777" w:rsidR="006B7453" w:rsidRPr="00161AB9" w:rsidRDefault="006B7453" w:rsidP="00D23D6D">
            <w:pPr>
              <w:spacing w:line="276" w:lineRule="auto"/>
              <w:jc w:val="center"/>
              <w:rPr>
                <w:rFonts w:ascii="Times New Roman" w:eastAsia="Times New Roman" w:hAnsi="Times New Roman" w:cs="Times New Roman"/>
                <w:color w:val="222222"/>
                <w:sz w:val="20"/>
                <w:szCs w:val="20"/>
                <w:shd w:val="clear" w:color="auto" w:fill="FFFFFF"/>
                <w:lang w:val="en-US"/>
              </w:rPr>
            </w:pPr>
            <w:r w:rsidRPr="00161AB9">
              <w:rPr>
                <w:rFonts w:ascii="Times New Roman" w:eastAsia="Times New Roman" w:hAnsi="Times New Roman" w:cs="Times New Roman"/>
                <w:color w:val="222222"/>
                <w:sz w:val="20"/>
                <w:szCs w:val="20"/>
                <w:shd w:val="clear" w:color="auto" w:fill="FFFFFF"/>
                <w:lang w:val="en-US"/>
              </w:rPr>
              <w:t>45.46</w:t>
            </w:r>
          </w:p>
        </w:tc>
        <w:tc>
          <w:tcPr>
            <w:tcW w:w="1276" w:type="dxa"/>
            <w:noWrap/>
          </w:tcPr>
          <w:p w14:paraId="6D850480" w14:textId="77777777" w:rsidR="006B7453" w:rsidRPr="00161AB9" w:rsidRDefault="006B7453" w:rsidP="00D23D6D">
            <w:pPr>
              <w:spacing w:line="276" w:lineRule="auto"/>
              <w:jc w:val="center"/>
              <w:rPr>
                <w:rFonts w:ascii="Times New Roman" w:eastAsia="Times New Roman" w:hAnsi="Times New Roman" w:cs="Times New Roman"/>
                <w:color w:val="222222"/>
                <w:sz w:val="20"/>
                <w:szCs w:val="20"/>
                <w:shd w:val="clear" w:color="auto" w:fill="FFFFFF"/>
                <w:lang w:val="en-US"/>
              </w:rPr>
            </w:pPr>
            <w:r w:rsidRPr="00161AB9">
              <w:rPr>
                <w:rFonts w:ascii="Times New Roman" w:eastAsia="Times New Roman" w:hAnsi="Times New Roman" w:cs="Times New Roman"/>
                <w:color w:val="222222"/>
                <w:sz w:val="20"/>
                <w:szCs w:val="20"/>
                <w:shd w:val="clear" w:color="auto" w:fill="FFFFFF"/>
                <w:lang w:val="en-US"/>
              </w:rPr>
              <w:t>-92.59</w:t>
            </w:r>
          </w:p>
        </w:tc>
        <w:tc>
          <w:tcPr>
            <w:tcW w:w="1373" w:type="dxa"/>
            <w:noWrap/>
          </w:tcPr>
          <w:p w14:paraId="230AA421" w14:textId="77777777" w:rsidR="006B7453" w:rsidRPr="00161AB9" w:rsidRDefault="006B7453" w:rsidP="00D23D6D">
            <w:pPr>
              <w:spacing w:line="276" w:lineRule="auto"/>
              <w:jc w:val="center"/>
              <w:rPr>
                <w:rFonts w:ascii="Times New Roman" w:eastAsia="Times New Roman" w:hAnsi="Times New Roman" w:cs="Times New Roman"/>
                <w:color w:val="222222"/>
                <w:sz w:val="20"/>
                <w:szCs w:val="20"/>
                <w:shd w:val="clear" w:color="auto" w:fill="FFFFFF"/>
                <w:lang w:val="en-US"/>
              </w:rPr>
            </w:pPr>
            <w:r w:rsidRPr="00161AB9">
              <w:rPr>
                <w:rFonts w:ascii="Times New Roman" w:eastAsia="Times New Roman" w:hAnsi="Times New Roman" w:cs="Times New Roman"/>
                <w:color w:val="222222"/>
                <w:sz w:val="20"/>
                <w:szCs w:val="20"/>
                <w:shd w:val="clear" w:color="auto" w:fill="FFFFFF"/>
                <w:lang w:val="en-US"/>
              </w:rPr>
              <w:t>594.06</w:t>
            </w:r>
          </w:p>
        </w:tc>
        <w:tc>
          <w:tcPr>
            <w:tcW w:w="995" w:type="dxa"/>
          </w:tcPr>
          <w:p w14:paraId="71AE8444" w14:textId="3357AB57" w:rsidR="006B7453" w:rsidRPr="000972D1" w:rsidRDefault="00981421" w:rsidP="00D23D6D">
            <w:pPr>
              <w:jc w:val="center"/>
              <w:rPr>
                <w:rFonts w:ascii="Times New Roman" w:eastAsia="Times New Roman" w:hAnsi="Times New Roman" w:cs="Times New Roman"/>
                <w:color w:val="222222"/>
                <w:sz w:val="20"/>
                <w:szCs w:val="20"/>
                <w:shd w:val="clear" w:color="auto" w:fill="FFFFFF"/>
                <w:lang w:val="en-US"/>
              </w:rPr>
            </w:pPr>
            <w:r w:rsidRPr="000972D1">
              <w:rPr>
                <w:rFonts w:ascii="Times New Roman" w:eastAsia="Times New Roman" w:hAnsi="Times New Roman" w:cs="Times New Roman"/>
                <w:color w:val="222222"/>
                <w:sz w:val="20"/>
                <w:szCs w:val="20"/>
                <w:shd w:val="clear" w:color="auto" w:fill="FFFFFF"/>
                <w:lang w:val="en-US"/>
              </w:rPr>
              <w:t>1.29</w:t>
            </w:r>
          </w:p>
        </w:tc>
      </w:tr>
      <w:tr w:rsidR="006B7453" w:rsidRPr="00161AB9" w14:paraId="4BD816BB" w14:textId="4F1526EE" w:rsidTr="006B7453">
        <w:trPr>
          <w:trHeight w:val="57"/>
          <w:jc w:val="center"/>
        </w:trPr>
        <w:tc>
          <w:tcPr>
            <w:tcW w:w="1984" w:type="dxa"/>
            <w:tcBorders>
              <w:bottom w:val="single" w:sz="12" w:space="0" w:color="auto"/>
            </w:tcBorders>
            <w:noWrap/>
            <w:hideMark/>
          </w:tcPr>
          <w:p w14:paraId="7A11D0BF" w14:textId="77777777" w:rsidR="006B7453" w:rsidRPr="00161AB9" w:rsidRDefault="006B7453" w:rsidP="00D23D6D">
            <w:pPr>
              <w:spacing w:line="276" w:lineRule="auto"/>
              <w:jc w:val="lowKashida"/>
              <w:rPr>
                <w:rFonts w:ascii="Times New Roman" w:eastAsia="Times New Roman" w:hAnsi="Times New Roman" w:cs="Times New Roman"/>
                <w:color w:val="222222"/>
                <w:sz w:val="20"/>
                <w:szCs w:val="20"/>
                <w:shd w:val="clear" w:color="auto" w:fill="FFFFFF"/>
                <w:lang w:val="en-US"/>
              </w:rPr>
            </w:pPr>
            <w:r w:rsidRPr="00161AB9">
              <w:rPr>
                <w:rFonts w:ascii="Times New Roman" w:eastAsia="Times New Roman" w:hAnsi="Times New Roman" w:cs="Times New Roman"/>
                <w:color w:val="222222"/>
                <w:sz w:val="20"/>
                <w:szCs w:val="20"/>
                <w:shd w:val="clear" w:color="auto" w:fill="FFFFFF"/>
                <w:lang w:val="en-US"/>
              </w:rPr>
              <w:t>ROA%</w:t>
            </w:r>
          </w:p>
        </w:tc>
        <w:tc>
          <w:tcPr>
            <w:tcW w:w="1418" w:type="dxa"/>
            <w:tcBorders>
              <w:bottom w:val="single" w:sz="12" w:space="0" w:color="auto"/>
            </w:tcBorders>
            <w:noWrap/>
          </w:tcPr>
          <w:p w14:paraId="18822C12" w14:textId="77777777" w:rsidR="006B7453" w:rsidRPr="00161AB9" w:rsidRDefault="006B7453" w:rsidP="00D23D6D">
            <w:pPr>
              <w:spacing w:line="276" w:lineRule="auto"/>
              <w:jc w:val="center"/>
              <w:rPr>
                <w:rFonts w:ascii="Times New Roman" w:eastAsia="Times New Roman" w:hAnsi="Times New Roman" w:cs="Times New Roman"/>
                <w:color w:val="222222"/>
                <w:sz w:val="20"/>
                <w:szCs w:val="20"/>
                <w:shd w:val="clear" w:color="auto" w:fill="FFFFFF"/>
                <w:lang w:val="en-US"/>
              </w:rPr>
            </w:pPr>
            <w:r w:rsidRPr="00161AB9">
              <w:rPr>
                <w:rFonts w:ascii="Times New Roman" w:eastAsia="Times New Roman" w:hAnsi="Times New Roman" w:cs="Times New Roman"/>
                <w:color w:val="222222"/>
                <w:sz w:val="20"/>
                <w:szCs w:val="20"/>
                <w:shd w:val="clear" w:color="auto" w:fill="FFFFFF"/>
                <w:lang w:val="en-US"/>
              </w:rPr>
              <w:t>6.56</w:t>
            </w:r>
          </w:p>
        </w:tc>
        <w:tc>
          <w:tcPr>
            <w:tcW w:w="1417" w:type="dxa"/>
            <w:tcBorders>
              <w:bottom w:val="single" w:sz="12" w:space="0" w:color="auto"/>
            </w:tcBorders>
            <w:noWrap/>
          </w:tcPr>
          <w:p w14:paraId="54E16B9B" w14:textId="77777777" w:rsidR="006B7453" w:rsidRPr="00161AB9" w:rsidRDefault="006B7453" w:rsidP="00D23D6D">
            <w:pPr>
              <w:spacing w:line="276" w:lineRule="auto"/>
              <w:jc w:val="center"/>
              <w:rPr>
                <w:rFonts w:ascii="Times New Roman" w:eastAsia="Times New Roman" w:hAnsi="Times New Roman" w:cs="Times New Roman"/>
                <w:color w:val="222222"/>
                <w:sz w:val="20"/>
                <w:szCs w:val="20"/>
                <w:shd w:val="clear" w:color="auto" w:fill="FFFFFF"/>
                <w:lang w:val="en-US"/>
              </w:rPr>
            </w:pPr>
            <w:r w:rsidRPr="00161AB9">
              <w:rPr>
                <w:rFonts w:ascii="Times New Roman" w:eastAsia="Times New Roman" w:hAnsi="Times New Roman" w:cs="Times New Roman"/>
                <w:color w:val="222222"/>
                <w:sz w:val="20"/>
                <w:szCs w:val="20"/>
                <w:shd w:val="clear" w:color="auto" w:fill="FFFFFF"/>
                <w:lang w:val="en-US"/>
              </w:rPr>
              <w:t>6.11</w:t>
            </w:r>
          </w:p>
        </w:tc>
        <w:tc>
          <w:tcPr>
            <w:tcW w:w="1175" w:type="dxa"/>
            <w:tcBorders>
              <w:bottom w:val="single" w:sz="12" w:space="0" w:color="auto"/>
            </w:tcBorders>
            <w:noWrap/>
          </w:tcPr>
          <w:p w14:paraId="66E9F492" w14:textId="77777777" w:rsidR="006B7453" w:rsidRPr="00161AB9" w:rsidRDefault="006B7453" w:rsidP="00D23D6D">
            <w:pPr>
              <w:spacing w:line="276" w:lineRule="auto"/>
              <w:jc w:val="center"/>
              <w:rPr>
                <w:rFonts w:ascii="Times New Roman" w:eastAsia="Times New Roman" w:hAnsi="Times New Roman" w:cs="Times New Roman"/>
                <w:color w:val="222222"/>
                <w:sz w:val="20"/>
                <w:szCs w:val="20"/>
                <w:shd w:val="clear" w:color="auto" w:fill="FFFFFF"/>
                <w:lang w:val="en-US"/>
              </w:rPr>
            </w:pPr>
            <w:r w:rsidRPr="00161AB9">
              <w:rPr>
                <w:rFonts w:ascii="Times New Roman" w:eastAsia="Times New Roman" w:hAnsi="Times New Roman" w:cs="Times New Roman"/>
                <w:color w:val="222222"/>
                <w:sz w:val="20"/>
                <w:szCs w:val="20"/>
                <w:shd w:val="clear" w:color="auto" w:fill="FFFFFF"/>
                <w:lang w:val="en-US"/>
              </w:rPr>
              <w:t>7.76</w:t>
            </w:r>
          </w:p>
        </w:tc>
        <w:tc>
          <w:tcPr>
            <w:tcW w:w="1276" w:type="dxa"/>
            <w:tcBorders>
              <w:bottom w:val="single" w:sz="12" w:space="0" w:color="auto"/>
            </w:tcBorders>
            <w:noWrap/>
          </w:tcPr>
          <w:p w14:paraId="38586805" w14:textId="77777777" w:rsidR="006B7453" w:rsidRPr="00161AB9" w:rsidRDefault="006B7453" w:rsidP="00D23D6D">
            <w:pPr>
              <w:spacing w:line="276" w:lineRule="auto"/>
              <w:jc w:val="center"/>
              <w:rPr>
                <w:rFonts w:ascii="Times New Roman" w:eastAsia="Times New Roman" w:hAnsi="Times New Roman" w:cs="Times New Roman"/>
                <w:color w:val="222222"/>
                <w:sz w:val="20"/>
                <w:szCs w:val="20"/>
                <w:shd w:val="clear" w:color="auto" w:fill="FFFFFF"/>
                <w:lang w:val="en-US"/>
              </w:rPr>
            </w:pPr>
            <w:r w:rsidRPr="00161AB9">
              <w:rPr>
                <w:rFonts w:ascii="Times New Roman" w:eastAsia="Times New Roman" w:hAnsi="Times New Roman" w:cs="Times New Roman"/>
                <w:color w:val="222222"/>
                <w:sz w:val="20"/>
                <w:szCs w:val="20"/>
                <w:shd w:val="clear" w:color="auto" w:fill="FFFFFF"/>
                <w:lang w:val="en-US"/>
              </w:rPr>
              <w:t>-32.09</w:t>
            </w:r>
          </w:p>
        </w:tc>
        <w:tc>
          <w:tcPr>
            <w:tcW w:w="1373" w:type="dxa"/>
            <w:tcBorders>
              <w:bottom w:val="single" w:sz="12" w:space="0" w:color="auto"/>
            </w:tcBorders>
            <w:noWrap/>
          </w:tcPr>
          <w:p w14:paraId="329B5FA2" w14:textId="77777777" w:rsidR="006B7453" w:rsidRPr="00161AB9" w:rsidRDefault="006B7453" w:rsidP="00D23D6D">
            <w:pPr>
              <w:spacing w:line="276" w:lineRule="auto"/>
              <w:jc w:val="center"/>
              <w:rPr>
                <w:rFonts w:ascii="Times New Roman" w:eastAsia="Times New Roman" w:hAnsi="Times New Roman" w:cs="Times New Roman"/>
                <w:color w:val="222222"/>
                <w:sz w:val="20"/>
                <w:szCs w:val="20"/>
                <w:shd w:val="clear" w:color="auto" w:fill="FFFFFF"/>
                <w:lang w:val="en-US"/>
              </w:rPr>
            </w:pPr>
            <w:r w:rsidRPr="00161AB9">
              <w:rPr>
                <w:rFonts w:ascii="Times New Roman" w:eastAsia="Times New Roman" w:hAnsi="Times New Roman" w:cs="Times New Roman"/>
                <w:color w:val="222222"/>
                <w:sz w:val="20"/>
                <w:szCs w:val="20"/>
                <w:shd w:val="clear" w:color="auto" w:fill="FFFFFF"/>
                <w:lang w:val="en-US"/>
              </w:rPr>
              <w:t>31.03</w:t>
            </w:r>
          </w:p>
        </w:tc>
        <w:tc>
          <w:tcPr>
            <w:tcW w:w="995" w:type="dxa"/>
            <w:tcBorders>
              <w:bottom w:val="single" w:sz="12" w:space="0" w:color="auto"/>
            </w:tcBorders>
          </w:tcPr>
          <w:p w14:paraId="7983469C" w14:textId="45550584" w:rsidR="006B7453" w:rsidRPr="000972D1" w:rsidRDefault="00981421" w:rsidP="00D23D6D">
            <w:pPr>
              <w:jc w:val="center"/>
              <w:rPr>
                <w:rFonts w:ascii="Times New Roman" w:eastAsia="Times New Roman" w:hAnsi="Times New Roman" w:cs="Times New Roman"/>
                <w:color w:val="222222"/>
                <w:sz w:val="20"/>
                <w:szCs w:val="20"/>
                <w:shd w:val="clear" w:color="auto" w:fill="FFFFFF"/>
                <w:lang w:val="en-US"/>
              </w:rPr>
            </w:pPr>
            <w:r w:rsidRPr="000972D1">
              <w:rPr>
                <w:rFonts w:ascii="Times New Roman" w:eastAsia="Times New Roman" w:hAnsi="Times New Roman" w:cs="Times New Roman"/>
                <w:color w:val="222222"/>
                <w:sz w:val="20"/>
                <w:szCs w:val="20"/>
                <w:shd w:val="clear" w:color="auto" w:fill="FFFFFF"/>
                <w:lang w:val="en-US"/>
              </w:rPr>
              <w:t>1.63</w:t>
            </w:r>
          </w:p>
        </w:tc>
      </w:tr>
    </w:tbl>
    <w:p w14:paraId="546A3C12" w14:textId="4AB7665E" w:rsidR="0031195E" w:rsidRDefault="001931AF" w:rsidP="00C46A88">
      <w:pPr>
        <w:spacing w:after="0" w:line="240" w:lineRule="auto"/>
        <w:ind w:left="142" w:hanging="142"/>
        <w:jc w:val="both"/>
        <w:rPr>
          <w:rFonts w:ascii="Times New Roman" w:eastAsia="Calibri" w:hAnsi="Times New Roman" w:cs="Times New Roman"/>
          <w:bCs/>
          <w:sz w:val="19"/>
          <w:szCs w:val="19"/>
          <w:lang w:val="en-US" w:eastAsia="en-US"/>
        </w:rPr>
        <w:sectPr w:rsidR="0031195E" w:rsidSect="00B375F5">
          <w:footerReference w:type="default" r:id="rId16"/>
          <w:pgSz w:w="11906" w:h="16838"/>
          <w:pgMar w:top="1418" w:right="1134" w:bottom="1418" w:left="1134" w:header="709" w:footer="709" w:gutter="0"/>
          <w:cols w:space="708"/>
          <w:docGrid w:linePitch="360"/>
        </w:sectPr>
      </w:pPr>
      <w:r w:rsidRPr="001931AF">
        <w:rPr>
          <w:rFonts w:ascii="Times New Roman" w:eastAsia="Calibri" w:hAnsi="Times New Roman" w:cs="Times New Roman"/>
          <w:bCs/>
          <w:sz w:val="19"/>
          <w:szCs w:val="19"/>
          <w:lang w:val="en-US" w:eastAsia="en-US"/>
        </w:rPr>
        <w:t xml:space="preserve">See Table </w:t>
      </w:r>
      <w:r w:rsidR="00F8442B">
        <w:rPr>
          <w:rFonts w:ascii="Times New Roman" w:eastAsia="Calibri" w:hAnsi="Times New Roman" w:cs="Times New Roman"/>
          <w:bCs/>
          <w:sz w:val="19"/>
          <w:szCs w:val="19"/>
          <w:lang w:val="en-US" w:eastAsia="en-US"/>
        </w:rPr>
        <w:t>1</w:t>
      </w:r>
      <w:r w:rsidRPr="001931AF">
        <w:rPr>
          <w:rFonts w:ascii="Times New Roman" w:eastAsia="Calibri" w:hAnsi="Times New Roman" w:cs="Times New Roman"/>
          <w:bCs/>
          <w:sz w:val="19"/>
          <w:szCs w:val="19"/>
          <w:lang w:val="en-US" w:eastAsia="en-US"/>
        </w:rPr>
        <w:t xml:space="preserve"> for variable</w:t>
      </w:r>
      <w:r w:rsidR="000C61A4">
        <w:rPr>
          <w:rFonts w:ascii="Times New Roman" w:eastAsia="Calibri" w:hAnsi="Times New Roman" w:cs="Times New Roman"/>
          <w:bCs/>
          <w:sz w:val="19"/>
          <w:szCs w:val="19"/>
          <w:lang w:val="en-US" w:eastAsia="en-US"/>
        </w:rPr>
        <w:t>s</w:t>
      </w:r>
      <w:r w:rsidR="00327998">
        <w:rPr>
          <w:rFonts w:ascii="Times New Roman" w:eastAsia="Calibri" w:hAnsi="Times New Roman" w:cs="Times New Roman"/>
          <w:bCs/>
          <w:sz w:val="19"/>
          <w:szCs w:val="19"/>
          <w:lang w:val="en-US" w:eastAsia="en-US"/>
        </w:rPr>
        <w:t>’</w:t>
      </w:r>
      <w:r w:rsidR="0031195E">
        <w:rPr>
          <w:rFonts w:ascii="Times New Roman" w:eastAsia="Calibri" w:hAnsi="Times New Roman" w:cs="Times New Roman"/>
          <w:bCs/>
          <w:sz w:val="19"/>
          <w:szCs w:val="19"/>
          <w:lang w:val="en-US" w:eastAsia="en-US"/>
        </w:rPr>
        <w:t xml:space="preserve"> definitions</w:t>
      </w:r>
    </w:p>
    <w:p w14:paraId="0C1431EF" w14:textId="469402D1" w:rsidR="007F5801" w:rsidRDefault="007F5801" w:rsidP="002D3F33">
      <w:pPr>
        <w:spacing w:after="0" w:line="240" w:lineRule="auto"/>
        <w:ind w:hanging="425"/>
        <w:jc w:val="lowKashida"/>
        <w:rPr>
          <w:rFonts w:ascii="Times New Roman" w:eastAsia="Times New Roman" w:hAnsi="Times New Roman" w:cs="Times New Roman"/>
          <w:b/>
          <w:color w:val="222222"/>
          <w:sz w:val="20"/>
          <w:szCs w:val="20"/>
          <w:shd w:val="clear" w:color="auto" w:fill="FFFFFF"/>
          <w:lang w:val="en-US"/>
        </w:rPr>
      </w:pPr>
      <w:r w:rsidRPr="00D7783D">
        <w:rPr>
          <w:rFonts w:ascii="Times New Roman" w:eastAsia="Times New Roman" w:hAnsi="Times New Roman" w:cs="Times New Roman"/>
          <w:b/>
          <w:color w:val="222222"/>
          <w:sz w:val="20"/>
          <w:szCs w:val="20"/>
          <w:shd w:val="clear" w:color="auto" w:fill="FFFFFF"/>
          <w:lang w:val="en-US"/>
        </w:rPr>
        <w:lastRenderedPageBreak/>
        <w:t xml:space="preserve">Table </w:t>
      </w:r>
      <w:r w:rsidR="00174F4C">
        <w:rPr>
          <w:rFonts w:ascii="Times New Roman" w:eastAsia="Times New Roman" w:hAnsi="Times New Roman" w:cs="Times New Roman"/>
          <w:b/>
          <w:color w:val="222222"/>
          <w:sz w:val="20"/>
          <w:szCs w:val="20"/>
          <w:shd w:val="clear" w:color="auto" w:fill="FFFFFF"/>
          <w:lang w:val="en-US"/>
        </w:rPr>
        <w:t>3</w:t>
      </w:r>
      <w:r w:rsidRPr="00D7783D">
        <w:rPr>
          <w:rFonts w:ascii="Times New Roman" w:eastAsia="Times New Roman" w:hAnsi="Times New Roman" w:cs="Times New Roman"/>
          <w:b/>
          <w:color w:val="222222"/>
          <w:sz w:val="20"/>
          <w:szCs w:val="20"/>
          <w:shd w:val="clear" w:color="auto" w:fill="FFFFFF"/>
          <w:lang w:val="en-US"/>
        </w:rPr>
        <w:t xml:space="preserve">. Pearson and Spearman correlation matrices of all variables </w:t>
      </w:r>
    </w:p>
    <w:tbl>
      <w:tblPr>
        <w:tblW w:w="0" w:type="auto"/>
        <w:tblInd w:w="-431" w:type="dxa"/>
        <w:tblLook w:val="04A0" w:firstRow="1" w:lastRow="0" w:firstColumn="1" w:lastColumn="0" w:noHBand="0" w:noVBand="1"/>
      </w:tblPr>
      <w:tblGrid>
        <w:gridCol w:w="679"/>
        <w:gridCol w:w="870"/>
        <w:gridCol w:w="870"/>
        <w:gridCol w:w="870"/>
        <w:gridCol w:w="870"/>
        <w:gridCol w:w="870"/>
        <w:gridCol w:w="870"/>
        <w:gridCol w:w="870"/>
        <w:gridCol w:w="870"/>
        <w:gridCol w:w="870"/>
        <w:gridCol w:w="870"/>
        <w:gridCol w:w="870"/>
        <w:gridCol w:w="870"/>
        <w:gridCol w:w="870"/>
        <w:gridCol w:w="870"/>
        <w:gridCol w:w="816"/>
        <w:gridCol w:w="870"/>
      </w:tblGrid>
      <w:tr w:rsidR="007F5801" w:rsidRPr="006B367A" w14:paraId="6CB7A5EE" w14:textId="77777777" w:rsidTr="00D23D6D">
        <w:trPr>
          <w:trHeight w:val="187"/>
        </w:trPr>
        <w:tc>
          <w:tcPr>
            <w:tcW w:w="0" w:type="auto"/>
            <w:tcBorders>
              <w:top w:val="single" w:sz="12" w:space="0" w:color="auto"/>
              <w:bottom w:val="single" w:sz="12" w:space="0" w:color="auto"/>
              <w:right w:val="single" w:sz="12" w:space="0" w:color="auto"/>
            </w:tcBorders>
            <w:shd w:val="clear" w:color="auto" w:fill="auto"/>
            <w:noWrap/>
            <w:vAlign w:val="bottom"/>
            <w:hideMark/>
          </w:tcPr>
          <w:p w14:paraId="7DCC4635" w14:textId="77777777" w:rsidR="007F5801" w:rsidRPr="00676977" w:rsidRDefault="007F5801" w:rsidP="00D23D6D">
            <w:pPr>
              <w:spacing w:after="0" w:line="240" w:lineRule="auto"/>
              <w:rPr>
                <w:rFonts w:asciiTheme="majorBidi" w:eastAsia="Times New Roman" w:hAnsiTheme="majorBidi" w:cstheme="majorBidi"/>
                <w:sz w:val="16"/>
                <w:szCs w:val="16"/>
              </w:rPr>
            </w:pPr>
          </w:p>
        </w:tc>
        <w:tc>
          <w:tcPr>
            <w:tcW w:w="0" w:type="auto"/>
            <w:tcBorders>
              <w:top w:val="single" w:sz="12" w:space="0" w:color="auto"/>
              <w:left w:val="single" w:sz="12" w:space="0" w:color="auto"/>
              <w:bottom w:val="single" w:sz="12" w:space="0" w:color="auto"/>
            </w:tcBorders>
            <w:shd w:val="clear" w:color="auto" w:fill="auto"/>
            <w:noWrap/>
            <w:vAlign w:val="bottom"/>
            <w:hideMark/>
          </w:tcPr>
          <w:p w14:paraId="20AE5BC9" w14:textId="77777777" w:rsidR="007F5801" w:rsidRPr="006B367A" w:rsidRDefault="007F5801" w:rsidP="00D23D6D">
            <w:pPr>
              <w:spacing w:after="0" w:line="240" w:lineRule="auto"/>
              <w:jc w:val="center"/>
              <w:rPr>
                <w:rFonts w:asciiTheme="majorBidi" w:eastAsia="Times New Roman" w:hAnsiTheme="majorBidi" w:cstheme="majorBidi"/>
                <w:b/>
                <w:bCs/>
                <w:color w:val="000000"/>
                <w:sz w:val="16"/>
                <w:szCs w:val="16"/>
              </w:rPr>
            </w:pPr>
            <w:r w:rsidRPr="006B367A">
              <w:rPr>
                <w:rFonts w:asciiTheme="majorBidi" w:eastAsia="Times New Roman" w:hAnsiTheme="majorBidi" w:cstheme="majorBidi"/>
                <w:b/>
                <w:bCs/>
                <w:color w:val="000000"/>
                <w:sz w:val="16"/>
                <w:szCs w:val="16"/>
              </w:rPr>
              <w:t>BIG4</w:t>
            </w:r>
          </w:p>
        </w:tc>
        <w:tc>
          <w:tcPr>
            <w:tcW w:w="0" w:type="auto"/>
            <w:tcBorders>
              <w:top w:val="single" w:sz="12" w:space="0" w:color="auto"/>
              <w:bottom w:val="single" w:sz="12" w:space="0" w:color="auto"/>
            </w:tcBorders>
            <w:shd w:val="clear" w:color="auto" w:fill="auto"/>
            <w:noWrap/>
            <w:vAlign w:val="bottom"/>
            <w:hideMark/>
          </w:tcPr>
          <w:p w14:paraId="5C0403A9" w14:textId="7EE32EBA" w:rsidR="007F5801" w:rsidRPr="006B367A" w:rsidRDefault="00CD0B52" w:rsidP="00D23D6D">
            <w:pPr>
              <w:spacing w:after="0" w:line="240" w:lineRule="auto"/>
              <w:jc w:val="center"/>
              <w:rPr>
                <w:rFonts w:asciiTheme="majorBidi" w:eastAsia="Times New Roman" w:hAnsiTheme="majorBidi" w:cstheme="majorBidi"/>
                <w:b/>
                <w:bCs/>
                <w:color w:val="000000"/>
                <w:sz w:val="16"/>
                <w:szCs w:val="16"/>
              </w:rPr>
            </w:pPr>
            <w:r w:rsidRPr="006B367A">
              <w:rPr>
                <w:rFonts w:asciiTheme="majorBidi" w:eastAsia="Times New Roman" w:hAnsiTheme="majorBidi" w:cstheme="majorBidi"/>
                <w:b/>
                <w:bCs/>
                <w:color w:val="000000"/>
                <w:sz w:val="16"/>
                <w:szCs w:val="16"/>
              </w:rPr>
              <w:t>LNF</w:t>
            </w:r>
            <w:r w:rsidR="007F5801" w:rsidRPr="006B367A">
              <w:rPr>
                <w:rFonts w:asciiTheme="majorBidi" w:eastAsia="Times New Roman" w:hAnsiTheme="majorBidi" w:cstheme="majorBidi"/>
                <w:b/>
                <w:bCs/>
                <w:color w:val="000000"/>
                <w:sz w:val="16"/>
                <w:szCs w:val="16"/>
              </w:rPr>
              <w:t>E</w:t>
            </w:r>
          </w:p>
        </w:tc>
        <w:tc>
          <w:tcPr>
            <w:tcW w:w="0" w:type="auto"/>
            <w:tcBorders>
              <w:top w:val="single" w:sz="12" w:space="0" w:color="auto"/>
              <w:bottom w:val="single" w:sz="12" w:space="0" w:color="auto"/>
            </w:tcBorders>
            <w:shd w:val="clear" w:color="auto" w:fill="auto"/>
            <w:noWrap/>
            <w:vAlign w:val="bottom"/>
            <w:hideMark/>
          </w:tcPr>
          <w:p w14:paraId="210D5BD7" w14:textId="582AC121" w:rsidR="007F5801" w:rsidRPr="006B367A" w:rsidRDefault="00CD0B52" w:rsidP="00CD0B52">
            <w:pPr>
              <w:spacing w:after="0" w:line="240" w:lineRule="auto"/>
              <w:jc w:val="center"/>
              <w:rPr>
                <w:rFonts w:asciiTheme="majorBidi" w:eastAsia="Times New Roman" w:hAnsiTheme="majorBidi" w:cstheme="majorBidi"/>
                <w:b/>
                <w:bCs/>
                <w:color w:val="000000"/>
                <w:sz w:val="16"/>
                <w:szCs w:val="16"/>
              </w:rPr>
            </w:pPr>
            <w:r w:rsidRPr="006B367A">
              <w:rPr>
                <w:rFonts w:asciiTheme="majorBidi" w:eastAsia="Times New Roman" w:hAnsiTheme="majorBidi" w:cstheme="majorBidi"/>
                <w:b/>
                <w:bCs/>
                <w:color w:val="000000"/>
                <w:sz w:val="16"/>
                <w:szCs w:val="16"/>
                <w:lang w:val="en-US"/>
              </w:rPr>
              <w:t>BRDS</w:t>
            </w:r>
          </w:p>
        </w:tc>
        <w:tc>
          <w:tcPr>
            <w:tcW w:w="0" w:type="auto"/>
            <w:tcBorders>
              <w:top w:val="single" w:sz="12" w:space="0" w:color="auto"/>
              <w:bottom w:val="single" w:sz="12" w:space="0" w:color="auto"/>
            </w:tcBorders>
            <w:shd w:val="clear" w:color="auto" w:fill="auto"/>
            <w:noWrap/>
            <w:vAlign w:val="bottom"/>
            <w:hideMark/>
          </w:tcPr>
          <w:p w14:paraId="1888FABC" w14:textId="4F12E938" w:rsidR="007F5801" w:rsidRPr="006B367A" w:rsidRDefault="00E80B25" w:rsidP="00D23D6D">
            <w:pPr>
              <w:spacing w:after="0" w:line="240" w:lineRule="auto"/>
              <w:jc w:val="center"/>
              <w:rPr>
                <w:rFonts w:asciiTheme="majorBidi" w:eastAsia="Times New Roman" w:hAnsiTheme="majorBidi" w:cstheme="majorBidi"/>
                <w:b/>
                <w:bCs/>
                <w:color w:val="000000"/>
                <w:sz w:val="16"/>
                <w:szCs w:val="16"/>
              </w:rPr>
            </w:pPr>
            <w:r w:rsidRPr="006B367A">
              <w:rPr>
                <w:rFonts w:asciiTheme="majorBidi" w:eastAsia="Times New Roman" w:hAnsiTheme="majorBidi" w:cstheme="majorBidi"/>
                <w:b/>
                <w:bCs/>
                <w:color w:val="000000"/>
                <w:sz w:val="16"/>
                <w:szCs w:val="16"/>
              </w:rPr>
              <w:t>IND</w:t>
            </w:r>
          </w:p>
        </w:tc>
        <w:tc>
          <w:tcPr>
            <w:tcW w:w="0" w:type="auto"/>
            <w:tcBorders>
              <w:top w:val="single" w:sz="12" w:space="0" w:color="auto"/>
              <w:bottom w:val="single" w:sz="12" w:space="0" w:color="auto"/>
            </w:tcBorders>
            <w:shd w:val="clear" w:color="auto" w:fill="auto"/>
            <w:noWrap/>
            <w:vAlign w:val="bottom"/>
            <w:hideMark/>
          </w:tcPr>
          <w:p w14:paraId="5A07B78A" w14:textId="64535218" w:rsidR="007F5801" w:rsidRPr="006B367A" w:rsidRDefault="00CD0B52" w:rsidP="00CD0B52">
            <w:pPr>
              <w:spacing w:after="0" w:line="240" w:lineRule="auto"/>
              <w:jc w:val="center"/>
              <w:rPr>
                <w:rFonts w:asciiTheme="majorBidi" w:eastAsia="Times New Roman" w:hAnsiTheme="majorBidi" w:cstheme="majorBidi"/>
                <w:b/>
                <w:bCs/>
                <w:color w:val="000000"/>
                <w:sz w:val="16"/>
                <w:szCs w:val="16"/>
              </w:rPr>
            </w:pPr>
            <w:r w:rsidRPr="006B367A">
              <w:rPr>
                <w:rFonts w:asciiTheme="majorBidi" w:eastAsia="Times New Roman" w:hAnsiTheme="majorBidi" w:cstheme="majorBidi"/>
                <w:b/>
                <w:bCs/>
                <w:color w:val="000000"/>
                <w:sz w:val="16"/>
                <w:szCs w:val="16"/>
                <w:lang w:val="en-US"/>
              </w:rPr>
              <w:t>UBL</w:t>
            </w:r>
          </w:p>
        </w:tc>
        <w:tc>
          <w:tcPr>
            <w:tcW w:w="0" w:type="auto"/>
            <w:tcBorders>
              <w:top w:val="single" w:sz="12" w:space="0" w:color="auto"/>
              <w:bottom w:val="single" w:sz="12" w:space="0" w:color="auto"/>
            </w:tcBorders>
            <w:shd w:val="clear" w:color="auto" w:fill="auto"/>
            <w:noWrap/>
            <w:vAlign w:val="bottom"/>
            <w:hideMark/>
          </w:tcPr>
          <w:p w14:paraId="751920A4" w14:textId="164322DA" w:rsidR="007F5801" w:rsidRPr="006B367A" w:rsidRDefault="004039E0" w:rsidP="004039E0">
            <w:pPr>
              <w:spacing w:after="0" w:line="240" w:lineRule="auto"/>
              <w:jc w:val="center"/>
              <w:rPr>
                <w:rFonts w:asciiTheme="majorBidi" w:eastAsia="Times New Roman" w:hAnsiTheme="majorBidi" w:cstheme="majorBidi"/>
                <w:b/>
                <w:bCs/>
                <w:color w:val="000000"/>
                <w:sz w:val="16"/>
                <w:szCs w:val="16"/>
              </w:rPr>
            </w:pPr>
            <w:r w:rsidRPr="006B367A">
              <w:rPr>
                <w:rFonts w:asciiTheme="majorBidi" w:eastAsia="Times New Roman" w:hAnsiTheme="majorBidi" w:cstheme="majorBidi"/>
                <w:b/>
                <w:bCs/>
                <w:color w:val="000000"/>
                <w:sz w:val="16"/>
                <w:szCs w:val="16"/>
                <w:lang w:val="en-US"/>
              </w:rPr>
              <w:t>GOSH</w:t>
            </w:r>
          </w:p>
        </w:tc>
        <w:tc>
          <w:tcPr>
            <w:tcW w:w="0" w:type="auto"/>
            <w:tcBorders>
              <w:top w:val="single" w:sz="12" w:space="0" w:color="auto"/>
              <w:bottom w:val="single" w:sz="12" w:space="0" w:color="auto"/>
            </w:tcBorders>
            <w:shd w:val="clear" w:color="auto" w:fill="auto"/>
            <w:noWrap/>
            <w:vAlign w:val="bottom"/>
            <w:hideMark/>
          </w:tcPr>
          <w:p w14:paraId="600628EA" w14:textId="44DB5992" w:rsidR="007F5801" w:rsidRPr="006B367A" w:rsidRDefault="00203345" w:rsidP="00203345">
            <w:pPr>
              <w:spacing w:after="0" w:line="240" w:lineRule="auto"/>
              <w:jc w:val="center"/>
              <w:rPr>
                <w:rFonts w:asciiTheme="majorBidi" w:eastAsia="Times New Roman" w:hAnsiTheme="majorBidi" w:cstheme="majorBidi"/>
                <w:b/>
                <w:bCs/>
                <w:color w:val="000000"/>
                <w:sz w:val="16"/>
                <w:szCs w:val="16"/>
              </w:rPr>
            </w:pPr>
            <w:r w:rsidRPr="006B367A">
              <w:rPr>
                <w:rFonts w:asciiTheme="majorBidi" w:eastAsia="Times New Roman" w:hAnsiTheme="majorBidi" w:cstheme="majorBidi"/>
                <w:b/>
                <w:bCs/>
                <w:color w:val="000000"/>
                <w:sz w:val="16"/>
                <w:szCs w:val="16"/>
                <w:lang w:val="en-US"/>
              </w:rPr>
              <w:t>DISH</w:t>
            </w:r>
          </w:p>
        </w:tc>
        <w:tc>
          <w:tcPr>
            <w:tcW w:w="0" w:type="auto"/>
            <w:tcBorders>
              <w:top w:val="single" w:sz="12" w:space="0" w:color="auto"/>
              <w:bottom w:val="single" w:sz="12" w:space="0" w:color="auto"/>
            </w:tcBorders>
            <w:shd w:val="clear" w:color="auto" w:fill="auto"/>
            <w:noWrap/>
            <w:vAlign w:val="bottom"/>
            <w:hideMark/>
          </w:tcPr>
          <w:p w14:paraId="675C843A" w14:textId="3843E1DF" w:rsidR="007F5801" w:rsidRPr="006B367A" w:rsidRDefault="00722642" w:rsidP="00203345">
            <w:pPr>
              <w:spacing w:after="0" w:line="240" w:lineRule="auto"/>
              <w:jc w:val="center"/>
              <w:rPr>
                <w:rFonts w:asciiTheme="majorBidi" w:eastAsia="Times New Roman" w:hAnsiTheme="majorBidi" w:cstheme="majorBidi"/>
                <w:b/>
                <w:bCs/>
                <w:color w:val="000000"/>
                <w:sz w:val="16"/>
                <w:szCs w:val="16"/>
              </w:rPr>
            </w:pPr>
            <w:r w:rsidRPr="006B367A">
              <w:rPr>
                <w:rFonts w:asciiTheme="majorBidi" w:eastAsia="Times New Roman" w:hAnsiTheme="majorBidi" w:cstheme="majorBidi"/>
                <w:b/>
                <w:bCs/>
                <w:color w:val="000000"/>
                <w:sz w:val="16"/>
                <w:szCs w:val="16"/>
                <w:lang w:val="en-US"/>
              </w:rPr>
              <w:t>F</w:t>
            </w:r>
            <w:r w:rsidR="00203345" w:rsidRPr="006B367A">
              <w:rPr>
                <w:rFonts w:asciiTheme="majorBidi" w:eastAsia="Times New Roman" w:hAnsiTheme="majorBidi" w:cstheme="majorBidi"/>
                <w:b/>
                <w:bCs/>
                <w:color w:val="000000"/>
                <w:sz w:val="16"/>
                <w:szCs w:val="16"/>
                <w:lang w:val="en-US"/>
              </w:rPr>
              <w:t>LSH</w:t>
            </w:r>
          </w:p>
        </w:tc>
        <w:tc>
          <w:tcPr>
            <w:tcW w:w="0" w:type="auto"/>
            <w:tcBorders>
              <w:top w:val="single" w:sz="12" w:space="0" w:color="auto"/>
              <w:bottom w:val="single" w:sz="12" w:space="0" w:color="auto"/>
            </w:tcBorders>
            <w:shd w:val="clear" w:color="auto" w:fill="auto"/>
            <w:noWrap/>
            <w:vAlign w:val="bottom"/>
            <w:hideMark/>
          </w:tcPr>
          <w:p w14:paraId="6349A280" w14:textId="77777777" w:rsidR="007F5801" w:rsidRPr="006B367A" w:rsidRDefault="007F5801" w:rsidP="00D23D6D">
            <w:pPr>
              <w:spacing w:after="0" w:line="240" w:lineRule="auto"/>
              <w:jc w:val="center"/>
              <w:rPr>
                <w:rFonts w:asciiTheme="majorBidi" w:eastAsia="Times New Roman" w:hAnsiTheme="majorBidi" w:cstheme="majorBidi"/>
                <w:b/>
                <w:bCs/>
                <w:color w:val="000000"/>
                <w:sz w:val="16"/>
                <w:szCs w:val="16"/>
              </w:rPr>
            </w:pPr>
            <w:r w:rsidRPr="006B367A">
              <w:rPr>
                <w:rFonts w:asciiTheme="majorBidi" w:eastAsia="Times New Roman" w:hAnsiTheme="majorBidi" w:cstheme="majorBidi"/>
                <w:b/>
                <w:bCs/>
                <w:color w:val="000000"/>
                <w:sz w:val="16"/>
                <w:szCs w:val="16"/>
              </w:rPr>
              <w:t>NGI</w:t>
            </w:r>
          </w:p>
        </w:tc>
        <w:tc>
          <w:tcPr>
            <w:tcW w:w="0" w:type="auto"/>
            <w:tcBorders>
              <w:top w:val="single" w:sz="12" w:space="0" w:color="auto"/>
              <w:bottom w:val="single" w:sz="12" w:space="0" w:color="auto"/>
            </w:tcBorders>
            <w:shd w:val="clear" w:color="auto" w:fill="auto"/>
            <w:noWrap/>
            <w:vAlign w:val="bottom"/>
            <w:hideMark/>
          </w:tcPr>
          <w:p w14:paraId="1AEBE4E4" w14:textId="77777777" w:rsidR="007F5801" w:rsidRPr="006B367A" w:rsidRDefault="007F5801" w:rsidP="00D23D6D">
            <w:pPr>
              <w:spacing w:after="0" w:line="240" w:lineRule="auto"/>
              <w:jc w:val="center"/>
              <w:rPr>
                <w:rFonts w:asciiTheme="majorBidi" w:eastAsia="Times New Roman" w:hAnsiTheme="majorBidi" w:cstheme="majorBidi"/>
                <w:b/>
                <w:bCs/>
                <w:color w:val="000000"/>
                <w:sz w:val="16"/>
                <w:szCs w:val="16"/>
              </w:rPr>
            </w:pPr>
            <w:r w:rsidRPr="006B367A">
              <w:rPr>
                <w:rFonts w:asciiTheme="majorBidi" w:eastAsia="Times New Roman" w:hAnsiTheme="majorBidi" w:cstheme="majorBidi"/>
                <w:b/>
                <w:bCs/>
                <w:color w:val="000000"/>
                <w:sz w:val="16"/>
                <w:szCs w:val="16"/>
              </w:rPr>
              <w:t>LNTA</w:t>
            </w:r>
          </w:p>
        </w:tc>
        <w:tc>
          <w:tcPr>
            <w:tcW w:w="0" w:type="auto"/>
            <w:tcBorders>
              <w:top w:val="single" w:sz="12" w:space="0" w:color="auto"/>
              <w:bottom w:val="single" w:sz="12" w:space="0" w:color="auto"/>
            </w:tcBorders>
            <w:shd w:val="clear" w:color="auto" w:fill="auto"/>
            <w:noWrap/>
            <w:vAlign w:val="bottom"/>
            <w:hideMark/>
          </w:tcPr>
          <w:p w14:paraId="66B8B0E1" w14:textId="77777777" w:rsidR="007F5801" w:rsidRPr="006B367A" w:rsidRDefault="007F5801" w:rsidP="00D23D6D">
            <w:pPr>
              <w:spacing w:after="0" w:line="240" w:lineRule="auto"/>
              <w:jc w:val="center"/>
              <w:rPr>
                <w:rFonts w:asciiTheme="majorBidi" w:eastAsia="Times New Roman" w:hAnsiTheme="majorBidi" w:cstheme="majorBidi"/>
                <w:b/>
                <w:bCs/>
                <w:color w:val="000000"/>
                <w:sz w:val="16"/>
                <w:szCs w:val="16"/>
              </w:rPr>
            </w:pPr>
            <w:r w:rsidRPr="006B367A">
              <w:rPr>
                <w:rFonts w:asciiTheme="majorBidi" w:eastAsia="Times New Roman" w:hAnsiTheme="majorBidi" w:cstheme="majorBidi"/>
                <w:b/>
                <w:bCs/>
                <w:color w:val="000000"/>
                <w:sz w:val="16"/>
                <w:szCs w:val="16"/>
              </w:rPr>
              <w:t>BUSY</w:t>
            </w:r>
          </w:p>
        </w:tc>
        <w:tc>
          <w:tcPr>
            <w:tcW w:w="0" w:type="auto"/>
            <w:tcBorders>
              <w:top w:val="single" w:sz="12" w:space="0" w:color="auto"/>
              <w:bottom w:val="single" w:sz="12" w:space="0" w:color="auto"/>
            </w:tcBorders>
            <w:shd w:val="clear" w:color="auto" w:fill="auto"/>
            <w:noWrap/>
            <w:vAlign w:val="bottom"/>
            <w:hideMark/>
          </w:tcPr>
          <w:p w14:paraId="56668E77" w14:textId="451FA36A" w:rsidR="007F5801" w:rsidRPr="006B367A" w:rsidRDefault="00DC18ED" w:rsidP="00D23D6D">
            <w:pPr>
              <w:spacing w:after="0" w:line="240" w:lineRule="auto"/>
              <w:jc w:val="center"/>
              <w:rPr>
                <w:rFonts w:asciiTheme="majorBidi" w:eastAsia="Times New Roman" w:hAnsiTheme="majorBidi" w:cstheme="majorBidi"/>
                <w:b/>
                <w:bCs/>
                <w:color w:val="000000"/>
                <w:sz w:val="16"/>
                <w:szCs w:val="16"/>
              </w:rPr>
            </w:pPr>
            <w:r w:rsidRPr="006B367A">
              <w:rPr>
                <w:rFonts w:asciiTheme="majorBidi" w:eastAsia="Times New Roman" w:hAnsiTheme="majorBidi" w:cstheme="majorBidi"/>
                <w:b/>
                <w:bCs/>
                <w:color w:val="000000"/>
                <w:sz w:val="16"/>
                <w:szCs w:val="16"/>
              </w:rPr>
              <w:t>QUI</w:t>
            </w:r>
            <w:r w:rsidR="007F5801" w:rsidRPr="006B367A">
              <w:rPr>
                <w:rFonts w:asciiTheme="majorBidi" w:eastAsia="Times New Roman" w:hAnsiTheme="majorBidi" w:cstheme="majorBidi"/>
                <w:b/>
                <w:bCs/>
                <w:color w:val="000000"/>
                <w:sz w:val="16"/>
                <w:szCs w:val="16"/>
              </w:rPr>
              <w:t>K</w:t>
            </w:r>
          </w:p>
        </w:tc>
        <w:tc>
          <w:tcPr>
            <w:tcW w:w="0" w:type="auto"/>
            <w:tcBorders>
              <w:top w:val="single" w:sz="12" w:space="0" w:color="auto"/>
              <w:bottom w:val="single" w:sz="12" w:space="0" w:color="auto"/>
            </w:tcBorders>
            <w:shd w:val="clear" w:color="auto" w:fill="auto"/>
            <w:noWrap/>
            <w:vAlign w:val="bottom"/>
            <w:hideMark/>
          </w:tcPr>
          <w:p w14:paraId="37744632" w14:textId="53A57145" w:rsidR="007F5801" w:rsidRPr="006B367A" w:rsidRDefault="00E94B46" w:rsidP="00D23D6D">
            <w:pPr>
              <w:spacing w:after="0" w:line="240" w:lineRule="auto"/>
              <w:jc w:val="center"/>
              <w:rPr>
                <w:rFonts w:asciiTheme="majorBidi" w:eastAsia="Times New Roman" w:hAnsiTheme="majorBidi" w:cstheme="majorBidi"/>
                <w:b/>
                <w:bCs/>
                <w:color w:val="000000"/>
                <w:sz w:val="16"/>
                <w:szCs w:val="16"/>
              </w:rPr>
            </w:pPr>
            <w:r w:rsidRPr="006B367A">
              <w:rPr>
                <w:rFonts w:asciiTheme="majorBidi" w:eastAsia="Times New Roman" w:hAnsiTheme="majorBidi" w:cstheme="majorBidi"/>
                <w:b/>
                <w:bCs/>
                <w:color w:val="000000"/>
                <w:sz w:val="16"/>
                <w:szCs w:val="16"/>
              </w:rPr>
              <w:t>LOS</w:t>
            </w:r>
          </w:p>
        </w:tc>
        <w:tc>
          <w:tcPr>
            <w:tcW w:w="0" w:type="auto"/>
            <w:tcBorders>
              <w:top w:val="single" w:sz="12" w:space="0" w:color="auto"/>
              <w:bottom w:val="single" w:sz="12" w:space="0" w:color="auto"/>
            </w:tcBorders>
            <w:shd w:val="clear" w:color="auto" w:fill="auto"/>
            <w:noWrap/>
            <w:vAlign w:val="bottom"/>
            <w:hideMark/>
          </w:tcPr>
          <w:p w14:paraId="02B5B346" w14:textId="40A4C184" w:rsidR="007F5801" w:rsidRPr="006B367A" w:rsidRDefault="00B31397" w:rsidP="00D23D6D">
            <w:pPr>
              <w:spacing w:after="0" w:line="240" w:lineRule="auto"/>
              <w:jc w:val="center"/>
              <w:rPr>
                <w:rFonts w:asciiTheme="majorBidi" w:eastAsia="Times New Roman" w:hAnsiTheme="majorBidi" w:cstheme="majorBidi"/>
                <w:b/>
                <w:bCs/>
                <w:color w:val="000000"/>
                <w:sz w:val="16"/>
                <w:szCs w:val="16"/>
              </w:rPr>
            </w:pPr>
            <w:r w:rsidRPr="006B367A">
              <w:rPr>
                <w:rFonts w:asciiTheme="majorBidi" w:eastAsia="Times New Roman" w:hAnsiTheme="majorBidi" w:cstheme="majorBidi"/>
                <w:b/>
                <w:bCs/>
                <w:color w:val="000000"/>
                <w:sz w:val="16"/>
                <w:szCs w:val="16"/>
              </w:rPr>
              <w:t>L</w:t>
            </w:r>
            <w:r w:rsidR="007F5801" w:rsidRPr="006B367A">
              <w:rPr>
                <w:rFonts w:asciiTheme="majorBidi" w:eastAsia="Times New Roman" w:hAnsiTheme="majorBidi" w:cstheme="majorBidi"/>
                <w:b/>
                <w:bCs/>
                <w:color w:val="000000"/>
                <w:sz w:val="16"/>
                <w:szCs w:val="16"/>
              </w:rPr>
              <w:t>V</w:t>
            </w:r>
          </w:p>
        </w:tc>
        <w:tc>
          <w:tcPr>
            <w:tcW w:w="0" w:type="auto"/>
            <w:tcBorders>
              <w:top w:val="single" w:sz="12" w:space="0" w:color="auto"/>
              <w:bottom w:val="single" w:sz="12" w:space="0" w:color="auto"/>
            </w:tcBorders>
            <w:shd w:val="clear" w:color="auto" w:fill="auto"/>
            <w:noWrap/>
            <w:vAlign w:val="bottom"/>
            <w:hideMark/>
          </w:tcPr>
          <w:p w14:paraId="0FAB465F" w14:textId="77777777" w:rsidR="007F5801" w:rsidRPr="006B367A" w:rsidRDefault="007F5801" w:rsidP="00D23D6D">
            <w:pPr>
              <w:spacing w:after="0" w:line="240" w:lineRule="auto"/>
              <w:jc w:val="center"/>
              <w:rPr>
                <w:rFonts w:asciiTheme="majorBidi" w:eastAsia="Times New Roman" w:hAnsiTheme="majorBidi" w:cstheme="majorBidi"/>
                <w:b/>
                <w:bCs/>
                <w:color w:val="000000"/>
                <w:sz w:val="16"/>
                <w:szCs w:val="16"/>
              </w:rPr>
            </w:pPr>
            <w:r w:rsidRPr="006B367A">
              <w:rPr>
                <w:rFonts w:asciiTheme="majorBidi" w:eastAsia="Times New Roman" w:hAnsiTheme="majorBidi" w:cstheme="majorBidi"/>
                <w:b/>
                <w:bCs/>
                <w:color w:val="000000"/>
                <w:sz w:val="16"/>
                <w:szCs w:val="16"/>
              </w:rPr>
              <w:t>SGR</w:t>
            </w:r>
          </w:p>
        </w:tc>
        <w:tc>
          <w:tcPr>
            <w:tcW w:w="0" w:type="auto"/>
            <w:tcBorders>
              <w:top w:val="single" w:sz="12" w:space="0" w:color="auto"/>
              <w:bottom w:val="single" w:sz="12" w:space="0" w:color="auto"/>
            </w:tcBorders>
            <w:shd w:val="clear" w:color="auto" w:fill="auto"/>
            <w:noWrap/>
            <w:vAlign w:val="bottom"/>
            <w:hideMark/>
          </w:tcPr>
          <w:p w14:paraId="38B757FF" w14:textId="77777777" w:rsidR="007F5801" w:rsidRPr="006B367A" w:rsidRDefault="007F5801" w:rsidP="00D23D6D">
            <w:pPr>
              <w:spacing w:after="0" w:line="240" w:lineRule="auto"/>
              <w:jc w:val="center"/>
              <w:rPr>
                <w:rFonts w:asciiTheme="majorBidi" w:eastAsia="Times New Roman" w:hAnsiTheme="majorBidi" w:cstheme="majorBidi"/>
                <w:b/>
                <w:bCs/>
                <w:color w:val="000000"/>
                <w:sz w:val="16"/>
                <w:szCs w:val="16"/>
              </w:rPr>
            </w:pPr>
            <w:r w:rsidRPr="006B367A">
              <w:rPr>
                <w:rFonts w:asciiTheme="majorBidi" w:eastAsia="Times New Roman" w:hAnsiTheme="majorBidi" w:cstheme="majorBidi"/>
                <w:b/>
                <w:bCs/>
                <w:color w:val="000000"/>
                <w:sz w:val="16"/>
                <w:szCs w:val="16"/>
              </w:rPr>
              <w:t>ROA</w:t>
            </w:r>
          </w:p>
        </w:tc>
      </w:tr>
      <w:tr w:rsidR="007F5801" w:rsidRPr="006B367A" w14:paraId="7F58B0BB" w14:textId="77777777" w:rsidTr="00D23D6D">
        <w:trPr>
          <w:trHeight w:val="300"/>
        </w:trPr>
        <w:tc>
          <w:tcPr>
            <w:tcW w:w="0" w:type="auto"/>
            <w:tcBorders>
              <w:top w:val="single" w:sz="12" w:space="0" w:color="auto"/>
              <w:right w:val="single" w:sz="12" w:space="0" w:color="auto"/>
            </w:tcBorders>
            <w:shd w:val="clear" w:color="auto" w:fill="auto"/>
            <w:noWrap/>
            <w:vAlign w:val="bottom"/>
            <w:hideMark/>
          </w:tcPr>
          <w:p w14:paraId="5C658290" w14:textId="77777777" w:rsidR="007F5801" w:rsidRPr="006B367A" w:rsidRDefault="007F5801" w:rsidP="00D23D6D">
            <w:pPr>
              <w:spacing w:after="0" w:line="240" w:lineRule="auto"/>
              <w:jc w:val="center"/>
              <w:rPr>
                <w:rFonts w:asciiTheme="majorBidi" w:eastAsia="Times New Roman" w:hAnsiTheme="majorBidi" w:cstheme="majorBidi"/>
                <w:b/>
                <w:bCs/>
                <w:color w:val="000000"/>
                <w:sz w:val="16"/>
                <w:szCs w:val="16"/>
              </w:rPr>
            </w:pPr>
            <w:r w:rsidRPr="006B367A">
              <w:rPr>
                <w:rFonts w:asciiTheme="majorBidi" w:eastAsia="Times New Roman" w:hAnsiTheme="majorBidi" w:cstheme="majorBidi"/>
                <w:b/>
                <w:bCs/>
                <w:color w:val="000000"/>
                <w:sz w:val="16"/>
                <w:szCs w:val="16"/>
              </w:rPr>
              <w:t>BIG4</w:t>
            </w:r>
          </w:p>
        </w:tc>
        <w:tc>
          <w:tcPr>
            <w:tcW w:w="0" w:type="auto"/>
            <w:tcBorders>
              <w:top w:val="single" w:sz="12" w:space="0" w:color="auto"/>
              <w:left w:val="single" w:sz="12" w:space="0" w:color="auto"/>
            </w:tcBorders>
            <w:shd w:val="clear" w:color="auto" w:fill="auto"/>
            <w:noWrap/>
            <w:vAlign w:val="bottom"/>
            <w:hideMark/>
          </w:tcPr>
          <w:p w14:paraId="3D4EA5C1"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1</w:t>
            </w:r>
          </w:p>
        </w:tc>
        <w:tc>
          <w:tcPr>
            <w:tcW w:w="0" w:type="auto"/>
            <w:tcBorders>
              <w:top w:val="single" w:sz="12" w:space="0" w:color="auto"/>
            </w:tcBorders>
            <w:shd w:val="clear" w:color="auto" w:fill="auto"/>
            <w:noWrap/>
            <w:vAlign w:val="bottom"/>
            <w:hideMark/>
          </w:tcPr>
          <w:p w14:paraId="0D39B5FB"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0.468***</w:t>
            </w:r>
          </w:p>
        </w:tc>
        <w:tc>
          <w:tcPr>
            <w:tcW w:w="0" w:type="auto"/>
            <w:tcBorders>
              <w:top w:val="single" w:sz="12" w:space="0" w:color="auto"/>
            </w:tcBorders>
            <w:shd w:val="clear" w:color="auto" w:fill="auto"/>
            <w:noWrap/>
            <w:vAlign w:val="bottom"/>
            <w:hideMark/>
          </w:tcPr>
          <w:p w14:paraId="7A0721FE"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0.150***</w:t>
            </w:r>
          </w:p>
        </w:tc>
        <w:tc>
          <w:tcPr>
            <w:tcW w:w="0" w:type="auto"/>
            <w:tcBorders>
              <w:top w:val="single" w:sz="12" w:space="0" w:color="auto"/>
            </w:tcBorders>
            <w:shd w:val="clear" w:color="auto" w:fill="auto"/>
            <w:noWrap/>
            <w:vAlign w:val="bottom"/>
            <w:hideMark/>
          </w:tcPr>
          <w:p w14:paraId="7EAFF5DF"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0.339***</w:t>
            </w:r>
          </w:p>
        </w:tc>
        <w:tc>
          <w:tcPr>
            <w:tcW w:w="0" w:type="auto"/>
            <w:tcBorders>
              <w:top w:val="single" w:sz="12" w:space="0" w:color="auto"/>
            </w:tcBorders>
            <w:shd w:val="clear" w:color="auto" w:fill="auto"/>
            <w:noWrap/>
            <w:vAlign w:val="bottom"/>
            <w:hideMark/>
          </w:tcPr>
          <w:p w14:paraId="3F785BBB"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-0.296***</w:t>
            </w:r>
          </w:p>
        </w:tc>
        <w:tc>
          <w:tcPr>
            <w:tcW w:w="0" w:type="auto"/>
            <w:tcBorders>
              <w:top w:val="single" w:sz="12" w:space="0" w:color="auto"/>
            </w:tcBorders>
            <w:shd w:val="clear" w:color="auto" w:fill="auto"/>
            <w:noWrap/>
            <w:vAlign w:val="bottom"/>
            <w:hideMark/>
          </w:tcPr>
          <w:p w14:paraId="0763E82F"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0.350***</w:t>
            </w:r>
          </w:p>
        </w:tc>
        <w:tc>
          <w:tcPr>
            <w:tcW w:w="0" w:type="auto"/>
            <w:tcBorders>
              <w:top w:val="single" w:sz="12" w:space="0" w:color="auto"/>
            </w:tcBorders>
            <w:shd w:val="clear" w:color="auto" w:fill="auto"/>
            <w:noWrap/>
            <w:vAlign w:val="bottom"/>
            <w:hideMark/>
          </w:tcPr>
          <w:p w14:paraId="1ECEFEFC"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0.154***</w:t>
            </w:r>
          </w:p>
        </w:tc>
        <w:tc>
          <w:tcPr>
            <w:tcW w:w="0" w:type="auto"/>
            <w:tcBorders>
              <w:top w:val="single" w:sz="12" w:space="0" w:color="auto"/>
            </w:tcBorders>
            <w:shd w:val="clear" w:color="auto" w:fill="auto"/>
            <w:noWrap/>
            <w:vAlign w:val="bottom"/>
            <w:hideMark/>
          </w:tcPr>
          <w:p w14:paraId="0618CDF6" w14:textId="481DAE8C" w:rsidR="007F5801" w:rsidRPr="006B367A" w:rsidRDefault="00625F5F" w:rsidP="00625F5F">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w:t>
            </w:r>
            <w:r w:rsidR="007F5801" w:rsidRPr="006B367A">
              <w:rPr>
                <w:rFonts w:asciiTheme="majorBidi" w:eastAsia="Times New Roman" w:hAnsiTheme="majorBidi" w:cstheme="majorBidi"/>
                <w:color w:val="000000"/>
                <w:sz w:val="16"/>
                <w:szCs w:val="16"/>
              </w:rPr>
              <w:t>0.</w:t>
            </w:r>
            <w:r w:rsidRPr="006B367A">
              <w:rPr>
                <w:rFonts w:asciiTheme="majorBidi" w:eastAsia="Times New Roman" w:hAnsiTheme="majorBidi" w:cstheme="majorBidi"/>
                <w:color w:val="000000"/>
                <w:sz w:val="16"/>
                <w:szCs w:val="16"/>
              </w:rPr>
              <w:t>299</w:t>
            </w:r>
            <w:r w:rsidR="007F5801" w:rsidRPr="006B367A">
              <w:rPr>
                <w:rFonts w:asciiTheme="majorBidi" w:eastAsia="Times New Roman" w:hAnsiTheme="majorBidi" w:cstheme="majorBidi"/>
                <w:color w:val="000000"/>
                <w:sz w:val="16"/>
                <w:szCs w:val="16"/>
              </w:rPr>
              <w:t>***</w:t>
            </w:r>
          </w:p>
        </w:tc>
        <w:tc>
          <w:tcPr>
            <w:tcW w:w="0" w:type="auto"/>
            <w:tcBorders>
              <w:top w:val="single" w:sz="12" w:space="0" w:color="auto"/>
            </w:tcBorders>
            <w:shd w:val="clear" w:color="auto" w:fill="auto"/>
            <w:noWrap/>
            <w:vAlign w:val="bottom"/>
            <w:hideMark/>
          </w:tcPr>
          <w:p w14:paraId="00A203A1" w14:textId="685B52E7" w:rsidR="007F5801" w:rsidRPr="006B367A" w:rsidRDefault="007F5801" w:rsidP="00625F5F">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0.15</w:t>
            </w:r>
            <w:r w:rsidR="00625F5F" w:rsidRPr="006B367A">
              <w:rPr>
                <w:rFonts w:asciiTheme="majorBidi" w:eastAsia="Times New Roman" w:hAnsiTheme="majorBidi" w:cstheme="majorBidi"/>
                <w:color w:val="000000"/>
                <w:sz w:val="16"/>
                <w:szCs w:val="16"/>
              </w:rPr>
              <w:t>1</w:t>
            </w:r>
            <w:r w:rsidRPr="006B367A">
              <w:rPr>
                <w:rFonts w:asciiTheme="majorBidi" w:eastAsia="Times New Roman" w:hAnsiTheme="majorBidi" w:cstheme="majorBidi"/>
                <w:color w:val="000000"/>
                <w:sz w:val="16"/>
                <w:szCs w:val="16"/>
              </w:rPr>
              <w:t>***</w:t>
            </w:r>
          </w:p>
        </w:tc>
        <w:tc>
          <w:tcPr>
            <w:tcW w:w="0" w:type="auto"/>
            <w:tcBorders>
              <w:top w:val="single" w:sz="12" w:space="0" w:color="auto"/>
            </w:tcBorders>
            <w:shd w:val="clear" w:color="auto" w:fill="auto"/>
            <w:noWrap/>
            <w:vAlign w:val="bottom"/>
            <w:hideMark/>
          </w:tcPr>
          <w:p w14:paraId="6271DFDF"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0.482***</w:t>
            </w:r>
          </w:p>
        </w:tc>
        <w:tc>
          <w:tcPr>
            <w:tcW w:w="0" w:type="auto"/>
            <w:tcBorders>
              <w:top w:val="single" w:sz="12" w:space="0" w:color="auto"/>
            </w:tcBorders>
            <w:shd w:val="clear" w:color="auto" w:fill="auto"/>
            <w:noWrap/>
            <w:vAlign w:val="bottom"/>
            <w:hideMark/>
          </w:tcPr>
          <w:p w14:paraId="45A66A8B"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0.178***</w:t>
            </w:r>
          </w:p>
        </w:tc>
        <w:tc>
          <w:tcPr>
            <w:tcW w:w="0" w:type="auto"/>
            <w:tcBorders>
              <w:top w:val="single" w:sz="12" w:space="0" w:color="auto"/>
            </w:tcBorders>
            <w:shd w:val="clear" w:color="auto" w:fill="auto"/>
            <w:noWrap/>
            <w:vAlign w:val="bottom"/>
            <w:hideMark/>
          </w:tcPr>
          <w:p w14:paraId="1C523775"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0.040</w:t>
            </w:r>
          </w:p>
        </w:tc>
        <w:tc>
          <w:tcPr>
            <w:tcW w:w="0" w:type="auto"/>
            <w:tcBorders>
              <w:top w:val="single" w:sz="12" w:space="0" w:color="auto"/>
            </w:tcBorders>
            <w:shd w:val="clear" w:color="auto" w:fill="auto"/>
            <w:noWrap/>
            <w:vAlign w:val="bottom"/>
            <w:hideMark/>
          </w:tcPr>
          <w:p w14:paraId="192638A1"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-0.133***</w:t>
            </w:r>
          </w:p>
        </w:tc>
        <w:tc>
          <w:tcPr>
            <w:tcW w:w="0" w:type="auto"/>
            <w:tcBorders>
              <w:top w:val="single" w:sz="12" w:space="0" w:color="auto"/>
            </w:tcBorders>
            <w:shd w:val="clear" w:color="auto" w:fill="auto"/>
            <w:noWrap/>
            <w:vAlign w:val="bottom"/>
            <w:hideMark/>
          </w:tcPr>
          <w:p w14:paraId="6A574A02"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0.225***</w:t>
            </w:r>
          </w:p>
        </w:tc>
        <w:tc>
          <w:tcPr>
            <w:tcW w:w="0" w:type="auto"/>
            <w:tcBorders>
              <w:top w:val="single" w:sz="12" w:space="0" w:color="auto"/>
            </w:tcBorders>
            <w:shd w:val="clear" w:color="auto" w:fill="auto"/>
            <w:noWrap/>
            <w:vAlign w:val="bottom"/>
            <w:hideMark/>
          </w:tcPr>
          <w:p w14:paraId="31BF208B"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0.104**</w:t>
            </w:r>
          </w:p>
        </w:tc>
        <w:tc>
          <w:tcPr>
            <w:tcW w:w="0" w:type="auto"/>
            <w:tcBorders>
              <w:top w:val="single" w:sz="12" w:space="0" w:color="auto"/>
            </w:tcBorders>
            <w:shd w:val="clear" w:color="auto" w:fill="auto"/>
            <w:noWrap/>
            <w:vAlign w:val="bottom"/>
            <w:hideMark/>
          </w:tcPr>
          <w:p w14:paraId="0C504AF8"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0.174***</w:t>
            </w:r>
          </w:p>
        </w:tc>
      </w:tr>
      <w:tr w:rsidR="007F5801" w:rsidRPr="006B367A" w14:paraId="118A364F" w14:textId="77777777" w:rsidTr="00D23D6D">
        <w:trPr>
          <w:trHeight w:val="300"/>
        </w:trPr>
        <w:tc>
          <w:tcPr>
            <w:tcW w:w="0" w:type="auto"/>
            <w:tcBorders>
              <w:right w:val="single" w:sz="12" w:space="0" w:color="auto"/>
            </w:tcBorders>
            <w:shd w:val="clear" w:color="auto" w:fill="auto"/>
            <w:noWrap/>
            <w:vAlign w:val="bottom"/>
            <w:hideMark/>
          </w:tcPr>
          <w:p w14:paraId="0880EF52" w14:textId="36869243" w:rsidR="007F5801" w:rsidRPr="006B367A" w:rsidRDefault="00CD0B52" w:rsidP="00D23D6D">
            <w:pPr>
              <w:spacing w:after="0" w:line="240" w:lineRule="auto"/>
              <w:jc w:val="center"/>
              <w:rPr>
                <w:rFonts w:asciiTheme="majorBidi" w:eastAsia="Times New Roman" w:hAnsiTheme="majorBidi" w:cstheme="majorBidi"/>
                <w:b/>
                <w:bCs/>
                <w:color w:val="000000"/>
                <w:sz w:val="16"/>
                <w:szCs w:val="16"/>
              </w:rPr>
            </w:pPr>
            <w:r w:rsidRPr="006B367A">
              <w:rPr>
                <w:rFonts w:asciiTheme="majorBidi" w:eastAsia="Times New Roman" w:hAnsiTheme="majorBidi" w:cstheme="majorBidi"/>
                <w:b/>
                <w:bCs/>
                <w:color w:val="000000"/>
                <w:sz w:val="16"/>
                <w:szCs w:val="16"/>
              </w:rPr>
              <w:t>LNF</w:t>
            </w:r>
            <w:r w:rsidR="007F5801" w:rsidRPr="006B367A">
              <w:rPr>
                <w:rFonts w:asciiTheme="majorBidi" w:eastAsia="Times New Roman" w:hAnsiTheme="majorBidi" w:cstheme="majorBidi"/>
                <w:b/>
                <w:bCs/>
                <w:color w:val="000000"/>
                <w:sz w:val="16"/>
                <w:szCs w:val="16"/>
              </w:rPr>
              <w:t>E</w:t>
            </w:r>
          </w:p>
        </w:tc>
        <w:tc>
          <w:tcPr>
            <w:tcW w:w="0" w:type="auto"/>
            <w:tcBorders>
              <w:left w:val="single" w:sz="12" w:space="0" w:color="auto"/>
            </w:tcBorders>
            <w:shd w:val="clear" w:color="auto" w:fill="auto"/>
            <w:noWrap/>
            <w:vAlign w:val="bottom"/>
            <w:hideMark/>
          </w:tcPr>
          <w:p w14:paraId="5569DA28"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0.467***</w:t>
            </w:r>
          </w:p>
        </w:tc>
        <w:tc>
          <w:tcPr>
            <w:tcW w:w="0" w:type="auto"/>
            <w:shd w:val="clear" w:color="auto" w:fill="auto"/>
            <w:noWrap/>
            <w:vAlign w:val="bottom"/>
            <w:hideMark/>
          </w:tcPr>
          <w:p w14:paraId="58E3014E"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1</w:t>
            </w:r>
          </w:p>
        </w:tc>
        <w:tc>
          <w:tcPr>
            <w:tcW w:w="0" w:type="auto"/>
            <w:shd w:val="clear" w:color="auto" w:fill="auto"/>
            <w:noWrap/>
            <w:vAlign w:val="bottom"/>
            <w:hideMark/>
          </w:tcPr>
          <w:p w14:paraId="17B5DFD6"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0.146***</w:t>
            </w:r>
          </w:p>
        </w:tc>
        <w:tc>
          <w:tcPr>
            <w:tcW w:w="0" w:type="auto"/>
            <w:shd w:val="clear" w:color="auto" w:fill="auto"/>
            <w:noWrap/>
            <w:vAlign w:val="bottom"/>
            <w:hideMark/>
          </w:tcPr>
          <w:p w14:paraId="3758C7B2"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0.314***</w:t>
            </w:r>
          </w:p>
        </w:tc>
        <w:tc>
          <w:tcPr>
            <w:tcW w:w="0" w:type="auto"/>
            <w:shd w:val="clear" w:color="auto" w:fill="auto"/>
            <w:noWrap/>
            <w:vAlign w:val="bottom"/>
            <w:hideMark/>
          </w:tcPr>
          <w:p w14:paraId="63F1BEEB"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-0.337***</w:t>
            </w:r>
          </w:p>
        </w:tc>
        <w:tc>
          <w:tcPr>
            <w:tcW w:w="0" w:type="auto"/>
            <w:shd w:val="clear" w:color="auto" w:fill="auto"/>
            <w:noWrap/>
            <w:vAlign w:val="bottom"/>
            <w:hideMark/>
          </w:tcPr>
          <w:p w14:paraId="4C36339C"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0.365***</w:t>
            </w:r>
          </w:p>
        </w:tc>
        <w:tc>
          <w:tcPr>
            <w:tcW w:w="0" w:type="auto"/>
            <w:shd w:val="clear" w:color="auto" w:fill="auto"/>
            <w:noWrap/>
            <w:vAlign w:val="bottom"/>
            <w:hideMark/>
          </w:tcPr>
          <w:p w14:paraId="5666B346"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0.025</w:t>
            </w:r>
          </w:p>
        </w:tc>
        <w:tc>
          <w:tcPr>
            <w:tcW w:w="0" w:type="auto"/>
            <w:shd w:val="clear" w:color="auto" w:fill="auto"/>
            <w:noWrap/>
            <w:vAlign w:val="bottom"/>
            <w:hideMark/>
          </w:tcPr>
          <w:p w14:paraId="3CF868D6" w14:textId="588A713B" w:rsidR="007F5801" w:rsidRPr="006B367A" w:rsidRDefault="00625F5F"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0.283</w:t>
            </w:r>
            <w:r w:rsidR="007F5801" w:rsidRPr="006B367A">
              <w:rPr>
                <w:rFonts w:asciiTheme="majorBidi" w:eastAsia="Times New Roman" w:hAnsiTheme="majorBidi" w:cstheme="majorBidi"/>
                <w:color w:val="000000"/>
                <w:sz w:val="16"/>
                <w:szCs w:val="16"/>
              </w:rPr>
              <w:t>***</w:t>
            </w:r>
          </w:p>
        </w:tc>
        <w:tc>
          <w:tcPr>
            <w:tcW w:w="0" w:type="auto"/>
            <w:shd w:val="clear" w:color="auto" w:fill="auto"/>
            <w:noWrap/>
            <w:vAlign w:val="bottom"/>
            <w:hideMark/>
          </w:tcPr>
          <w:p w14:paraId="20DA9C81" w14:textId="121B6C76" w:rsidR="007F5801" w:rsidRPr="006B367A" w:rsidRDefault="00625F5F"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0.440</w:t>
            </w:r>
            <w:r w:rsidR="007F5801" w:rsidRPr="006B367A">
              <w:rPr>
                <w:rFonts w:asciiTheme="majorBidi" w:eastAsia="Times New Roman" w:hAnsiTheme="majorBidi" w:cstheme="majorBidi"/>
                <w:color w:val="000000"/>
                <w:sz w:val="16"/>
                <w:szCs w:val="16"/>
              </w:rPr>
              <w:t>***</w:t>
            </w:r>
          </w:p>
        </w:tc>
        <w:tc>
          <w:tcPr>
            <w:tcW w:w="0" w:type="auto"/>
            <w:shd w:val="clear" w:color="auto" w:fill="auto"/>
            <w:noWrap/>
            <w:vAlign w:val="bottom"/>
            <w:hideMark/>
          </w:tcPr>
          <w:p w14:paraId="7DB2D4A1"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0.721***</w:t>
            </w:r>
          </w:p>
        </w:tc>
        <w:tc>
          <w:tcPr>
            <w:tcW w:w="0" w:type="auto"/>
            <w:shd w:val="clear" w:color="auto" w:fill="auto"/>
            <w:noWrap/>
            <w:vAlign w:val="bottom"/>
            <w:hideMark/>
          </w:tcPr>
          <w:p w14:paraId="5094278A"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0.203***</w:t>
            </w:r>
          </w:p>
        </w:tc>
        <w:tc>
          <w:tcPr>
            <w:tcW w:w="0" w:type="auto"/>
            <w:shd w:val="clear" w:color="auto" w:fill="auto"/>
            <w:noWrap/>
            <w:vAlign w:val="bottom"/>
            <w:hideMark/>
          </w:tcPr>
          <w:p w14:paraId="5EBDA722"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0.037</w:t>
            </w:r>
          </w:p>
        </w:tc>
        <w:tc>
          <w:tcPr>
            <w:tcW w:w="0" w:type="auto"/>
            <w:shd w:val="clear" w:color="auto" w:fill="auto"/>
            <w:noWrap/>
            <w:vAlign w:val="bottom"/>
            <w:hideMark/>
          </w:tcPr>
          <w:p w14:paraId="2CC1A090"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-0.071</w:t>
            </w:r>
          </w:p>
        </w:tc>
        <w:tc>
          <w:tcPr>
            <w:tcW w:w="0" w:type="auto"/>
            <w:shd w:val="clear" w:color="auto" w:fill="auto"/>
            <w:noWrap/>
            <w:vAlign w:val="bottom"/>
            <w:hideMark/>
          </w:tcPr>
          <w:p w14:paraId="1B398CA8"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0.191***</w:t>
            </w:r>
          </w:p>
        </w:tc>
        <w:tc>
          <w:tcPr>
            <w:tcW w:w="0" w:type="auto"/>
            <w:shd w:val="clear" w:color="auto" w:fill="auto"/>
            <w:noWrap/>
            <w:vAlign w:val="bottom"/>
            <w:hideMark/>
          </w:tcPr>
          <w:p w14:paraId="09D5C26E"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0.011</w:t>
            </w:r>
          </w:p>
        </w:tc>
        <w:tc>
          <w:tcPr>
            <w:tcW w:w="0" w:type="auto"/>
            <w:shd w:val="clear" w:color="auto" w:fill="auto"/>
            <w:noWrap/>
            <w:vAlign w:val="bottom"/>
            <w:hideMark/>
          </w:tcPr>
          <w:p w14:paraId="6890AEAE"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-0.050</w:t>
            </w:r>
          </w:p>
        </w:tc>
      </w:tr>
      <w:tr w:rsidR="007F5801" w:rsidRPr="006B367A" w14:paraId="74C46894" w14:textId="77777777" w:rsidTr="00D23D6D">
        <w:trPr>
          <w:trHeight w:val="300"/>
        </w:trPr>
        <w:tc>
          <w:tcPr>
            <w:tcW w:w="0" w:type="auto"/>
            <w:tcBorders>
              <w:right w:val="single" w:sz="12" w:space="0" w:color="auto"/>
            </w:tcBorders>
            <w:shd w:val="clear" w:color="auto" w:fill="auto"/>
            <w:noWrap/>
            <w:vAlign w:val="bottom"/>
            <w:hideMark/>
          </w:tcPr>
          <w:p w14:paraId="7E523A27" w14:textId="27024884" w:rsidR="007F5801" w:rsidRPr="006B367A" w:rsidRDefault="00CD0B52" w:rsidP="00CD0B52">
            <w:pPr>
              <w:spacing w:after="0" w:line="240" w:lineRule="auto"/>
              <w:jc w:val="center"/>
              <w:rPr>
                <w:rFonts w:asciiTheme="majorBidi" w:eastAsia="Times New Roman" w:hAnsiTheme="majorBidi" w:cstheme="majorBidi"/>
                <w:b/>
                <w:bCs/>
                <w:color w:val="000000"/>
                <w:sz w:val="16"/>
                <w:szCs w:val="16"/>
              </w:rPr>
            </w:pPr>
            <w:r w:rsidRPr="006B367A">
              <w:rPr>
                <w:rFonts w:asciiTheme="majorBidi" w:eastAsia="Times New Roman" w:hAnsiTheme="majorBidi" w:cstheme="majorBidi"/>
                <w:b/>
                <w:bCs/>
                <w:color w:val="000000"/>
                <w:sz w:val="16"/>
                <w:szCs w:val="16"/>
                <w:lang w:val="en-US"/>
              </w:rPr>
              <w:t>BRDS</w:t>
            </w:r>
          </w:p>
        </w:tc>
        <w:tc>
          <w:tcPr>
            <w:tcW w:w="0" w:type="auto"/>
            <w:tcBorders>
              <w:left w:val="single" w:sz="12" w:space="0" w:color="auto"/>
            </w:tcBorders>
            <w:shd w:val="clear" w:color="auto" w:fill="auto"/>
            <w:noWrap/>
            <w:vAlign w:val="bottom"/>
            <w:hideMark/>
          </w:tcPr>
          <w:p w14:paraId="338DF8FB"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0.135***</w:t>
            </w:r>
          </w:p>
        </w:tc>
        <w:tc>
          <w:tcPr>
            <w:tcW w:w="0" w:type="auto"/>
            <w:shd w:val="clear" w:color="auto" w:fill="auto"/>
            <w:noWrap/>
            <w:vAlign w:val="bottom"/>
            <w:hideMark/>
          </w:tcPr>
          <w:p w14:paraId="6895971D"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0.175***</w:t>
            </w:r>
          </w:p>
        </w:tc>
        <w:tc>
          <w:tcPr>
            <w:tcW w:w="0" w:type="auto"/>
            <w:shd w:val="clear" w:color="auto" w:fill="auto"/>
            <w:noWrap/>
            <w:vAlign w:val="bottom"/>
            <w:hideMark/>
          </w:tcPr>
          <w:p w14:paraId="4DD31CE2"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1</w:t>
            </w:r>
          </w:p>
        </w:tc>
        <w:tc>
          <w:tcPr>
            <w:tcW w:w="0" w:type="auto"/>
            <w:shd w:val="clear" w:color="auto" w:fill="auto"/>
            <w:noWrap/>
            <w:vAlign w:val="bottom"/>
            <w:hideMark/>
          </w:tcPr>
          <w:p w14:paraId="3707F2C7"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0.011</w:t>
            </w:r>
          </w:p>
        </w:tc>
        <w:tc>
          <w:tcPr>
            <w:tcW w:w="0" w:type="auto"/>
            <w:shd w:val="clear" w:color="auto" w:fill="auto"/>
            <w:noWrap/>
            <w:vAlign w:val="bottom"/>
            <w:hideMark/>
          </w:tcPr>
          <w:p w14:paraId="46F98C9E"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0.243***</w:t>
            </w:r>
          </w:p>
        </w:tc>
        <w:tc>
          <w:tcPr>
            <w:tcW w:w="0" w:type="auto"/>
            <w:shd w:val="clear" w:color="auto" w:fill="auto"/>
            <w:noWrap/>
            <w:vAlign w:val="bottom"/>
            <w:hideMark/>
          </w:tcPr>
          <w:p w14:paraId="6E945872"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0.273***</w:t>
            </w:r>
          </w:p>
        </w:tc>
        <w:tc>
          <w:tcPr>
            <w:tcW w:w="0" w:type="auto"/>
            <w:shd w:val="clear" w:color="auto" w:fill="auto"/>
            <w:noWrap/>
            <w:vAlign w:val="bottom"/>
            <w:hideMark/>
          </w:tcPr>
          <w:p w14:paraId="4C11FF74"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0.093**</w:t>
            </w:r>
          </w:p>
        </w:tc>
        <w:tc>
          <w:tcPr>
            <w:tcW w:w="0" w:type="auto"/>
            <w:shd w:val="clear" w:color="auto" w:fill="auto"/>
            <w:noWrap/>
            <w:vAlign w:val="bottom"/>
            <w:hideMark/>
          </w:tcPr>
          <w:p w14:paraId="6981F0A9" w14:textId="5920B330" w:rsidR="007F5801" w:rsidRPr="006B367A" w:rsidRDefault="00625F5F" w:rsidP="00625F5F">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-0.035</w:t>
            </w:r>
          </w:p>
        </w:tc>
        <w:tc>
          <w:tcPr>
            <w:tcW w:w="0" w:type="auto"/>
            <w:shd w:val="clear" w:color="auto" w:fill="auto"/>
            <w:noWrap/>
            <w:vAlign w:val="bottom"/>
            <w:hideMark/>
          </w:tcPr>
          <w:p w14:paraId="38FA7656" w14:textId="00CE34D6"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w:t>
            </w:r>
            <w:r w:rsidR="00625F5F" w:rsidRPr="006B367A">
              <w:rPr>
                <w:rFonts w:asciiTheme="majorBidi" w:eastAsia="Times New Roman" w:hAnsiTheme="majorBidi" w:cstheme="majorBidi"/>
                <w:color w:val="000000"/>
                <w:sz w:val="16"/>
                <w:szCs w:val="16"/>
              </w:rPr>
              <w:t>0.270</w:t>
            </w:r>
            <w:r w:rsidRPr="006B367A">
              <w:rPr>
                <w:rFonts w:asciiTheme="majorBidi" w:eastAsia="Times New Roman" w:hAnsiTheme="majorBidi" w:cstheme="majorBidi"/>
                <w:color w:val="000000"/>
                <w:sz w:val="16"/>
                <w:szCs w:val="16"/>
              </w:rPr>
              <w:t>***</w:t>
            </w:r>
          </w:p>
        </w:tc>
        <w:tc>
          <w:tcPr>
            <w:tcW w:w="0" w:type="auto"/>
            <w:shd w:val="clear" w:color="auto" w:fill="auto"/>
            <w:noWrap/>
            <w:vAlign w:val="bottom"/>
            <w:hideMark/>
          </w:tcPr>
          <w:p w14:paraId="7B9A8D24"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0.355***</w:t>
            </w:r>
          </w:p>
        </w:tc>
        <w:tc>
          <w:tcPr>
            <w:tcW w:w="0" w:type="auto"/>
            <w:shd w:val="clear" w:color="auto" w:fill="auto"/>
            <w:noWrap/>
            <w:vAlign w:val="bottom"/>
            <w:hideMark/>
          </w:tcPr>
          <w:p w14:paraId="73259E5A"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0.010</w:t>
            </w:r>
          </w:p>
        </w:tc>
        <w:tc>
          <w:tcPr>
            <w:tcW w:w="0" w:type="auto"/>
            <w:shd w:val="clear" w:color="auto" w:fill="auto"/>
            <w:noWrap/>
            <w:vAlign w:val="bottom"/>
            <w:hideMark/>
          </w:tcPr>
          <w:p w14:paraId="0538E1B4"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-0.011</w:t>
            </w:r>
          </w:p>
        </w:tc>
        <w:tc>
          <w:tcPr>
            <w:tcW w:w="0" w:type="auto"/>
            <w:shd w:val="clear" w:color="auto" w:fill="auto"/>
            <w:noWrap/>
            <w:vAlign w:val="bottom"/>
            <w:hideMark/>
          </w:tcPr>
          <w:p w14:paraId="7237655E"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-0.083**</w:t>
            </w:r>
          </w:p>
        </w:tc>
        <w:tc>
          <w:tcPr>
            <w:tcW w:w="0" w:type="auto"/>
            <w:shd w:val="clear" w:color="auto" w:fill="auto"/>
            <w:noWrap/>
            <w:vAlign w:val="bottom"/>
            <w:hideMark/>
          </w:tcPr>
          <w:p w14:paraId="5238C314"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0.016</w:t>
            </w:r>
          </w:p>
        </w:tc>
        <w:tc>
          <w:tcPr>
            <w:tcW w:w="0" w:type="auto"/>
            <w:shd w:val="clear" w:color="auto" w:fill="auto"/>
            <w:noWrap/>
            <w:vAlign w:val="bottom"/>
            <w:hideMark/>
          </w:tcPr>
          <w:p w14:paraId="66A0C0E3"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0.099**</w:t>
            </w:r>
          </w:p>
        </w:tc>
        <w:tc>
          <w:tcPr>
            <w:tcW w:w="0" w:type="auto"/>
            <w:shd w:val="clear" w:color="auto" w:fill="auto"/>
            <w:noWrap/>
            <w:vAlign w:val="bottom"/>
            <w:hideMark/>
          </w:tcPr>
          <w:p w14:paraId="4014B083"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0.077*</w:t>
            </w:r>
          </w:p>
        </w:tc>
      </w:tr>
      <w:tr w:rsidR="007F5801" w:rsidRPr="006B367A" w14:paraId="54A3A415" w14:textId="77777777" w:rsidTr="00D23D6D">
        <w:trPr>
          <w:trHeight w:val="300"/>
        </w:trPr>
        <w:tc>
          <w:tcPr>
            <w:tcW w:w="0" w:type="auto"/>
            <w:tcBorders>
              <w:right w:val="single" w:sz="12" w:space="0" w:color="auto"/>
            </w:tcBorders>
            <w:shd w:val="clear" w:color="auto" w:fill="auto"/>
            <w:noWrap/>
            <w:vAlign w:val="bottom"/>
            <w:hideMark/>
          </w:tcPr>
          <w:p w14:paraId="2DECF18C" w14:textId="60E33EE0" w:rsidR="007F5801" w:rsidRPr="006B367A" w:rsidRDefault="00E80B25" w:rsidP="00D23D6D">
            <w:pPr>
              <w:spacing w:after="0" w:line="240" w:lineRule="auto"/>
              <w:jc w:val="center"/>
              <w:rPr>
                <w:rFonts w:asciiTheme="majorBidi" w:eastAsia="Times New Roman" w:hAnsiTheme="majorBidi" w:cstheme="majorBidi"/>
                <w:b/>
                <w:bCs/>
                <w:color w:val="000000"/>
                <w:sz w:val="16"/>
                <w:szCs w:val="16"/>
              </w:rPr>
            </w:pPr>
            <w:r w:rsidRPr="006B367A">
              <w:rPr>
                <w:rFonts w:asciiTheme="majorBidi" w:eastAsia="Times New Roman" w:hAnsiTheme="majorBidi" w:cstheme="majorBidi"/>
                <w:b/>
                <w:bCs/>
                <w:color w:val="000000"/>
                <w:sz w:val="16"/>
                <w:szCs w:val="16"/>
              </w:rPr>
              <w:t>IND</w:t>
            </w:r>
          </w:p>
        </w:tc>
        <w:tc>
          <w:tcPr>
            <w:tcW w:w="0" w:type="auto"/>
            <w:tcBorders>
              <w:left w:val="single" w:sz="12" w:space="0" w:color="auto"/>
            </w:tcBorders>
            <w:shd w:val="clear" w:color="auto" w:fill="auto"/>
            <w:noWrap/>
            <w:vAlign w:val="bottom"/>
            <w:hideMark/>
          </w:tcPr>
          <w:p w14:paraId="75FB6465"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0.352***</w:t>
            </w:r>
          </w:p>
        </w:tc>
        <w:tc>
          <w:tcPr>
            <w:tcW w:w="0" w:type="auto"/>
            <w:shd w:val="clear" w:color="auto" w:fill="auto"/>
            <w:noWrap/>
            <w:vAlign w:val="bottom"/>
            <w:hideMark/>
          </w:tcPr>
          <w:p w14:paraId="48475D0B"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0.340***</w:t>
            </w:r>
          </w:p>
        </w:tc>
        <w:tc>
          <w:tcPr>
            <w:tcW w:w="0" w:type="auto"/>
            <w:shd w:val="clear" w:color="auto" w:fill="auto"/>
            <w:noWrap/>
            <w:vAlign w:val="bottom"/>
            <w:hideMark/>
          </w:tcPr>
          <w:p w14:paraId="74C94DA1"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0.029</w:t>
            </w:r>
          </w:p>
        </w:tc>
        <w:tc>
          <w:tcPr>
            <w:tcW w:w="0" w:type="auto"/>
            <w:shd w:val="clear" w:color="auto" w:fill="auto"/>
            <w:noWrap/>
            <w:vAlign w:val="bottom"/>
            <w:hideMark/>
          </w:tcPr>
          <w:p w14:paraId="69B40323"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1</w:t>
            </w:r>
          </w:p>
        </w:tc>
        <w:tc>
          <w:tcPr>
            <w:tcW w:w="0" w:type="auto"/>
            <w:shd w:val="clear" w:color="auto" w:fill="auto"/>
            <w:noWrap/>
            <w:vAlign w:val="bottom"/>
            <w:hideMark/>
          </w:tcPr>
          <w:p w14:paraId="39E9340D"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-0.448***</w:t>
            </w:r>
          </w:p>
        </w:tc>
        <w:tc>
          <w:tcPr>
            <w:tcW w:w="0" w:type="auto"/>
            <w:shd w:val="clear" w:color="auto" w:fill="auto"/>
            <w:noWrap/>
            <w:vAlign w:val="bottom"/>
            <w:hideMark/>
          </w:tcPr>
          <w:p w14:paraId="427EA480"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0.226***</w:t>
            </w:r>
          </w:p>
        </w:tc>
        <w:tc>
          <w:tcPr>
            <w:tcW w:w="0" w:type="auto"/>
            <w:shd w:val="clear" w:color="auto" w:fill="auto"/>
            <w:noWrap/>
            <w:vAlign w:val="bottom"/>
            <w:hideMark/>
          </w:tcPr>
          <w:p w14:paraId="0F798ACF"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0.107***</w:t>
            </w:r>
          </w:p>
        </w:tc>
        <w:tc>
          <w:tcPr>
            <w:tcW w:w="0" w:type="auto"/>
            <w:shd w:val="clear" w:color="auto" w:fill="auto"/>
            <w:noWrap/>
            <w:vAlign w:val="bottom"/>
            <w:hideMark/>
          </w:tcPr>
          <w:p w14:paraId="44CEE58A" w14:textId="06514E47" w:rsidR="007F5801" w:rsidRPr="006B367A" w:rsidRDefault="00625F5F" w:rsidP="00625F5F">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w:t>
            </w:r>
            <w:r w:rsidR="007F5801" w:rsidRPr="006B367A">
              <w:rPr>
                <w:rFonts w:asciiTheme="majorBidi" w:eastAsia="Times New Roman" w:hAnsiTheme="majorBidi" w:cstheme="majorBidi"/>
                <w:color w:val="000000"/>
                <w:sz w:val="16"/>
                <w:szCs w:val="16"/>
              </w:rPr>
              <w:t>0.</w:t>
            </w:r>
            <w:r w:rsidRPr="006B367A">
              <w:rPr>
                <w:rFonts w:asciiTheme="majorBidi" w:eastAsia="Times New Roman" w:hAnsiTheme="majorBidi" w:cstheme="majorBidi"/>
                <w:color w:val="000000"/>
                <w:sz w:val="16"/>
                <w:szCs w:val="16"/>
              </w:rPr>
              <w:t>271</w:t>
            </w:r>
            <w:r w:rsidR="007F5801" w:rsidRPr="006B367A">
              <w:rPr>
                <w:rFonts w:asciiTheme="majorBidi" w:eastAsia="Times New Roman" w:hAnsiTheme="majorBidi" w:cstheme="majorBidi"/>
                <w:color w:val="000000"/>
                <w:sz w:val="16"/>
                <w:szCs w:val="16"/>
              </w:rPr>
              <w:t>***</w:t>
            </w:r>
          </w:p>
        </w:tc>
        <w:tc>
          <w:tcPr>
            <w:tcW w:w="0" w:type="auto"/>
            <w:shd w:val="clear" w:color="auto" w:fill="auto"/>
            <w:noWrap/>
            <w:vAlign w:val="bottom"/>
            <w:hideMark/>
          </w:tcPr>
          <w:p w14:paraId="5048BDC4" w14:textId="49911EA3"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w:t>
            </w:r>
            <w:r w:rsidR="00625F5F" w:rsidRPr="006B367A">
              <w:rPr>
                <w:rFonts w:asciiTheme="majorBidi" w:eastAsia="Times New Roman" w:hAnsiTheme="majorBidi" w:cstheme="majorBidi"/>
                <w:color w:val="000000"/>
                <w:sz w:val="16"/>
                <w:szCs w:val="16"/>
              </w:rPr>
              <w:t>.431</w:t>
            </w:r>
            <w:r w:rsidRPr="006B367A">
              <w:rPr>
                <w:rFonts w:asciiTheme="majorBidi" w:eastAsia="Times New Roman" w:hAnsiTheme="majorBidi" w:cstheme="majorBidi"/>
                <w:color w:val="000000"/>
                <w:sz w:val="16"/>
                <w:szCs w:val="16"/>
              </w:rPr>
              <w:t>***</w:t>
            </w:r>
          </w:p>
        </w:tc>
        <w:tc>
          <w:tcPr>
            <w:tcW w:w="0" w:type="auto"/>
            <w:shd w:val="clear" w:color="auto" w:fill="auto"/>
            <w:noWrap/>
            <w:vAlign w:val="bottom"/>
            <w:hideMark/>
          </w:tcPr>
          <w:p w14:paraId="11A4F1DB"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0.128***</w:t>
            </w:r>
          </w:p>
        </w:tc>
        <w:tc>
          <w:tcPr>
            <w:tcW w:w="0" w:type="auto"/>
            <w:shd w:val="clear" w:color="auto" w:fill="auto"/>
            <w:noWrap/>
            <w:vAlign w:val="bottom"/>
            <w:hideMark/>
          </w:tcPr>
          <w:p w14:paraId="7FDF1660"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0.083**</w:t>
            </w:r>
          </w:p>
        </w:tc>
        <w:tc>
          <w:tcPr>
            <w:tcW w:w="0" w:type="auto"/>
            <w:shd w:val="clear" w:color="auto" w:fill="auto"/>
            <w:noWrap/>
            <w:vAlign w:val="bottom"/>
            <w:hideMark/>
          </w:tcPr>
          <w:p w14:paraId="2C6A6D71"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0.132***</w:t>
            </w:r>
          </w:p>
        </w:tc>
        <w:tc>
          <w:tcPr>
            <w:tcW w:w="0" w:type="auto"/>
            <w:shd w:val="clear" w:color="auto" w:fill="auto"/>
            <w:noWrap/>
            <w:vAlign w:val="bottom"/>
            <w:hideMark/>
          </w:tcPr>
          <w:p w14:paraId="09F5589A"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-0.043</w:t>
            </w:r>
          </w:p>
        </w:tc>
        <w:tc>
          <w:tcPr>
            <w:tcW w:w="0" w:type="auto"/>
            <w:shd w:val="clear" w:color="auto" w:fill="auto"/>
            <w:noWrap/>
            <w:vAlign w:val="bottom"/>
            <w:hideMark/>
          </w:tcPr>
          <w:p w14:paraId="2454C98A"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0.026</w:t>
            </w:r>
          </w:p>
        </w:tc>
        <w:tc>
          <w:tcPr>
            <w:tcW w:w="0" w:type="auto"/>
            <w:shd w:val="clear" w:color="auto" w:fill="auto"/>
            <w:noWrap/>
            <w:vAlign w:val="bottom"/>
            <w:hideMark/>
          </w:tcPr>
          <w:p w14:paraId="63C47272"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0.029</w:t>
            </w:r>
          </w:p>
        </w:tc>
        <w:tc>
          <w:tcPr>
            <w:tcW w:w="0" w:type="auto"/>
            <w:shd w:val="clear" w:color="auto" w:fill="auto"/>
            <w:noWrap/>
            <w:vAlign w:val="bottom"/>
            <w:hideMark/>
          </w:tcPr>
          <w:p w14:paraId="02676BEA"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0.158***</w:t>
            </w:r>
          </w:p>
        </w:tc>
      </w:tr>
      <w:tr w:rsidR="007F5801" w:rsidRPr="006B367A" w14:paraId="0D59F985" w14:textId="77777777" w:rsidTr="00D23D6D">
        <w:trPr>
          <w:trHeight w:val="300"/>
        </w:trPr>
        <w:tc>
          <w:tcPr>
            <w:tcW w:w="0" w:type="auto"/>
            <w:tcBorders>
              <w:right w:val="single" w:sz="12" w:space="0" w:color="auto"/>
            </w:tcBorders>
            <w:shd w:val="clear" w:color="auto" w:fill="auto"/>
            <w:noWrap/>
            <w:vAlign w:val="bottom"/>
            <w:hideMark/>
          </w:tcPr>
          <w:p w14:paraId="24DA9CB0" w14:textId="5AAE36AE" w:rsidR="007F5801" w:rsidRPr="006B367A" w:rsidRDefault="00CD0B52" w:rsidP="00CD0B52">
            <w:pPr>
              <w:spacing w:after="0" w:line="240" w:lineRule="auto"/>
              <w:jc w:val="center"/>
              <w:rPr>
                <w:rFonts w:asciiTheme="majorBidi" w:eastAsia="Times New Roman" w:hAnsiTheme="majorBidi" w:cstheme="majorBidi"/>
                <w:b/>
                <w:bCs/>
                <w:color w:val="000000"/>
                <w:sz w:val="16"/>
                <w:szCs w:val="16"/>
              </w:rPr>
            </w:pPr>
            <w:r w:rsidRPr="006B367A">
              <w:rPr>
                <w:rFonts w:asciiTheme="majorBidi" w:eastAsia="Times New Roman" w:hAnsiTheme="majorBidi" w:cstheme="majorBidi"/>
                <w:b/>
                <w:bCs/>
                <w:color w:val="000000"/>
                <w:sz w:val="16"/>
                <w:szCs w:val="16"/>
                <w:lang w:val="en-US"/>
              </w:rPr>
              <w:t>UBL</w:t>
            </w:r>
          </w:p>
        </w:tc>
        <w:tc>
          <w:tcPr>
            <w:tcW w:w="0" w:type="auto"/>
            <w:tcBorders>
              <w:left w:val="single" w:sz="12" w:space="0" w:color="auto"/>
            </w:tcBorders>
            <w:shd w:val="clear" w:color="auto" w:fill="auto"/>
            <w:noWrap/>
            <w:vAlign w:val="bottom"/>
            <w:hideMark/>
          </w:tcPr>
          <w:p w14:paraId="71B9DB5C"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-0.296***</w:t>
            </w:r>
          </w:p>
        </w:tc>
        <w:tc>
          <w:tcPr>
            <w:tcW w:w="0" w:type="auto"/>
            <w:shd w:val="clear" w:color="auto" w:fill="auto"/>
            <w:noWrap/>
            <w:vAlign w:val="bottom"/>
            <w:hideMark/>
          </w:tcPr>
          <w:p w14:paraId="022146F2"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-0.353***</w:t>
            </w:r>
          </w:p>
        </w:tc>
        <w:tc>
          <w:tcPr>
            <w:tcW w:w="0" w:type="auto"/>
            <w:shd w:val="clear" w:color="auto" w:fill="auto"/>
            <w:noWrap/>
            <w:vAlign w:val="bottom"/>
            <w:hideMark/>
          </w:tcPr>
          <w:p w14:paraId="51AB6264"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0.249***</w:t>
            </w:r>
          </w:p>
        </w:tc>
        <w:tc>
          <w:tcPr>
            <w:tcW w:w="0" w:type="auto"/>
            <w:shd w:val="clear" w:color="auto" w:fill="auto"/>
            <w:noWrap/>
            <w:vAlign w:val="bottom"/>
            <w:hideMark/>
          </w:tcPr>
          <w:p w14:paraId="36EA842D"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-0.435***</w:t>
            </w:r>
          </w:p>
        </w:tc>
        <w:tc>
          <w:tcPr>
            <w:tcW w:w="0" w:type="auto"/>
            <w:shd w:val="clear" w:color="auto" w:fill="auto"/>
            <w:noWrap/>
            <w:vAlign w:val="bottom"/>
            <w:hideMark/>
          </w:tcPr>
          <w:p w14:paraId="5DDD87C4"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1</w:t>
            </w:r>
          </w:p>
        </w:tc>
        <w:tc>
          <w:tcPr>
            <w:tcW w:w="0" w:type="auto"/>
            <w:shd w:val="clear" w:color="auto" w:fill="auto"/>
            <w:noWrap/>
            <w:vAlign w:val="bottom"/>
            <w:hideMark/>
          </w:tcPr>
          <w:p w14:paraId="16AE46BE"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-0.023</w:t>
            </w:r>
          </w:p>
        </w:tc>
        <w:tc>
          <w:tcPr>
            <w:tcW w:w="0" w:type="auto"/>
            <w:shd w:val="clear" w:color="auto" w:fill="auto"/>
            <w:noWrap/>
            <w:vAlign w:val="bottom"/>
            <w:hideMark/>
          </w:tcPr>
          <w:p w14:paraId="36DCA703"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0.068*</w:t>
            </w:r>
          </w:p>
        </w:tc>
        <w:tc>
          <w:tcPr>
            <w:tcW w:w="0" w:type="auto"/>
            <w:shd w:val="clear" w:color="auto" w:fill="auto"/>
            <w:noWrap/>
            <w:vAlign w:val="bottom"/>
            <w:hideMark/>
          </w:tcPr>
          <w:p w14:paraId="49FFFC93" w14:textId="59CFE506" w:rsidR="007F5801" w:rsidRPr="006B367A" w:rsidRDefault="007F5801" w:rsidP="00625F5F">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w:t>
            </w:r>
            <w:r w:rsidR="00625F5F" w:rsidRPr="006B367A">
              <w:rPr>
                <w:rFonts w:asciiTheme="majorBidi" w:eastAsia="Times New Roman" w:hAnsiTheme="majorBidi" w:cstheme="majorBidi"/>
                <w:color w:val="000000"/>
                <w:sz w:val="16"/>
                <w:szCs w:val="16"/>
              </w:rPr>
              <w:t>9</w:t>
            </w:r>
            <w:r w:rsidRPr="006B367A">
              <w:rPr>
                <w:rFonts w:asciiTheme="majorBidi" w:eastAsia="Times New Roman" w:hAnsiTheme="majorBidi" w:cstheme="majorBidi"/>
                <w:color w:val="000000"/>
                <w:sz w:val="16"/>
                <w:szCs w:val="16"/>
              </w:rPr>
              <w:t>1</w:t>
            </w:r>
            <w:r w:rsidR="00625F5F" w:rsidRPr="006B367A">
              <w:rPr>
                <w:rFonts w:asciiTheme="majorBidi" w:eastAsia="Times New Roman" w:hAnsiTheme="majorBidi" w:cstheme="majorBidi"/>
                <w:color w:val="000000"/>
                <w:sz w:val="16"/>
                <w:szCs w:val="16"/>
              </w:rPr>
              <w:t>**</w:t>
            </w:r>
          </w:p>
        </w:tc>
        <w:tc>
          <w:tcPr>
            <w:tcW w:w="0" w:type="auto"/>
            <w:shd w:val="clear" w:color="auto" w:fill="auto"/>
            <w:noWrap/>
            <w:vAlign w:val="bottom"/>
            <w:hideMark/>
          </w:tcPr>
          <w:p w14:paraId="7C896F1C" w14:textId="49EDA933"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w:t>
            </w:r>
            <w:r w:rsidR="00625F5F" w:rsidRPr="006B367A">
              <w:rPr>
                <w:rFonts w:asciiTheme="majorBidi" w:eastAsia="Times New Roman" w:hAnsiTheme="majorBidi" w:cstheme="majorBidi"/>
                <w:color w:val="000000"/>
                <w:sz w:val="16"/>
                <w:szCs w:val="16"/>
              </w:rPr>
              <w:t>0.434</w:t>
            </w:r>
            <w:r w:rsidRPr="006B367A">
              <w:rPr>
                <w:rFonts w:asciiTheme="majorBidi" w:eastAsia="Times New Roman" w:hAnsiTheme="majorBidi" w:cstheme="majorBidi"/>
                <w:color w:val="000000"/>
                <w:sz w:val="16"/>
                <w:szCs w:val="16"/>
              </w:rPr>
              <w:t>***</w:t>
            </w:r>
          </w:p>
        </w:tc>
        <w:tc>
          <w:tcPr>
            <w:tcW w:w="0" w:type="auto"/>
            <w:shd w:val="clear" w:color="auto" w:fill="auto"/>
            <w:noWrap/>
            <w:vAlign w:val="bottom"/>
            <w:hideMark/>
          </w:tcPr>
          <w:p w14:paraId="3F7891F6"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-0.196***</w:t>
            </w:r>
          </w:p>
        </w:tc>
        <w:tc>
          <w:tcPr>
            <w:tcW w:w="0" w:type="auto"/>
            <w:shd w:val="clear" w:color="auto" w:fill="auto"/>
            <w:noWrap/>
            <w:vAlign w:val="bottom"/>
            <w:hideMark/>
          </w:tcPr>
          <w:p w14:paraId="0F846FE6"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-0.240***</w:t>
            </w:r>
          </w:p>
        </w:tc>
        <w:tc>
          <w:tcPr>
            <w:tcW w:w="0" w:type="auto"/>
            <w:shd w:val="clear" w:color="auto" w:fill="auto"/>
            <w:noWrap/>
            <w:vAlign w:val="bottom"/>
            <w:hideMark/>
          </w:tcPr>
          <w:p w14:paraId="66C582C0"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-0.155***</w:t>
            </w:r>
          </w:p>
        </w:tc>
        <w:tc>
          <w:tcPr>
            <w:tcW w:w="0" w:type="auto"/>
            <w:shd w:val="clear" w:color="auto" w:fill="auto"/>
            <w:noWrap/>
            <w:vAlign w:val="bottom"/>
            <w:hideMark/>
          </w:tcPr>
          <w:p w14:paraId="4235E26E"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-0.021</w:t>
            </w:r>
          </w:p>
        </w:tc>
        <w:tc>
          <w:tcPr>
            <w:tcW w:w="0" w:type="auto"/>
            <w:shd w:val="clear" w:color="auto" w:fill="auto"/>
            <w:noWrap/>
            <w:vAlign w:val="bottom"/>
            <w:hideMark/>
          </w:tcPr>
          <w:p w14:paraId="283C7845"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-0.087**</w:t>
            </w:r>
          </w:p>
        </w:tc>
        <w:tc>
          <w:tcPr>
            <w:tcW w:w="0" w:type="auto"/>
            <w:shd w:val="clear" w:color="auto" w:fill="auto"/>
            <w:noWrap/>
            <w:vAlign w:val="bottom"/>
            <w:hideMark/>
          </w:tcPr>
          <w:p w14:paraId="32DEAE88"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0.013</w:t>
            </w:r>
          </w:p>
        </w:tc>
        <w:tc>
          <w:tcPr>
            <w:tcW w:w="0" w:type="auto"/>
            <w:shd w:val="clear" w:color="auto" w:fill="auto"/>
            <w:noWrap/>
            <w:vAlign w:val="bottom"/>
            <w:hideMark/>
          </w:tcPr>
          <w:p w14:paraId="23DA6B7A"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-0.012</w:t>
            </w:r>
          </w:p>
        </w:tc>
      </w:tr>
      <w:tr w:rsidR="007F5801" w:rsidRPr="006B367A" w14:paraId="44AEF559" w14:textId="77777777" w:rsidTr="00D23D6D">
        <w:trPr>
          <w:trHeight w:val="300"/>
        </w:trPr>
        <w:tc>
          <w:tcPr>
            <w:tcW w:w="0" w:type="auto"/>
            <w:tcBorders>
              <w:right w:val="single" w:sz="12" w:space="0" w:color="auto"/>
            </w:tcBorders>
            <w:shd w:val="clear" w:color="auto" w:fill="auto"/>
            <w:noWrap/>
            <w:vAlign w:val="bottom"/>
            <w:hideMark/>
          </w:tcPr>
          <w:p w14:paraId="4FC620C2" w14:textId="4F9BA13E" w:rsidR="007F5801" w:rsidRPr="006B367A" w:rsidRDefault="004039E0" w:rsidP="00D23D6D">
            <w:pPr>
              <w:spacing w:after="0" w:line="240" w:lineRule="auto"/>
              <w:jc w:val="center"/>
              <w:rPr>
                <w:rFonts w:asciiTheme="majorBidi" w:eastAsia="Times New Roman" w:hAnsiTheme="majorBidi" w:cstheme="majorBidi"/>
                <w:b/>
                <w:bCs/>
                <w:color w:val="000000"/>
                <w:sz w:val="16"/>
                <w:szCs w:val="16"/>
              </w:rPr>
            </w:pPr>
            <w:r w:rsidRPr="006B367A">
              <w:rPr>
                <w:rFonts w:asciiTheme="majorBidi" w:eastAsia="Times New Roman" w:hAnsiTheme="majorBidi" w:cstheme="majorBidi"/>
                <w:b/>
                <w:bCs/>
                <w:color w:val="000000"/>
                <w:sz w:val="16"/>
                <w:szCs w:val="16"/>
              </w:rPr>
              <w:t>GOSH</w:t>
            </w:r>
          </w:p>
        </w:tc>
        <w:tc>
          <w:tcPr>
            <w:tcW w:w="0" w:type="auto"/>
            <w:tcBorders>
              <w:left w:val="single" w:sz="12" w:space="0" w:color="auto"/>
            </w:tcBorders>
            <w:shd w:val="clear" w:color="auto" w:fill="auto"/>
            <w:noWrap/>
            <w:vAlign w:val="bottom"/>
            <w:hideMark/>
          </w:tcPr>
          <w:p w14:paraId="7EE38A37"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0.238***</w:t>
            </w:r>
          </w:p>
        </w:tc>
        <w:tc>
          <w:tcPr>
            <w:tcW w:w="0" w:type="auto"/>
            <w:shd w:val="clear" w:color="auto" w:fill="auto"/>
            <w:noWrap/>
            <w:vAlign w:val="bottom"/>
            <w:hideMark/>
          </w:tcPr>
          <w:p w14:paraId="7A3A54B7"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0.312***</w:t>
            </w:r>
          </w:p>
        </w:tc>
        <w:tc>
          <w:tcPr>
            <w:tcW w:w="0" w:type="auto"/>
            <w:shd w:val="clear" w:color="auto" w:fill="auto"/>
            <w:noWrap/>
            <w:vAlign w:val="bottom"/>
            <w:hideMark/>
          </w:tcPr>
          <w:p w14:paraId="2AD0F0AF"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0.167***</w:t>
            </w:r>
          </w:p>
        </w:tc>
        <w:tc>
          <w:tcPr>
            <w:tcW w:w="0" w:type="auto"/>
            <w:shd w:val="clear" w:color="auto" w:fill="auto"/>
            <w:noWrap/>
            <w:vAlign w:val="bottom"/>
            <w:hideMark/>
          </w:tcPr>
          <w:p w14:paraId="2CAE3B53"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0.062</w:t>
            </w:r>
          </w:p>
        </w:tc>
        <w:tc>
          <w:tcPr>
            <w:tcW w:w="0" w:type="auto"/>
            <w:shd w:val="clear" w:color="auto" w:fill="auto"/>
            <w:noWrap/>
            <w:vAlign w:val="bottom"/>
            <w:hideMark/>
          </w:tcPr>
          <w:p w14:paraId="33269926"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-0.027</w:t>
            </w:r>
          </w:p>
        </w:tc>
        <w:tc>
          <w:tcPr>
            <w:tcW w:w="0" w:type="auto"/>
            <w:shd w:val="clear" w:color="auto" w:fill="auto"/>
            <w:noWrap/>
            <w:vAlign w:val="bottom"/>
            <w:hideMark/>
          </w:tcPr>
          <w:p w14:paraId="6ACE10E8"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1</w:t>
            </w:r>
          </w:p>
        </w:tc>
        <w:tc>
          <w:tcPr>
            <w:tcW w:w="0" w:type="auto"/>
            <w:shd w:val="clear" w:color="auto" w:fill="auto"/>
            <w:noWrap/>
            <w:vAlign w:val="bottom"/>
            <w:hideMark/>
          </w:tcPr>
          <w:p w14:paraId="7E6B86C5"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0.206***</w:t>
            </w:r>
          </w:p>
        </w:tc>
        <w:tc>
          <w:tcPr>
            <w:tcW w:w="0" w:type="auto"/>
            <w:shd w:val="clear" w:color="auto" w:fill="auto"/>
            <w:noWrap/>
            <w:vAlign w:val="bottom"/>
            <w:hideMark/>
          </w:tcPr>
          <w:p w14:paraId="7E1E2262" w14:textId="6D389B34" w:rsidR="007F5801" w:rsidRPr="006B367A" w:rsidRDefault="00625F5F" w:rsidP="00625F5F">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w:t>
            </w:r>
            <w:r w:rsidR="007F5801" w:rsidRPr="006B367A">
              <w:rPr>
                <w:rFonts w:asciiTheme="majorBidi" w:eastAsia="Times New Roman" w:hAnsiTheme="majorBidi" w:cstheme="majorBidi"/>
                <w:color w:val="000000"/>
                <w:sz w:val="16"/>
                <w:szCs w:val="16"/>
              </w:rPr>
              <w:t>0.</w:t>
            </w:r>
            <w:r w:rsidRPr="006B367A">
              <w:rPr>
                <w:rFonts w:asciiTheme="majorBidi" w:eastAsia="Times New Roman" w:hAnsiTheme="majorBidi" w:cstheme="majorBidi"/>
                <w:color w:val="000000"/>
                <w:sz w:val="16"/>
                <w:szCs w:val="16"/>
              </w:rPr>
              <w:t>44</w:t>
            </w:r>
            <w:r w:rsidR="007F5801" w:rsidRPr="006B367A">
              <w:rPr>
                <w:rFonts w:asciiTheme="majorBidi" w:eastAsia="Times New Roman" w:hAnsiTheme="majorBidi" w:cstheme="majorBidi"/>
                <w:color w:val="000000"/>
                <w:sz w:val="16"/>
                <w:szCs w:val="16"/>
              </w:rPr>
              <w:t>0***</w:t>
            </w:r>
          </w:p>
        </w:tc>
        <w:tc>
          <w:tcPr>
            <w:tcW w:w="0" w:type="auto"/>
            <w:shd w:val="clear" w:color="auto" w:fill="auto"/>
            <w:noWrap/>
            <w:vAlign w:val="bottom"/>
            <w:hideMark/>
          </w:tcPr>
          <w:p w14:paraId="6519FC51" w14:textId="4CCC2762" w:rsidR="007F5801" w:rsidRPr="006B367A" w:rsidRDefault="007F5801" w:rsidP="00625F5F">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w:t>
            </w:r>
            <w:r w:rsidR="00625F5F" w:rsidRPr="006B367A">
              <w:rPr>
                <w:rFonts w:asciiTheme="majorBidi" w:eastAsia="Times New Roman" w:hAnsiTheme="majorBidi" w:cstheme="majorBidi"/>
                <w:color w:val="000000"/>
                <w:sz w:val="16"/>
                <w:szCs w:val="16"/>
              </w:rPr>
              <w:t>49</w:t>
            </w:r>
          </w:p>
        </w:tc>
        <w:tc>
          <w:tcPr>
            <w:tcW w:w="0" w:type="auto"/>
            <w:shd w:val="clear" w:color="auto" w:fill="auto"/>
            <w:noWrap/>
            <w:vAlign w:val="bottom"/>
            <w:hideMark/>
          </w:tcPr>
          <w:p w14:paraId="30F18CDD"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0.547***</w:t>
            </w:r>
          </w:p>
        </w:tc>
        <w:tc>
          <w:tcPr>
            <w:tcW w:w="0" w:type="auto"/>
            <w:shd w:val="clear" w:color="auto" w:fill="auto"/>
            <w:noWrap/>
            <w:vAlign w:val="bottom"/>
            <w:hideMark/>
          </w:tcPr>
          <w:p w14:paraId="3DB5C12B"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-0.218***</w:t>
            </w:r>
          </w:p>
        </w:tc>
        <w:tc>
          <w:tcPr>
            <w:tcW w:w="0" w:type="auto"/>
            <w:shd w:val="clear" w:color="auto" w:fill="auto"/>
            <w:noWrap/>
            <w:vAlign w:val="bottom"/>
            <w:hideMark/>
          </w:tcPr>
          <w:p w14:paraId="00C06205"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0.121***</w:t>
            </w:r>
          </w:p>
        </w:tc>
        <w:tc>
          <w:tcPr>
            <w:tcW w:w="0" w:type="auto"/>
            <w:shd w:val="clear" w:color="auto" w:fill="auto"/>
            <w:noWrap/>
            <w:vAlign w:val="bottom"/>
            <w:hideMark/>
          </w:tcPr>
          <w:p w14:paraId="6F7D13A9"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-0.183***</w:t>
            </w:r>
          </w:p>
        </w:tc>
        <w:tc>
          <w:tcPr>
            <w:tcW w:w="0" w:type="auto"/>
            <w:shd w:val="clear" w:color="auto" w:fill="auto"/>
            <w:noWrap/>
            <w:vAlign w:val="bottom"/>
            <w:hideMark/>
          </w:tcPr>
          <w:p w14:paraId="2C681CEE"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-0.009</w:t>
            </w:r>
          </w:p>
        </w:tc>
        <w:tc>
          <w:tcPr>
            <w:tcW w:w="0" w:type="auto"/>
            <w:shd w:val="clear" w:color="auto" w:fill="auto"/>
            <w:noWrap/>
            <w:vAlign w:val="bottom"/>
            <w:hideMark/>
          </w:tcPr>
          <w:p w14:paraId="312A9015"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0.05</w:t>
            </w:r>
          </w:p>
        </w:tc>
        <w:tc>
          <w:tcPr>
            <w:tcW w:w="0" w:type="auto"/>
            <w:shd w:val="clear" w:color="auto" w:fill="auto"/>
            <w:noWrap/>
            <w:vAlign w:val="bottom"/>
            <w:hideMark/>
          </w:tcPr>
          <w:p w14:paraId="48E64341"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0.137***</w:t>
            </w:r>
          </w:p>
        </w:tc>
      </w:tr>
      <w:tr w:rsidR="007F5801" w:rsidRPr="006B367A" w14:paraId="06C12B09" w14:textId="77777777" w:rsidTr="00D23D6D">
        <w:trPr>
          <w:trHeight w:val="300"/>
        </w:trPr>
        <w:tc>
          <w:tcPr>
            <w:tcW w:w="0" w:type="auto"/>
            <w:tcBorders>
              <w:right w:val="single" w:sz="12" w:space="0" w:color="auto"/>
            </w:tcBorders>
            <w:shd w:val="clear" w:color="auto" w:fill="auto"/>
            <w:noWrap/>
            <w:vAlign w:val="bottom"/>
            <w:hideMark/>
          </w:tcPr>
          <w:p w14:paraId="07071DEB" w14:textId="479EB501" w:rsidR="007F5801" w:rsidRPr="006B367A" w:rsidRDefault="00203345" w:rsidP="00203345">
            <w:pPr>
              <w:spacing w:after="0" w:line="240" w:lineRule="auto"/>
              <w:jc w:val="center"/>
              <w:rPr>
                <w:rFonts w:asciiTheme="majorBidi" w:eastAsia="Times New Roman" w:hAnsiTheme="majorBidi" w:cstheme="majorBidi"/>
                <w:b/>
                <w:bCs/>
                <w:color w:val="000000"/>
                <w:sz w:val="16"/>
                <w:szCs w:val="16"/>
              </w:rPr>
            </w:pPr>
            <w:r w:rsidRPr="006B367A">
              <w:rPr>
                <w:rFonts w:asciiTheme="majorBidi" w:eastAsia="Times New Roman" w:hAnsiTheme="majorBidi" w:cstheme="majorBidi"/>
                <w:b/>
                <w:bCs/>
                <w:color w:val="000000"/>
                <w:sz w:val="16"/>
                <w:szCs w:val="16"/>
                <w:lang w:val="en-US"/>
              </w:rPr>
              <w:t>DISH</w:t>
            </w:r>
          </w:p>
        </w:tc>
        <w:tc>
          <w:tcPr>
            <w:tcW w:w="0" w:type="auto"/>
            <w:tcBorders>
              <w:left w:val="single" w:sz="12" w:space="0" w:color="auto"/>
            </w:tcBorders>
            <w:shd w:val="clear" w:color="auto" w:fill="auto"/>
            <w:noWrap/>
            <w:vAlign w:val="bottom"/>
            <w:hideMark/>
          </w:tcPr>
          <w:p w14:paraId="371377E5"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0.145***</w:t>
            </w:r>
          </w:p>
        </w:tc>
        <w:tc>
          <w:tcPr>
            <w:tcW w:w="0" w:type="auto"/>
            <w:shd w:val="clear" w:color="auto" w:fill="auto"/>
            <w:noWrap/>
            <w:vAlign w:val="bottom"/>
            <w:hideMark/>
          </w:tcPr>
          <w:p w14:paraId="00EB5686"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0.031</w:t>
            </w:r>
          </w:p>
        </w:tc>
        <w:tc>
          <w:tcPr>
            <w:tcW w:w="0" w:type="auto"/>
            <w:shd w:val="clear" w:color="auto" w:fill="auto"/>
            <w:noWrap/>
            <w:vAlign w:val="bottom"/>
            <w:hideMark/>
          </w:tcPr>
          <w:p w14:paraId="5F630D59"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0.107***</w:t>
            </w:r>
          </w:p>
        </w:tc>
        <w:tc>
          <w:tcPr>
            <w:tcW w:w="0" w:type="auto"/>
            <w:shd w:val="clear" w:color="auto" w:fill="auto"/>
            <w:noWrap/>
            <w:vAlign w:val="bottom"/>
            <w:hideMark/>
          </w:tcPr>
          <w:p w14:paraId="7603F1C9"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0.022</w:t>
            </w:r>
          </w:p>
        </w:tc>
        <w:tc>
          <w:tcPr>
            <w:tcW w:w="0" w:type="auto"/>
            <w:shd w:val="clear" w:color="auto" w:fill="auto"/>
            <w:noWrap/>
            <w:vAlign w:val="bottom"/>
            <w:hideMark/>
          </w:tcPr>
          <w:p w14:paraId="105FAB40"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0.072*</w:t>
            </w:r>
          </w:p>
        </w:tc>
        <w:tc>
          <w:tcPr>
            <w:tcW w:w="0" w:type="auto"/>
            <w:shd w:val="clear" w:color="auto" w:fill="auto"/>
            <w:noWrap/>
            <w:vAlign w:val="bottom"/>
            <w:hideMark/>
          </w:tcPr>
          <w:p w14:paraId="41397A36"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0.273***</w:t>
            </w:r>
          </w:p>
        </w:tc>
        <w:tc>
          <w:tcPr>
            <w:tcW w:w="0" w:type="auto"/>
            <w:shd w:val="clear" w:color="auto" w:fill="auto"/>
            <w:noWrap/>
            <w:vAlign w:val="bottom"/>
            <w:hideMark/>
          </w:tcPr>
          <w:p w14:paraId="551239CA"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1</w:t>
            </w:r>
          </w:p>
        </w:tc>
        <w:tc>
          <w:tcPr>
            <w:tcW w:w="0" w:type="auto"/>
            <w:shd w:val="clear" w:color="auto" w:fill="auto"/>
            <w:noWrap/>
            <w:vAlign w:val="bottom"/>
            <w:hideMark/>
          </w:tcPr>
          <w:p w14:paraId="373FE1DC" w14:textId="043F4E8A" w:rsidR="007F5801" w:rsidRPr="006B367A" w:rsidRDefault="00625F5F" w:rsidP="00625F5F">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w:t>
            </w:r>
            <w:r w:rsidR="007F5801" w:rsidRPr="006B367A">
              <w:rPr>
                <w:rFonts w:asciiTheme="majorBidi" w:eastAsia="Times New Roman" w:hAnsiTheme="majorBidi" w:cstheme="majorBidi"/>
                <w:color w:val="000000"/>
                <w:sz w:val="16"/>
                <w:szCs w:val="16"/>
              </w:rPr>
              <w:t>0.</w:t>
            </w:r>
            <w:r w:rsidRPr="006B367A">
              <w:rPr>
                <w:rFonts w:asciiTheme="majorBidi" w:eastAsia="Times New Roman" w:hAnsiTheme="majorBidi" w:cstheme="majorBidi"/>
                <w:color w:val="000000"/>
                <w:sz w:val="16"/>
                <w:szCs w:val="16"/>
              </w:rPr>
              <w:t>607</w:t>
            </w:r>
            <w:r w:rsidR="007F5801" w:rsidRPr="006B367A">
              <w:rPr>
                <w:rFonts w:asciiTheme="majorBidi" w:eastAsia="Times New Roman" w:hAnsiTheme="majorBidi" w:cstheme="majorBidi"/>
                <w:color w:val="000000"/>
                <w:sz w:val="16"/>
                <w:szCs w:val="16"/>
              </w:rPr>
              <w:t>***</w:t>
            </w:r>
          </w:p>
        </w:tc>
        <w:tc>
          <w:tcPr>
            <w:tcW w:w="0" w:type="auto"/>
            <w:shd w:val="clear" w:color="auto" w:fill="auto"/>
            <w:noWrap/>
            <w:vAlign w:val="bottom"/>
            <w:hideMark/>
          </w:tcPr>
          <w:p w14:paraId="28C888D8" w14:textId="27FA6B31"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w:t>
            </w:r>
            <w:r w:rsidR="00625F5F" w:rsidRPr="006B367A">
              <w:rPr>
                <w:rFonts w:asciiTheme="majorBidi" w:eastAsia="Times New Roman" w:hAnsiTheme="majorBidi" w:cstheme="majorBidi"/>
                <w:color w:val="000000"/>
                <w:sz w:val="16"/>
                <w:szCs w:val="16"/>
              </w:rPr>
              <w:t>0.124</w:t>
            </w:r>
            <w:r w:rsidRPr="006B367A">
              <w:rPr>
                <w:rFonts w:asciiTheme="majorBidi" w:eastAsia="Times New Roman" w:hAnsiTheme="majorBidi" w:cstheme="majorBidi"/>
                <w:color w:val="000000"/>
                <w:sz w:val="16"/>
                <w:szCs w:val="16"/>
              </w:rPr>
              <w:t>***</w:t>
            </w:r>
          </w:p>
        </w:tc>
        <w:tc>
          <w:tcPr>
            <w:tcW w:w="0" w:type="auto"/>
            <w:shd w:val="clear" w:color="auto" w:fill="auto"/>
            <w:noWrap/>
            <w:vAlign w:val="bottom"/>
            <w:hideMark/>
          </w:tcPr>
          <w:p w14:paraId="30368ABB"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0.125***</w:t>
            </w:r>
          </w:p>
        </w:tc>
        <w:tc>
          <w:tcPr>
            <w:tcW w:w="0" w:type="auto"/>
            <w:shd w:val="clear" w:color="auto" w:fill="auto"/>
            <w:noWrap/>
            <w:vAlign w:val="bottom"/>
            <w:hideMark/>
          </w:tcPr>
          <w:p w14:paraId="3774ED9E"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-0.202***</w:t>
            </w:r>
          </w:p>
        </w:tc>
        <w:tc>
          <w:tcPr>
            <w:tcW w:w="0" w:type="auto"/>
            <w:shd w:val="clear" w:color="auto" w:fill="auto"/>
            <w:noWrap/>
            <w:vAlign w:val="bottom"/>
            <w:hideMark/>
          </w:tcPr>
          <w:p w14:paraId="1BCC9D65"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-0.064</w:t>
            </w:r>
          </w:p>
        </w:tc>
        <w:tc>
          <w:tcPr>
            <w:tcW w:w="0" w:type="auto"/>
            <w:shd w:val="clear" w:color="auto" w:fill="auto"/>
            <w:noWrap/>
            <w:vAlign w:val="bottom"/>
            <w:hideMark/>
          </w:tcPr>
          <w:p w14:paraId="13BEDAC0"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-0.188***</w:t>
            </w:r>
          </w:p>
        </w:tc>
        <w:tc>
          <w:tcPr>
            <w:tcW w:w="0" w:type="auto"/>
            <w:shd w:val="clear" w:color="auto" w:fill="auto"/>
            <w:noWrap/>
            <w:vAlign w:val="bottom"/>
            <w:hideMark/>
          </w:tcPr>
          <w:p w14:paraId="1BDAADED"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0.078*</w:t>
            </w:r>
          </w:p>
        </w:tc>
        <w:tc>
          <w:tcPr>
            <w:tcW w:w="0" w:type="auto"/>
            <w:shd w:val="clear" w:color="auto" w:fill="auto"/>
            <w:noWrap/>
            <w:vAlign w:val="bottom"/>
            <w:hideMark/>
          </w:tcPr>
          <w:p w14:paraId="2F4F1D16"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0.105***</w:t>
            </w:r>
          </w:p>
        </w:tc>
        <w:tc>
          <w:tcPr>
            <w:tcW w:w="0" w:type="auto"/>
            <w:shd w:val="clear" w:color="auto" w:fill="auto"/>
            <w:noWrap/>
            <w:vAlign w:val="bottom"/>
            <w:hideMark/>
          </w:tcPr>
          <w:p w14:paraId="091BB37B"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0.255***</w:t>
            </w:r>
          </w:p>
        </w:tc>
      </w:tr>
      <w:tr w:rsidR="007F5801" w:rsidRPr="006B367A" w14:paraId="767A8969" w14:textId="77777777" w:rsidTr="00D23D6D">
        <w:trPr>
          <w:trHeight w:val="300"/>
        </w:trPr>
        <w:tc>
          <w:tcPr>
            <w:tcW w:w="0" w:type="auto"/>
            <w:tcBorders>
              <w:right w:val="single" w:sz="12" w:space="0" w:color="auto"/>
            </w:tcBorders>
            <w:shd w:val="clear" w:color="auto" w:fill="auto"/>
            <w:noWrap/>
            <w:vAlign w:val="bottom"/>
            <w:hideMark/>
          </w:tcPr>
          <w:p w14:paraId="3B9CB855" w14:textId="0F27B46A" w:rsidR="007F5801" w:rsidRPr="006B367A" w:rsidRDefault="00722642" w:rsidP="00203345">
            <w:pPr>
              <w:spacing w:after="0" w:line="240" w:lineRule="auto"/>
              <w:jc w:val="center"/>
              <w:rPr>
                <w:rFonts w:asciiTheme="majorBidi" w:eastAsia="Times New Roman" w:hAnsiTheme="majorBidi" w:cstheme="majorBidi"/>
                <w:b/>
                <w:bCs/>
                <w:color w:val="000000"/>
                <w:sz w:val="16"/>
                <w:szCs w:val="16"/>
              </w:rPr>
            </w:pPr>
            <w:r w:rsidRPr="006B367A">
              <w:rPr>
                <w:rFonts w:asciiTheme="majorBidi" w:eastAsia="Times New Roman" w:hAnsiTheme="majorBidi" w:cstheme="majorBidi"/>
                <w:b/>
                <w:bCs/>
                <w:color w:val="000000"/>
                <w:sz w:val="16"/>
                <w:szCs w:val="16"/>
                <w:lang w:val="en-US"/>
              </w:rPr>
              <w:t>F</w:t>
            </w:r>
            <w:r w:rsidR="00203345" w:rsidRPr="006B367A">
              <w:rPr>
                <w:rFonts w:asciiTheme="majorBidi" w:eastAsia="Times New Roman" w:hAnsiTheme="majorBidi" w:cstheme="majorBidi"/>
                <w:b/>
                <w:bCs/>
                <w:color w:val="000000"/>
                <w:sz w:val="16"/>
                <w:szCs w:val="16"/>
                <w:lang w:val="en-US"/>
              </w:rPr>
              <w:t>LSH</w:t>
            </w:r>
          </w:p>
        </w:tc>
        <w:tc>
          <w:tcPr>
            <w:tcW w:w="0" w:type="auto"/>
            <w:tcBorders>
              <w:left w:val="single" w:sz="12" w:space="0" w:color="auto"/>
            </w:tcBorders>
            <w:shd w:val="clear" w:color="auto" w:fill="auto"/>
            <w:noWrap/>
            <w:vAlign w:val="bottom"/>
            <w:hideMark/>
          </w:tcPr>
          <w:p w14:paraId="06587A56" w14:textId="021B7AD0" w:rsidR="007F5801" w:rsidRPr="006B367A" w:rsidRDefault="001B6F22" w:rsidP="001B6F22">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w:t>
            </w:r>
            <w:r w:rsidR="007F5801" w:rsidRPr="006B367A">
              <w:rPr>
                <w:rFonts w:asciiTheme="majorBidi" w:eastAsia="Times New Roman" w:hAnsiTheme="majorBidi" w:cstheme="majorBidi"/>
                <w:color w:val="000000"/>
                <w:sz w:val="16"/>
                <w:szCs w:val="16"/>
              </w:rPr>
              <w:t>0.</w:t>
            </w:r>
            <w:r w:rsidRPr="006B367A">
              <w:rPr>
                <w:rFonts w:asciiTheme="majorBidi" w:eastAsia="Times New Roman" w:hAnsiTheme="majorBidi" w:cstheme="majorBidi"/>
                <w:color w:val="000000"/>
                <w:sz w:val="16"/>
                <w:szCs w:val="16"/>
              </w:rPr>
              <w:t>315</w:t>
            </w:r>
            <w:r w:rsidR="007F5801" w:rsidRPr="006B367A">
              <w:rPr>
                <w:rFonts w:asciiTheme="majorBidi" w:eastAsia="Times New Roman" w:hAnsiTheme="majorBidi" w:cstheme="majorBidi"/>
                <w:color w:val="000000"/>
                <w:sz w:val="16"/>
                <w:szCs w:val="16"/>
              </w:rPr>
              <w:t>***</w:t>
            </w:r>
          </w:p>
        </w:tc>
        <w:tc>
          <w:tcPr>
            <w:tcW w:w="0" w:type="auto"/>
            <w:shd w:val="clear" w:color="auto" w:fill="auto"/>
            <w:noWrap/>
            <w:vAlign w:val="bottom"/>
            <w:hideMark/>
          </w:tcPr>
          <w:p w14:paraId="0B59E679" w14:textId="38B18DAB" w:rsidR="007F5801" w:rsidRPr="006B367A" w:rsidRDefault="001B6F22" w:rsidP="001B6F22">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w:t>
            </w:r>
            <w:r w:rsidR="007F5801" w:rsidRPr="006B367A">
              <w:rPr>
                <w:rFonts w:asciiTheme="majorBidi" w:eastAsia="Times New Roman" w:hAnsiTheme="majorBidi" w:cstheme="majorBidi"/>
                <w:color w:val="000000"/>
                <w:sz w:val="16"/>
                <w:szCs w:val="16"/>
              </w:rPr>
              <w:t>0.</w:t>
            </w:r>
            <w:r w:rsidRPr="006B367A">
              <w:rPr>
                <w:rFonts w:asciiTheme="majorBidi" w:eastAsia="Times New Roman" w:hAnsiTheme="majorBidi" w:cstheme="majorBidi"/>
                <w:color w:val="000000"/>
                <w:sz w:val="16"/>
                <w:szCs w:val="16"/>
              </w:rPr>
              <w:t>310</w:t>
            </w:r>
            <w:r w:rsidR="007F5801" w:rsidRPr="006B367A">
              <w:rPr>
                <w:rFonts w:asciiTheme="majorBidi" w:eastAsia="Times New Roman" w:hAnsiTheme="majorBidi" w:cstheme="majorBidi"/>
                <w:color w:val="000000"/>
                <w:sz w:val="16"/>
                <w:szCs w:val="16"/>
              </w:rPr>
              <w:t>***</w:t>
            </w:r>
          </w:p>
        </w:tc>
        <w:tc>
          <w:tcPr>
            <w:tcW w:w="0" w:type="auto"/>
            <w:shd w:val="clear" w:color="auto" w:fill="auto"/>
            <w:noWrap/>
            <w:vAlign w:val="bottom"/>
            <w:hideMark/>
          </w:tcPr>
          <w:p w14:paraId="12EB7066" w14:textId="76919C58" w:rsidR="007F5801" w:rsidRPr="006B367A" w:rsidRDefault="007F5801" w:rsidP="001B6F22">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-0.06</w:t>
            </w:r>
            <w:r w:rsidR="001B6F22" w:rsidRPr="006B367A">
              <w:rPr>
                <w:rFonts w:asciiTheme="majorBidi" w:eastAsia="Times New Roman" w:hAnsiTheme="majorBidi" w:cstheme="majorBidi"/>
                <w:color w:val="000000"/>
                <w:sz w:val="16"/>
                <w:szCs w:val="16"/>
              </w:rPr>
              <w:t>0</w:t>
            </w:r>
          </w:p>
        </w:tc>
        <w:tc>
          <w:tcPr>
            <w:tcW w:w="0" w:type="auto"/>
            <w:shd w:val="clear" w:color="auto" w:fill="auto"/>
            <w:noWrap/>
            <w:vAlign w:val="bottom"/>
            <w:hideMark/>
          </w:tcPr>
          <w:p w14:paraId="6D43B49F" w14:textId="2A6D781B" w:rsidR="007F5801" w:rsidRPr="006B367A" w:rsidRDefault="001B6F22" w:rsidP="001B6F22">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w:t>
            </w:r>
            <w:r w:rsidR="007F5801" w:rsidRPr="006B367A">
              <w:rPr>
                <w:rFonts w:asciiTheme="majorBidi" w:eastAsia="Times New Roman" w:hAnsiTheme="majorBidi" w:cstheme="majorBidi"/>
                <w:color w:val="000000"/>
                <w:sz w:val="16"/>
                <w:szCs w:val="16"/>
              </w:rPr>
              <w:t>0.</w:t>
            </w:r>
            <w:r w:rsidRPr="006B367A">
              <w:rPr>
                <w:rFonts w:asciiTheme="majorBidi" w:eastAsia="Times New Roman" w:hAnsiTheme="majorBidi" w:cstheme="majorBidi"/>
                <w:color w:val="000000"/>
                <w:sz w:val="16"/>
                <w:szCs w:val="16"/>
              </w:rPr>
              <w:t>223***</w:t>
            </w:r>
          </w:p>
        </w:tc>
        <w:tc>
          <w:tcPr>
            <w:tcW w:w="0" w:type="auto"/>
            <w:shd w:val="clear" w:color="auto" w:fill="auto"/>
            <w:noWrap/>
            <w:vAlign w:val="bottom"/>
            <w:hideMark/>
          </w:tcPr>
          <w:p w14:paraId="5975211C" w14:textId="4BCE490F" w:rsidR="007F5801" w:rsidRPr="006B367A" w:rsidRDefault="007F5801" w:rsidP="001B6F22">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w:t>
            </w:r>
            <w:r w:rsidR="001B6F22" w:rsidRPr="006B367A">
              <w:rPr>
                <w:rFonts w:asciiTheme="majorBidi" w:eastAsia="Times New Roman" w:hAnsiTheme="majorBidi" w:cstheme="majorBidi"/>
                <w:color w:val="000000"/>
                <w:sz w:val="16"/>
                <w:szCs w:val="16"/>
              </w:rPr>
              <w:t>95**</w:t>
            </w:r>
          </w:p>
        </w:tc>
        <w:tc>
          <w:tcPr>
            <w:tcW w:w="0" w:type="auto"/>
            <w:shd w:val="clear" w:color="auto" w:fill="auto"/>
            <w:noWrap/>
            <w:vAlign w:val="bottom"/>
            <w:hideMark/>
          </w:tcPr>
          <w:p w14:paraId="7D8417FE" w14:textId="498B8839" w:rsidR="007F5801" w:rsidRPr="006B367A" w:rsidRDefault="001B6F22" w:rsidP="001B6F22">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w:t>
            </w:r>
            <w:r w:rsidR="007F5801" w:rsidRPr="006B367A">
              <w:rPr>
                <w:rFonts w:asciiTheme="majorBidi" w:eastAsia="Times New Roman" w:hAnsiTheme="majorBidi" w:cstheme="majorBidi"/>
                <w:color w:val="000000"/>
                <w:sz w:val="16"/>
                <w:szCs w:val="16"/>
              </w:rPr>
              <w:t>0.</w:t>
            </w:r>
            <w:r w:rsidRPr="006B367A">
              <w:rPr>
                <w:rFonts w:asciiTheme="majorBidi" w:eastAsia="Times New Roman" w:hAnsiTheme="majorBidi" w:cstheme="majorBidi"/>
                <w:color w:val="000000"/>
                <w:sz w:val="16"/>
                <w:szCs w:val="16"/>
              </w:rPr>
              <w:t>470</w:t>
            </w:r>
            <w:r w:rsidR="007F5801" w:rsidRPr="006B367A">
              <w:rPr>
                <w:rFonts w:asciiTheme="majorBidi" w:eastAsia="Times New Roman" w:hAnsiTheme="majorBidi" w:cstheme="majorBidi"/>
                <w:color w:val="000000"/>
                <w:sz w:val="16"/>
                <w:szCs w:val="16"/>
              </w:rPr>
              <w:t>***</w:t>
            </w:r>
          </w:p>
        </w:tc>
        <w:tc>
          <w:tcPr>
            <w:tcW w:w="0" w:type="auto"/>
            <w:shd w:val="clear" w:color="auto" w:fill="auto"/>
            <w:noWrap/>
            <w:vAlign w:val="bottom"/>
            <w:hideMark/>
          </w:tcPr>
          <w:p w14:paraId="4F996FE5" w14:textId="7FF6D1E5" w:rsidR="007F5801" w:rsidRPr="006B367A" w:rsidRDefault="00FF0C28" w:rsidP="00FF0C28">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w:t>
            </w:r>
            <w:r w:rsidR="007F5801" w:rsidRPr="006B367A">
              <w:rPr>
                <w:rFonts w:asciiTheme="majorBidi" w:eastAsia="Times New Roman" w:hAnsiTheme="majorBidi" w:cstheme="majorBidi"/>
                <w:color w:val="000000"/>
                <w:sz w:val="16"/>
                <w:szCs w:val="16"/>
              </w:rPr>
              <w:t>0.</w:t>
            </w:r>
            <w:r w:rsidRPr="006B367A">
              <w:rPr>
                <w:rFonts w:asciiTheme="majorBidi" w:eastAsia="Times New Roman" w:hAnsiTheme="majorBidi" w:cstheme="majorBidi"/>
                <w:color w:val="000000"/>
                <w:sz w:val="16"/>
                <w:szCs w:val="16"/>
              </w:rPr>
              <w:t>597</w:t>
            </w:r>
            <w:r w:rsidR="007F5801" w:rsidRPr="006B367A">
              <w:rPr>
                <w:rFonts w:asciiTheme="majorBidi" w:eastAsia="Times New Roman" w:hAnsiTheme="majorBidi" w:cstheme="majorBidi"/>
                <w:color w:val="000000"/>
                <w:sz w:val="16"/>
                <w:szCs w:val="16"/>
              </w:rPr>
              <w:t>***</w:t>
            </w:r>
          </w:p>
        </w:tc>
        <w:tc>
          <w:tcPr>
            <w:tcW w:w="0" w:type="auto"/>
            <w:shd w:val="clear" w:color="auto" w:fill="auto"/>
            <w:noWrap/>
            <w:vAlign w:val="bottom"/>
            <w:hideMark/>
          </w:tcPr>
          <w:p w14:paraId="4C669183"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1</w:t>
            </w:r>
          </w:p>
        </w:tc>
        <w:tc>
          <w:tcPr>
            <w:tcW w:w="0" w:type="auto"/>
            <w:shd w:val="clear" w:color="auto" w:fill="auto"/>
            <w:noWrap/>
            <w:vAlign w:val="bottom"/>
            <w:hideMark/>
          </w:tcPr>
          <w:p w14:paraId="15E928F5" w14:textId="3918E615" w:rsidR="007F5801" w:rsidRPr="006B367A" w:rsidRDefault="00FF0C28" w:rsidP="00FF0C28">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w:t>
            </w:r>
            <w:r w:rsidR="007F5801" w:rsidRPr="006B367A">
              <w:rPr>
                <w:rFonts w:asciiTheme="majorBidi" w:eastAsia="Times New Roman" w:hAnsiTheme="majorBidi" w:cstheme="majorBidi"/>
                <w:color w:val="000000"/>
                <w:sz w:val="16"/>
                <w:szCs w:val="16"/>
              </w:rPr>
              <w:t>0.07</w:t>
            </w:r>
            <w:r w:rsidRPr="006B367A">
              <w:rPr>
                <w:rFonts w:asciiTheme="majorBidi" w:eastAsia="Times New Roman" w:hAnsiTheme="majorBidi" w:cstheme="majorBidi"/>
                <w:color w:val="000000"/>
                <w:sz w:val="16"/>
                <w:szCs w:val="16"/>
              </w:rPr>
              <w:t>1*</w:t>
            </w:r>
          </w:p>
        </w:tc>
        <w:tc>
          <w:tcPr>
            <w:tcW w:w="0" w:type="auto"/>
            <w:shd w:val="clear" w:color="auto" w:fill="auto"/>
            <w:noWrap/>
            <w:vAlign w:val="bottom"/>
            <w:hideMark/>
          </w:tcPr>
          <w:p w14:paraId="2CD4F4BB" w14:textId="781B9A89" w:rsidR="007F5801" w:rsidRPr="006B367A" w:rsidRDefault="00FF0C28" w:rsidP="00FF0C28">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w:t>
            </w:r>
            <w:r w:rsidR="007F5801" w:rsidRPr="006B367A">
              <w:rPr>
                <w:rFonts w:asciiTheme="majorBidi" w:eastAsia="Times New Roman" w:hAnsiTheme="majorBidi" w:cstheme="majorBidi"/>
                <w:color w:val="000000"/>
                <w:sz w:val="16"/>
                <w:szCs w:val="16"/>
              </w:rPr>
              <w:t>0.</w:t>
            </w:r>
            <w:r w:rsidRPr="006B367A">
              <w:rPr>
                <w:rFonts w:asciiTheme="majorBidi" w:eastAsia="Times New Roman" w:hAnsiTheme="majorBidi" w:cstheme="majorBidi"/>
                <w:color w:val="000000"/>
                <w:sz w:val="16"/>
                <w:szCs w:val="16"/>
              </w:rPr>
              <w:t>281</w:t>
            </w:r>
            <w:r w:rsidR="007F5801" w:rsidRPr="006B367A">
              <w:rPr>
                <w:rFonts w:asciiTheme="majorBidi" w:eastAsia="Times New Roman" w:hAnsiTheme="majorBidi" w:cstheme="majorBidi"/>
                <w:color w:val="000000"/>
                <w:sz w:val="16"/>
                <w:szCs w:val="16"/>
              </w:rPr>
              <w:t>***</w:t>
            </w:r>
          </w:p>
        </w:tc>
        <w:tc>
          <w:tcPr>
            <w:tcW w:w="0" w:type="auto"/>
            <w:shd w:val="clear" w:color="auto" w:fill="auto"/>
            <w:noWrap/>
            <w:vAlign w:val="bottom"/>
            <w:hideMark/>
          </w:tcPr>
          <w:p w14:paraId="00BD667B" w14:textId="21051459" w:rsidR="007F5801" w:rsidRPr="006B367A" w:rsidRDefault="007F5801" w:rsidP="00FF0C28">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w:t>
            </w:r>
            <w:r w:rsidR="00FF0C28" w:rsidRPr="006B367A">
              <w:rPr>
                <w:rFonts w:asciiTheme="majorBidi" w:eastAsia="Times New Roman" w:hAnsiTheme="majorBidi" w:cstheme="majorBidi"/>
                <w:color w:val="000000"/>
                <w:sz w:val="16"/>
                <w:szCs w:val="16"/>
              </w:rPr>
              <w:t>196</w:t>
            </w:r>
            <w:r w:rsidRPr="006B367A">
              <w:rPr>
                <w:rFonts w:asciiTheme="majorBidi" w:eastAsia="Times New Roman" w:hAnsiTheme="majorBidi" w:cstheme="majorBidi"/>
                <w:color w:val="000000"/>
                <w:sz w:val="16"/>
                <w:szCs w:val="16"/>
              </w:rPr>
              <w:t>***</w:t>
            </w:r>
          </w:p>
        </w:tc>
        <w:tc>
          <w:tcPr>
            <w:tcW w:w="0" w:type="auto"/>
            <w:shd w:val="clear" w:color="auto" w:fill="auto"/>
            <w:noWrap/>
            <w:vAlign w:val="bottom"/>
            <w:hideMark/>
          </w:tcPr>
          <w:p w14:paraId="7D11272A" w14:textId="2CD9F8E7" w:rsidR="007F5801" w:rsidRPr="006B367A" w:rsidRDefault="007F5801" w:rsidP="00FF0C28">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w:t>
            </w:r>
            <w:r w:rsidR="00FF0C28" w:rsidRPr="006B367A">
              <w:rPr>
                <w:rFonts w:asciiTheme="majorBidi" w:eastAsia="Times New Roman" w:hAnsiTheme="majorBidi" w:cstheme="majorBidi"/>
                <w:color w:val="000000"/>
                <w:sz w:val="16"/>
                <w:szCs w:val="16"/>
              </w:rPr>
              <w:t>78*</w:t>
            </w:r>
          </w:p>
        </w:tc>
        <w:tc>
          <w:tcPr>
            <w:tcW w:w="0" w:type="auto"/>
            <w:shd w:val="clear" w:color="auto" w:fill="auto"/>
            <w:noWrap/>
            <w:vAlign w:val="bottom"/>
            <w:hideMark/>
          </w:tcPr>
          <w:p w14:paraId="16187617" w14:textId="65CB4FD8" w:rsidR="007F5801" w:rsidRPr="006B367A" w:rsidRDefault="007F5801" w:rsidP="00FF0C28">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0.1</w:t>
            </w:r>
            <w:r w:rsidR="00FF0C28" w:rsidRPr="006B367A">
              <w:rPr>
                <w:rFonts w:asciiTheme="majorBidi" w:eastAsia="Times New Roman" w:hAnsiTheme="majorBidi" w:cstheme="majorBidi"/>
                <w:color w:val="000000"/>
                <w:sz w:val="16"/>
                <w:szCs w:val="16"/>
              </w:rPr>
              <w:t>29</w:t>
            </w:r>
            <w:r w:rsidRPr="006B367A">
              <w:rPr>
                <w:rFonts w:asciiTheme="majorBidi" w:eastAsia="Times New Roman" w:hAnsiTheme="majorBidi" w:cstheme="majorBidi"/>
                <w:color w:val="000000"/>
                <w:sz w:val="16"/>
                <w:szCs w:val="16"/>
              </w:rPr>
              <w:t>***</w:t>
            </w:r>
          </w:p>
        </w:tc>
        <w:tc>
          <w:tcPr>
            <w:tcW w:w="0" w:type="auto"/>
            <w:shd w:val="clear" w:color="auto" w:fill="auto"/>
            <w:noWrap/>
            <w:vAlign w:val="bottom"/>
            <w:hideMark/>
          </w:tcPr>
          <w:p w14:paraId="43770ABA" w14:textId="44EFB652" w:rsidR="007F5801" w:rsidRPr="006B367A" w:rsidRDefault="00FF0C28" w:rsidP="00FF0C28">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w:t>
            </w:r>
            <w:r w:rsidR="007F5801" w:rsidRPr="006B367A">
              <w:rPr>
                <w:rFonts w:asciiTheme="majorBidi" w:eastAsia="Times New Roman" w:hAnsiTheme="majorBidi" w:cstheme="majorBidi"/>
                <w:color w:val="000000"/>
                <w:sz w:val="16"/>
                <w:szCs w:val="16"/>
              </w:rPr>
              <w:t>0.0</w:t>
            </w:r>
            <w:r w:rsidRPr="006B367A">
              <w:rPr>
                <w:rFonts w:asciiTheme="majorBidi" w:eastAsia="Times New Roman" w:hAnsiTheme="majorBidi" w:cstheme="majorBidi"/>
                <w:color w:val="000000"/>
                <w:sz w:val="16"/>
                <w:szCs w:val="16"/>
              </w:rPr>
              <w:t>11</w:t>
            </w:r>
          </w:p>
        </w:tc>
        <w:tc>
          <w:tcPr>
            <w:tcW w:w="0" w:type="auto"/>
            <w:shd w:val="clear" w:color="auto" w:fill="auto"/>
            <w:noWrap/>
            <w:vAlign w:val="bottom"/>
            <w:hideMark/>
          </w:tcPr>
          <w:p w14:paraId="48E34827" w14:textId="5AC75BE4" w:rsidR="007F5801" w:rsidRPr="006B367A" w:rsidRDefault="00FF0C28" w:rsidP="00FF0C28">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w:t>
            </w:r>
            <w:r w:rsidR="007F5801" w:rsidRPr="006B367A">
              <w:rPr>
                <w:rFonts w:asciiTheme="majorBidi" w:eastAsia="Times New Roman" w:hAnsiTheme="majorBidi" w:cstheme="majorBidi"/>
                <w:color w:val="000000"/>
                <w:sz w:val="16"/>
                <w:szCs w:val="16"/>
              </w:rPr>
              <w:t>0.0</w:t>
            </w:r>
            <w:r w:rsidRPr="006B367A">
              <w:rPr>
                <w:rFonts w:asciiTheme="majorBidi" w:eastAsia="Times New Roman" w:hAnsiTheme="majorBidi" w:cstheme="majorBidi"/>
                <w:color w:val="000000"/>
                <w:sz w:val="16"/>
                <w:szCs w:val="16"/>
              </w:rPr>
              <w:t>48</w:t>
            </w:r>
          </w:p>
        </w:tc>
        <w:tc>
          <w:tcPr>
            <w:tcW w:w="0" w:type="auto"/>
            <w:shd w:val="clear" w:color="auto" w:fill="auto"/>
            <w:noWrap/>
            <w:vAlign w:val="bottom"/>
            <w:hideMark/>
          </w:tcPr>
          <w:p w14:paraId="5253DE0D" w14:textId="1E5CD4C3" w:rsidR="007F5801" w:rsidRPr="006B367A" w:rsidRDefault="00FF0C28" w:rsidP="00FF0C28">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w:t>
            </w:r>
            <w:r w:rsidR="007F5801" w:rsidRPr="006B367A">
              <w:rPr>
                <w:rFonts w:asciiTheme="majorBidi" w:eastAsia="Times New Roman" w:hAnsiTheme="majorBidi" w:cstheme="majorBidi"/>
                <w:color w:val="000000"/>
                <w:sz w:val="16"/>
                <w:szCs w:val="16"/>
              </w:rPr>
              <w:t>0.2</w:t>
            </w:r>
            <w:r w:rsidRPr="006B367A">
              <w:rPr>
                <w:rFonts w:asciiTheme="majorBidi" w:eastAsia="Times New Roman" w:hAnsiTheme="majorBidi" w:cstheme="majorBidi"/>
                <w:color w:val="000000"/>
                <w:sz w:val="16"/>
                <w:szCs w:val="16"/>
              </w:rPr>
              <w:t>05</w:t>
            </w:r>
            <w:r w:rsidR="007F5801" w:rsidRPr="006B367A">
              <w:rPr>
                <w:rFonts w:asciiTheme="majorBidi" w:eastAsia="Times New Roman" w:hAnsiTheme="majorBidi" w:cstheme="majorBidi"/>
                <w:color w:val="000000"/>
                <w:sz w:val="16"/>
                <w:szCs w:val="16"/>
              </w:rPr>
              <w:t>***</w:t>
            </w:r>
          </w:p>
        </w:tc>
      </w:tr>
      <w:tr w:rsidR="007F5801" w:rsidRPr="006B367A" w14:paraId="5845738D" w14:textId="77777777" w:rsidTr="00D23D6D">
        <w:trPr>
          <w:trHeight w:val="300"/>
        </w:trPr>
        <w:tc>
          <w:tcPr>
            <w:tcW w:w="0" w:type="auto"/>
            <w:tcBorders>
              <w:right w:val="single" w:sz="12" w:space="0" w:color="auto"/>
            </w:tcBorders>
            <w:shd w:val="clear" w:color="auto" w:fill="auto"/>
            <w:noWrap/>
            <w:vAlign w:val="bottom"/>
            <w:hideMark/>
          </w:tcPr>
          <w:p w14:paraId="55F6888A" w14:textId="77777777" w:rsidR="007F5801" w:rsidRPr="006B367A" w:rsidRDefault="007F5801" w:rsidP="00D23D6D">
            <w:pPr>
              <w:spacing w:after="0" w:line="240" w:lineRule="auto"/>
              <w:jc w:val="center"/>
              <w:rPr>
                <w:rFonts w:asciiTheme="majorBidi" w:eastAsia="Times New Roman" w:hAnsiTheme="majorBidi" w:cstheme="majorBidi"/>
                <w:b/>
                <w:bCs/>
                <w:color w:val="000000"/>
                <w:sz w:val="16"/>
                <w:szCs w:val="16"/>
              </w:rPr>
            </w:pPr>
            <w:r w:rsidRPr="006B367A">
              <w:rPr>
                <w:rFonts w:asciiTheme="majorBidi" w:eastAsia="Times New Roman" w:hAnsiTheme="majorBidi" w:cstheme="majorBidi"/>
                <w:b/>
                <w:bCs/>
                <w:color w:val="000000"/>
                <w:sz w:val="16"/>
                <w:szCs w:val="16"/>
              </w:rPr>
              <w:t>NGI</w:t>
            </w:r>
          </w:p>
        </w:tc>
        <w:tc>
          <w:tcPr>
            <w:tcW w:w="0" w:type="auto"/>
            <w:tcBorders>
              <w:left w:val="single" w:sz="12" w:space="0" w:color="auto"/>
            </w:tcBorders>
            <w:shd w:val="clear" w:color="auto" w:fill="auto"/>
            <w:noWrap/>
            <w:vAlign w:val="bottom"/>
            <w:hideMark/>
          </w:tcPr>
          <w:p w14:paraId="6DE0F8A9" w14:textId="06EEACC2" w:rsidR="007F5801" w:rsidRPr="006B367A" w:rsidRDefault="00FF0C28"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0.150</w:t>
            </w:r>
            <w:r w:rsidR="007F5801" w:rsidRPr="006B367A">
              <w:rPr>
                <w:rFonts w:asciiTheme="majorBidi" w:eastAsia="Times New Roman" w:hAnsiTheme="majorBidi" w:cstheme="majorBidi"/>
                <w:color w:val="000000"/>
                <w:sz w:val="16"/>
                <w:szCs w:val="16"/>
              </w:rPr>
              <w:t>***</w:t>
            </w:r>
          </w:p>
        </w:tc>
        <w:tc>
          <w:tcPr>
            <w:tcW w:w="0" w:type="auto"/>
            <w:shd w:val="clear" w:color="auto" w:fill="auto"/>
            <w:noWrap/>
            <w:vAlign w:val="bottom"/>
            <w:hideMark/>
          </w:tcPr>
          <w:p w14:paraId="6AB06620" w14:textId="009698B9" w:rsidR="007F5801" w:rsidRPr="006B367A" w:rsidRDefault="00FF0C28"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0.403</w:t>
            </w:r>
            <w:r w:rsidR="007F5801" w:rsidRPr="006B367A">
              <w:rPr>
                <w:rFonts w:asciiTheme="majorBidi" w:eastAsia="Times New Roman" w:hAnsiTheme="majorBidi" w:cstheme="majorBidi"/>
                <w:color w:val="000000"/>
                <w:sz w:val="16"/>
                <w:szCs w:val="16"/>
              </w:rPr>
              <w:t>***</w:t>
            </w:r>
          </w:p>
        </w:tc>
        <w:tc>
          <w:tcPr>
            <w:tcW w:w="0" w:type="auto"/>
            <w:shd w:val="clear" w:color="auto" w:fill="auto"/>
            <w:noWrap/>
            <w:vAlign w:val="bottom"/>
            <w:hideMark/>
          </w:tcPr>
          <w:p w14:paraId="0C4AC7D9" w14:textId="612D0DC0" w:rsidR="007F5801" w:rsidRPr="006B367A" w:rsidRDefault="00FF0C28"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-0.271</w:t>
            </w:r>
            <w:r w:rsidR="007F5801" w:rsidRPr="006B367A">
              <w:rPr>
                <w:rFonts w:asciiTheme="majorBidi" w:eastAsia="Times New Roman" w:hAnsiTheme="majorBidi" w:cstheme="majorBidi"/>
                <w:color w:val="000000"/>
                <w:sz w:val="16"/>
                <w:szCs w:val="16"/>
              </w:rPr>
              <w:t>***</w:t>
            </w:r>
          </w:p>
        </w:tc>
        <w:tc>
          <w:tcPr>
            <w:tcW w:w="0" w:type="auto"/>
            <w:shd w:val="clear" w:color="auto" w:fill="auto"/>
            <w:noWrap/>
            <w:vAlign w:val="bottom"/>
            <w:hideMark/>
          </w:tcPr>
          <w:p w14:paraId="2BE18ABA" w14:textId="5DA99548" w:rsidR="007F5801" w:rsidRPr="006B367A" w:rsidRDefault="00FF0C28"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0.390</w:t>
            </w:r>
            <w:r w:rsidR="007F5801" w:rsidRPr="006B367A">
              <w:rPr>
                <w:rFonts w:asciiTheme="majorBidi" w:eastAsia="Times New Roman" w:hAnsiTheme="majorBidi" w:cstheme="majorBidi"/>
                <w:color w:val="000000"/>
                <w:sz w:val="16"/>
                <w:szCs w:val="16"/>
              </w:rPr>
              <w:t>***</w:t>
            </w:r>
          </w:p>
        </w:tc>
        <w:tc>
          <w:tcPr>
            <w:tcW w:w="0" w:type="auto"/>
            <w:shd w:val="clear" w:color="auto" w:fill="auto"/>
            <w:noWrap/>
            <w:vAlign w:val="bottom"/>
            <w:hideMark/>
          </w:tcPr>
          <w:p w14:paraId="0693D292" w14:textId="5A466E03" w:rsidR="007F5801" w:rsidRPr="006B367A" w:rsidRDefault="00FF0C28"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-0.468</w:t>
            </w:r>
            <w:r w:rsidR="007F5801" w:rsidRPr="006B367A">
              <w:rPr>
                <w:rFonts w:asciiTheme="majorBidi" w:eastAsia="Times New Roman" w:hAnsiTheme="majorBidi" w:cstheme="majorBidi"/>
                <w:color w:val="000000"/>
                <w:sz w:val="16"/>
                <w:szCs w:val="16"/>
              </w:rPr>
              <w:t>***</w:t>
            </w:r>
          </w:p>
        </w:tc>
        <w:tc>
          <w:tcPr>
            <w:tcW w:w="0" w:type="auto"/>
            <w:shd w:val="clear" w:color="auto" w:fill="auto"/>
            <w:noWrap/>
            <w:vAlign w:val="bottom"/>
            <w:hideMark/>
          </w:tcPr>
          <w:p w14:paraId="7001EC13" w14:textId="069721FC" w:rsidR="007F5801" w:rsidRPr="006B367A" w:rsidRDefault="00FF0C28"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0.033</w:t>
            </w:r>
          </w:p>
        </w:tc>
        <w:tc>
          <w:tcPr>
            <w:tcW w:w="0" w:type="auto"/>
            <w:shd w:val="clear" w:color="auto" w:fill="auto"/>
            <w:noWrap/>
            <w:vAlign w:val="bottom"/>
            <w:hideMark/>
          </w:tcPr>
          <w:p w14:paraId="14CA8838" w14:textId="3C101D16" w:rsidR="007F5801" w:rsidRPr="006B367A" w:rsidRDefault="00FF0C28"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-0.192</w:t>
            </w:r>
            <w:r w:rsidR="007F5801" w:rsidRPr="006B367A">
              <w:rPr>
                <w:rFonts w:asciiTheme="majorBidi" w:eastAsia="Times New Roman" w:hAnsiTheme="majorBidi" w:cstheme="majorBidi"/>
                <w:color w:val="000000"/>
                <w:sz w:val="16"/>
                <w:szCs w:val="16"/>
              </w:rPr>
              <w:t>***</w:t>
            </w:r>
          </w:p>
        </w:tc>
        <w:tc>
          <w:tcPr>
            <w:tcW w:w="0" w:type="auto"/>
            <w:shd w:val="clear" w:color="auto" w:fill="auto"/>
            <w:noWrap/>
            <w:vAlign w:val="bottom"/>
            <w:hideMark/>
          </w:tcPr>
          <w:p w14:paraId="38D894CD" w14:textId="1194E3D7" w:rsidR="007F5801" w:rsidRPr="006B367A" w:rsidRDefault="00FF0C28"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-0.023</w:t>
            </w:r>
          </w:p>
        </w:tc>
        <w:tc>
          <w:tcPr>
            <w:tcW w:w="0" w:type="auto"/>
            <w:shd w:val="clear" w:color="auto" w:fill="auto"/>
            <w:noWrap/>
            <w:vAlign w:val="bottom"/>
            <w:hideMark/>
          </w:tcPr>
          <w:p w14:paraId="67D148BF"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1</w:t>
            </w:r>
          </w:p>
        </w:tc>
        <w:tc>
          <w:tcPr>
            <w:tcW w:w="0" w:type="auto"/>
            <w:shd w:val="clear" w:color="auto" w:fill="auto"/>
            <w:noWrap/>
            <w:vAlign w:val="bottom"/>
            <w:hideMark/>
          </w:tcPr>
          <w:p w14:paraId="62E0C424" w14:textId="6181238F" w:rsidR="007F5801" w:rsidRPr="006B367A" w:rsidRDefault="00FF0C28"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0.016</w:t>
            </w:r>
          </w:p>
        </w:tc>
        <w:tc>
          <w:tcPr>
            <w:tcW w:w="0" w:type="auto"/>
            <w:shd w:val="clear" w:color="auto" w:fill="auto"/>
            <w:noWrap/>
            <w:vAlign w:val="bottom"/>
            <w:hideMark/>
          </w:tcPr>
          <w:p w14:paraId="63D18379"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0.141***</w:t>
            </w:r>
          </w:p>
        </w:tc>
        <w:tc>
          <w:tcPr>
            <w:tcW w:w="0" w:type="auto"/>
            <w:shd w:val="clear" w:color="auto" w:fill="auto"/>
            <w:noWrap/>
            <w:vAlign w:val="bottom"/>
            <w:hideMark/>
          </w:tcPr>
          <w:p w14:paraId="77ADB675" w14:textId="4E5DF45D" w:rsidR="007F5801" w:rsidRPr="006B367A" w:rsidRDefault="00FF0C28"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0.296</w:t>
            </w:r>
            <w:r w:rsidR="007F5801" w:rsidRPr="006B367A">
              <w:rPr>
                <w:rFonts w:asciiTheme="majorBidi" w:eastAsia="Times New Roman" w:hAnsiTheme="majorBidi" w:cstheme="majorBidi"/>
                <w:color w:val="000000"/>
                <w:sz w:val="16"/>
                <w:szCs w:val="16"/>
              </w:rPr>
              <w:t>***</w:t>
            </w:r>
          </w:p>
        </w:tc>
        <w:tc>
          <w:tcPr>
            <w:tcW w:w="0" w:type="auto"/>
            <w:shd w:val="clear" w:color="auto" w:fill="auto"/>
            <w:noWrap/>
            <w:vAlign w:val="bottom"/>
            <w:hideMark/>
          </w:tcPr>
          <w:p w14:paraId="5E3DB038" w14:textId="6F18DF6F" w:rsidR="007F5801" w:rsidRPr="006B367A" w:rsidRDefault="00FF0C28"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-0.081</w:t>
            </w:r>
            <w:r w:rsidR="007F5801" w:rsidRPr="006B367A">
              <w:rPr>
                <w:rFonts w:asciiTheme="majorBidi" w:eastAsia="Times New Roman" w:hAnsiTheme="majorBidi" w:cstheme="majorBidi"/>
                <w:color w:val="000000"/>
                <w:sz w:val="16"/>
                <w:szCs w:val="16"/>
              </w:rPr>
              <w:t>**</w:t>
            </w:r>
          </w:p>
        </w:tc>
        <w:tc>
          <w:tcPr>
            <w:tcW w:w="0" w:type="auto"/>
            <w:shd w:val="clear" w:color="auto" w:fill="auto"/>
            <w:noWrap/>
            <w:vAlign w:val="bottom"/>
            <w:hideMark/>
          </w:tcPr>
          <w:p w14:paraId="7F9E4F26" w14:textId="50333BBF" w:rsidR="007F5801" w:rsidRPr="006B367A" w:rsidRDefault="00FF0C28"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-0.004</w:t>
            </w:r>
          </w:p>
        </w:tc>
        <w:tc>
          <w:tcPr>
            <w:tcW w:w="0" w:type="auto"/>
            <w:shd w:val="clear" w:color="auto" w:fill="auto"/>
            <w:noWrap/>
            <w:vAlign w:val="bottom"/>
            <w:hideMark/>
          </w:tcPr>
          <w:p w14:paraId="774F59D7" w14:textId="41AA7818" w:rsidR="007F5801" w:rsidRPr="006B367A" w:rsidRDefault="00FF0C28"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-0.068*</w:t>
            </w:r>
          </w:p>
        </w:tc>
        <w:tc>
          <w:tcPr>
            <w:tcW w:w="0" w:type="auto"/>
            <w:shd w:val="clear" w:color="auto" w:fill="auto"/>
            <w:noWrap/>
            <w:vAlign w:val="bottom"/>
            <w:hideMark/>
          </w:tcPr>
          <w:p w14:paraId="3A3682D2"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0.065</w:t>
            </w:r>
          </w:p>
        </w:tc>
      </w:tr>
      <w:tr w:rsidR="007F5801" w:rsidRPr="006B367A" w14:paraId="0044753D" w14:textId="77777777" w:rsidTr="00D23D6D">
        <w:trPr>
          <w:trHeight w:val="300"/>
        </w:trPr>
        <w:tc>
          <w:tcPr>
            <w:tcW w:w="0" w:type="auto"/>
            <w:tcBorders>
              <w:right w:val="single" w:sz="12" w:space="0" w:color="auto"/>
            </w:tcBorders>
            <w:shd w:val="clear" w:color="auto" w:fill="auto"/>
            <w:noWrap/>
            <w:vAlign w:val="bottom"/>
            <w:hideMark/>
          </w:tcPr>
          <w:p w14:paraId="7B6ECA13" w14:textId="77777777" w:rsidR="007F5801" w:rsidRPr="006B367A" w:rsidRDefault="007F5801" w:rsidP="00D23D6D">
            <w:pPr>
              <w:spacing w:after="0" w:line="240" w:lineRule="auto"/>
              <w:jc w:val="center"/>
              <w:rPr>
                <w:rFonts w:asciiTheme="majorBidi" w:eastAsia="Times New Roman" w:hAnsiTheme="majorBidi" w:cstheme="majorBidi"/>
                <w:b/>
                <w:bCs/>
                <w:color w:val="000000"/>
                <w:sz w:val="16"/>
                <w:szCs w:val="16"/>
              </w:rPr>
            </w:pPr>
            <w:r w:rsidRPr="006B367A">
              <w:rPr>
                <w:rFonts w:asciiTheme="majorBidi" w:eastAsia="Times New Roman" w:hAnsiTheme="majorBidi" w:cstheme="majorBidi"/>
                <w:b/>
                <w:bCs/>
                <w:color w:val="000000"/>
                <w:sz w:val="16"/>
                <w:szCs w:val="16"/>
              </w:rPr>
              <w:t>LNTA</w:t>
            </w:r>
          </w:p>
        </w:tc>
        <w:tc>
          <w:tcPr>
            <w:tcW w:w="0" w:type="auto"/>
            <w:tcBorders>
              <w:left w:val="single" w:sz="12" w:space="0" w:color="auto"/>
            </w:tcBorders>
            <w:shd w:val="clear" w:color="auto" w:fill="auto"/>
            <w:noWrap/>
            <w:vAlign w:val="bottom"/>
            <w:hideMark/>
          </w:tcPr>
          <w:p w14:paraId="644B43A5"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0.482***</w:t>
            </w:r>
          </w:p>
        </w:tc>
        <w:tc>
          <w:tcPr>
            <w:tcW w:w="0" w:type="auto"/>
            <w:shd w:val="clear" w:color="auto" w:fill="auto"/>
            <w:noWrap/>
            <w:vAlign w:val="bottom"/>
            <w:hideMark/>
          </w:tcPr>
          <w:p w14:paraId="366EFDD0"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0.720***</w:t>
            </w:r>
          </w:p>
        </w:tc>
        <w:tc>
          <w:tcPr>
            <w:tcW w:w="0" w:type="auto"/>
            <w:shd w:val="clear" w:color="auto" w:fill="auto"/>
            <w:noWrap/>
            <w:vAlign w:val="bottom"/>
            <w:hideMark/>
          </w:tcPr>
          <w:p w14:paraId="5B0BEB7A"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0.352***</w:t>
            </w:r>
          </w:p>
        </w:tc>
        <w:tc>
          <w:tcPr>
            <w:tcW w:w="0" w:type="auto"/>
            <w:shd w:val="clear" w:color="auto" w:fill="auto"/>
            <w:noWrap/>
            <w:vAlign w:val="bottom"/>
            <w:hideMark/>
          </w:tcPr>
          <w:p w14:paraId="73559C21"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0.118***</w:t>
            </w:r>
          </w:p>
        </w:tc>
        <w:tc>
          <w:tcPr>
            <w:tcW w:w="0" w:type="auto"/>
            <w:shd w:val="clear" w:color="auto" w:fill="auto"/>
            <w:noWrap/>
            <w:vAlign w:val="bottom"/>
            <w:hideMark/>
          </w:tcPr>
          <w:p w14:paraId="3653A503"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-0.204***</w:t>
            </w:r>
          </w:p>
        </w:tc>
        <w:tc>
          <w:tcPr>
            <w:tcW w:w="0" w:type="auto"/>
            <w:shd w:val="clear" w:color="auto" w:fill="auto"/>
            <w:noWrap/>
            <w:vAlign w:val="bottom"/>
            <w:hideMark/>
          </w:tcPr>
          <w:p w14:paraId="41EE23DB"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0.529***</w:t>
            </w:r>
          </w:p>
        </w:tc>
        <w:tc>
          <w:tcPr>
            <w:tcW w:w="0" w:type="auto"/>
            <w:shd w:val="clear" w:color="auto" w:fill="auto"/>
            <w:noWrap/>
            <w:vAlign w:val="bottom"/>
            <w:hideMark/>
          </w:tcPr>
          <w:p w14:paraId="67E25223"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0.137***</w:t>
            </w:r>
          </w:p>
        </w:tc>
        <w:tc>
          <w:tcPr>
            <w:tcW w:w="0" w:type="auto"/>
            <w:shd w:val="clear" w:color="auto" w:fill="auto"/>
            <w:noWrap/>
            <w:vAlign w:val="bottom"/>
            <w:hideMark/>
          </w:tcPr>
          <w:p w14:paraId="7075F0CA" w14:textId="77A3EB23" w:rsidR="007F5801" w:rsidRPr="006B367A" w:rsidRDefault="00625F5F"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-0.305</w:t>
            </w:r>
            <w:r w:rsidR="007F5801" w:rsidRPr="006B367A">
              <w:rPr>
                <w:rFonts w:asciiTheme="majorBidi" w:eastAsia="Times New Roman" w:hAnsiTheme="majorBidi" w:cstheme="majorBidi"/>
                <w:color w:val="000000"/>
                <w:sz w:val="16"/>
                <w:szCs w:val="16"/>
              </w:rPr>
              <w:t>***</w:t>
            </w:r>
          </w:p>
        </w:tc>
        <w:tc>
          <w:tcPr>
            <w:tcW w:w="0" w:type="auto"/>
            <w:shd w:val="clear" w:color="auto" w:fill="auto"/>
            <w:noWrap/>
            <w:vAlign w:val="bottom"/>
            <w:hideMark/>
          </w:tcPr>
          <w:p w14:paraId="77A35AAF" w14:textId="06AF5FAC" w:rsidR="007F5801" w:rsidRPr="006B367A" w:rsidRDefault="007F5801" w:rsidP="00625F5F">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w:t>
            </w:r>
            <w:r w:rsidR="00625F5F" w:rsidRPr="006B367A">
              <w:rPr>
                <w:rFonts w:asciiTheme="majorBidi" w:eastAsia="Times New Roman" w:hAnsiTheme="majorBidi" w:cstheme="majorBidi"/>
                <w:color w:val="000000"/>
                <w:sz w:val="16"/>
                <w:szCs w:val="16"/>
              </w:rPr>
              <w:t>47</w:t>
            </w:r>
          </w:p>
        </w:tc>
        <w:tc>
          <w:tcPr>
            <w:tcW w:w="0" w:type="auto"/>
            <w:shd w:val="clear" w:color="auto" w:fill="auto"/>
            <w:noWrap/>
            <w:vAlign w:val="bottom"/>
            <w:hideMark/>
          </w:tcPr>
          <w:p w14:paraId="50DADB97"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1</w:t>
            </w:r>
          </w:p>
        </w:tc>
        <w:tc>
          <w:tcPr>
            <w:tcW w:w="0" w:type="auto"/>
            <w:shd w:val="clear" w:color="auto" w:fill="auto"/>
            <w:noWrap/>
            <w:vAlign w:val="bottom"/>
            <w:hideMark/>
          </w:tcPr>
          <w:p w14:paraId="77271EF9"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0.081**</w:t>
            </w:r>
          </w:p>
        </w:tc>
        <w:tc>
          <w:tcPr>
            <w:tcW w:w="0" w:type="auto"/>
            <w:shd w:val="clear" w:color="auto" w:fill="auto"/>
            <w:noWrap/>
            <w:vAlign w:val="bottom"/>
            <w:hideMark/>
          </w:tcPr>
          <w:p w14:paraId="32DC1E9C"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-0.062</w:t>
            </w:r>
          </w:p>
        </w:tc>
        <w:tc>
          <w:tcPr>
            <w:tcW w:w="0" w:type="auto"/>
            <w:shd w:val="clear" w:color="auto" w:fill="auto"/>
            <w:noWrap/>
            <w:vAlign w:val="bottom"/>
            <w:hideMark/>
          </w:tcPr>
          <w:p w14:paraId="418F0CBB"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-0.166***</w:t>
            </w:r>
          </w:p>
        </w:tc>
        <w:tc>
          <w:tcPr>
            <w:tcW w:w="0" w:type="auto"/>
            <w:shd w:val="clear" w:color="auto" w:fill="auto"/>
            <w:noWrap/>
            <w:vAlign w:val="bottom"/>
            <w:hideMark/>
          </w:tcPr>
          <w:p w14:paraId="27E83568"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0.298***</w:t>
            </w:r>
          </w:p>
        </w:tc>
        <w:tc>
          <w:tcPr>
            <w:tcW w:w="0" w:type="auto"/>
            <w:shd w:val="clear" w:color="auto" w:fill="auto"/>
            <w:noWrap/>
            <w:vAlign w:val="bottom"/>
            <w:hideMark/>
          </w:tcPr>
          <w:p w14:paraId="12559799"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0.156***</w:t>
            </w:r>
          </w:p>
        </w:tc>
        <w:tc>
          <w:tcPr>
            <w:tcW w:w="0" w:type="auto"/>
            <w:shd w:val="clear" w:color="auto" w:fill="auto"/>
            <w:noWrap/>
            <w:vAlign w:val="bottom"/>
            <w:hideMark/>
          </w:tcPr>
          <w:p w14:paraId="78A580A0"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0.066</w:t>
            </w:r>
          </w:p>
        </w:tc>
      </w:tr>
      <w:tr w:rsidR="007F5801" w:rsidRPr="006B367A" w14:paraId="6C764D2F" w14:textId="77777777" w:rsidTr="00D23D6D">
        <w:trPr>
          <w:trHeight w:val="300"/>
        </w:trPr>
        <w:tc>
          <w:tcPr>
            <w:tcW w:w="0" w:type="auto"/>
            <w:tcBorders>
              <w:right w:val="single" w:sz="12" w:space="0" w:color="auto"/>
            </w:tcBorders>
            <w:shd w:val="clear" w:color="auto" w:fill="auto"/>
            <w:noWrap/>
            <w:vAlign w:val="bottom"/>
            <w:hideMark/>
          </w:tcPr>
          <w:p w14:paraId="5D52430E" w14:textId="77777777" w:rsidR="007F5801" w:rsidRPr="006B367A" w:rsidRDefault="007F5801" w:rsidP="00D23D6D">
            <w:pPr>
              <w:spacing w:after="0" w:line="240" w:lineRule="auto"/>
              <w:jc w:val="center"/>
              <w:rPr>
                <w:rFonts w:asciiTheme="majorBidi" w:eastAsia="Times New Roman" w:hAnsiTheme="majorBidi" w:cstheme="majorBidi"/>
                <w:b/>
                <w:bCs/>
                <w:color w:val="000000"/>
                <w:sz w:val="16"/>
                <w:szCs w:val="16"/>
              </w:rPr>
            </w:pPr>
            <w:r w:rsidRPr="006B367A">
              <w:rPr>
                <w:rFonts w:asciiTheme="majorBidi" w:eastAsia="Times New Roman" w:hAnsiTheme="majorBidi" w:cstheme="majorBidi"/>
                <w:b/>
                <w:bCs/>
                <w:color w:val="000000"/>
                <w:sz w:val="16"/>
                <w:szCs w:val="16"/>
              </w:rPr>
              <w:t>BUSY</w:t>
            </w:r>
          </w:p>
        </w:tc>
        <w:tc>
          <w:tcPr>
            <w:tcW w:w="0" w:type="auto"/>
            <w:tcBorders>
              <w:left w:val="single" w:sz="12" w:space="0" w:color="auto"/>
            </w:tcBorders>
            <w:shd w:val="clear" w:color="auto" w:fill="auto"/>
            <w:noWrap/>
            <w:vAlign w:val="bottom"/>
            <w:hideMark/>
          </w:tcPr>
          <w:p w14:paraId="37E35C23"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0.178***</w:t>
            </w:r>
          </w:p>
        </w:tc>
        <w:tc>
          <w:tcPr>
            <w:tcW w:w="0" w:type="auto"/>
            <w:shd w:val="clear" w:color="auto" w:fill="auto"/>
            <w:noWrap/>
            <w:vAlign w:val="bottom"/>
            <w:hideMark/>
          </w:tcPr>
          <w:p w14:paraId="285269BB"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0.205***</w:t>
            </w:r>
          </w:p>
        </w:tc>
        <w:tc>
          <w:tcPr>
            <w:tcW w:w="0" w:type="auto"/>
            <w:shd w:val="clear" w:color="auto" w:fill="auto"/>
            <w:noWrap/>
            <w:vAlign w:val="bottom"/>
            <w:hideMark/>
          </w:tcPr>
          <w:p w14:paraId="7CAEFB8E"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-0.016</w:t>
            </w:r>
          </w:p>
        </w:tc>
        <w:tc>
          <w:tcPr>
            <w:tcW w:w="0" w:type="auto"/>
            <w:shd w:val="clear" w:color="auto" w:fill="auto"/>
            <w:noWrap/>
            <w:vAlign w:val="bottom"/>
            <w:hideMark/>
          </w:tcPr>
          <w:p w14:paraId="5FF56182"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0.202***</w:t>
            </w:r>
          </w:p>
        </w:tc>
        <w:tc>
          <w:tcPr>
            <w:tcW w:w="0" w:type="auto"/>
            <w:shd w:val="clear" w:color="auto" w:fill="auto"/>
            <w:noWrap/>
            <w:vAlign w:val="bottom"/>
            <w:hideMark/>
          </w:tcPr>
          <w:p w14:paraId="63AA99DB"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-0.240***</w:t>
            </w:r>
          </w:p>
        </w:tc>
        <w:tc>
          <w:tcPr>
            <w:tcW w:w="0" w:type="auto"/>
            <w:shd w:val="clear" w:color="auto" w:fill="auto"/>
            <w:noWrap/>
            <w:vAlign w:val="bottom"/>
            <w:hideMark/>
          </w:tcPr>
          <w:p w14:paraId="22DD5A66"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-0.277***</w:t>
            </w:r>
          </w:p>
        </w:tc>
        <w:tc>
          <w:tcPr>
            <w:tcW w:w="0" w:type="auto"/>
            <w:shd w:val="clear" w:color="auto" w:fill="auto"/>
            <w:noWrap/>
            <w:vAlign w:val="bottom"/>
            <w:hideMark/>
          </w:tcPr>
          <w:p w14:paraId="20E1CDDA"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-0.212***</w:t>
            </w:r>
          </w:p>
        </w:tc>
        <w:tc>
          <w:tcPr>
            <w:tcW w:w="0" w:type="auto"/>
            <w:shd w:val="clear" w:color="auto" w:fill="auto"/>
            <w:noWrap/>
            <w:vAlign w:val="bottom"/>
            <w:hideMark/>
          </w:tcPr>
          <w:p w14:paraId="11A2F306" w14:textId="52A066E3" w:rsidR="007F5801" w:rsidRPr="006B367A" w:rsidRDefault="00625F5F"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0.194</w:t>
            </w:r>
            <w:r w:rsidR="007F5801" w:rsidRPr="006B367A">
              <w:rPr>
                <w:rFonts w:asciiTheme="majorBidi" w:eastAsia="Times New Roman" w:hAnsiTheme="majorBidi" w:cstheme="majorBidi"/>
                <w:color w:val="000000"/>
                <w:sz w:val="16"/>
                <w:szCs w:val="16"/>
              </w:rPr>
              <w:t>***</w:t>
            </w:r>
          </w:p>
        </w:tc>
        <w:tc>
          <w:tcPr>
            <w:tcW w:w="0" w:type="auto"/>
            <w:shd w:val="clear" w:color="auto" w:fill="auto"/>
            <w:noWrap/>
            <w:vAlign w:val="bottom"/>
            <w:hideMark/>
          </w:tcPr>
          <w:p w14:paraId="3351E3F4" w14:textId="493DEC4C" w:rsidR="007F5801" w:rsidRPr="006B367A" w:rsidRDefault="00625F5F"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0.16</w:t>
            </w:r>
            <w:r w:rsidR="007F5801" w:rsidRPr="006B367A">
              <w:rPr>
                <w:rFonts w:asciiTheme="majorBidi" w:eastAsia="Times New Roman" w:hAnsiTheme="majorBidi" w:cstheme="majorBidi"/>
                <w:color w:val="000000"/>
                <w:sz w:val="16"/>
                <w:szCs w:val="16"/>
              </w:rPr>
              <w:t>4***</w:t>
            </w:r>
          </w:p>
        </w:tc>
        <w:tc>
          <w:tcPr>
            <w:tcW w:w="0" w:type="auto"/>
            <w:shd w:val="clear" w:color="auto" w:fill="auto"/>
            <w:noWrap/>
            <w:vAlign w:val="bottom"/>
            <w:hideMark/>
          </w:tcPr>
          <w:p w14:paraId="67A2D903"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0.086**</w:t>
            </w:r>
          </w:p>
        </w:tc>
        <w:tc>
          <w:tcPr>
            <w:tcW w:w="0" w:type="auto"/>
            <w:shd w:val="clear" w:color="auto" w:fill="auto"/>
            <w:noWrap/>
            <w:vAlign w:val="bottom"/>
            <w:hideMark/>
          </w:tcPr>
          <w:p w14:paraId="6D6C2BF8"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1</w:t>
            </w:r>
          </w:p>
        </w:tc>
        <w:tc>
          <w:tcPr>
            <w:tcW w:w="0" w:type="auto"/>
            <w:shd w:val="clear" w:color="auto" w:fill="auto"/>
            <w:noWrap/>
            <w:vAlign w:val="bottom"/>
            <w:hideMark/>
          </w:tcPr>
          <w:p w14:paraId="69DFA7CD"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0.003</w:t>
            </w:r>
          </w:p>
        </w:tc>
        <w:tc>
          <w:tcPr>
            <w:tcW w:w="0" w:type="auto"/>
            <w:shd w:val="clear" w:color="auto" w:fill="auto"/>
            <w:noWrap/>
            <w:vAlign w:val="bottom"/>
            <w:hideMark/>
          </w:tcPr>
          <w:p w14:paraId="44355417"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0.102**</w:t>
            </w:r>
          </w:p>
        </w:tc>
        <w:tc>
          <w:tcPr>
            <w:tcW w:w="0" w:type="auto"/>
            <w:shd w:val="clear" w:color="auto" w:fill="auto"/>
            <w:noWrap/>
            <w:vAlign w:val="bottom"/>
            <w:hideMark/>
          </w:tcPr>
          <w:p w14:paraId="4CE7D06B"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0.137***</w:t>
            </w:r>
          </w:p>
        </w:tc>
        <w:tc>
          <w:tcPr>
            <w:tcW w:w="0" w:type="auto"/>
            <w:shd w:val="clear" w:color="auto" w:fill="auto"/>
            <w:noWrap/>
            <w:vAlign w:val="bottom"/>
            <w:hideMark/>
          </w:tcPr>
          <w:p w14:paraId="74337F72"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-0.004</w:t>
            </w:r>
          </w:p>
        </w:tc>
        <w:tc>
          <w:tcPr>
            <w:tcW w:w="0" w:type="auto"/>
            <w:shd w:val="clear" w:color="auto" w:fill="auto"/>
            <w:noWrap/>
            <w:vAlign w:val="bottom"/>
            <w:hideMark/>
          </w:tcPr>
          <w:p w14:paraId="76AD2BCD"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-0.032</w:t>
            </w:r>
          </w:p>
        </w:tc>
      </w:tr>
      <w:tr w:rsidR="007F5801" w:rsidRPr="006B367A" w14:paraId="727309F8" w14:textId="77777777" w:rsidTr="00D23D6D">
        <w:trPr>
          <w:trHeight w:val="300"/>
        </w:trPr>
        <w:tc>
          <w:tcPr>
            <w:tcW w:w="0" w:type="auto"/>
            <w:tcBorders>
              <w:right w:val="single" w:sz="12" w:space="0" w:color="auto"/>
            </w:tcBorders>
            <w:shd w:val="clear" w:color="auto" w:fill="auto"/>
            <w:noWrap/>
            <w:vAlign w:val="bottom"/>
            <w:hideMark/>
          </w:tcPr>
          <w:p w14:paraId="117BEBB4" w14:textId="765B721B" w:rsidR="007F5801" w:rsidRPr="006B367A" w:rsidRDefault="00DC18ED" w:rsidP="00D23D6D">
            <w:pPr>
              <w:spacing w:after="0" w:line="240" w:lineRule="auto"/>
              <w:jc w:val="center"/>
              <w:rPr>
                <w:rFonts w:asciiTheme="majorBidi" w:eastAsia="Times New Roman" w:hAnsiTheme="majorBidi" w:cstheme="majorBidi"/>
                <w:b/>
                <w:bCs/>
                <w:color w:val="000000"/>
                <w:sz w:val="16"/>
                <w:szCs w:val="16"/>
              </w:rPr>
            </w:pPr>
            <w:r w:rsidRPr="006B367A">
              <w:rPr>
                <w:rFonts w:asciiTheme="majorBidi" w:eastAsia="Times New Roman" w:hAnsiTheme="majorBidi" w:cstheme="majorBidi"/>
                <w:b/>
                <w:bCs/>
                <w:color w:val="000000"/>
                <w:sz w:val="16"/>
                <w:szCs w:val="16"/>
              </w:rPr>
              <w:t>QUI</w:t>
            </w:r>
            <w:r w:rsidR="007F5801" w:rsidRPr="006B367A">
              <w:rPr>
                <w:rFonts w:asciiTheme="majorBidi" w:eastAsia="Times New Roman" w:hAnsiTheme="majorBidi" w:cstheme="majorBidi"/>
                <w:b/>
                <w:bCs/>
                <w:color w:val="000000"/>
                <w:sz w:val="16"/>
                <w:szCs w:val="16"/>
              </w:rPr>
              <w:t>K</w:t>
            </w:r>
          </w:p>
        </w:tc>
        <w:tc>
          <w:tcPr>
            <w:tcW w:w="0" w:type="auto"/>
            <w:tcBorders>
              <w:left w:val="single" w:sz="12" w:space="0" w:color="auto"/>
            </w:tcBorders>
            <w:shd w:val="clear" w:color="auto" w:fill="auto"/>
            <w:noWrap/>
            <w:vAlign w:val="bottom"/>
            <w:hideMark/>
          </w:tcPr>
          <w:p w14:paraId="5A0E13F5"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0.043</w:t>
            </w:r>
          </w:p>
        </w:tc>
        <w:tc>
          <w:tcPr>
            <w:tcW w:w="0" w:type="auto"/>
            <w:shd w:val="clear" w:color="auto" w:fill="auto"/>
            <w:noWrap/>
            <w:vAlign w:val="bottom"/>
            <w:hideMark/>
          </w:tcPr>
          <w:p w14:paraId="6920875A"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0.046</w:t>
            </w:r>
          </w:p>
        </w:tc>
        <w:tc>
          <w:tcPr>
            <w:tcW w:w="0" w:type="auto"/>
            <w:shd w:val="clear" w:color="auto" w:fill="auto"/>
            <w:noWrap/>
            <w:vAlign w:val="bottom"/>
            <w:hideMark/>
          </w:tcPr>
          <w:p w14:paraId="1FF5705F"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-0.010</w:t>
            </w:r>
          </w:p>
        </w:tc>
        <w:tc>
          <w:tcPr>
            <w:tcW w:w="0" w:type="auto"/>
            <w:shd w:val="clear" w:color="auto" w:fill="auto"/>
            <w:noWrap/>
            <w:vAlign w:val="bottom"/>
            <w:hideMark/>
          </w:tcPr>
          <w:p w14:paraId="25E4BCD6"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0.148***</w:t>
            </w:r>
          </w:p>
        </w:tc>
        <w:tc>
          <w:tcPr>
            <w:tcW w:w="0" w:type="auto"/>
            <w:shd w:val="clear" w:color="auto" w:fill="auto"/>
            <w:noWrap/>
            <w:vAlign w:val="bottom"/>
            <w:hideMark/>
          </w:tcPr>
          <w:p w14:paraId="532D2CCA"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-0.157***</w:t>
            </w:r>
          </w:p>
        </w:tc>
        <w:tc>
          <w:tcPr>
            <w:tcW w:w="0" w:type="auto"/>
            <w:shd w:val="clear" w:color="auto" w:fill="auto"/>
            <w:noWrap/>
            <w:vAlign w:val="bottom"/>
            <w:hideMark/>
          </w:tcPr>
          <w:p w14:paraId="071C336D"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0.138***</w:t>
            </w:r>
          </w:p>
        </w:tc>
        <w:tc>
          <w:tcPr>
            <w:tcW w:w="0" w:type="auto"/>
            <w:shd w:val="clear" w:color="auto" w:fill="auto"/>
            <w:noWrap/>
            <w:vAlign w:val="bottom"/>
            <w:hideMark/>
          </w:tcPr>
          <w:p w14:paraId="5FEDA19B"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-0.066</w:t>
            </w:r>
          </w:p>
        </w:tc>
        <w:tc>
          <w:tcPr>
            <w:tcW w:w="0" w:type="auto"/>
            <w:shd w:val="clear" w:color="auto" w:fill="auto"/>
            <w:noWrap/>
            <w:vAlign w:val="bottom"/>
            <w:hideMark/>
          </w:tcPr>
          <w:p w14:paraId="3A5D9C50" w14:textId="32472096" w:rsidR="007F5801" w:rsidRPr="006B367A" w:rsidRDefault="007F5801" w:rsidP="00625F5F">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w:t>
            </w:r>
            <w:r w:rsidR="00625F5F" w:rsidRPr="006B367A">
              <w:rPr>
                <w:rFonts w:asciiTheme="majorBidi" w:eastAsia="Times New Roman" w:hAnsiTheme="majorBidi" w:cstheme="majorBidi"/>
                <w:color w:val="000000"/>
                <w:sz w:val="16"/>
                <w:szCs w:val="16"/>
              </w:rPr>
              <w:t>8</w:t>
            </w:r>
            <w:r w:rsidRPr="006B367A">
              <w:rPr>
                <w:rFonts w:asciiTheme="majorBidi" w:eastAsia="Times New Roman" w:hAnsiTheme="majorBidi" w:cstheme="majorBidi"/>
                <w:color w:val="000000"/>
                <w:sz w:val="16"/>
                <w:szCs w:val="16"/>
              </w:rPr>
              <w:t>8</w:t>
            </w:r>
            <w:r w:rsidR="00625F5F" w:rsidRPr="006B367A">
              <w:rPr>
                <w:rFonts w:asciiTheme="majorBidi" w:eastAsia="Times New Roman" w:hAnsiTheme="majorBidi" w:cstheme="majorBidi"/>
                <w:color w:val="000000"/>
                <w:sz w:val="16"/>
                <w:szCs w:val="16"/>
              </w:rPr>
              <w:t>**</w:t>
            </w:r>
          </w:p>
        </w:tc>
        <w:tc>
          <w:tcPr>
            <w:tcW w:w="0" w:type="auto"/>
            <w:shd w:val="clear" w:color="auto" w:fill="auto"/>
            <w:noWrap/>
            <w:vAlign w:val="bottom"/>
            <w:hideMark/>
          </w:tcPr>
          <w:p w14:paraId="34427D35" w14:textId="57591385"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w:t>
            </w:r>
            <w:r w:rsidR="00625F5F" w:rsidRPr="006B367A">
              <w:rPr>
                <w:rFonts w:asciiTheme="majorBidi" w:eastAsia="Times New Roman" w:hAnsiTheme="majorBidi" w:cstheme="majorBidi"/>
                <w:color w:val="000000"/>
                <w:sz w:val="16"/>
                <w:szCs w:val="16"/>
              </w:rPr>
              <w:t>.300</w:t>
            </w:r>
            <w:r w:rsidRPr="006B367A">
              <w:rPr>
                <w:rFonts w:asciiTheme="majorBidi" w:eastAsia="Times New Roman" w:hAnsiTheme="majorBidi" w:cstheme="majorBidi"/>
                <w:color w:val="000000"/>
                <w:sz w:val="16"/>
                <w:szCs w:val="16"/>
              </w:rPr>
              <w:t>***</w:t>
            </w:r>
          </w:p>
        </w:tc>
        <w:tc>
          <w:tcPr>
            <w:tcW w:w="0" w:type="auto"/>
            <w:shd w:val="clear" w:color="auto" w:fill="auto"/>
            <w:noWrap/>
            <w:vAlign w:val="bottom"/>
            <w:hideMark/>
          </w:tcPr>
          <w:p w14:paraId="75CA336A"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-0.071*</w:t>
            </w:r>
          </w:p>
        </w:tc>
        <w:tc>
          <w:tcPr>
            <w:tcW w:w="0" w:type="auto"/>
            <w:shd w:val="clear" w:color="auto" w:fill="auto"/>
            <w:noWrap/>
            <w:vAlign w:val="bottom"/>
            <w:hideMark/>
          </w:tcPr>
          <w:p w14:paraId="69236F8D"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-0.030</w:t>
            </w:r>
          </w:p>
        </w:tc>
        <w:tc>
          <w:tcPr>
            <w:tcW w:w="0" w:type="auto"/>
            <w:shd w:val="clear" w:color="auto" w:fill="auto"/>
            <w:noWrap/>
            <w:vAlign w:val="bottom"/>
            <w:hideMark/>
          </w:tcPr>
          <w:p w14:paraId="0F7B72C8"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1</w:t>
            </w:r>
          </w:p>
        </w:tc>
        <w:tc>
          <w:tcPr>
            <w:tcW w:w="0" w:type="auto"/>
            <w:shd w:val="clear" w:color="auto" w:fill="auto"/>
            <w:noWrap/>
            <w:vAlign w:val="bottom"/>
            <w:hideMark/>
          </w:tcPr>
          <w:p w14:paraId="0DEF0E1E"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-0.235***</w:t>
            </w:r>
          </w:p>
        </w:tc>
        <w:tc>
          <w:tcPr>
            <w:tcW w:w="0" w:type="auto"/>
            <w:shd w:val="clear" w:color="auto" w:fill="auto"/>
            <w:noWrap/>
            <w:vAlign w:val="bottom"/>
            <w:hideMark/>
          </w:tcPr>
          <w:p w14:paraId="26FD55DD"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-0.573***</w:t>
            </w:r>
          </w:p>
        </w:tc>
        <w:tc>
          <w:tcPr>
            <w:tcW w:w="0" w:type="auto"/>
            <w:shd w:val="clear" w:color="auto" w:fill="auto"/>
            <w:noWrap/>
            <w:vAlign w:val="bottom"/>
            <w:hideMark/>
          </w:tcPr>
          <w:p w14:paraId="5FD3C544"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0.044</w:t>
            </w:r>
          </w:p>
        </w:tc>
        <w:tc>
          <w:tcPr>
            <w:tcW w:w="0" w:type="auto"/>
            <w:shd w:val="clear" w:color="auto" w:fill="auto"/>
            <w:noWrap/>
            <w:vAlign w:val="bottom"/>
            <w:hideMark/>
          </w:tcPr>
          <w:p w14:paraId="5A43B491"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0.267***</w:t>
            </w:r>
          </w:p>
        </w:tc>
      </w:tr>
      <w:tr w:rsidR="007F5801" w:rsidRPr="006B367A" w14:paraId="75918B32" w14:textId="77777777" w:rsidTr="00D23D6D">
        <w:trPr>
          <w:trHeight w:val="300"/>
        </w:trPr>
        <w:tc>
          <w:tcPr>
            <w:tcW w:w="0" w:type="auto"/>
            <w:tcBorders>
              <w:right w:val="single" w:sz="12" w:space="0" w:color="auto"/>
            </w:tcBorders>
            <w:shd w:val="clear" w:color="auto" w:fill="auto"/>
            <w:noWrap/>
            <w:vAlign w:val="bottom"/>
            <w:hideMark/>
          </w:tcPr>
          <w:p w14:paraId="4252737E" w14:textId="056D6F2E" w:rsidR="007F5801" w:rsidRPr="006B367A" w:rsidRDefault="00E94B46" w:rsidP="00D23D6D">
            <w:pPr>
              <w:spacing w:after="0" w:line="240" w:lineRule="auto"/>
              <w:jc w:val="center"/>
              <w:rPr>
                <w:rFonts w:asciiTheme="majorBidi" w:eastAsia="Times New Roman" w:hAnsiTheme="majorBidi" w:cstheme="majorBidi"/>
                <w:b/>
                <w:bCs/>
                <w:color w:val="000000"/>
                <w:sz w:val="16"/>
                <w:szCs w:val="16"/>
              </w:rPr>
            </w:pPr>
            <w:r w:rsidRPr="006B367A">
              <w:rPr>
                <w:rFonts w:asciiTheme="majorBidi" w:eastAsia="Times New Roman" w:hAnsiTheme="majorBidi" w:cstheme="majorBidi"/>
                <w:b/>
                <w:bCs/>
                <w:color w:val="000000"/>
                <w:sz w:val="16"/>
                <w:szCs w:val="16"/>
              </w:rPr>
              <w:t>LO</w:t>
            </w:r>
            <w:r w:rsidR="007F5801" w:rsidRPr="006B367A">
              <w:rPr>
                <w:rFonts w:asciiTheme="majorBidi" w:eastAsia="Times New Roman" w:hAnsiTheme="majorBidi" w:cstheme="majorBidi"/>
                <w:b/>
                <w:bCs/>
                <w:color w:val="000000"/>
                <w:sz w:val="16"/>
                <w:szCs w:val="16"/>
              </w:rPr>
              <w:t>S</w:t>
            </w:r>
          </w:p>
        </w:tc>
        <w:tc>
          <w:tcPr>
            <w:tcW w:w="0" w:type="auto"/>
            <w:tcBorders>
              <w:left w:val="single" w:sz="12" w:space="0" w:color="auto"/>
            </w:tcBorders>
            <w:shd w:val="clear" w:color="auto" w:fill="auto"/>
            <w:noWrap/>
            <w:vAlign w:val="bottom"/>
            <w:hideMark/>
          </w:tcPr>
          <w:p w14:paraId="7025811C"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-0.133***</w:t>
            </w:r>
          </w:p>
        </w:tc>
        <w:tc>
          <w:tcPr>
            <w:tcW w:w="0" w:type="auto"/>
            <w:shd w:val="clear" w:color="auto" w:fill="auto"/>
            <w:noWrap/>
            <w:vAlign w:val="bottom"/>
            <w:hideMark/>
          </w:tcPr>
          <w:p w14:paraId="69D7154B"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-0.063</w:t>
            </w:r>
          </w:p>
        </w:tc>
        <w:tc>
          <w:tcPr>
            <w:tcW w:w="0" w:type="auto"/>
            <w:shd w:val="clear" w:color="auto" w:fill="auto"/>
            <w:noWrap/>
            <w:vAlign w:val="bottom"/>
            <w:hideMark/>
          </w:tcPr>
          <w:p w14:paraId="7B58BD7A"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-0.102**</w:t>
            </w:r>
          </w:p>
        </w:tc>
        <w:tc>
          <w:tcPr>
            <w:tcW w:w="0" w:type="auto"/>
            <w:shd w:val="clear" w:color="auto" w:fill="auto"/>
            <w:noWrap/>
            <w:vAlign w:val="bottom"/>
            <w:hideMark/>
          </w:tcPr>
          <w:p w14:paraId="1669EC5B"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-0.005</w:t>
            </w:r>
          </w:p>
        </w:tc>
        <w:tc>
          <w:tcPr>
            <w:tcW w:w="0" w:type="auto"/>
            <w:shd w:val="clear" w:color="auto" w:fill="auto"/>
            <w:noWrap/>
            <w:vAlign w:val="bottom"/>
            <w:hideMark/>
          </w:tcPr>
          <w:p w14:paraId="789D1C6C"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-0.021</w:t>
            </w:r>
          </w:p>
        </w:tc>
        <w:tc>
          <w:tcPr>
            <w:tcW w:w="0" w:type="auto"/>
            <w:shd w:val="clear" w:color="auto" w:fill="auto"/>
            <w:noWrap/>
            <w:vAlign w:val="bottom"/>
            <w:hideMark/>
          </w:tcPr>
          <w:p w14:paraId="3E58525F"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-0.164***</w:t>
            </w:r>
          </w:p>
        </w:tc>
        <w:tc>
          <w:tcPr>
            <w:tcW w:w="0" w:type="auto"/>
            <w:shd w:val="clear" w:color="auto" w:fill="auto"/>
            <w:noWrap/>
            <w:vAlign w:val="bottom"/>
            <w:hideMark/>
          </w:tcPr>
          <w:p w14:paraId="5D5CD928"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-0.190***</w:t>
            </w:r>
          </w:p>
        </w:tc>
        <w:tc>
          <w:tcPr>
            <w:tcW w:w="0" w:type="auto"/>
            <w:shd w:val="clear" w:color="auto" w:fill="auto"/>
            <w:noWrap/>
            <w:vAlign w:val="bottom"/>
            <w:hideMark/>
          </w:tcPr>
          <w:p w14:paraId="4E03BAC8" w14:textId="2B0EACDB" w:rsidR="007F5801" w:rsidRPr="006B367A" w:rsidRDefault="00625F5F"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0.129</w:t>
            </w:r>
            <w:r w:rsidR="007F5801" w:rsidRPr="006B367A">
              <w:rPr>
                <w:rFonts w:asciiTheme="majorBidi" w:eastAsia="Times New Roman" w:hAnsiTheme="majorBidi" w:cstheme="majorBidi"/>
                <w:color w:val="000000"/>
                <w:sz w:val="16"/>
                <w:szCs w:val="16"/>
              </w:rPr>
              <w:t>***</w:t>
            </w:r>
          </w:p>
        </w:tc>
        <w:tc>
          <w:tcPr>
            <w:tcW w:w="0" w:type="auto"/>
            <w:shd w:val="clear" w:color="auto" w:fill="auto"/>
            <w:noWrap/>
            <w:vAlign w:val="bottom"/>
            <w:hideMark/>
          </w:tcPr>
          <w:p w14:paraId="0021700A" w14:textId="59999814" w:rsidR="007F5801" w:rsidRPr="006B367A" w:rsidRDefault="00625F5F"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-0.076</w:t>
            </w:r>
            <w:r w:rsidR="007F5801" w:rsidRPr="006B367A">
              <w:rPr>
                <w:rFonts w:asciiTheme="majorBidi" w:eastAsia="Times New Roman" w:hAnsiTheme="majorBidi" w:cstheme="majorBidi"/>
                <w:color w:val="000000"/>
                <w:sz w:val="16"/>
                <w:szCs w:val="16"/>
              </w:rPr>
              <w:t>*</w:t>
            </w:r>
          </w:p>
        </w:tc>
        <w:tc>
          <w:tcPr>
            <w:tcW w:w="0" w:type="auto"/>
            <w:shd w:val="clear" w:color="auto" w:fill="auto"/>
            <w:noWrap/>
            <w:vAlign w:val="bottom"/>
            <w:hideMark/>
          </w:tcPr>
          <w:p w14:paraId="1DD3D9E5"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-0.146***</w:t>
            </w:r>
          </w:p>
        </w:tc>
        <w:tc>
          <w:tcPr>
            <w:tcW w:w="0" w:type="auto"/>
            <w:shd w:val="clear" w:color="auto" w:fill="auto"/>
            <w:noWrap/>
            <w:vAlign w:val="bottom"/>
            <w:hideMark/>
          </w:tcPr>
          <w:p w14:paraId="635AEAC0"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0.102**</w:t>
            </w:r>
          </w:p>
        </w:tc>
        <w:tc>
          <w:tcPr>
            <w:tcW w:w="0" w:type="auto"/>
            <w:shd w:val="clear" w:color="auto" w:fill="auto"/>
            <w:noWrap/>
            <w:vAlign w:val="bottom"/>
            <w:hideMark/>
          </w:tcPr>
          <w:p w14:paraId="31ECB7B2"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-0.239***</w:t>
            </w:r>
          </w:p>
        </w:tc>
        <w:tc>
          <w:tcPr>
            <w:tcW w:w="0" w:type="auto"/>
            <w:shd w:val="clear" w:color="auto" w:fill="auto"/>
            <w:noWrap/>
            <w:vAlign w:val="bottom"/>
            <w:hideMark/>
          </w:tcPr>
          <w:p w14:paraId="614FE960"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1</w:t>
            </w:r>
          </w:p>
        </w:tc>
        <w:tc>
          <w:tcPr>
            <w:tcW w:w="0" w:type="auto"/>
            <w:shd w:val="clear" w:color="auto" w:fill="auto"/>
            <w:noWrap/>
            <w:vAlign w:val="bottom"/>
            <w:hideMark/>
          </w:tcPr>
          <w:p w14:paraId="51B8ED2D"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0.096**</w:t>
            </w:r>
          </w:p>
        </w:tc>
        <w:tc>
          <w:tcPr>
            <w:tcW w:w="0" w:type="auto"/>
            <w:shd w:val="clear" w:color="auto" w:fill="auto"/>
            <w:noWrap/>
            <w:vAlign w:val="bottom"/>
            <w:hideMark/>
          </w:tcPr>
          <w:p w14:paraId="3E6FC75E"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-0.089**</w:t>
            </w:r>
          </w:p>
        </w:tc>
        <w:tc>
          <w:tcPr>
            <w:tcW w:w="0" w:type="auto"/>
            <w:shd w:val="clear" w:color="auto" w:fill="auto"/>
            <w:noWrap/>
            <w:vAlign w:val="bottom"/>
            <w:hideMark/>
          </w:tcPr>
          <w:p w14:paraId="614029D4"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-0.475***</w:t>
            </w:r>
          </w:p>
        </w:tc>
      </w:tr>
      <w:tr w:rsidR="007F5801" w:rsidRPr="006B367A" w14:paraId="548663D3" w14:textId="77777777" w:rsidTr="00D23D6D">
        <w:trPr>
          <w:trHeight w:val="300"/>
        </w:trPr>
        <w:tc>
          <w:tcPr>
            <w:tcW w:w="0" w:type="auto"/>
            <w:tcBorders>
              <w:right w:val="single" w:sz="12" w:space="0" w:color="auto"/>
            </w:tcBorders>
            <w:shd w:val="clear" w:color="auto" w:fill="auto"/>
            <w:noWrap/>
            <w:vAlign w:val="bottom"/>
            <w:hideMark/>
          </w:tcPr>
          <w:p w14:paraId="6B95ED8E" w14:textId="357B9822" w:rsidR="007F5801" w:rsidRPr="006B367A" w:rsidRDefault="00B31397" w:rsidP="00D23D6D">
            <w:pPr>
              <w:spacing w:after="0" w:line="240" w:lineRule="auto"/>
              <w:jc w:val="center"/>
              <w:rPr>
                <w:rFonts w:asciiTheme="majorBidi" w:eastAsia="Times New Roman" w:hAnsiTheme="majorBidi" w:cstheme="majorBidi"/>
                <w:b/>
                <w:bCs/>
                <w:color w:val="000000"/>
                <w:sz w:val="16"/>
                <w:szCs w:val="16"/>
              </w:rPr>
            </w:pPr>
            <w:r w:rsidRPr="006B367A">
              <w:rPr>
                <w:rFonts w:asciiTheme="majorBidi" w:eastAsia="Times New Roman" w:hAnsiTheme="majorBidi" w:cstheme="majorBidi"/>
                <w:b/>
                <w:bCs/>
                <w:color w:val="000000"/>
                <w:sz w:val="16"/>
                <w:szCs w:val="16"/>
              </w:rPr>
              <w:t>L</w:t>
            </w:r>
            <w:r w:rsidR="007F5801" w:rsidRPr="006B367A">
              <w:rPr>
                <w:rFonts w:asciiTheme="majorBidi" w:eastAsia="Times New Roman" w:hAnsiTheme="majorBidi" w:cstheme="majorBidi"/>
                <w:b/>
                <w:bCs/>
                <w:color w:val="000000"/>
                <w:sz w:val="16"/>
                <w:szCs w:val="16"/>
              </w:rPr>
              <w:t>V</w:t>
            </w:r>
          </w:p>
        </w:tc>
        <w:tc>
          <w:tcPr>
            <w:tcW w:w="0" w:type="auto"/>
            <w:tcBorders>
              <w:left w:val="single" w:sz="12" w:space="0" w:color="auto"/>
            </w:tcBorders>
            <w:shd w:val="clear" w:color="auto" w:fill="auto"/>
            <w:noWrap/>
            <w:vAlign w:val="bottom"/>
            <w:hideMark/>
          </w:tcPr>
          <w:p w14:paraId="71C74C1B"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0.212***</w:t>
            </w:r>
          </w:p>
        </w:tc>
        <w:tc>
          <w:tcPr>
            <w:tcW w:w="0" w:type="auto"/>
            <w:shd w:val="clear" w:color="auto" w:fill="auto"/>
            <w:noWrap/>
            <w:vAlign w:val="bottom"/>
            <w:hideMark/>
          </w:tcPr>
          <w:p w14:paraId="05BF9AD4"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0.144***</w:t>
            </w:r>
          </w:p>
        </w:tc>
        <w:tc>
          <w:tcPr>
            <w:tcW w:w="0" w:type="auto"/>
            <w:shd w:val="clear" w:color="auto" w:fill="auto"/>
            <w:noWrap/>
            <w:vAlign w:val="bottom"/>
            <w:hideMark/>
          </w:tcPr>
          <w:p w14:paraId="22A3639A"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0.026</w:t>
            </w:r>
          </w:p>
        </w:tc>
        <w:tc>
          <w:tcPr>
            <w:tcW w:w="0" w:type="auto"/>
            <w:shd w:val="clear" w:color="auto" w:fill="auto"/>
            <w:noWrap/>
            <w:vAlign w:val="bottom"/>
            <w:hideMark/>
          </w:tcPr>
          <w:p w14:paraId="7130C157"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0.038</w:t>
            </w:r>
          </w:p>
        </w:tc>
        <w:tc>
          <w:tcPr>
            <w:tcW w:w="0" w:type="auto"/>
            <w:shd w:val="clear" w:color="auto" w:fill="auto"/>
            <w:noWrap/>
            <w:vAlign w:val="bottom"/>
            <w:hideMark/>
          </w:tcPr>
          <w:p w14:paraId="767621DC"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-0.080**</w:t>
            </w:r>
          </w:p>
        </w:tc>
        <w:tc>
          <w:tcPr>
            <w:tcW w:w="0" w:type="auto"/>
            <w:shd w:val="clear" w:color="auto" w:fill="auto"/>
            <w:noWrap/>
            <w:vAlign w:val="bottom"/>
            <w:hideMark/>
          </w:tcPr>
          <w:p w14:paraId="2CFDED7C"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-0.053</w:t>
            </w:r>
          </w:p>
        </w:tc>
        <w:tc>
          <w:tcPr>
            <w:tcW w:w="0" w:type="auto"/>
            <w:shd w:val="clear" w:color="auto" w:fill="auto"/>
            <w:noWrap/>
            <w:vAlign w:val="bottom"/>
            <w:hideMark/>
          </w:tcPr>
          <w:p w14:paraId="248C6B91"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0.063</w:t>
            </w:r>
          </w:p>
        </w:tc>
        <w:tc>
          <w:tcPr>
            <w:tcW w:w="0" w:type="auto"/>
            <w:shd w:val="clear" w:color="auto" w:fill="auto"/>
            <w:noWrap/>
            <w:vAlign w:val="bottom"/>
            <w:hideMark/>
          </w:tcPr>
          <w:p w14:paraId="3A075206" w14:textId="5EDD95AC" w:rsidR="007F5801" w:rsidRPr="006B367A" w:rsidRDefault="00625F5F" w:rsidP="00625F5F">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w:t>
            </w:r>
            <w:r w:rsidR="007F5801" w:rsidRPr="006B367A">
              <w:rPr>
                <w:rFonts w:asciiTheme="majorBidi" w:eastAsia="Times New Roman" w:hAnsiTheme="majorBidi" w:cstheme="majorBidi"/>
                <w:color w:val="000000"/>
                <w:sz w:val="16"/>
                <w:szCs w:val="16"/>
              </w:rPr>
              <w:t>0.0</w:t>
            </w:r>
            <w:r w:rsidRPr="006B367A">
              <w:rPr>
                <w:rFonts w:asciiTheme="majorBidi" w:eastAsia="Times New Roman" w:hAnsiTheme="majorBidi" w:cstheme="majorBidi"/>
                <w:color w:val="000000"/>
                <w:sz w:val="16"/>
                <w:szCs w:val="16"/>
              </w:rPr>
              <w:t>1</w:t>
            </w:r>
            <w:r w:rsidR="007F5801" w:rsidRPr="006B367A">
              <w:rPr>
                <w:rFonts w:asciiTheme="majorBidi" w:eastAsia="Times New Roman" w:hAnsiTheme="majorBidi" w:cstheme="majorBidi"/>
                <w:color w:val="000000"/>
                <w:sz w:val="16"/>
                <w:szCs w:val="16"/>
              </w:rPr>
              <w:t>7</w:t>
            </w:r>
          </w:p>
        </w:tc>
        <w:tc>
          <w:tcPr>
            <w:tcW w:w="0" w:type="auto"/>
            <w:shd w:val="clear" w:color="auto" w:fill="auto"/>
            <w:noWrap/>
            <w:vAlign w:val="bottom"/>
            <w:hideMark/>
          </w:tcPr>
          <w:p w14:paraId="45E27A6F" w14:textId="7528D8D1"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-0.01</w:t>
            </w:r>
            <w:r w:rsidR="00625F5F" w:rsidRPr="006B367A">
              <w:rPr>
                <w:rFonts w:asciiTheme="majorBidi" w:eastAsia="Times New Roman" w:hAnsiTheme="majorBidi" w:cstheme="majorBidi"/>
                <w:color w:val="000000"/>
                <w:sz w:val="16"/>
                <w:szCs w:val="16"/>
              </w:rPr>
              <w:t>4</w:t>
            </w:r>
          </w:p>
        </w:tc>
        <w:tc>
          <w:tcPr>
            <w:tcW w:w="0" w:type="auto"/>
            <w:shd w:val="clear" w:color="auto" w:fill="auto"/>
            <w:noWrap/>
            <w:vAlign w:val="bottom"/>
            <w:hideMark/>
          </w:tcPr>
          <w:p w14:paraId="1C7FCE64"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0.329***</w:t>
            </w:r>
          </w:p>
        </w:tc>
        <w:tc>
          <w:tcPr>
            <w:tcW w:w="0" w:type="auto"/>
            <w:shd w:val="clear" w:color="auto" w:fill="auto"/>
            <w:noWrap/>
            <w:vAlign w:val="bottom"/>
            <w:hideMark/>
          </w:tcPr>
          <w:p w14:paraId="6E1D928A"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0.137***</w:t>
            </w:r>
          </w:p>
        </w:tc>
        <w:tc>
          <w:tcPr>
            <w:tcW w:w="0" w:type="auto"/>
            <w:shd w:val="clear" w:color="auto" w:fill="auto"/>
            <w:noWrap/>
            <w:vAlign w:val="bottom"/>
            <w:hideMark/>
          </w:tcPr>
          <w:p w14:paraId="7F8BAB85"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-0.530***</w:t>
            </w:r>
          </w:p>
        </w:tc>
        <w:tc>
          <w:tcPr>
            <w:tcW w:w="0" w:type="auto"/>
            <w:shd w:val="clear" w:color="auto" w:fill="auto"/>
            <w:noWrap/>
            <w:vAlign w:val="bottom"/>
            <w:hideMark/>
          </w:tcPr>
          <w:p w14:paraId="2C400308"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0.132***</w:t>
            </w:r>
          </w:p>
        </w:tc>
        <w:tc>
          <w:tcPr>
            <w:tcW w:w="0" w:type="auto"/>
            <w:shd w:val="clear" w:color="auto" w:fill="auto"/>
            <w:noWrap/>
            <w:vAlign w:val="bottom"/>
            <w:hideMark/>
          </w:tcPr>
          <w:p w14:paraId="2EC10B2C"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1</w:t>
            </w:r>
          </w:p>
        </w:tc>
        <w:tc>
          <w:tcPr>
            <w:tcW w:w="0" w:type="auto"/>
            <w:shd w:val="clear" w:color="auto" w:fill="auto"/>
            <w:noWrap/>
            <w:vAlign w:val="bottom"/>
            <w:hideMark/>
          </w:tcPr>
          <w:p w14:paraId="3ED6527A"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0.036</w:t>
            </w:r>
          </w:p>
        </w:tc>
        <w:tc>
          <w:tcPr>
            <w:tcW w:w="0" w:type="auto"/>
            <w:shd w:val="clear" w:color="auto" w:fill="auto"/>
            <w:noWrap/>
            <w:vAlign w:val="bottom"/>
            <w:hideMark/>
          </w:tcPr>
          <w:p w14:paraId="3F26F4B4"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-0.169***</w:t>
            </w:r>
          </w:p>
        </w:tc>
      </w:tr>
      <w:tr w:rsidR="007F5801" w:rsidRPr="006B367A" w14:paraId="3520E033" w14:textId="77777777" w:rsidTr="00D23D6D">
        <w:trPr>
          <w:trHeight w:val="300"/>
        </w:trPr>
        <w:tc>
          <w:tcPr>
            <w:tcW w:w="0" w:type="auto"/>
            <w:tcBorders>
              <w:right w:val="single" w:sz="12" w:space="0" w:color="auto"/>
            </w:tcBorders>
            <w:shd w:val="clear" w:color="auto" w:fill="auto"/>
            <w:noWrap/>
            <w:vAlign w:val="bottom"/>
            <w:hideMark/>
          </w:tcPr>
          <w:p w14:paraId="42B0659A" w14:textId="77777777" w:rsidR="007F5801" w:rsidRPr="006B367A" w:rsidRDefault="007F5801" w:rsidP="00D23D6D">
            <w:pPr>
              <w:spacing w:after="0" w:line="240" w:lineRule="auto"/>
              <w:jc w:val="center"/>
              <w:rPr>
                <w:rFonts w:asciiTheme="majorBidi" w:eastAsia="Times New Roman" w:hAnsiTheme="majorBidi" w:cstheme="majorBidi"/>
                <w:b/>
                <w:bCs/>
                <w:color w:val="000000"/>
                <w:sz w:val="16"/>
                <w:szCs w:val="16"/>
              </w:rPr>
            </w:pPr>
            <w:r w:rsidRPr="006B367A">
              <w:rPr>
                <w:rFonts w:asciiTheme="majorBidi" w:eastAsia="Times New Roman" w:hAnsiTheme="majorBidi" w:cstheme="majorBidi"/>
                <w:b/>
                <w:bCs/>
                <w:color w:val="000000"/>
                <w:sz w:val="16"/>
                <w:szCs w:val="16"/>
              </w:rPr>
              <w:t>SGR</w:t>
            </w:r>
          </w:p>
        </w:tc>
        <w:tc>
          <w:tcPr>
            <w:tcW w:w="0" w:type="auto"/>
            <w:tcBorders>
              <w:left w:val="single" w:sz="12" w:space="0" w:color="auto"/>
            </w:tcBorders>
            <w:shd w:val="clear" w:color="auto" w:fill="auto"/>
            <w:noWrap/>
            <w:vAlign w:val="bottom"/>
            <w:hideMark/>
          </w:tcPr>
          <w:p w14:paraId="04369785"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0.110***</w:t>
            </w:r>
          </w:p>
        </w:tc>
        <w:tc>
          <w:tcPr>
            <w:tcW w:w="0" w:type="auto"/>
            <w:shd w:val="clear" w:color="auto" w:fill="auto"/>
            <w:noWrap/>
            <w:vAlign w:val="bottom"/>
            <w:hideMark/>
          </w:tcPr>
          <w:p w14:paraId="3D5F833D"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0.019</w:t>
            </w:r>
          </w:p>
        </w:tc>
        <w:tc>
          <w:tcPr>
            <w:tcW w:w="0" w:type="auto"/>
            <w:shd w:val="clear" w:color="auto" w:fill="auto"/>
            <w:noWrap/>
            <w:vAlign w:val="bottom"/>
            <w:hideMark/>
          </w:tcPr>
          <w:p w14:paraId="143A7E4D"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0.094**</w:t>
            </w:r>
          </w:p>
        </w:tc>
        <w:tc>
          <w:tcPr>
            <w:tcW w:w="0" w:type="auto"/>
            <w:shd w:val="clear" w:color="auto" w:fill="auto"/>
            <w:noWrap/>
            <w:vAlign w:val="bottom"/>
            <w:hideMark/>
          </w:tcPr>
          <w:p w14:paraId="230BF9DC"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0.032</w:t>
            </w:r>
          </w:p>
        </w:tc>
        <w:tc>
          <w:tcPr>
            <w:tcW w:w="0" w:type="auto"/>
            <w:shd w:val="clear" w:color="auto" w:fill="auto"/>
            <w:noWrap/>
            <w:vAlign w:val="bottom"/>
            <w:hideMark/>
          </w:tcPr>
          <w:p w14:paraId="1D7D3501"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0.012</w:t>
            </w:r>
          </w:p>
        </w:tc>
        <w:tc>
          <w:tcPr>
            <w:tcW w:w="0" w:type="auto"/>
            <w:shd w:val="clear" w:color="auto" w:fill="auto"/>
            <w:noWrap/>
            <w:vAlign w:val="bottom"/>
            <w:hideMark/>
          </w:tcPr>
          <w:p w14:paraId="67673729"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0.029</w:t>
            </w:r>
          </w:p>
        </w:tc>
        <w:tc>
          <w:tcPr>
            <w:tcW w:w="0" w:type="auto"/>
            <w:shd w:val="clear" w:color="auto" w:fill="auto"/>
            <w:noWrap/>
            <w:vAlign w:val="bottom"/>
            <w:hideMark/>
          </w:tcPr>
          <w:p w14:paraId="7DBC0AE4"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0.113***</w:t>
            </w:r>
          </w:p>
        </w:tc>
        <w:tc>
          <w:tcPr>
            <w:tcW w:w="0" w:type="auto"/>
            <w:shd w:val="clear" w:color="auto" w:fill="auto"/>
            <w:noWrap/>
            <w:vAlign w:val="bottom"/>
            <w:hideMark/>
          </w:tcPr>
          <w:p w14:paraId="31FAB55B" w14:textId="223E3635" w:rsidR="007F5801" w:rsidRPr="006B367A" w:rsidRDefault="00625F5F" w:rsidP="00625F5F">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w:t>
            </w:r>
            <w:r w:rsidR="007F5801" w:rsidRPr="006B367A">
              <w:rPr>
                <w:rFonts w:asciiTheme="majorBidi" w:eastAsia="Times New Roman" w:hAnsiTheme="majorBidi" w:cstheme="majorBidi"/>
                <w:color w:val="000000"/>
                <w:sz w:val="16"/>
                <w:szCs w:val="16"/>
              </w:rPr>
              <w:t>0.0</w:t>
            </w:r>
            <w:r w:rsidRPr="006B367A">
              <w:rPr>
                <w:rFonts w:asciiTheme="majorBidi" w:eastAsia="Times New Roman" w:hAnsiTheme="majorBidi" w:cstheme="majorBidi"/>
                <w:color w:val="000000"/>
                <w:sz w:val="16"/>
                <w:szCs w:val="16"/>
              </w:rPr>
              <w:t>7</w:t>
            </w:r>
            <w:r w:rsidR="007F5801" w:rsidRPr="006B367A">
              <w:rPr>
                <w:rFonts w:asciiTheme="majorBidi" w:eastAsia="Times New Roman" w:hAnsiTheme="majorBidi" w:cstheme="majorBidi"/>
                <w:color w:val="000000"/>
                <w:sz w:val="16"/>
                <w:szCs w:val="16"/>
              </w:rPr>
              <w:t>4*</w:t>
            </w:r>
          </w:p>
        </w:tc>
        <w:tc>
          <w:tcPr>
            <w:tcW w:w="0" w:type="auto"/>
            <w:shd w:val="clear" w:color="auto" w:fill="auto"/>
            <w:noWrap/>
            <w:vAlign w:val="bottom"/>
            <w:hideMark/>
          </w:tcPr>
          <w:p w14:paraId="7A0C2684" w14:textId="5965B6CE"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w:t>
            </w:r>
            <w:r w:rsidR="00625F5F" w:rsidRPr="006B367A">
              <w:rPr>
                <w:rFonts w:asciiTheme="majorBidi" w:eastAsia="Times New Roman" w:hAnsiTheme="majorBidi" w:cstheme="majorBidi"/>
                <w:color w:val="000000"/>
                <w:sz w:val="16"/>
                <w:szCs w:val="16"/>
              </w:rPr>
              <w:t>0.073</w:t>
            </w:r>
            <w:r w:rsidRPr="006B367A">
              <w:rPr>
                <w:rFonts w:asciiTheme="majorBidi" w:eastAsia="Times New Roman" w:hAnsiTheme="majorBidi" w:cstheme="majorBidi"/>
                <w:color w:val="000000"/>
                <w:sz w:val="16"/>
                <w:szCs w:val="16"/>
              </w:rPr>
              <w:t>*</w:t>
            </w:r>
          </w:p>
        </w:tc>
        <w:tc>
          <w:tcPr>
            <w:tcW w:w="0" w:type="auto"/>
            <w:shd w:val="clear" w:color="auto" w:fill="auto"/>
            <w:noWrap/>
            <w:vAlign w:val="bottom"/>
            <w:hideMark/>
          </w:tcPr>
          <w:p w14:paraId="3F2E9A94"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0.172***</w:t>
            </w:r>
          </w:p>
        </w:tc>
        <w:tc>
          <w:tcPr>
            <w:tcW w:w="0" w:type="auto"/>
            <w:shd w:val="clear" w:color="auto" w:fill="auto"/>
            <w:noWrap/>
            <w:vAlign w:val="bottom"/>
            <w:hideMark/>
          </w:tcPr>
          <w:p w14:paraId="79ECE6B8"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-0.012</w:t>
            </w:r>
          </w:p>
        </w:tc>
        <w:tc>
          <w:tcPr>
            <w:tcW w:w="0" w:type="auto"/>
            <w:shd w:val="clear" w:color="auto" w:fill="auto"/>
            <w:noWrap/>
            <w:vAlign w:val="bottom"/>
            <w:hideMark/>
          </w:tcPr>
          <w:p w14:paraId="105C2193"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0.031</w:t>
            </w:r>
          </w:p>
        </w:tc>
        <w:tc>
          <w:tcPr>
            <w:tcW w:w="0" w:type="auto"/>
            <w:shd w:val="clear" w:color="auto" w:fill="auto"/>
            <w:noWrap/>
            <w:vAlign w:val="bottom"/>
            <w:hideMark/>
          </w:tcPr>
          <w:p w14:paraId="3980BA47"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-0.076*</w:t>
            </w:r>
          </w:p>
        </w:tc>
        <w:tc>
          <w:tcPr>
            <w:tcW w:w="0" w:type="auto"/>
            <w:shd w:val="clear" w:color="auto" w:fill="auto"/>
            <w:noWrap/>
            <w:vAlign w:val="bottom"/>
            <w:hideMark/>
          </w:tcPr>
          <w:p w14:paraId="1A770046"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0.047</w:t>
            </w:r>
          </w:p>
        </w:tc>
        <w:tc>
          <w:tcPr>
            <w:tcW w:w="0" w:type="auto"/>
            <w:shd w:val="clear" w:color="auto" w:fill="auto"/>
            <w:noWrap/>
            <w:vAlign w:val="bottom"/>
            <w:hideMark/>
          </w:tcPr>
          <w:p w14:paraId="62524609"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1</w:t>
            </w:r>
          </w:p>
        </w:tc>
        <w:tc>
          <w:tcPr>
            <w:tcW w:w="0" w:type="auto"/>
            <w:shd w:val="clear" w:color="auto" w:fill="auto"/>
            <w:noWrap/>
            <w:vAlign w:val="bottom"/>
            <w:hideMark/>
          </w:tcPr>
          <w:p w14:paraId="0955A17D"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0.290***</w:t>
            </w:r>
          </w:p>
        </w:tc>
      </w:tr>
      <w:tr w:rsidR="007F5801" w:rsidRPr="00004868" w14:paraId="4B1B2D15" w14:textId="77777777" w:rsidTr="00D23D6D">
        <w:trPr>
          <w:trHeight w:val="300"/>
        </w:trPr>
        <w:tc>
          <w:tcPr>
            <w:tcW w:w="0" w:type="auto"/>
            <w:tcBorders>
              <w:bottom w:val="single" w:sz="12" w:space="0" w:color="auto"/>
              <w:right w:val="single" w:sz="12" w:space="0" w:color="auto"/>
            </w:tcBorders>
            <w:shd w:val="clear" w:color="auto" w:fill="auto"/>
            <w:noWrap/>
            <w:vAlign w:val="bottom"/>
            <w:hideMark/>
          </w:tcPr>
          <w:p w14:paraId="4945C950" w14:textId="77777777" w:rsidR="007F5801" w:rsidRPr="006B367A" w:rsidRDefault="007F5801" w:rsidP="00D23D6D">
            <w:pPr>
              <w:spacing w:after="0" w:line="240" w:lineRule="auto"/>
              <w:jc w:val="center"/>
              <w:rPr>
                <w:rFonts w:asciiTheme="majorBidi" w:eastAsia="Times New Roman" w:hAnsiTheme="majorBidi" w:cstheme="majorBidi"/>
                <w:b/>
                <w:bCs/>
                <w:color w:val="000000"/>
                <w:sz w:val="16"/>
                <w:szCs w:val="16"/>
              </w:rPr>
            </w:pPr>
            <w:r w:rsidRPr="006B367A">
              <w:rPr>
                <w:rFonts w:asciiTheme="majorBidi" w:eastAsia="Times New Roman" w:hAnsiTheme="majorBidi" w:cstheme="majorBidi"/>
                <w:b/>
                <w:bCs/>
                <w:color w:val="000000"/>
                <w:sz w:val="16"/>
                <w:szCs w:val="16"/>
              </w:rPr>
              <w:t>ROA</w:t>
            </w:r>
          </w:p>
        </w:tc>
        <w:tc>
          <w:tcPr>
            <w:tcW w:w="0" w:type="auto"/>
            <w:tcBorders>
              <w:left w:val="single" w:sz="12" w:space="0" w:color="auto"/>
              <w:bottom w:val="single" w:sz="12" w:space="0" w:color="auto"/>
            </w:tcBorders>
            <w:shd w:val="clear" w:color="auto" w:fill="auto"/>
            <w:noWrap/>
            <w:vAlign w:val="bottom"/>
            <w:hideMark/>
          </w:tcPr>
          <w:p w14:paraId="1548D22A"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0.158***</w:t>
            </w:r>
          </w:p>
        </w:tc>
        <w:tc>
          <w:tcPr>
            <w:tcW w:w="0" w:type="auto"/>
            <w:tcBorders>
              <w:bottom w:val="single" w:sz="12" w:space="0" w:color="auto"/>
            </w:tcBorders>
            <w:shd w:val="clear" w:color="auto" w:fill="auto"/>
            <w:noWrap/>
            <w:vAlign w:val="bottom"/>
            <w:hideMark/>
          </w:tcPr>
          <w:p w14:paraId="25B34F67"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-0.037</w:t>
            </w:r>
          </w:p>
        </w:tc>
        <w:tc>
          <w:tcPr>
            <w:tcW w:w="0" w:type="auto"/>
            <w:tcBorders>
              <w:bottom w:val="single" w:sz="12" w:space="0" w:color="auto"/>
            </w:tcBorders>
            <w:shd w:val="clear" w:color="auto" w:fill="auto"/>
            <w:noWrap/>
            <w:vAlign w:val="bottom"/>
            <w:hideMark/>
          </w:tcPr>
          <w:p w14:paraId="6AF9FA75"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0.086**</w:t>
            </w:r>
          </w:p>
        </w:tc>
        <w:tc>
          <w:tcPr>
            <w:tcW w:w="0" w:type="auto"/>
            <w:tcBorders>
              <w:bottom w:val="single" w:sz="12" w:space="0" w:color="auto"/>
            </w:tcBorders>
            <w:shd w:val="clear" w:color="auto" w:fill="auto"/>
            <w:noWrap/>
            <w:vAlign w:val="bottom"/>
            <w:hideMark/>
          </w:tcPr>
          <w:p w14:paraId="130A44C1"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0.094**</w:t>
            </w:r>
          </w:p>
        </w:tc>
        <w:tc>
          <w:tcPr>
            <w:tcW w:w="0" w:type="auto"/>
            <w:tcBorders>
              <w:bottom w:val="single" w:sz="12" w:space="0" w:color="auto"/>
            </w:tcBorders>
            <w:shd w:val="clear" w:color="auto" w:fill="auto"/>
            <w:noWrap/>
            <w:vAlign w:val="bottom"/>
            <w:hideMark/>
          </w:tcPr>
          <w:p w14:paraId="0BFC6979"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0.001</w:t>
            </w:r>
          </w:p>
        </w:tc>
        <w:tc>
          <w:tcPr>
            <w:tcW w:w="0" w:type="auto"/>
            <w:tcBorders>
              <w:bottom w:val="single" w:sz="12" w:space="0" w:color="auto"/>
            </w:tcBorders>
            <w:shd w:val="clear" w:color="auto" w:fill="auto"/>
            <w:noWrap/>
            <w:vAlign w:val="bottom"/>
            <w:hideMark/>
          </w:tcPr>
          <w:p w14:paraId="6D66F3C3"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0.046</w:t>
            </w:r>
          </w:p>
        </w:tc>
        <w:tc>
          <w:tcPr>
            <w:tcW w:w="0" w:type="auto"/>
            <w:tcBorders>
              <w:bottom w:val="single" w:sz="12" w:space="0" w:color="auto"/>
            </w:tcBorders>
            <w:shd w:val="clear" w:color="auto" w:fill="auto"/>
            <w:noWrap/>
            <w:vAlign w:val="bottom"/>
            <w:hideMark/>
          </w:tcPr>
          <w:p w14:paraId="21A27182"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0.233***</w:t>
            </w:r>
          </w:p>
        </w:tc>
        <w:tc>
          <w:tcPr>
            <w:tcW w:w="0" w:type="auto"/>
            <w:tcBorders>
              <w:bottom w:val="single" w:sz="12" w:space="0" w:color="auto"/>
            </w:tcBorders>
            <w:shd w:val="clear" w:color="auto" w:fill="auto"/>
            <w:noWrap/>
            <w:vAlign w:val="bottom"/>
            <w:hideMark/>
          </w:tcPr>
          <w:p w14:paraId="6FE950D4" w14:textId="5FB002DE" w:rsidR="007F5801" w:rsidRPr="006B367A" w:rsidRDefault="00625F5F" w:rsidP="00625F5F">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w:t>
            </w:r>
            <w:r w:rsidR="007F5801" w:rsidRPr="006B367A">
              <w:rPr>
                <w:rFonts w:asciiTheme="majorBidi" w:eastAsia="Times New Roman" w:hAnsiTheme="majorBidi" w:cstheme="majorBidi"/>
                <w:color w:val="000000"/>
                <w:sz w:val="16"/>
                <w:szCs w:val="16"/>
              </w:rPr>
              <w:t>0.</w:t>
            </w:r>
            <w:r w:rsidRPr="006B367A">
              <w:rPr>
                <w:rFonts w:asciiTheme="majorBidi" w:eastAsia="Times New Roman" w:hAnsiTheme="majorBidi" w:cstheme="majorBidi"/>
                <w:color w:val="000000"/>
                <w:sz w:val="16"/>
                <w:szCs w:val="16"/>
              </w:rPr>
              <w:t>197</w:t>
            </w:r>
            <w:r w:rsidR="007F5801" w:rsidRPr="006B367A">
              <w:rPr>
                <w:rFonts w:asciiTheme="majorBidi" w:eastAsia="Times New Roman" w:hAnsiTheme="majorBidi" w:cstheme="majorBidi"/>
                <w:color w:val="000000"/>
                <w:sz w:val="16"/>
                <w:szCs w:val="16"/>
              </w:rPr>
              <w:t>***</w:t>
            </w:r>
          </w:p>
        </w:tc>
        <w:tc>
          <w:tcPr>
            <w:tcW w:w="0" w:type="auto"/>
            <w:tcBorders>
              <w:bottom w:val="single" w:sz="12" w:space="0" w:color="auto"/>
            </w:tcBorders>
            <w:shd w:val="clear" w:color="auto" w:fill="auto"/>
            <w:noWrap/>
            <w:vAlign w:val="bottom"/>
            <w:hideMark/>
          </w:tcPr>
          <w:p w14:paraId="64CED597" w14:textId="0B950560"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w:t>
            </w:r>
            <w:r w:rsidR="00625F5F" w:rsidRPr="006B367A">
              <w:rPr>
                <w:rFonts w:asciiTheme="majorBidi" w:eastAsia="Times New Roman" w:hAnsiTheme="majorBidi" w:cstheme="majorBidi"/>
                <w:color w:val="000000"/>
                <w:sz w:val="16"/>
                <w:szCs w:val="16"/>
              </w:rPr>
              <w:t>.044</w:t>
            </w:r>
          </w:p>
        </w:tc>
        <w:tc>
          <w:tcPr>
            <w:tcW w:w="0" w:type="auto"/>
            <w:tcBorders>
              <w:bottom w:val="single" w:sz="12" w:space="0" w:color="auto"/>
            </w:tcBorders>
            <w:shd w:val="clear" w:color="auto" w:fill="auto"/>
            <w:noWrap/>
            <w:vAlign w:val="bottom"/>
            <w:hideMark/>
          </w:tcPr>
          <w:p w14:paraId="6DE4F65E"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0.053</w:t>
            </w:r>
          </w:p>
        </w:tc>
        <w:tc>
          <w:tcPr>
            <w:tcW w:w="0" w:type="auto"/>
            <w:tcBorders>
              <w:bottom w:val="single" w:sz="12" w:space="0" w:color="auto"/>
            </w:tcBorders>
            <w:shd w:val="clear" w:color="auto" w:fill="auto"/>
            <w:noWrap/>
            <w:vAlign w:val="bottom"/>
            <w:hideMark/>
          </w:tcPr>
          <w:p w14:paraId="03CC5F4D"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-0.015</w:t>
            </w:r>
          </w:p>
        </w:tc>
        <w:tc>
          <w:tcPr>
            <w:tcW w:w="0" w:type="auto"/>
            <w:tcBorders>
              <w:bottom w:val="single" w:sz="12" w:space="0" w:color="auto"/>
            </w:tcBorders>
            <w:shd w:val="clear" w:color="auto" w:fill="auto"/>
            <w:noWrap/>
            <w:vAlign w:val="bottom"/>
            <w:hideMark/>
          </w:tcPr>
          <w:p w14:paraId="5270B6DB"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0.246***</w:t>
            </w:r>
          </w:p>
        </w:tc>
        <w:tc>
          <w:tcPr>
            <w:tcW w:w="0" w:type="auto"/>
            <w:tcBorders>
              <w:bottom w:val="single" w:sz="12" w:space="0" w:color="auto"/>
            </w:tcBorders>
            <w:shd w:val="clear" w:color="auto" w:fill="auto"/>
            <w:noWrap/>
            <w:vAlign w:val="bottom"/>
            <w:hideMark/>
          </w:tcPr>
          <w:p w14:paraId="4923DE01"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-0.442***</w:t>
            </w:r>
          </w:p>
        </w:tc>
        <w:tc>
          <w:tcPr>
            <w:tcW w:w="0" w:type="auto"/>
            <w:tcBorders>
              <w:bottom w:val="single" w:sz="12" w:space="0" w:color="auto"/>
            </w:tcBorders>
            <w:shd w:val="clear" w:color="auto" w:fill="auto"/>
            <w:noWrap/>
            <w:vAlign w:val="bottom"/>
            <w:hideMark/>
          </w:tcPr>
          <w:p w14:paraId="00089C2B"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-0.209***</w:t>
            </w:r>
          </w:p>
        </w:tc>
        <w:tc>
          <w:tcPr>
            <w:tcW w:w="0" w:type="auto"/>
            <w:tcBorders>
              <w:bottom w:val="single" w:sz="12" w:space="0" w:color="auto"/>
            </w:tcBorders>
            <w:shd w:val="clear" w:color="auto" w:fill="auto"/>
            <w:noWrap/>
            <w:vAlign w:val="bottom"/>
            <w:hideMark/>
          </w:tcPr>
          <w:p w14:paraId="655BBBE4" w14:textId="77777777" w:rsidR="007F5801" w:rsidRPr="006B367A"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0.274***</w:t>
            </w:r>
          </w:p>
        </w:tc>
        <w:tc>
          <w:tcPr>
            <w:tcW w:w="0" w:type="auto"/>
            <w:tcBorders>
              <w:bottom w:val="single" w:sz="12" w:space="0" w:color="auto"/>
            </w:tcBorders>
            <w:shd w:val="clear" w:color="auto" w:fill="auto"/>
            <w:noWrap/>
            <w:vAlign w:val="bottom"/>
            <w:hideMark/>
          </w:tcPr>
          <w:p w14:paraId="0B44025C" w14:textId="77777777" w:rsidR="007F5801" w:rsidRPr="00676977" w:rsidRDefault="007F5801" w:rsidP="00D23D6D">
            <w:pPr>
              <w:spacing w:after="0" w:line="240" w:lineRule="auto"/>
              <w:jc w:val="center"/>
              <w:rPr>
                <w:rFonts w:asciiTheme="majorBidi" w:eastAsia="Times New Roman" w:hAnsiTheme="majorBidi" w:cstheme="majorBidi"/>
                <w:color w:val="000000"/>
                <w:sz w:val="16"/>
                <w:szCs w:val="16"/>
              </w:rPr>
            </w:pPr>
            <w:r w:rsidRPr="006B367A">
              <w:rPr>
                <w:rFonts w:asciiTheme="majorBidi" w:eastAsia="Times New Roman" w:hAnsiTheme="majorBidi" w:cstheme="majorBidi"/>
                <w:color w:val="000000"/>
                <w:sz w:val="16"/>
                <w:szCs w:val="16"/>
              </w:rPr>
              <w:t>1</w:t>
            </w:r>
          </w:p>
        </w:tc>
      </w:tr>
    </w:tbl>
    <w:p w14:paraId="16B2FB4C" w14:textId="7F4EBB51" w:rsidR="001931AF" w:rsidRPr="001931AF" w:rsidRDefault="001931AF" w:rsidP="001931AF">
      <w:pPr>
        <w:tabs>
          <w:tab w:val="left" w:pos="8364"/>
        </w:tabs>
        <w:spacing w:after="0" w:line="240" w:lineRule="auto"/>
        <w:ind w:left="-426" w:right="536"/>
        <w:jc w:val="both"/>
        <w:rPr>
          <w:rFonts w:ascii="Times New Roman" w:eastAsia="Times New Roman" w:hAnsi="Times New Roman" w:cs="Times New Roman"/>
          <w:iCs/>
          <w:color w:val="222222"/>
          <w:sz w:val="18"/>
          <w:szCs w:val="18"/>
          <w:shd w:val="clear" w:color="auto" w:fill="FFFFFF"/>
          <w:lang w:val="en-US"/>
        </w:rPr>
      </w:pPr>
      <w:r w:rsidRPr="001931AF">
        <w:rPr>
          <w:rFonts w:ascii="Times New Roman" w:eastAsia="Times New Roman" w:hAnsi="Times New Roman" w:cs="Times New Roman"/>
          <w:iCs/>
          <w:color w:val="222222"/>
          <w:sz w:val="18"/>
          <w:szCs w:val="18"/>
          <w:shd w:val="clear" w:color="auto" w:fill="FFFFFF"/>
          <w:lang w:val="en-US"/>
        </w:rPr>
        <w:t xml:space="preserve">See Table </w:t>
      </w:r>
      <w:r w:rsidR="00174F4C">
        <w:rPr>
          <w:rFonts w:ascii="Times New Roman" w:eastAsia="Times New Roman" w:hAnsi="Times New Roman" w:cs="Times New Roman"/>
          <w:iCs/>
          <w:color w:val="222222"/>
          <w:sz w:val="18"/>
          <w:szCs w:val="18"/>
          <w:shd w:val="clear" w:color="auto" w:fill="FFFFFF"/>
          <w:lang w:val="en-US"/>
        </w:rPr>
        <w:t>1</w:t>
      </w:r>
      <w:r w:rsidRPr="001931AF">
        <w:rPr>
          <w:rFonts w:ascii="Times New Roman" w:eastAsia="Times New Roman" w:hAnsi="Times New Roman" w:cs="Times New Roman"/>
          <w:iCs/>
          <w:color w:val="222222"/>
          <w:sz w:val="18"/>
          <w:szCs w:val="18"/>
          <w:shd w:val="clear" w:color="auto" w:fill="FFFFFF"/>
          <w:lang w:val="en-US"/>
        </w:rPr>
        <w:t xml:space="preserve"> for variable</w:t>
      </w:r>
      <w:r w:rsidR="000C61A4">
        <w:rPr>
          <w:rFonts w:ascii="Times New Roman" w:eastAsia="Times New Roman" w:hAnsi="Times New Roman" w:cs="Times New Roman"/>
          <w:iCs/>
          <w:color w:val="222222"/>
          <w:sz w:val="18"/>
          <w:szCs w:val="18"/>
          <w:shd w:val="clear" w:color="auto" w:fill="FFFFFF"/>
          <w:lang w:val="en-US"/>
        </w:rPr>
        <w:t>s</w:t>
      </w:r>
      <w:r w:rsidR="00327998">
        <w:rPr>
          <w:rFonts w:ascii="Times New Roman" w:eastAsia="Times New Roman" w:hAnsi="Times New Roman" w:cs="Times New Roman"/>
          <w:iCs/>
          <w:color w:val="222222"/>
          <w:sz w:val="18"/>
          <w:szCs w:val="18"/>
          <w:shd w:val="clear" w:color="auto" w:fill="FFFFFF"/>
          <w:lang w:val="en-US"/>
        </w:rPr>
        <w:t>’</w:t>
      </w:r>
      <w:r w:rsidRPr="001931AF">
        <w:rPr>
          <w:rFonts w:ascii="Times New Roman" w:eastAsia="Times New Roman" w:hAnsi="Times New Roman" w:cs="Times New Roman"/>
          <w:iCs/>
          <w:color w:val="222222"/>
          <w:sz w:val="18"/>
          <w:szCs w:val="18"/>
          <w:shd w:val="clear" w:color="auto" w:fill="FFFFFF"/>
          <w:lang w:val="en-US"/>
        </w:rPr>
        <w:t xml:space="preserve"> definitions.</w:t>
      </w:r>
    </w:p>
    <w:p w14:paraId="6B4C45C8" w14:textId="77777777" w:rsidR="007F5801" w:rsidRPr="00161AB9" w:rsidRDefault="007F5801" w:rsidP="009D4AE6">
      <w:pPr>
        <w:tabs>
          <w:tab w:val="left" w:pos="8364"/>
        </w:tabs>
        <w:spacing w:after="0" w:line="240" w:lineRule="auto"/>
        <w:ind w:left="-426" w:right="536"/>
        <w:jc w:val="both"/>
        <w:rPr>
          <w:rFonts w:ascii="Times New Roman" w:eastAsia="Times New Roman" w:hAnsi="Times New Roman" w:cs="Times New Roman"/>
          <w:iCs/>
          <w:color w:val="222222"/>
          <w:sz w:val="18"/>
          <w:szCs w:val="18"/>
          <w:shd w:val="clear" w:color="auto" w:fill="FFFFFF"/>
        </w:rPr>
      </w:pPr>
      <w:r w:rsidRPr="00161AB9">
        <w:rPr>
          <w:rFonts w:ascii="Times New Roman" w:eastAsia="Times New Roman" w:hAnsi="Times New Roman" w:cs="Times New Roman"/>
          <w:iCs/>
          <w:color w:val="222222"/>
          <w:sz w:val="18"/>
          <w:szCs w:val="18"/>
          <w:shd w:val="clear" w:color="auto" w:fill="FFFFFF"/>
          <w:lang w:val="en-US"/>
        </w:rPr>
        <w:t xml:space="preserve">The bottom half of the table contains Person’s parametric correlation coefficients, whereas the upper right half of the table shows Spearman’s non-parametric correlation coefficients. </w:t>
      </w:r>
      <w:r w:rsidRPr="00161AB9">
        <w:rPr>
          <w:rFonts w:ascii="Times New Roman" w:eastAsia="Times New Roman" w:hAnsi="Times New Roman" w:cs="Times New Roman"/>
          <w:iCs/>
          <w:color w:val="222222"/>
          <w:sz w:val="18"/>
          <w:szCs w:val="18"/>
          <w:shd w:val="clear" w:color="auto" w:fill="FFFFFF"/>
        </w:rPr>
        <w:t>***, **, and * denote significance at the 1%, 5%, and 10% levels, respectively.</w:t>
      </w:r>
    </w:p>
    <w:p w14:paraId="0E1F9C88" w14:textId="77777777" w:rsidR="00E45666" w:rsidRDefault="00E45666" w:rsidP="000F3297">
      <w:pPr>
        <w:spacing w:after="0" w:line="240" w:lineRule="auto"/>
        <w:ind w:left="142" w:hanging="142"/>
        <w:jc w:val="both"/>
        <w:rPr>
          <w:rFonts w:ascii="Times New Roman" w:eastAsia="Calibri" w:hAnsi="Times New Roman" w:cs="Times New Roman"/>
          <w:sz w:val="19"/>
          <w:szCs w:val="19"/>
          <w:lang w:eastAsia="en-US"/>
        </w:rPr>
      </w:pPr>
    </w:p>
    <w:p w14:paraId="6DC4CC7E" w14:textId="77777777" w:rsidR="00E45666" w:rsidRDefault="00E45666" w:rsidP="000F3297">
      <w:pPr>
        <w:spacing w:after="0" w:line="240" w:lineRule="auto"/>
        <w:ind w:left="142" w:hanging="142"/>
        <w:jc w:val="both"/>
        <w:rPr>
          <w:rFonts w:ascii="Times New Roman" w:eastAsia="Calibri" w:hAnsi="Times New Roman" w:cs="Times New Roman"/>
          <w:sz w:val="19"/>
          <w:szCs w:val="19"/>
          <w:lang w:eastAsia="en-US"/>
        </w:rPr>
      </w:pPr>
    </w:p>
    <w:p w14:paraId="31E5FBBB" w14:textId="77777777" w:rsidR="00E45666" w:rsidRDefault="00E45666" w:rsidP="000F3297">
      <w:pPr>
        <w:spacing w:after="0" w:line="240" w:lineRule="auto"/>
        <w:ind w:left="142" w:hanging="142"/>
        <w:jc w:val="both"/>
        <w:rPr>
          <w:rFonts w:ascii="Times New Roman" w:eastAsia="Calibri" w:hAnsi="Times New Roman" w:cs="Times New Roman"/>
          <w:sz w:val="19"/>
          <w:szCs w:val="19"/>
          <w:lang w:eastAsia="en-US"/>
        </w:rPr>
      </w:pPr>
    </w:p>
    <w:p w14:paraId="5EF6F572" w14:textId="77777777" w:rsidR="00E45666" w:rsidRDefault="00E45666" w:rsidP="000F3297">
      <w:pPr>
        <w:spacing w:after="0" w:line="240" w:lineRule="auto"/>
        <w:ind w:left="142" w:hanging="142"/>
        <w:jc w:val="both"/>
        <w:rPr>
          <w:rFonts w:ascii="Times New Roman" w:eastAsia="Calibri" w:hAnsi="Times New Roman" w:cs="Times New Roman"/>
          <w:sz w:val="19"/>
          <w:szCs w:val="19"/>
          <w:lang w:eastAsia="en-US"/>
        </w:rPr>
      </w:pPr>
    </w:p>
    <w:p w14:paraId="4332FF50" w14:textId="77777777" w:rsidR="00E45666" w:rsidRDefault="00E45666" w:rsidP="000F3297">
      <w:pPr>
        <w:spacing w:after="0" w:line="240" w:lineRule="auto"/>
        <w:ind w:left="142" w:hanging="142"/>
        <w:jc w:val="both"/>
        <w:rPr>
          <w:rFonts w:ascii="Times New Roman" w:eastAsia="Calibri" w:hAnsi="Times New Roman" w:cs="Times New Roman"/>
          <w:sz w:val="19"/>
          <w:szCs w:val="19"/>
          <w:lang w:eastAsia="en-US"/>
        </w:rPr>
      </w:pPr>
    </w:p>
    <w:p w14:paraId="10C4D6C4" w14:textId="77777777" w:rsidR="00E45666" w:rsidRDefault="00E45666" w:rsidP="000F3297">
      <w:pPr>
        <w:spacing w:after="0" w:line="240" w:lineRule="auto"/>
        <w:ind w:left="142" w:hanging="142"/>
        <w:jc w:val="both"/>
        <w:rPr>
          <w:rFonts w:ascii="Times New Roman" w:eastAsia="Calibri" w:hAnsi="Times New Roman" w:cs="Times New Roman"/>
          <w:sz w:val="19"/>
          <w:szCs w:val="19"/>
          <w:lang w:eastAsia="en-US"/>
        </w:rPr>
        <w:sectPr w:rsidR="00E45666" w:rsidSect="00E45666">
          <w:pgSz w:w="16838" w:h="11906" w:orient="landscape"/>
          <w:pgMar w:top="1134" w:right="1134" w:bottom="1134" w:left="1134" w:header="709" w:footer="709" w:gutter="0"/>
          <w:cols w:space="708"/>
          <w:docGrid w:linePitch="360"/>
        </w:sectPr>
      </w:pPr>
    </w:p>
    <w:p w14:paraId="750C8EA5" w14:textId="3FB97805" w:rsidR="00B544B4" w:rsidRPr="00352FB3" w:rsidRDefault="00B544B4" w:rsidP="00C46A88">
      <w:pPr>
        <w:spacing w:after="0" w:line="240" w:lineRule="auto"/>
        <w:ind w:hanging="142"/>
        <w:jc w:val="lowKashida"/>
        <w:rPr>
          <w:rFonts w:ascii="Times New Roman" w:eastAsia="Times New Roman" w:hAnsi="Times New Roman" w:cs="Times New Roman"/>
          <w:sz w:val="20"/>
          <w:szCs w:val="16"/>
          <w:shd w:val="clear" w:color="auto" w:fill="FFFFFF"/>
          <w:lang w:val="en-US"/>
        </w:rPr>
      </w:pPr>
      <w:r w:rsidRPr="00352FB3">
        <w:rPr>
          <w:rFonts w:ascii="Times New Roman" w:eastAsia="Times New Roman" w:hAnsi="Times New Roman" w:cs="Times New Roman"/>
          <w:b/>
          <w:sz w:val="20"/>
          <w:szCs w:val="16"/>
          <w:shd w:val="clear" w:color="auto" w:fill="FFFFFF"/>
          <w:lang w:val="en-US"/>
        </w:rPr>
        <w:lastRenderedPageBreak/>
        <w:t xml:space="preserve">Table </w:t>
      </w:r>
      <w:r w:rsidR="00174F4C" w:rsidRPr="00352FB3">
        <w:rPr>
          <w:rFonts w:ascii="Times New Roman" w:eastAsia="Times New Roman" w:hAnsi="Times New Roman" w:cs="Times New Roman"/>
          <w:b/>
          <w:sz w:val="20"/>
          <w:szCs w:val="16"/>
          <w:shd w:val="clear" w:color="auto" w:fill="FFFFFF"/>
          <w:lang w:val="en-US"/>
        </w:rPr>
        <w:t>4</w:t>
      </w:r>
      <w:r w:rsidRPr="00352FB3">
        <w:rPr>
          <w:rFonts w:ascii="Times New Roman" w:eastAsia="Times New Roman" w:hAnsi="Times New Roman" w:cs="Times New Roman"/>
          <w:b/>
          <w:sz w:val="20"/>
          <w:szCs w:val="16"/>
          <w:shd w:val="clear" w:color="auto" w:fill="FFFFFF"/>
          <w:lang w:val="en-US"/>
        </w:rPr>
        <w:t xml:space="preserve">. </w:t>
      </w:r>
      <w:r w:rsidR="00217CFD" w:rsidRPr="00352FB3">
        <w:rPr>
          <w:rFonts w:ascii="Times New Roman" w:eastAsia="Times New Roman" w:hAnsi="Times New Roman" w:cs="Times New Roman"/>
          <w:sz w:val="20"/>
          <w:szCs w:val="16"/>
          <w:shd w:val="clear" w:color="auto" w:fill="FFFFFF"/>
          <w:lang w:val="en-US"/>
        </w:rPr>
        <w:t>Firm-level</w:t>
      </w:r>
      <w:r w:rsidR="00217CFD" w:rsidRPr="00352FB3">
        <w:rPr>
          <w:rFonts w:ascii="Times New Roman" w:eastAsia="Times New Roman" w:hAnsi="Times New Roman" w:cs="Times New Roman"/>
          <w:b/>
          <w:sz w:val="20"/>
          <w:szCs w:val="16"/>
          <w:shd w:val="clear" w:color="auto" w:fill="FFFFFF"/>
          <w:lang w:val="en-US"/>
        </w:rPr>
        <w:t xml:space="preserve"> </w:t>
      </w:r>
      <w:r w:rsidR="00217CFD" w:rsidRPr="00352FB3">
        <w:rPr>
          <w:rFonts w:ascii="Times New Roman" w:eastAsia="Times New Roman" w:hAnsi="Times New Roman" w:cs="Times New Roman"/>
          <w:sz w:val="20"/>
          <w:szCs w:val="16"/>
          <w:shd w:val="clear" w:color="auto" w:fill="FFFFFF"/>
        </w:rPr>
        <w:t>a</w:t>
      </w:r>
      <w:r w:rsidR="00A7088F" w:rsidRPr="00352FB3">
        <w:rPr>
          <w:rFonts w:ascii="Times New Roman" w:eastAsia="Times New Roman" w:hAnsi="Times New Roman" w:cs="Times New Roman"/>
          <w:sz w:val="20"/>
          <w:szCs w:val="16"/>
          <w:shd w:val="clear" w:color="auto" w:fill="FFFFFF"/>
        </w:rPr>
        <w:t>ntecedents of audit quality</w:t>
      </w:r>
    </w:p>
    <w:tbl>
      <w:tblPr>
        <w:tblStyle w:val="TableGrid313"/>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42"/>
        <w:gridCol w:w="993"/>
        <w:gridCol w:w="992"/>
        <w:gridCol w:w="1134"/>
        <w:gridCol w:w="1275"/>
        <w:gridCol w:w="1134"/>
        <w:gridCol w:w="992"/>
        <w:gridCol w:w="992"/>
        <w:gridCol w:w="993"/>
      </w:tblGrid>
      <w:tr w:rsidR="00D42C7B" w:rsidRPr="00352FB3" w14:paraId="7CFA2EAD" w14:textId="2B5CCFE4" w:rsidTr="00911D12">
        <w:trPr>
          <w:trHeight w:val="164"/>
          <w:jc w:val="center"/>
        </w:trPr>
        <w:tc>
          <w:tcPr>
            <w:tcW w:w="1560" w:type="dxa"/>
            <w:gridSpan w:val="2"/>
            <w:tcBorders>
              <w:top w:val="single" w:sz="12" w:space="0" w:color="auto"/>
              <w:right w:val="single" w:sz="12" w:space="0" w:color="auto"/>
            </w:tcBorders>
            <w:noWrap/>
          </w:tcPr>
          <w:p w14:paraId="2B6B575A" w14:textId="77777777" w:rsidR="00D42C7B" w:rsidRPr="00352FB3" w:rsidRDefault="00D42C7B" w:rsidP="00990A59">
            <w:pPr>
              <w:rPr>
                <w:rFonts w:ascii="Times New Roman" w:eastAsia="Times New Roman" w:hAnsi="Times New Roman" w:cs="Times New Roman"/>
                <w:b/>
                <w:sz w:val="18"/>
                <w:szCs w:val="18"/>
                <w:shd w:val="clear" w:color="auto" w:fill="FFFFFF"/>
                <w:lang w:val="en-US"/>
              </w:rPr>
            </w:pPr>
          </w:p>
        </w:tc>
        <w:tc>
          <w:tcPr>
            <w:tcW w:w="993" w:type="dxa"/>
            <w:tcBorders>
              <w:top w:val="single" w:sz="12" w:space="0" w:color="auto"/>
              <w:left w:val="single" w:sz="12" w:space="0" w:color="auto"/>
            </w:tcBorders>
          </w:tcPr>
          <w:p w14:paraId="5C61AA45" w14:textId="6A8F9D4D" w:rsidR="00D42C7B" w:rsidRPr="00352FB3" w:rsidRDefault="00D42C7B" w:rsidP="00990A59">
            <w:pPr>
              <w:jc w:val="center"/>
              <w:rPr>
                <w:rFonts w:ascii="Times New Roman" w:eastAsia="Times New Roman" w:hAnsi="Times New Roman" w:cs="Times New Roman"/>
                <w:b/>
                <w:sz w:val="18"/>
                <w:szCs w:val="18"/>
                <w:shd w:val="clear" w:color="auto" w:fill="FFFFFF"/>
                <w:lang w:val="en-US"/>
              </w:rPr>
            </w:pPr>
            <w:r w:rsidRPr="00352FB3">
              <w:rPr>
                <w:rFonts w:ascii="Times New Roman" w:eastAsia="Times New Roman" w:hAnsi="Times New Roman" w:cs="Times New Roman"/>
                <w:b/>
                <w:sz w:val="18"/>
                <w:szCs w:val="18"/>
                <w:shd w:val="clear" w:color="auto" w:fill="FFFFFF"/>
                <w:lang w:val="en-US"/>
              </w:rPr>
              <w:t>BIG4</w:t>
            </w:r>
          </w:p>
        </w:tc>
        <w:tc>
          <w:tcPr>
            <w:tcW w:w="992" w:type="dxa"/>
            <w:tcBorders>
              <w:top w:val="single" w:sz="12" w:space="0" w:color="auto"/>
            </w:tcBorders>
            <w:noWrap/>
          </w:tcPr>
          <w:p w14:paraId="5002D283" w14:textId="1442A932" w:rsidR="00D42C7B" w:rsidRPr="00352FB3" w:rsidRDefault="00D42C7B" w:rsidP="00990A59">
            <w:pPr>
              <w:jc w:val="center"/>
              <w:rPr>
                <w:rFonts w:ascii="Times New Roman" w:eastAsia="Times New Roman" w:hAnsi="Times New Roman" w:cs="Times New Roman"/>
                <w:b/>
                <w:sz w:val="18"/>
                <w:szCs w:val="18"/>
                <w:shd w:val="clear" w:color="auto" w:fill="FFFFFF"/>
                <w:lang w:val="en-US"/>
              </w:rPr>
            </w:pPr>
            <w:r w:rsidRPr="00352FB3">
              <w:rPr>
                <w:rFonts w:ascii="Times New Roman" w:eastAsia="Times New Roman" w:hAnsi="Times New Roman" w:cs="Times New Roman"/>
                <w:b/>
                <w:sz w:val="18"/>
                <w:szCs w:val="18"/>
                <w:shd w:val="clear" w:color="auto" w:fill="FFFFFF"/>
                <w:lang w:val="en-US"/>
              </w:rPr>
              <w:t>BIG4</w:t>
            </w:r>
          </w:p>
        </w:tc>
        <w:tc>
          <w:tcPr>
            <w:tcW w:w="1134" w:type="dxa"/>
            <w:tcBorders>
              <w:top w:val="single" w:sz="12" w:space="0" w:color="auto"/>
            </w:tcBorders>
            <w:noWrap/>
          </w:tcPr>
          <w:p w14:paraId="1752DBFC" w14:textId="77777777" w:rsidR="00D42C7B" w:rsidRPr="00352FB3" w:rsidRDefault="00D42C7B" w:rsidP="00990A59">
            <w:pPr>
              <w:jc w:val="center"/>
              <w:rPr>
                <w:rFonts w:ascii="Times New Roman" w:eastAsia="Times New Roman" w:hAnsi="Times New Roman" w:cs="Times New Roman"/>
                <w:b/>
                <w:sz w:val="18"/>
                <w:szCs w:val="18"/>
                <w:shd w:val="clear" w:color="auto" w:fill="FFFFFF"/>
                <w:lang w:val="en-US"/>
              </w:rPr>
            </w:pPr>
            <w:r w:rsidRPr="00352FB3">
              <w:rPr>
                <w:rFonts w:ascii="Times New Roman" w:eastAsia="Times New Roman" w:hAnsi="Times New Roman" w:cs="Times New Roman"/>
                <w:b/>
                <w:sz w:val="18"/>
                <w:szCs w:val="18"/>
                <w:shd w:val="clear" w:color="auto" w:fill="FFFFFF"/>
                <w:lang w:val="en-US"/>
              </w:rPr>
              <w:t>BIG4</w:t>
            </w:r>
          </w:p>
        </w:tc>
        <w:tc>
          <w:tcPr>
            <w:tcW w:w="1275" w:type="dxa"/>
            <w:tcBorders>
              <w:top w:val="single" w:sz="12" w:space="0" w:color="auto"/>
            </w:tcBorders>
          </w:tcPr>
          <w:p w14:paraId="60CE17B4" w14:textId="77777777" w:rsidR="00D42C7B" w:rsidRPr="000972D1" w:rsidRDefault="00D42C7B" w:rsidP="00990A59">
            <w:pPr>
              <w:jc w:val="center"/>
              <w:rPr>
                <w:rFonts w:ascii="Times New Roman" w:eastAsia="Times New Roman" w:hAnsi="Times New Roman" w:cs="Times New Roman"/>
                <w:b/>
                <w:sz w:val="18"/>
                <w:szCs w:val="18"/>
                <w:shd w:val="clear" w:color="auto" w:fill="FFFFFF"/>
                <w:lang w:val="en-US"/>
              </w:rPr>
            </w:pPr>
            <w:r w:rsidRPr="000972D1">
              <w:rPr>
                <w:rFonts w:ascii="Times New Roman" w:eastAsia="Times New Roman" w:hAnsi="Times New Roman" w:cs="Times New Roman"/>
                <w:b/>
                <w:sz w:val="18"/>
                <w:szCs w:val="18"/>
                <w:shd w:val="clear" w:color="auto" w:fill="FFFFFF"/>
                <w:lang w:val="en-US"/>
              </w:rPr>
              <w:t>BIG4</w:t>
            </w:r>
          </w:p>
        </w:tc>
        <w:tc>
          <w:tcPr>
            <w:tcW w:w="1134" w:type="dxa"/>
            <w:tcBorders>
              <w:top w:val="single" w:sz="12" w:space="0" w:color="auto"/>
            </w:tcBorders>
          </w:tcPr>
          <w:p w14:paraId="7B15F7C5" w14:textId="7F3BB935" w:rsidR="00D42C7B" w:rsidRPr="00352FB3" w:rsidRDefault="00D42C7B" w:rsidP="00990A59">
            <w:pPr>
              <w:jc w:val="center"/>
              <w:rPr>
                <w:rFonts w:ascii="Times New Roman" w:eastAsia="Times New Roman" w:hAnsi="Times New Roman" w:cs="Times New Roman"/>
                <w:b/>
                <w:sz w:val="18"/>
                <w:szCs w:val="18"/>
                <w:shd w:val="clear" w:color="auto" w:fill="FFFFFF"/>
              </w:rPr>
            </w:pPr>
            <w:r w:rsidRPr="00352FB3">
              <w:rPr>
                <w:rFonts w:ascii="Times New Roman" w:eastAsia="Times New Roman" w:hAnsi="Times New Roman" w:cs="Times New Roman"/>
                <w:b/>
                <w:sz w:val="18"/>
                <w:szCs w:val="18"/>
                <w:shd w:val="clear" w:color="auto" w:fill="FFFFFF"/>
              </w:rPr>
              <w:t>LNFE</w:t>
            </w:r>
          </w:p>
        </w:tc>
        <w:tc>
          <w:tcPr>
            <w:tcW w:w="992" w:type="dxa"/>
            <w:tcBorders>
              <w:top w:val="single" w:sz="12" w:space="0" w:color="auto"/>
            </w:tcBorders>
          </w:tcPr>
          <w:p w14:paraId="5D704754" w14:textId="313D129A" w:rsidR="00D42C7B" w:rsidRPr="00352FB3" w:rsidRDefault="00D42C7B" w:rsidP="00990A59">
            <w:pPr>
              <w:jc w:val="center"/>
              <w:rPr>
                <w:rFonts w:ascii="Times New Roman" w:eastAsia="Times New Roman" w:hAnsi="Times New Roman" w:cs="Times New Roman"/>
                <w:b/>
                <w:sz w:val="18"/>
                <w:szCs w:val="18"/>
                <w:shd w:val="clear" w:color="auto" w:fill="FFFFFF"/>
                <w:lang w:val="en-US"/>
              </w:rPr>
            </w:pPr>
            <w:r w:rsidRPr="00352FB3">
              <w:rPr>
                <w:rFonts w:ascii="Times New Roman" w:eastAsia="Times New Roman" w:hAnsi="Times New Roman" w:cs="Times New Roman"/>
                <w:b/>
                <w:sz w:val="18"/>
                <w:szCs w:val="18"/>
                <w:shd w:val="clear" w:color="auto" w:fill="FFFFFF"/>
              </w:rPr>
              <w:t>LNFE</w:t>
            </w:r>
          </w:p>
        </w:tc>
        <w:tc>
          <w:tcPr>
            <w:tcW w:w="992" w:type="dxa"/>
            <w:tcBorders>
              <w:top w:val="single" w:sz="12" w:space="0" w:color="auto"/>
            </w:tcBorders>
          </w:tcPr>
          <w:p w14:paraId="376D53C8" w14:textId="0EFF6A9A" w:rsidR="00D42C7B" w:rsidRPr="00352FB3" w:rsidRDefault="00D42C7B" w:rsidP="00990A59">
            <w:pPr>
              <w:jc w:val="center"/>
              <w:rPr>
                <w:rFonts w:ascii="Times New Roman" w:eastAsia="Times New Roman" w:hAnsi="Times New Roman" w:cs="Times New Roman"/>
                <w:b/>
                <w:sz w:val="18"/>
                <w:szCs w:val="18"/>
                <w:shd w:val="clear" w:color="auto" w:fill="FFFFFF"/>
                <w:lang w:val="en-US"/>
              </w:rPr>
            </w:pPr>
            <w:r w:rsidRPr="00352FB3">
              <w:rPr>
                <w:rFonts w:ascii="Times New Roman" w:eastAsia="Times New Roman" w:hAnsi="Times New Roman" w:cs="Times New Roman"/>
                <w:b/>
                <w:sz w:val="18"/>
                <w:szCs w:val="18"/>
                <w:shd w:val="clear" w:color="auto" w:fill="FFFFFF"/>
              </w:rPr>
              <w:t>LNFE</w:t>
            </w:r>
          </w:p>
        </w:tc>
        <w:tc>
          <w:tcPr>
            <w:tcW w:w="993" w:type="dxa"/>
            <w:tcBorders>
              <w:top w:val="single" w:sz="12" w:space="0" w:color="auto"/>
            </w:tcBorders>
          </w:tcPr>
          <w:p w14:paraId="7833F991" w14:textId="77A94273" w:rsidR="00D42C7B" w:rsidRPr="00352FB3" w:rsidRDefault="00D42C7B" w:rsidP="00990A59">
            <w:pPr>
              <w:jc w:val="center"/>
              <w:rPr>
                <w:rFonts w:ascii="Times New Roman" w:eastAsia="Times New Roman" w:hAnsi="Times New Roman" w:cs="Times New Roman"/>
                <w:b/>
                <w:sz w:val="18"/>
                <w:szCs w:val="18"/>
                <w:shd w:val="clear" w:color="auto" w:fill="FFFFFF"/>
                <w:lang w:val="en-US"/>
              </w:rPr>
            </w:pPr>
            <w:r w:rsidRPr="00352FB3">
              <w:rPr>
                <w:rFonts w:ascii="Times New Roman" w:eastAsia="Times New Roman" w:hAnsi="Times New Roman" w:cs="Times New Roman"/>
                <w:b/>
                <w:sz w:val="18"/>
                <w:szCs w:val="18"/>
                <w:shd w:val="clear" w:color="auto" w:fill="FFFFFF"/>
              </w:rPr>
              <w:t>LNFE</w:t>
            </w:r>
          </w:p>
        </w:tc>
      </w:tr>
      <w:tr w:rsidR="00D42C7B" w:rsidRPr="00352FB3" w14:paraId="47A41985" w14:textId="73A1D989" w:rsidTr="00911D12">
        <w:trPr>
          <w:trHeight w:val="154"/>
          <w:jc w:val="center"/>
        </w:trPr>
        <w:tc>
          <w:tcPr>
            <w:tcW w:w="1560" w:type="dxa"/>
            <w:gridSpan w:val="2"/>
            <w:tcBorders>
              <w:bottom w:val="single" w:sz="12" w:space="0" w:color="auto"/>
              <w:right w:val="single" w:sz="12" w:space="0" w:color="auto"/>
            </w:tcBorders>
            <w:noWrap/>
          </w:tcPr>
          <w:p w14:paraId="24DD9E8E" w14:textId="77777777" w:rsidR="00D42C7B" w:rsidRPr="00352FB3" w:rsidRDefault="00D42C7B" w:rsidP="00990A59">
            <w:pPr>
              <w:rPr>
                <w:rFonts w:ascii="Times New Roman" w:eastAsia="Times New Roman" w:hAnsi="Times New Roman" w:cs="Times New Roman"/>
                <w:b/>
                <w:sz w:val="18"/>
                <w:szCs w:val="18"/>
                <w:shd w:val="clear" w:color="auto" w:fill="FFFFFF"/>
                <w:lang w:val="en-US"/>
              </w:rPr>
            </w:pPr>
            <w:r w:rsidRPr="00352FB3">
              <w:rPr>
                <w:rFonts w:ascii="Times New Roman" w:eastAsia="Times New Roman" w:hAnsi="Times New Roman" w:cs="Times New Roman"/>
                <w:b/>
                <w:sz w:val="18"/>
                <w:szCs w:val="18"/>
                <w:shd w:val="clear" w:color="auto" w:fill="FFFFFF"/>
                <w:lang w:val="en-US"/>
              </w:rPr>
              <w:t>(Model)</w:t>
            </w:r>
          </w:p>
        </w:tc>
        <w:tc>
          <w:tcPr>
            <w:tcW w:w="993" w:type="dxa"/>
            <w:tcBorders>
              <w:left w:val="single" w:sz="12" w:space="0" w:color="auto"/>
              <w:bottom w:val="single" w:sz="12" w:space="0" w:color="auto"/>
            </w:tcBorders>
          </w:tcPr>
          <w:p w14:paraId="5F1746FE" w14:textId="22928D68" w:rsidR="00D42C7B" w:rsidRPr="00352FB3" w:rsidRDefault="00D42C7B" w:rsidP="00990A59">
            <w:pPr>
              <w:jc w:val="center"/>
              <w:rPr>
                <w:rFonts w:ascii="Times New Roman" w:eastAsia="Times New Roman" w:hAnsi="Times New Roman" w:cs="Times New Roman"/>
                <w:b/>
                <w:sz w:val="18"/>
                <w:szCs w:val="18"/>
                <w:shd w:val="clear" w:color="auto" w:fill="FFFFFF"/>
                <w:lang w:val="en-US"/>
              </w:rPr>
            </w:pPr>
            <w:r w:rsidRPr="00352FB3">
              <w:rPr>
                <w:rFonts w:ascii="Times New Roman" w:eastAsia="Times New Roman" w:hAnsi="Times New Roman" w:cs="Times New Roman"/>
                <w:b/>
                <w:sz w:val="18"/>
                <w:szCs w:val="18"/>
                <w:shd w:val="clear" w:color="auto" w:fill="FFFFFF"/>
                <w:lang w:val="en-US"/>
              </w:rPr>
              <w:t>1</w:t>
            </w:r>
          </w:p>
        </w:tc>
        <w:tc>
          <w:tcPr>
            <w:tcW w:w="992" w:type="dxa"/>
            <w:tcBorders>
              <w:bottom w:val="single" w:sz="12" w:space="0" w:color="auto"/>
            </w:tcBorders>
            <w:noWrap/>
          </w:tcPr>
          <w:p w14:paraId="6518833A" w14:textId="18B835F1" w:rsidR="00D42C7B" w:rsidRPr="00352FB3" w:rsidRDefault="00D42C7B" w:rsidP="00990A59">
            <w:pPr>
              <w:jc w:val="center"/>
              <w:rPr>
                <w:rFonts w:ascii="Times New Roman" w:eastAsia="Times New Roman" w:hAnsi="Times New Roman" w:cs="Times New Roman"/>
                <w:b/>
                <w:sz w:val="18"/>
                <w:szCs w:val="18"/>
                <w:shd w:val="clear" w:color="auto" w:fill="FFFFFF"/>
                <w:lang w:val="en-US"/>
              </w:rPr>
            </w:pPr>
            <w:r w:rsidRPr="00352FB3">
              <w:rPr>
                <w:rFonts w:ascii="Times New Roman" w:eastAsia="Times New Roman" w:hAnsi="Times New Roman" w:cs="Times New Roman"/>
                <w:b/>
                <w:sz w:val="18"/>
                <w:szCs w:val="18"/>
                <w:shd w:val="clear" w:color="auto" w:fill="FFFFFF"/>
                <w:lang w:val="en-US"/>
              </w:rPr>
              <w:t>2</w:t>
            </w:r>
          </w:p>
        </w:tc>
        <w:tc>
          <w:tcPr>
            <w:tcW w:w="1134" w:type="dxa"/>
            <w:tcBorders>
              <w:bottom w:val="single" w:sz="12" w:space="0" w:color="auto"/>
            </w:tcBorders>
            <w:noWrap/>
          </w:tcPr>
          <w:p w14:paraId="786F3982" w14:textId="306C875E" w:rsidR="00D42C7B" w:rsidRPr="00352FB3" w:rsidRDefault="00D42C7B" w:rsidP="00990A59">
            <w:pPr>
              <w:jc w:val="center"/>
              <w:rPr>
                <w:rFonts w:ascii="Times New Roman" w:eastAsia="Times New Roman" w:hAnsi="Times New Roman" w:cs="Times New Roman"/>
                <w:b/>
                <w:sz w:val="18"/>
                <w:szCs w:val="18"/>
                <w:shd w:val="clear" w:color="auto" w:fill="FFFFFF"/>
                <w:lang w:val="en-US"/>
              </w:rPr>
            </w:pPr>
            <w:r w:rsidRPr="00352FB3">
              <w:rPr>
                <w:rFonts w:ascii="Times New Roman" w:eastAsia="Times New Roman" w:hAnsi="Times New Roman" w:cs="Times New Roman"/>
                <w:b/>
                <w:sz w:val="18"/>
                <w:szCs w:val="18"/>
                <w:shd w:val="clear" w:color="auto" w:fill="FFFFFF"/>
                <w:lang w:val="en-US"/>
              </w:rPr>
              <w:t>3</w:t>
            </w:r>
          </w:p>
        </w:tc>
        <w:tc>
          <w:tcPr>
            <w:tcW w:w="1275" w:type="dxa"/>
            <w:tcBorders>
              <w:bottom w:val="single" w:sz="12" w:space="0" w:color="auto"/>
            </w:tcBorders>
          </w:tcPr>
          <w:p w14:paraId="5DFE3094" w14:textId="4FA1A13D" w:rsidR="00D42C7B" w:rsidRPr="000972D1" w:rsidRDefault="00D42C7B" w:rsidP="00990A59">
            <w:pPr>
              <w:jc w:val="center"/>
              <w:rPr>
                <w:rFonts w:ascii="Times New Roman" w:eastAsia="Times New Roman" w:hAnsi="Times New Roman" w:cs="Times New Roman"/>
                <w:b/>
                <w:sz w:val="18"/>
                <w:szCs w:val="18"/>
                <w:shd w:val="clear" w:color="auto" w:fill="FFFFFF"/>
                <w:lang w:val="en-US"/>
              </w:rPr>
            </w:pPr>
            <w:r w:rsidRPr="000972D1">
              <w:rPr>
                <w:rFonts w:ascii="Times New Roman" w:eastAsia="Times New Roman" w:hAnsi="Times New Roman" w:cs="Times New Roman"/>
                <w:b/>
                <w:sz w:val="18"/>
                <w:szCs w:val="18"/>
                <w:shd w:val="clear" w:color="auto" w:fill="FFFFFF"/>
                <w:lang w:val="en-US"/>
              </w:rPr>
              <w:t>4</w:t>
            </w:r>
          </w:p>
        </w:tc>
        <w:tc>
          <w:tcPr>
            <w:tcW w:w="1134" w:type="dxa"/>
            <w:tcBorders>
              <w:bottom w:val="single" w:sz="12" w:space="0" w:color="auto"/>
            </w:tcBorders>
          </w:tcPr>
          <w:p w14:paraId="6BEF2E97" w14:textId="27116373" w:rsidR="00D42C7B" w:rsidRPr="00352FB3" w:rsidRDefault="00D42C7B" w:rsidP="00990A59">
            <w:pPr>
              <w:jc w:val="center"/>
              <w:rPr>
                <w:rFonts w:ascii="Times New Roman" w:eastAsia="Times New Roman" w:hAnsi="Times New Roman" w:cs="Times New Roman"/>
                <w:b/>
                <w:sz w:val="18"/>
                <w:szCs w:val="18"/>
                <w:shd w:val="clear" w:color="auto" w:fill="FFFFFF"/>
                <w:lang w:val="en-US"/>
              </w:rPr>
            </w:pPr>
            <w:r w:rsidRPr="00352FB3">
              <w:rPr>
                <w:rFonts w:ascii="Times New Roman" w:eastAsia="Times New Roman" w:hAnsi="Times New Roman" w:cs="Times New Roman"/>
                <w:b/>
                <w:sz w:val="18"/>
                <w:szCs w:val="18"/>
                <w:shd w:val="clear" w:color="auto" w:fill="FFFFFF"/>
                <w:lang w:val="en-US"/>
              </w:rPr>
              <w:t>5</w:t>
            </w:r>
          </w:p>
        </w:tc>
        <w:tc>
          <w:tcPr>
            <w:tcW w:w="992" w:type="dxa"/>
            <w:tcBorders>
              <w:bottom w:val="single" w:sz="12" w:space="0" w:color="auto"/>
            </w:tcBorders>
          </w:tcPr>
          <w:p w14:paraId="7B9A7D72" w14:textId="4A8F2AD9" w:rsidR="00D42C7B" w:rsidRPr="00352FB3" w:rsidRDefault="00D42C7B" w:rsidP="00990A59">
            <w:pPr>
              <w:jc w:val="center"/>
              <w:rPr>
                <w:rFonts w:ascii="Times New Roman" w:eastAsia="Times New Roman" w:hAnsi="Times New Roman" w:cs="Times New Roman"/>
                <w:b/>
                <w:sz w:val="18"/>
                <w:szCs w:val="18"/>
                <w:shd w:val="clear" w:color="auto" w:fill="FFFFFF"/>
                <w:lang w:val="en-US"/>
              </w:rPr>
            </w:pPr>
            <w:r w:rsidRPr="00352FB3">
              <w:rPr>
                <w:rFonts w:ascii="Times New Roman" w:eastAsia="Times New Roman" w:hAnsi="Times New Roman" w:cs="Times New Roman"/>
                <w:b/>
                <w:sz w:val="18"/>
                <w:szCs w:val="18"/>
                <w:shd w:val="clear" w:color="auto" w:fill="FFFFFF"/>
                <w:lang w:val="en-US"/>
              </w:rPr>
              <w:t>6</w:t>
            </w:r>
          </w:p>
        </w:tc>
        <w:tc>
          <w:tcPr>
            <w:tcW w:w="992" w:type="dxa"/>
            <w:tcBorders>
              <w:bottom w:val="single" w:sz="12" w:space="0" w:color="auto"/>
            </w:tcBorders>
          </w:tcPr>
          <w:p w14:paraId="70CB7CE4" w14:textId="4989B1F3" w:rsidR="00D42C7B" w:rsidRPr="00352FB3" w:rsidRDefault="00D42C7B" w:rsidP="00990A59">
            <w:pPr>
              <w:jc w:val="center"/>
              <w:rPr>
                <w:rFonts w:ascii="Times New Roman" w:eastAsia="Times New Roman" w:hAnsi="Times New Roman" w:cs="Times New Roman"/>
                <w:b/>
                <w:sz w:val="18"/>
                <w:szCs w:val="18"/>
                <w:shd w:val="clear" w:color="auto" w:fill="FFFFFF"/>
                <w:lang w:val="en-US"/>
              </w:rPr>
            </w:pPr>
            <w:r w:rsidRPr="00352FB3">
              <w:rPr>
                <w:rFonts w:ascii="Times New Roman" w:eastAsia="Times New Roman" w:hAnsi="Times New Roman" w:cs="Times New Roman"/>
                <w:b/>
                <w:sz w:val="18"/>
                <w:szCs w:val="18"/>
                <w:shd w:val="clear" w:color="auto" w:fill="FFFFFF"/>
                <w:lang w:val="en-US"/>
              </w:rPr>
              <w:t>7</w:t>
            </w:r>
          </w:p>
        </w:tc>
        <w:tc>
          <w:tcPr>
            <w:tcW w:w="993" w:type="dxa"/>
            <w:tcBorders>
              <w:bottom w:val="single" w:sz="12" w:space="0" w:color="auto"/>
            </w:tcBorders>
          </w:tcPr>
          <w:p w14:paraId="4983280B" w14:textId="3EE6886F" w:rsidR="00D42C7B" w:rsidRPr="000972D1" w:rsidRDefault="00D42C7B" w:rsidP="00990A59">
            <w:pPr>
              <w:jc w:val="center"/>
              <w:rPr>
                <w:rFonts w:ascii="Times New Roman" w:eastAsia="Times New Roman" w:hAnsi="Times New Roman" w:cs="Times New Roman"/>
                <w:b/>
                <w:sz w:val="18"/>
                <w:szCs w:val="18"/>
                <w:shd w:val="clear" w:color="auto" w:fill="FFFFFF"/>
                <w:lang w:val="en-US"/>
              </w:rPr>
            </w:pPr>
            <w:r w:rsidRPr="000972D1">
              <w:rPr>
                <w:rFonts w:ascii="Times New Roman" w:eastAsia="Times New Roman" w:hAnsi="Times New Roman" w:cs="Times New Roman"/>
                <w:b/>
                <w:sz w:val="18"/>
                <w:szCs w:val="18"/>
                <w:shd w:val="clear" w:color="auto" w:fill="FFFFFF"/>
                <w:lang w:val="en-US"/>
              </w:rPr>
              <w:t>8</w:t>
            </w:r>
          </w:p>
        </w:tc>
      </w:tr>
      <w:tr w:rsidR="00D42C7B" w:rsidRPr="00352FB3" w14:paraId="32181B44" w14:textId="1F9883DC" w:rsidTr="00911D12">
        <w:trPr>
          <w:trHeight w:val="225"/>
          <w:jc w:val="center"/>
        </w:trPr>
        <w:tc>
          <w:tcPr>
            <w:tcW w:w="1560" w:type="dxa"/>
            <w:gridSpan w:val="2"/>
            <w:tcBorders>
              <w:top w:val="single" w:sz="12" w:space="0" w:color="auto"/>
              <w:right w:val="single" w:sz="12" w:space="0" w:color="auto"/>
            </w:tcBorders>
            <w:noWrap/>
            <w:hideMark/>
          </w:tcPr>
          <w:p w14:paraId="7D73CFE4" w14:textId="52DC7A05" w:rsidR="00D42C7B" w:rsidRPr="00352FB3" w:rsidRDefault="00D42C7B" w:rsidP="00D42C7B">
            <w:pP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BRDS</w:t>
            </w:r>
          </w:p>
        </w:tc>
        <w:tc>
          <w:tcPr>
            <w:tcW w:w="993" w:type="dxa"/>
            <w:tcBorders>
              <w:top w:val="single" w:sz="12" w:space="0" w:color="auto"/>
            </w:tcBorders>
          </w:tcPr>
          <w:p w14:paraId="2E8ED4EC" w14:textId="221147BA" w:rsidR="00D42C7B" w:rsidRPr="00352FB3" w:rsidRDefault="002635B6" w:rsidP="00D42C7B">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0.037</w:t>
            </w:r>
          </w:p>
          <w:p w14:paraId="1EB8B145" w14:textId="79297D90" w:rsidR="00D42C7B" w:rsidRPr="00352FB3" w:rsidRDefault="002635B6" w:rsidP="00D42C7B">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(0.934</w:t>
            </w:r>
            <w:r w:rsidR="00D42C7B" w:rsidRPr="00352FB3">
              <w:rPr>
                <w:rFonts w:ascii="Times New Roman" w:eastAsia="Times New Roman" w:hAnsi="Times New Roman" w:cs="Times New Roman"/>
                <w:sz w:val="18"/>
                <w:szCs w:val="18"/>
                <w:shd w:val="clear" w:color="auto" w:fill="FFFFFF"/>
                <w:lang w:val="en-US"/>
              </w:rPr>
              <w:t>)</w:t>
            </w:r>
          </w:p>
        </w:tc>
        <w:tc>
          <w:tcPr>
            <w:tcW w:w="992" w:type="dxa"/>
            <w:tcBorders>
              <w:top w:val="single" w:sz="12" w:space="0" w:color="auto"/>
            </w:tcBorders>
            <w:noWrap/>
          </w:tcPr>
          <w:p w14:paraId="6A3C82B5" w14:textId="4D518C6A" w:rsidR="00D42C7B" w:rsidRPr="00352FB3" w:rsidRDefault="00D42C7B" w:rsidP="00D42C7B">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w:t>
            </w:r>
          </w:p>
        </w:tc>
        <w:tc>
          <w:tcPr>
            <w:tcW w:w="1134" w:type="dxa"/>
            <w:tcBorders>
              <w:top w:val="single" w:sz="12" w:space="0" w:color="auto"/>
            </w:tcBorders>
            <w:noWrap/>
          </w:tcPr>
          <w:p w14:paraId="4C849F04" w14:textId="21CF969E" w:rsidR="00D42C7B" w:rsidRPr="00352FB3" w:rsidRDefault="00D42C7B" w:rsidP="00D42C7B">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0.2</w:t>
            </w:r>
            <w:r w:rsidR="00C60057" w:rsidRPr="00352FB3">
              <w:rPr>
                <w:rFonts w:ascii="Times New Roman" w:eastAsia="Times New Roman" w:hAnsi="Times New Roman" w:cs="Times New Roman"/>
                <w:sz w:val="18"/>
                <w:szCs w:val="18"/>
                <w:shd w:val="clear" w:color="auto" w:fill="FFFFFF"/>
                <w:lang w:val="en-US"/>
              </w:rPr>
              <w:t>64</w:t>
            </w:r>
          </w:p>
          <w:p w14:paraId="2E6F395D" w14:textId="1A92ED2C" w:rsidR="00D42C7B" w:rsidRPr="00352FB3" w:rsidRDefault="00C60057" w:rsidP="00D42C7B">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(0.572</w:t>
            </w:r>
            <w:r w:rsidR="00D42C7B" w:rsidRPr="00352FB3">
              <w:rPr>
                <w:rFonts w:ascii="Times New Roman" w:eastAsia="Times New Roman" w:hAnsi="Times New Roman" w:cs="Times New Roman"/>
                <w:sz w:val="18"/>
                <w:szCs w:val="18"/>
                <w:shd w:val="clear" w:color="auto" w:fill="FFFFFF"/>
                <w:lang w:val="en-US"/>
              </w:rPr>
              <w:t>)</w:t>
            </w:r>
          </w:p>
        </w:tc>
        <w:tc>
          <w:tcPr>
            <w:tcW w:w="1275" w:type="dxa"/>
            <w:tcBorders>
              <w:top w:val="single" w:sz="12" w:space="0" w:color="auto"/>
            </w:tcBorders>
          </w:tcPr>
          <w:p w14:paraId="05D120CD" w14:textId="13BC86E5" w:rsidR="00D42C7B" w:rsidRPr="000972D1" w:rsidRDefault="00130E1F" w:rsidP="00D42C7B">
            <w:pPr>
              <w:jc w:val="center"/>
              <w:rPr>
                <w:rFonts w:ascii="Times New Roman" w:eastAsia="Times New Roman" w:hAnsi="Times New Roman" w:cs="Times New Roman"/>
                <w:sz w:val="18"/>
                <w:szCs w:val="18"/>
                <w:shd w:val="clear" w:color="auto" w:fill="FFFFFF"/>
                <w:lang w:val="en-US"/>
              </w:rPr>
            </w:pPr>
            <w:r w:rsidRPr="000972D1">
              <w:rPr>
                <w:rFonts w:ascii="Times New Roman" w:eastAsia="Times New Roman" w:hAnsi="Times New Roman" w:cs="Times New Roman"/>
                <w:sz w:val="18"/>
                <w:szCs w:val="18"/>
                <w:shd w:val="clear" w:color="auto" w:fill="FFFFFF"/>
                <w:lang w:val="en-US"/>
              </w:rPr>
              <w:t>-</w:t>
            </w:r>
          </w:p>
        </w:tc>
        <w:tc>
          <w:tcPr>
            <w:tcW w:w="1134" w:type="dxa"/>
            <w:tcBorders>
              <w:top w:val="single" w:sz="12" w:space="0" w:color="auto"/>
            </w:tcBorders>
          </w:tcPr>
          <w:p w14:paraId="388F1748" w14:textId="71CE6FAB" w:rsidR="00D42C7B" w:rsidRPr="00352FB3" w:rsidRDefault="00314DD6" w:rsidP="00D42C7B">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0.292</w:t>
            </w:r>
            <w:r w:rsidR="00D42C7B" w:rsidRPr="00352FB3">
              <w:rPr>
                <w:rFonts w:ascii="Times New Roman" w:eastAsia="Times New Roman" w:hAnsi="Times New Roman" w:cs="Times New Roman"/>
                <w:sz w:val="18"/>
                <w:szCs w:val="18"/>
                <w:shd w:val="clear" w:color="auto" w:fill="FFFFFF"/>
                <w:lang w:val="en-US"/>
              </w:rPr>
              <w:t>***</w:t>
            </w:r>
          </w:p>
          <w:p w14:paraId="63D06CFD" w14:textId="487C2261" w:rsidR="00D42C7B" w:rsidRPr="00352FB3" w:rsidRDefault="00D42C7B" w:rsidP="00314DD6">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(0.00</w:t>
            </w:r>
            <w:r w:rsidR="00314DD6" w:rsidRPr="00352FB3">
              <w:rPr>
                <w:rFonts w:ascii="Times New Roman" w:eastAsia="Times New Roman" w:hAnsi="Times New Roman" w:cs="Times New Roman"/>
                <w:sz w:val="18"/>
                <w:szCs w:val="18"/>
                <w:shd w:val="clear" w:color="auto" w:fill="FFFFFF"/>
                <w:lang w:val="en-US"/>
              </w:rPr>
              <w:t>2</w:t>
            </w:r>
            <w:r w:rsidRPr="00352FB3">
              <w:rPr>
                <w:rFonts w:ascii="Times New Roman" w:eastAsia="Times New Roman" w:hAnsi="Times New Roman" w:cs="Times New Roman"/>
                <w:sz w:val="18"/>
                <w:szCs w:val="18"/>
                <w:shd w:val="clear" w:color="auto" w:fill="FFFFFF"/>
                <w:lang w:val="en-US"/>
              </w:rPr>
              <w:t>)</w:t>
            </w:r>
          </w:p>
        </w:tc>
        <w:tc>
          <w:tcPr>
            <w:tcW w:w="992" w:type="dxa"/>
            <w:tcBorders>
              <w:top w:val="single" w:sz="12" w:space="0" w:color="auto"/>
            </w:tcBorders>
          </w:tcPr>
          <w:p w14:paraId="44461CF2" w14:textId="2B85C058" w:rsidR="00D42C7B" w:rsidRPr="00352FB3" w:rsidRDefault="00D42C7B" w:rsidP="00D42C7B">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w:t>
            </w:r>
          </w:p>
        </w:tc>
        <w:tc>
          <w:tcPr>
            <w:tcW w:w="992" w:type="dxa"/>
            <w:tcBorders>
              <w:top w:val="single" w:sz="12" w:space="0" w:color="auto"/>
            </w:tcBorders>
          </w:tcPr>
          <w:p w14:paraId="4530B248" w14:textId="01D3A3CA" w:rsidR="00D42C7B" w:rsidRPr="00352FB3" w:rsidRDefault="00090025" w:rsidP="00D42C7B">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0.350</w:t>
            </w:r>
            <w:r w:rsidR="00D42C7B" w:rsidRPr="00352FB3">
              <w:rPr>
                <w:rFonts w:ascii="Times New Roman" w:eastAsia="Times New Roman" w:hAnsi="Times New Roman" w:cs="Times New Roman"/>
                <w:sz w:val="18"/>
                <w:szCs w:val="18"/>
                <w:shd w:val="clear" w:color="auto" w:fill="FFFFFF"/>
                <w:lang w:val="en-US"/>
              </w:rPr>
              <w:t>***</w:t>
            </w:r>
          </w:p>
          <w:p w14:paraId="50D14C4D" w14:textId="7834447A" w:rsidR="00D42C7B" w:rsidRPr="00352FB3" w:rsidRDefault="00D42C7B" w:rsidP="00D42C7B">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(0.001)</w:t>
            </w:r>
          </w:p>
        </w:tc>
        <w:tc>
          <w:tcPr>
            <w:tcW w:w="993" w:type="dxa"/>
            <w:tcBorders>
              <w:top w:val="single" w:sz="12" w:space="0" w:color="auto"/>
            </w:tcBorders>
          </w:tcPr>
          <w:p w14:paraId="3EF402B1" w14:textId="56410C4C" w:rsidR="00D42C7B" w:rsidRPr="000972D1" w:rsidRDefault="00090025" w:rsidP="00D42C7B">
            <w:pPr>
              <w:jc w:val="center"/>
              <w:rPr>
                <w:rFonts w:ascii="Times New Roman" w:eastAsia="Times New Roman" w:hAnsi="Times New Roman" w:cs="Times New Roman"/>
                <w:sz w:val="18"/>
                <w:szCs w:val="18"/>
                <w:shd w:val="clear" w:color="auto" w:fill="FFFFFF"/>
                <w:lang w:val="en-US"/>
              </w:rPr>
            </w:pPr>
            <w:r w:rsidRPr="000972D1">
              <w:rPr>
                <w:rFonts w:ascii="Times New Roman" w:eastAsia="Times New Roman" w:hAnsi="Times New Roman" w:cs="Times New Roman"/>
                <w:sz w:val="18"/>
                <w:szCs w:val="18"/>
                <w:shd w:val="clear" w:color="auto" w:fill="FFFFFF"/>
                <w:lang w:val="en-US"/>
              </w:rPr>
              <w:t>-</w:t>
            </w:r>
          </w:p>
        </w:tc>
      </w:tr>
      <w:tr w:rsidR="00D42C7B" w:rsidRPr="00352FB3" w14:paraId="28EEFC20" w14:textId="69DB0E93" w:rsidTr="00911D12">
        <w:trPr>
          <w:trHeight w:val="300"/>
          <w:jc w:val="center"/>
        </w:trPr>
        <w:tc>
          <w:tcPr>
            <w:tcW w:w="1560" w:type="dxa"/>
            <w:gridSpan w:val="2"/>
            <w:tcBorders>
              <w:right w:val="single" w:sz="12" w:space="0" w:color="auto"/>
            </w:tcBorders>
            <w:noWrap/>
            <w:hideMark/>
          </w:tcPr>
          <w:p w14:paraId="61DAC6CF" w14:textId="05C5DD1A" w:rsidR="00D42C7B" w:rsidRPr="00352FB3" w:rsidRDefault="00D42C7B" w:rsidP="00D42C7B">
            <w:pP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IND</w:t>
            </w:r>
          </w:p>
        </w:tc>
        <w:tc>
          <w:tcPr>
            <w:tcW w:w="993" w:type="dxa"/>
          </w:tcPr>
          <w:p w14:paraId="4EAC9F62" w14:textId="1C511C0D" w:rsidR="00D42C7B" w:rsidRPr="00352FB3" w:rsidRDefault="002635B6" w:rsidP="00D42C7B">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4.662</w:t>
            </w:r>
            <w:r w:rsidR="00D42C7B" w:rsidRPr="00352FB3">
              <w:rPr>
                <w:rFonts w:ascii="Times New Roman" w:eastAsia="Times New Roman" w:hAnsi="Times New Roman" w:cs="Times New Roman"/>
                <w:sz w:val="18"/>
                <w:szCs w:val="18"/>
                <w:shd w:val="clear" w:color="auto" w:fill="FFFFFF"/>
                <w:lang w:val="en-US"/>
              </w:rPr>
              <w:t>***</w:t>
            </w:r>
          </w:p>
          <w:p w14:paraId="6630A6BA" w14:textId="4F6B5E33" w:rsidR="00D42C7B" w:rsidRPr="00352FB3" w:rsidRDefault="00D42C7B" w:rsidP="00D42C7B">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(0.000)</w:t>
            </w:r>
          </w:p>
        </w:tc>
        <w:tc>
          <w:tcPr>
            <w:tcW w:w="992" w:type="dxa"/>
            <w:noWrap/>
          </w:tcPr>
          <w:p w14:paraId="12369159" w14:textId="65099E12" w:rsidR="00D42C7B" w:rsidRPr="00352FB3" w:rsidRDefault="00D42C7B" w:rsidP="00D42C7B">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w:t>
            </w:r>
          </w:p>
        </w:tc>
        <w:tc>
          <w:tcPr>
            <w:tcW w:w="1134" w:type="dxa"/>
            <w:noWrap/>
          </w:tcPr>
          <w:p w14:paraId="3D0206AF" w14:textId="4BD528F5" w:rsidR="00D42C7B" w:rsidRPr="00352FB3" w:rsidRDefault="00C60057" w:rsidP="00D42C7B">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3</w:t>
            </w:r>
            <w:r w:rsidR="00D42C7B" w:rsidRPr="00352FB3">
              <w:rPr>
                <w:rFonts w:ascii="Times New Roman" w:eastAsia="Times New Roman" w:hAnsi="Times New Roman" w:cs="Times New Roman"/>
                <w:sz w:val="18"/>
                <w:szCs w:val="18"/>
                <w:shd w:val="clear" w:color="auto" w:fill="FFFFFF"/>
                <w:lang w:val="en-US"/>
              </w:rPr>
              <w:t>.</w:t>
            </w:r>
            <w:r w:rsidRPr="00352FB3">
              <w:rPr>
                <w:rFonts w:ascii="Times New Roman" w:eastAsia="Times New Roman" w:hAnsi="Times New Roman" w:cs="Times New Roman"/>
                <w:sz w:val="18"/>
                <w:szCs w:val="18"/>
                <w:shd w:val="clear" w:color="auto" w:fill="FFFFFF"/>
                <w:lang w:val="en-US"/>
              </w:rPr>
              <w:t>971</w:t>
            </w:r>
            <w:r w:rsidR="00D42C7B" w:rsidRPr="00352FB3">
              <w:rPr>
                <w:rFonts w:ascii="Times New Roman" w:eastAsia="Times New Roman" w:hAnsi="Times New Roman" w:cs="Times New Roman"/>
                <w:sz w:val="18"/>
                <w:szCs w:val="18"/>
                <w:shd w:val="clear" w:color="auto" w:fill="FFFFFF"/>
                <w:lang w:val="en-US"/>
              </w:rPr>
              <w:t>***</w:t>
            </w:r>
          </w:p>
          <w:p w14:paraId="5272C09F" w14:textId="11C741DE" w:rsidR="00D42C7B" w:rsidRPr="00352FB3" w:rsidRDefault="00D42C7B" w:rsidP="00D42C7B">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(0.000)</w:t>
            </w:r>
          </w:p>
        </w:tc>
        <w:tc>
          <w:tcPr>
            <w:tcW w:w="1275" w:type="dxa"/>
          </w:tcPr>
          <w:p w14:paraId="20561815" w14:textId="53C6E21C" w:rsidR="00D42C7B" w:rsidRPr="000972D1" w:rsidRDefault="00130E1F" w:rsidP="00D42C7B">
            <w:pPr>
              <w:jc w:val="center"/>
              <w:rPr>
                <w:rFonts w:ascii="Times New Roman" w:eastAsia="Times New Roman" w:hAnsi="Times New Roman" w:cs="Times New Roman"/>
                <w:sz w:val="18"/>
                <w:szCs w:val="18"/>
                <w:shd w:val="clear" w:color="auto" w:fill="FFFFFF"/>
                <w:lang w:val="en-US"/>
              </w:rPr>
            </w:pPr>
            <w:r w:rsidRPr="000972D1">
              <w:rPr>
                <w:rFonts w:ascii="Times New Roman" w:eastAsia="Times New Roman" w:hAnsi="Times New Roman" w:cs="Times New Roman"/>
                <w:sz w:val="18"/>
                <w:szCs w:val="18"/>
                <w:shd w:val="clear" w:color="auto" w:fill="FFFFFF"/>
                <w:lang w:val="en-US"/>
              </w:rPr>
              <w:t>-</w:t>
            </w:r>
          </w:p>
        </w:tc>
        <w:tc>
          <w:tcPr>
            <w:tcW w:w="1134" w:type="dxa"/>
          </w:tcPr>
          <w:p w14:paraId="4BCD850D" w14:textId="708AA257" w:rsidR="00D42C7B" w:rsidRPr="00352FB3" w:rsidRDefault="00314DD6" w:rsidP="00D42C7B">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0.581</w:t>
            </w:r>
            <w:r w:rsidR="00D42C7B" w:rsidRPr="00352FB3">
              <w:rPr>
                <w:rFonts w:ascii="Times New Roman" w:eastAsia="Times New Roman" w:hAnsi="Times New Roman" w:cs="Times New Roman"/>
                <w:sz w:val="18"/>
                <w:szCs w:val="18"/>
                <w:shd w:val="clear" w:color="auto" w:fill="FFFFFF"/>
                <w:lang w:val="en-US"/>
              </w:rPr>
              <w:t>***</w:t>
            </w:r>
          </w:p>
          <w:p w14:paraId="5AF83760" w14:textId="653F2FCF" w:rsidR="00D42C7B" w:rsidRPr="00352FB3" w:rsidRDefault="00D42C7B" w:rsidP="00314DD6">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(0.00</w:t>
            </w:r>
            <w:r w:rsidR="00314DD6" w:rsidRPr="00352FB3">
              <w:rPr>
                <w:rFonts w:ascii="Times New Roman" w:eastAsia="Times New Roman" w:hAnsi="Times New Roman" w:cs="Times New Roman"/>
                <w:sz w:val="18"/>
                <w:szCs w:val="18"/>
                <w:shd w:val="clear" w:color="auto" w:fill="FFFFFF"/>
                <w:lang w:val="en-US"/>
              </w:rPr>
              <w:t>9</w:t>
            </w:r>
            <w:r w:rsidRPr="00352FB3">
              <w:rPr>
                <w:rFonts w:ascii="Times New Roman" w:eastAsia="Times New Roman" w:hAnsi="Times New Roman" w:cs="Times New Roman"/>
                <w:sz w:val="18"/>
                <w:szCs w:val="18"/>
                <w:shd w:val="clear" w:color="auto" w:fill="FFFFFF"/>
                <w:lang w:val="en-US"/>
              </w:rPr>
              <w:t>)</w:t>
            </w:r>
          </w:p>
        </w:tc>
        <w:tc>
          <w:tcPr>
            <w:tcW w:w="992" w:type="dxa"/>
          </w:tcPr>
          <w:p w14:paraId="25370C09" w14:textId="1A4526EA" w:rsidR="00D42C7B" w:rsidRPr="00352FB3" w:rsidRDefault="00D42C7B" w:rsidP="00D42C7B">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w:t>
            </w:r>
          </w:p>
        </w:tc>
        <w:tc>
          <w:tcPr>
            <w:tcW w:w="992" w:type="dxa"/>
          </w:tcPr>
          <w:p w14:paraId="69F28D29" w14:textId="3A6EE730" w:rsidR="00D42C7B" w:rsidRPr="00352FB3" w:rsidRDefault="00D42C7B" w:rsidP="00D42C7B">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w:t>
            </w:r>
            <w:r w:rsidR="00C94E7E" w:rsidRPr="00352FB3">
              <w:rPr>
                <w:rFonts w:ascii="Times New Roman" w:eastAsia="Times New Roman" w:hAnsi="Times New Roman" w:cs="Times New Roman"/>
                <w:sz w:val="18"/>
                <w:szCs w:val="18"/>
                <w:shd w:val="clear" w:color="auto" w:fill="FFFFFF"/>
                <w:lang w:val="en-US"/>
              </w:rPr>
              <w:t>536**</w:t>
            </w:r>
          </w:p>
          <w:p w14:paraId="4BD57362" w14:textId="2DFC12ED" w:rsidR="00D42C7B" w:rsidRPr="00352FB3" w:rsidRDefault="00090025" w:rsidP="00C94E7E">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w:t>
            </w:r>
            <w:r w:rsidR="00C94E7E" w:rsidRPr="00352FB3">
              <w:rPr>
                <w:rFonts w:ascii="Times New Roman" w:eastAsia="Times New Roman" w:hAnsi="Times New Roman" w:cs="Times New Roman"/>
                <w:sz w:val="18"/>
                <w:szCs w:val="18"/>
                <w:shd w:val="clear" w:color="auto" w:fill="FFFFFF"/>
                <w:lang w:val="en-US"/>
              </w:rPr>
              <w:t>014</w:t>
            </w:r>
            <w:r w:rsidR="00D42C7B" w:rsidRPr="00352FB3">
              <w:rPr>
                <w:rFonts w:ascii="Times New Roman" w:eastAsia="Times New Roman" w:hAnsi="Times New Roman" w:cs="Times New Roman"/>
                <w:sz w:val="18"/>
                <w:szCs w:val="18"/>
                <w:shd w:val="clear" w:color="auto" w:fill="FFFFFF"/>
                <w:lang w:val="en-US"/>
              </w:rPr>
              <w:t>)</w:t>
            </w:r>
          </w:p>
        </w:tc>
        <w:tc>
          <w:tcPr>
            <w:tcW w:w="993" w:type="dxa"/>
          </w:tcPr>
          <w:p w14:paraId="7B488A4F" w14:textId="58F2EC61" w:rsidR="00D42C7B" w:rsidRPr="000972D1" w:rsidRDefault="00090025" w:rsidP="00D42C7B">
            <w:pPr>
              <w:jc w:val="center"/>
              <w:rPr>
                <w:rFonts w:ascii="Times New Roman" w:eastAsia="Times New Roman" w:hAnsi="Times New Roman" w:cs="Times New Roman"/>
                <w:sz w:val="18"/>
                <w:szCs w:val="18"/>
                <w:shd w:val="clear" w:color="auto" w:fill="FFFFFF"/>
                <w:lang w:val="en-US"/>
              </w:rPr>
            </w:pPr>
            <w:r w:rsidRPr="000972D1">
              <w:rPr>
                <w:rFonts w:ascii="Times New Roman" w:eastAsia="Times New Roman" w:hAnsi="Times New Roman" w:cs="Times New Roman"/>
                <w:sz w:val="18"/>
                <w:szCs w:val="18"/>
                <w:shd w:val="clear" w:color="auto" w:fill="FFFFFF"/>
                <w:lang w:val="en-US"/>
              </w:rPr>
              <w:t>-</w:t>
            </w:r>
          </w:p>
        </w:tc>
      </w:tr>
      <w:tr w:rsidR="00D42C7B" w:rsidRPr="00352FB3" w14:paraId="27740226" w14:textId="6E33A368" w:rsidTr="00911D12">
        <w:trPr>
          <w:trHeight w:val="300"/>
          <w:jc w:val="center"/>
        </w:trPr>
        <w:tc>
          <w:tcPr>
            <w:tcW w:w="1560" w:type="dxa"/>
            <w:gridSpan w:val="2"/>
            <w:tcBorders>
              <w:right w:val="single" w:sz="12" w:space="0" w:color="auto"/>
            </w:tcBorders>
            <w:noWrap/>
            <w:hideMark/>
          </w:tcPr>
          <w:p w14:paraId="734B222D" w14:textId="6CF62AA4" w:rsidR="00D42C7B" w:rsidRPr="00352FB3" w:rsidRDefault="00D42C7B" w:rsidP="00D42C7B">
            <w:pP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bCs/>
                <w:sz w:val="18"/>
                <w:szCs w:val="18"/>
                <w:shd w:val="clear" w:color="auto" w:fill="FFFFFF"/>
              </w:rPr>
              <w:t>UBL</w:t>
            </w:r>
          </w:p>
        </w:tc>
        <w:tc>
          <w:tcPr>
            <w:tcW w:w="993" w:type="dxa"/>
          </w:tcPr>
          <w:p w14:paraId="5C4EA671" w14:textId="1EB05154" w:rsidR="00D42C7B" w:rsidRPr="00352FB3" w:rsidRDefault="002635B6" w:rsidP="00D42C7B">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-0.429</w:t>
            </w:r>
          </w:p>
          <w:p w14:paraId="089C109A" w14:textId="558B60BD" w:rsidR="00D42C7B" w:rsidRPr="00352FB3" w:rsidRDefault="002635B6" w:rsidP="00D42C7B">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(0.216</w:t>
            </w:r>
            <w:r w:rsidR="00D42C7B" w:rsidRPr="00352FB3">
              <w:rPr>
                <w:rFonts w:ascii="Times New Roman" w:eastAsia="Times New Roman" w:hAnsi="Times New Roman" w:cs="Times New Roman"/>
                <w:sz w:val="18"/>
                <w:szCs w:val="18"/>
                <w:shd w:val="clear" w:color="auto" w:fill="FFFFFF"/>
                <w:lang w:val="en-US"/>
              </w:rPr>
              <w:t>)</w:t>
            </w:r>
          </w:p>
        </w:tc>
        <w:tc>
          <w:tcPr>
            <w:tcW w:w="992" w:type="dxa"/>
            <w:noWrap/>
          </w:tcPr>
          <w:p w14:paraId="3A0FDCC3" w14:textId="49576873" w:rsidR="00D42C7B" w:rsidRPr="00352FB3" w:rsidRDefault="00D42C7B" w:rsidP="00D42C7B">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w:t>
            </w:r>
          </w:p>
        </w:tc>
        <w:tc>
          <w:tcPr>
            <w:tcW w:w="1134" w:type="dxa"/>
            <w:noWrap/>
          </w:tcPr>
          <w:p w14:paraId="394EED94" w14:textId="150FFBEF" w:rsidR="00D42C7B" w:rsidRPr="00352FB3" w:rsidRDefault="00D42C7B" w:rsidP="00D42C7B">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w:t>
            </w:r>
            <w:r w:rsidR="00C60057" w:rsidRPr="00352FB3">
              <w:rPr>
                <w:rFonts w:ascii="Times New Roman" w:eastAsia="Times New Roman" w:hAnsi="Times New Roman" w:cs="Times New Roman"/>
                <w:sz w:val="18"/>
                <w:szCs w:val="18"/>
                <w:shd w:val="clear" w:color="auto" w:fill="FFFFFF"/>
                <w:lang w:val="en-US"/>
              </w:rPr>
              <w:t>445</w:t>
            </w:r>
          </w:p>
          <w:p w14:paraId="0D95014E" w14:textId="323E785D" w:rsidR="00D42C7B" w:rsidRPr="00352FB3" w:rsidRDefault="00C60057" w:rsidP="00D42C7B">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(0.213</w:t>
            </w:r>
            <w:r w:rsidR="00D42C7B" w:rsidRPr="00352FB3">
              <w:rPr>
                <w:rFonts w:ascii="Times New Roman" w:eastAsia="Times New Roman" w:hAnsi="Times New Roman" w:cs="Times New Roman"/>
                <w:sz w:val="18"/>
                <w:szCs w:val="18"/>
                <w:shd w:val="clear" w:color="auto" w:fill="FFFFFF"/>
                <w:lang w:val="en-US"/>
              </w:rPr>
              <w:t>)</w:t>
            </w:r>
          </w:p>
        </w:tc>
        <w:tc>
          <w:tcPr>
            <w:tcW w:w="1275" w:type="dxa"/>
          </w:tcPr>
          <w:p w14:paraId="7D4973A9" w14:textId="316CD9BF" w:rsidR="00D42C7B" w:rsidRPr="000972D1" w:rsidRDefault="00130E1F" w:rsidP="00D42C7B">
            <w:pPr>
              <w:jc w:val="center"/>
              <w:rPr>
                <w:rFonts w:ascii="Times New Roman" w:eastAsia="Times New Roman" w:hAnsi="Times New Roman" w:cs="Times New Roman"/>
                <w:sz w:val="18"/>
                <w:szCs w:val="18"/>
                <w:shd w:val="clear" w:color="auto" w:fill="FFFFFF"/>
                <w:lang w:val="en-US"/>
              </w:rPr>
            </w:pPr>
            <w:r w:rsidRPr="000972D1">
              <w:rPr>
                <w:rFonts w:ascii="Times New Roman" w:eastAsia="Times New Roman" w:hAnsi="Times New Roman" w:cs="Times New Roman"/>
                <w:sz w:val="18"/>
                <w:szCs w:val="18"/>
                <w:shd w:val="clear" w:color="auto" w:fill="FFFFFF"/>
                <w:lang w:val="en-US"/>
              </w:rPr>
              <w:t>-</w:t>
            </w:r>
          </w:p>
        </w:tc>
        <w:tc>
          <w:tcPr>
            <w:tcW w:w="1134" w:type="dxa"/>
          </w:tcPr>
          <w:p w14:paraId="0C64B9A1" w14:textId="7BCBF528" w:rsidR="00D42C7B" w:rsidRPr="00352FB3" w:rsidRDefault="00D42C7B" w:rsidP="00D42C7B">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-0.0</w:t>
            </w:r>
            <w:r w:rsidR="00314DD6" w:rsidRPr="00352FB3">
              <w:rPr>
                <w:rFonts w:ascii="Times New Roman" w:eastAsia="Times New Roman" w:hAnsi="Times New Roman" w:cs="Times New Roman"/>
                <w:sz w:val="18"/>
                <w:szCs w:val="18"/>
                <w:shd w:val="clear" w:color="auto" w:fill="FFFFFF"/>
                <w:lang w:val="en-US"/>
              </w:rPr>
              <w:t>17</w:t>
            </w:r>
          </w:p>
          <w:p w14:paraId="34BE214D" w14:textId="53073538" w:rsidR="00D42C7B" w:rsidRPr="00352FB3" w:rsidRDefault="00314DD6" w:rsidP="00D42C7B">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(0.830</w:t>
            </w:r>
            <w:r w:rsidR="00D42C7B" w:rsidRPr="00352FB3">
              <w:rPr>
                <w:rFonts w:ascii="Times New Roman" w:eastAsia="Times New Roman" w:hAnsi="Times New Roman" w:cs="Times New Roman"/>
                <w:sz w:val="18"/>
                <w:szCs w:val="18"/>
                <w:shd w:val="clear" w:color="auto" w:fill="FFFFFF"/>
                <w:lang w:val="en-US"/>
              </w:rPr>
              <w:t>)</w:t>
            </w:r>
          </w:p>
        </w:tc>
        <w:tc>
          <w:tcPr>
            <w:tcW w:w="992" w:type="dxa"/>
          </w:tcPr>
          <w:p w14:paraId="0E2DAEBF" w14:textId="0E6C1373" w:rsidR="00D42C7B" w:rsidRPr="00352FB3" w:rsidRDefault="00D42C7B" w:rsidP="00D42C7B">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w:t>
            </w:r>
          </w:p>
        </w:tc>
        <w:tc>
          <w:tcPr>
            <w:tcW w:w="992" w:type="dxa"/>
          </w:tcPr>
          <w:p w14:paraId="4BE00148" w14:textId="2942752C" w:rsidR="00090025" w:rsidRPr="00352FB3" w:rsidRDefault="00D42C7B" w:rsidP="0009002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0.0</w:t>
            </w:r>
            <w:r w:rsidR="00090025" w:rsidRPr="00352FB3">
              <w:rPr>
                <w:rFonts w:ascii="Times New Roman" w:eastAsia="Times New Roman" w:hAnsi="Times New Roman" w:cs="Times New Roman"/>
                <w:sz w:val="18"/>
                <w:szCs w:val="18"/>
                <w:shd w:val="clear" w:color="auto" w:fill="FFFFFF"/>
                <w:lang w:val="en-US"/>
              </w:rPr>
              <w:t>21</w:t>
            </w:r>
          </w:p>
          <w:p w14:paraId="099589B1" w14:textId="0F5B9656" w:rsidR="00D42C7B" w:rsidRPr="00352FB3" w:rsidRDefault="00090025" w:rsidP="0009002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(0.788</w:t>
            </w:r>
            <w:r w:rsidR="00D42C7B" w:rsidRPr="00352FB3">
              <w:rPr>
                <w:rFonts w:ascii="Times New Roman" w:eastAsia="Times New Roman" w:hAnsi="Times New Roman" w:cs="Times New Roman"/>
                <w:sz w:val="18"/>
                <w:szCs w:val="18"/>
                <w:shd w:val="clear" w:color="auto" w:fill="FFFFFF"/>
                <w:lang w:val="en-US"/>
              </w:rPr>
              <w:t>)</w:t>
            </w:r>
          </w:p>
        </w:tc>
        <w:tc>
          <w:tcPr>
            <w:tcW w:w="993" w:type="dxa"/>
          </w:tcPr>
          <w:p w14:paraId="6D31B830" w14:textId="4BF342AA" w:rsidR="00D42C7B" w:rsidRPr="000972D1" w:rsidRDefault="00090025" w:rsidP="00D42C7B">
            <w:pPr>
              <w:jc w:val="center"/>
              <w:rPr>
                <w:rFonts w:ascii="Times New Roman" w:eastAsia="Times New Roman" w:hAnsi="Times New Roman" w:cs="Times New Roman"/>
                <w:sz w:val="18"/>
                <w:szCs w:val="18"/>
                <w:shd w:val="clear" w:color="auto" w:fill="FFFFFF"/>
                <w:lang w:val="en-US"/>
              </w:rPr>
            </w:pPr>
            <w:r w:rsidRPr="000972D1">
              <w:rPr>
                <w:rFonts w:ascii="Times New Roman" w:eastAsia="Times New Roman" w:hAnsi="Times New Roman" w:cs="Times New Roman"/>
                <w:sz w:val="18"/>
                <w:szCs w:val="18"/>
                <w:shd w:val="clear" w:color="auto" w:fill="FFFFFF"/>
                <w:lang w:val="en-US"/>
              </w:rPr>
              <w:t>-</w:t>
            </w:r>
          </w:p>
        </w:tc>
      </w:tr>
      <w:tr w:rsidR="00D42C7B" w:rsidRPr="00352FB3" w14:paraId="7E977AF0" w14:textId="73026EFB" w:rsidTr="00911D12">
        <w:trPr>
          <w:trHeight w:val="300"/>
          <w:jc w:val="center"/>
        </w:trPr>
        <w:tc>
          <w:tcPr>
            <w:tcW w:w="1560" w:type="dxa"/>
            <w:gridSpan w:val="2"/>
            <w:tcBorders>
              <w:right w:val="single" w:sz="12" w:space="0" w:color="auto"/>
            </w:tcBorders>
            <w:noWrap/>
          </w:tcPr>
          <w:p w14:paraId="2630A186" w14:textId="6B9E0C15" w:rsidR="00D42C7B" w:rsidRPr="00352FB3" w:rsidRDefault="00D42C7B" w:rsidP="00D42C7B">
            <w:pPr>
              <w:rPr>
                <w:rFonts w:ascii="Times New Roman" w:eastAsia="Times New Roman" w:hAnsi="Times New Roman" w:cs="Times New Roman"/>
                <w:bCs/>
                <w:sz w:val="18"/>
                <w:szCs w:val="18"/>
                <w:shd w:val="clear" w:color="auto" w:fill="FFFFFF"/>
              </w:rPr>
            </w:pPr>
            <w:r w:rsidRPr="00352FB3">
              <w:rPr>
                <w:rFonts w:ascii="Times New Roman" w:eastAsia="Times New Roman" w:hAnsi="Times New Roman" w:cs="Times New Roman"/>
                <w:bCs/>
                <w:sz w:val="18"/>
                <w:szCs w:val="18"/>
                <w:shd w:val="clear" w:color="auto" w:fill="FFFFFF"/>
              </w:rPr>
              <w:t>BRDGI</w:t>
            </w:r>
          </w:p>
        </w:tc>
        <w:tc>
          <w:tcPr>
            <w:tcW w:w="993" w:type="dxa"/>
          </w:tcPr>
          <w:p w14:paraId="32B16B85" w14:textId="1D6623C0" w:rsidR="00D42C7B" w:rsidRPr="00352FB3" w:rsidRDefault="00D42C7B" w:rsidP="00D42C7B">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w:t>
            </w:r>
          </w:p>
        </w:tc>
        <w:tc>
          <w:tcPr>
            <w:tcW w:w="992" w:type="dxa"/>
            <w:noWrap/>
          </w:tcPr>
          <w:p w14:paraId="5B769EFD" w14:textId="19C3FEFC" w:rsidR="00D42C7B" w:rsidRPr="00352FB3" w:rsidRDefault="00D42C7B" w:rsidP="00D42C7B">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w:t>
            </w:r>
          </w:p>
        </w:tc>
        <w:tc>
          <w:tcPr>
            <w:tcW w:w="1134" w:type="dxa"/>
            <w:noWrap/>
          </w:tcPr>
          <w:p w14:paraId="70BE294C" w14:textId="5C7810AB" w:rsidR="00D42C7B" w:rsidRPr="00352FB3" w:rsidRDefault="00D42C7B" w:rsidP="00D42C7B">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w:t>
            </w:r>
          </w:p>
        </w:tc>
        <w:tc>
          <w:tcPr>
            <w:tcW w:w="1275" w:type="dxa"/>
          </w:tcPr>
          <w:p w14:paraId="6027CD48" w14:textId="77777777" w:rsidR="00D42C7B" w:rsidRPr="000972D1" w:rsidRDefault="00130E1F" w:rsidP="00D42C7B">
            <w:pPr>
              <w:jc w:val="center"/>
              <w:rPr>
                <w:rFonts w:ascii="Times New Roman" w:eastAsia="Times New Roman" w:hAnsi="Times New Roman" w:cs="Times New Roman"/>
                <w:sz w:val="18"/>
                <w:szCs w:val="18"/>
                <w:shd w:val="clear" w:color="auto" w:fill="FFFFFF"/>
                <w:lang w:val="en-US"/>
              </w:rPr>
            </w:pPr>
            <w:r w:rsidRPr="000972D1">
              <w:rPr>
                <w:rFonts w:ascii="Times New Roman" w:eastAsia="Times New Roman" w:hAnsi="Times New Roman" w:cs="Times New Roman"/>
                <w:sz w:val="18"/>
                <w:szCs w:val="18"/>
                <w:shd w:val="clear" w:color="auto" w:fill="FFFFFF"/>
                <w:lang w:val="en-US"/>
              </w:rPr>
              <w:t>3.294***</w:t>
            </w:r>
          </w:p>
          <w:p w14:paraId="4A433D33" w14:textId="4ECCD82C" w:rsidR="00130E1F" w:rsidRPr="000972D1" w:rsidRDefault="00130E1F" w:rsidP="00D42C7B">
            <w:pPr>
              <w:jc w:val="center"/>
              <w:rPr>
                <w:rFonts w:ascii="Times New Roman" w:eastAsia="Times New Roman" w:hAnsi="Times New Roman" w:cs="Times New Roman"/>
                <w:sz w:val="18"/>
                <w:szCs w:val="18"/>
                <w:shd w:val="clear" w:color="auto" w:fill="FFFFFF"/>
                <w:lang w:val="en-US"/>
              </w:rPr>
            </w:pPr>
            <w:r w:rsidRPr="000972D1">
              <w:rPr>
                <w:rFonts w:ascii="Times New Roman" w:eastAsia="Times New Roman" w:hAnsi="Times New Roman" w:cs="Times New Roman"/>
                <w:sz w:val="18"/>
                <w:szCs w:val="18"/>
                <w:shd w:val="clear" w:color="auto" w:fill="FFFFFF"/>
                <w:lang w:val="en-US"/>
              </w:rPr>
              <w:t>(0.000)</w:t>
            </w:r>
          </w:p>
        </w:tc>
        <w:tc>
          <w:tcPr>
            <w:tcW w:w="1134" w:type="dxa"/>
          </w:tcPr>
          <w:p w14:paraId="108F9948" w14:textId="265EA488" w:rsidR="00D42C7B" w:rsidRPr="00352FB3" w:rsidRDefault="00314DD6" w:rsidP="00D42C7B">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w:t>
            </w:r>
          </w:p>
        </w:tc>
        <w:tc>
          <w:tcPr>
            <w:tcW w:w="992" w:type="dxa"/>
          </w:tcPr>
          <w:p w14:paraId="6FF82B22" w14:textId="5958EA87" w:rsidR="00D42C7B" w:rsidRPr="00352FB3" w:rsidRDefault="00090025" w:rsidP="00D42C7B">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w:t>
            </w:r>
          </w:p>
        </w:tc>
        <w:tc>
          <w:tcPr>
            <w:tcW w:w="992" w:type="dxa"/>
          </w:tcPr>
          <w:p w14:paraId="1E9B983C" w14:textId="4090EB09" w:rsidR="00D42C7B" w:rsidRPr="00352FB3" w:rsidRDefault="00090025" w:rsidP="00D42C7B">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w:t>
            </w:r>
          </w:p>
        </w:tc>
        <w:tc>
          <w:tcPr>
            <w:tcW w:w="993" w:type="dxa"/>
          </w:tcPr>
          <w:p w14:paraId="25A1E886" w14:textId="77777777" w:rsidR="00D42C7B" w:rsidRPr="000972D1" w:rsidRDefault="00F60B00" w:rsidP="00D42C7B">
            <w:pPr>
              <w:jc w:val="center"/>
              <w:rPr>
                <w:rFonts w:ascii="Times New Roman" w:eastAsia="Times New Roman" w:hAnsi="Times New Roman" w:cs="Times New Roman"/>
                <w:sz w:val="18"/>
                <w:szCs w:val="18"/>
                <w:shd w:val="clear" w:color="auto" w:fill="FFFFFF"/>
                <w:lang w:val="en-US"/>
              </w:rPr>
            </w:pPr>
            <w:r w:rsidRPr="000972D1">
              <w:rPr>
                <w:rFonts w:ascii="Times New Roman" w:eastAsia="Times New Roman" w:hAnsi="Times New Roman" w:cs="Times New Roman"/>
                <w:sz w:val="18"/>
                <w:szCs w:val="18"/>
                <w:shd w:val="clear" w:color="auto" w:fill="FFFFFF"/>
                <w:lang w:val="en-US"/>
              </w:rPr>
              <w:t>0.262</w:t>
            </w:r>
          </w:p>
          <w:p w14:paraId="522C0A64" w14:textId="052305E2" w:rsidR="00F60B00" w:rsidRPr="000972D1" w:rsidRDefault="00F60B00" w:rsidP="00D42C7B">
            <w:pPr>
              <w:jc w:val="center"/>
              <w:rPr>
                <w:rFonts w:ascii="Times New Roman" w:eastAsia="Times New Roman" w:hAnsi="Times New Roman" w:cs="Times New Roman"/>
                <w:sz w:val="18"/>
                <w:szCs w:val="18"/>
                <w:shd w:val="clear" w:color="auto" w:fill="FFFFFF"/>
                <w:lang w:val="en-US"/>
              </w:rPr>
            </w:pPr>
            <w:r w:rsidRPr="000972D1">
              <w:rPr>
                <w:rFonts w:ascii="Times New Roman" w:eastAsia="Times New Roman" w:hAnsi="Times New Roman" w:cs="Times New Roman"/>
                <w:sz w:val="18"/>
                <w:szCs w:val="18"/>
                <w:shd w:val="clear" w:color="auto" w:fill="FFFFFF"/>
                <w:lang w:val="en-US"/>
              </w:rPr>
              <w:t>(0.150)</w:t>
            </w:r>
          </w:p>
        </w:tc>
      </w:tr>
      <w:tr w:rsidR="00D42C7B" w:rsidRPr="00352FB3" w14:paraId="68D1D65B" w14:textId="29A33205" w:rsidTr="00911D12">
        <w:trPr>
          <w:trHeight w:val="300"/>
          <w:jc w:val="center"/>
        </w:trPr>
        <w:tc>
          <w:tcPr>
            <w:tcW w:w="1560" w:type="dxa"/>
            <w:gridSpan w:val="2"/>
            <w:tcBorders>
              <w:right w:val="single" w:sz="12" w:space="0" w:color="auto"/>
            </w:tcBorders>
            <w:noWrap/>
          </w:tcPr>
          <w:p w14:paraId="28833742" w14:textId="4F6231F3" w:rsidR="00D42C7B" w:rsidRPr="00352FB3" w:rsidRDefault="00D42C7B" w:rsidP="00D42C7B">
            <w:pP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GOSH</w:t>
            </w:r>
          </w:p>
        </w:tc>
        <w:tc>
          <w:tcPr>
            <w:tcW w:w="993" w:type="dxa"/>
          </w:tcPr>
          <w:p w14:paraId="2E97B795" w14:textId="6193BAE0" w:rsidR="00D42C7B" w:rsidRPr="00352FB3" w:rsidRDefault="00D42C7B" w:rsidP="00D42C7B">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w:t>
            </w:r>
          </w:p>
        </w:tc>
        <w:tc>
          <w:tcPr>
            <w:tcW w:w="992" w:type="dxa"/>
            <w:noWrap/>
          </w:tcPr>
          <w:p w14:paraId="7B750048" w14:textId="2EC3E222" w:rsidR="00D42C7B" w:rsidRPr="00352FB3" w:rsidRDefault="00D42C7B" w:rsidP="00D42C7B">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w:t>
            </w:r>
            <w:r w:rsidR="00D733CB" w:rsidRPr="00352FB3">
              <w:rPr>
                <w:rFonts w:ascii="Times New Roman" w:eastAsia="Times New Roman" w:hAnsi="Times New Roman" w:cs="Times New Roman"/>
                <w:sz w:val="18"/>
                <w:szCs w:val="18"/>
                <w:shd w:val="clear" w:color="auto" w:fill="FFFFFF"/>
                <w:lang w:val="en-US"/>
              </w:rPr>
              <w:t>1</w:t>
            </w:r>
            <w:r w:rsidRPr="00352FB3">
              <w:rPr>
                <w:rFonts w:ascii="Times New Roman" w:eastAsia="Times New Roman" w:hAnsi="Times New Roman" w:cs="Times New Roman"/>
                <w:sz w:val="18"/>
                <w:szCs w:val="18"/>
                <w:shd w:val="clear" w:color="auto" w:fill="FFFFFF"/>
                <w:lang w:val="en-US"/>
              </w:rPr>
              <w:t>.</w:t>
            </w:r>
            <w:r w:rsidR="00D733CB" w:rsidRPr="00352FB3">
              <w:rPr>
                <w:rFonts w:ascii="Times New Roman" w:eastAsia="Times New Roman" w:hAnsi="Times New Roman" w:cs="Times New Roman"/>
                <w:sz w:val="18"/>
                <w:szCs w:val="18"/>
                <w:shd w:val="clear" w:color="auto" w:fill="FFFFFF"/>
                <w:lang w:val="en-US"/>
              </w:rPr>
              <w:t>004</w:t>
            </w:r>
          </w:p>
          <w:p w14:paraId="4CEBB571" w14:textId="0AD5CBE3" w:rsidR="00D42C7B" w:rsidRPr="00352FB3" w:rsidRDefault="00D733CB" w:rsidP="00D42C7B">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(0.109</w:t>
            </w:r>
            <w:r w:rsidR="00D42C7B" w:rsidRPr="00352FB3">
              <w:rPr>
                <w:rFonts w:ascii="Times New Roman" w:eastAsia="Times New Roman" w:hAnsi="Times New Roman" w:cs="Times New Roman"/>
                <w:sz w:val="18"/>
                <w:szCs w:val="18"/>
                <w:shd w:val="clear" w:color="auto" w:fill="FFFFFF"/>
                <w:lang w:val="en-US"/>
              </w:rPr>
              <w:t>)</w:t>
            </w:r>
          </w:p>
        </w:tc>
        <w:tc>
          <w:tcPr>
            <w:tcW w:w="1134" w:type="dxa"/>
            <w:noWrap/>
          </w:tcPr>
          <w:p w14:paraId="4BF0EDA6" w14:textId="05A7FC54" w:rsidR="00D42C7B" w:rsidRPr="00352FB3" w:rsidRDefault="00C60057" w:rsidP="00D42C7B">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-0.526</w:t>
            </w:r>
          </w:p>
          <w:p w14:paraId="58E958E4" w14:textId="2F5CD51C" w:rsidR="00D42C7B" w:rsidRPr="00352FB3" w:rsidRDefault="00C60057" w:rsidP="00D42C7B">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(0.437</w:t>
            </w:r>
            <w:r w:rsidR="00D42C7B" w:rsidRPr="00352FB3">
              <w:rPr>
                <w:rFonts w:ascii="Times New Roman" w:eastAsia="Times New Roman" w:hAnsi="Times New Roman" w:cs="Times New Roman"/>
                <w:sz w:val="18"/>
                <w:szCs w:val="18"/>
                <w:shd w:val="clear" w:color="auto" w:fill="FFFFFF"/>
                <w:lang w:val="en-US"/>
              </w:rPr>
              <w:t>)</w:t>
            </w:r>
          </w:p>
        </w:tc>
        <w:tc>
          <w:tcPr>
            <w:tcW w:w="1275" w:type="dxa"/>
          </w:tcPr>
          <w:p w14:paraId="347C6CB9" w14:textId="0D00BECF" w:rsidR="00D42C7B" w:rsidRPr="000972D1" w:rsidRDefault="00130E1F" w:rsidP="00D42C7B">
            <w:pPr>
              <w:jc w:val="center"/>
              <w:rPr>
                <w:rFonts w:ascii="Times New Roman" w:eastAsia="Times New Roman" w:hAnsi="Times New Roman" w:cs="Times New Roman"/>
                <w:sz w:val="18"/>
                <w:szCs w:val="18"/>
                <w:shd w:val="clear" w:color="auto" w:fill="FFFFFF"/>
                <w:lang w:val="en-US"/>
              </w:rPr>
            </w:pPr>
            <w:r w:rsidRPr="000972D1">
              <w:rPr>
                <w:rFonts w:ascii="Times New Roman" w:eastAsia="Times New Roman" w:hAnsi="Times New Roman" w:cs="Times New Roman"/>
                <w:sz w:val="18"/>
                <w:szCs w:val="18"/>
                <w:shd w:val="clear" w:color="auto" w:fill="FFFFFF"/>
                <w:lang w:val="en-US"/>
              </w:rPr>
              <w:t>-</w:t>
            </w:r>
          </w:p>
        </w:tc>
        <w:tc>
          <w:tcPr>
            <w:tcW w:w="1134" w:type="dxa"/>
          </w:tcPr>
          <w:p w14:paraId="76FA6D45" w14:textId="42E7C578" w:rsidR="00D42C7B" w:rsidRPr="00352FB3" w:rsidRDefault="00D42C7B" w:rsidP="00D42C7B">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w:t>
            </w:r>
          </w:p>
        </w:tc>
        <w:tc>
          <w:tcPr>
            <w:tcW w:w="992" w:type="dxa"/>
          </w:tcPr>
          <w:p w14:paraId="508F6442" w14:textId="474118A7" w:rsidR="00D42C7B" w:rsidRPr="00352FB3" w:rsidRDefault="00D42C7B" w:rsidP="00D42C7B">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w:t>
            </w:r>
            <w:r w:rsidR="007F496D" w:rsidRPr="00352FB3">
              <w:rPr>
                <w:rFonts w:ascii="Times New Roman" w:eastAsia="Times New Roman" w:hAnsi="Times New Roman" w:cs="Times New Roman"/>
                <w:sz w:val="18"/>
                <w:szCs w:val="18"/>
                <w:shd w:val="clear" w:color="auto" w:fill="FFFFFF"/>
                <w:lang w:val="en-US"/>
              </w:rPr>
              <w:t>314**</w:t>
            </w:r>
          </w:p>
          <w:p w14:paraId="2463C7B5" w14:textId="4EDB8BED" w:rsidR="00D42C7B" w:rsidRPr="00352FB3" w:rsidRDefault="007F496D" w:rsidP="00D42C7B">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(0.028</w:t>
            </w:r>
            <w:r w:rsidR="00D42C7B" w:rsidRPr="00352FB3">
              <w:rPr>
                <w:rFonts w:ascii="Times New Roman" w:eastAsia="Times New Roman" w:hAnsi="Times New Roman" w:cs="Times New Roman"/>
                <w:sz w:val="18"/>
                <w:szCs w:val="18"/>
                <w:shd w:val="clear" w:color="auto" w:fill="FFFFFF"/>
                <w:lang w:val="en-US"/>
              </w:rPr>
              <w:t>)</w:t>
            </w:r>
          </w:p>
        </w:tc>
        <w:tc>
          <w:tcPr>
            <w:tcW w:w="992" w:type="dxa"/>
          </w:tcPr>
          <w:p w14:paraId="0EE2EE33" w14:textId="7EF537AC" w:rsidR="00D42C7B" w:rsidRPr="00352FB3" w:rsidRDefault="00C3371A" w:rsidP="00D42C7B">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-0.264*</w:t>
            </w:r>
          </w:p>
          <w:p w14:paraId="170D7003" w14:textId="7B42C8FE" w:rsidR="00D42C7B" w:rsidRPr="00352FB3" w:rsidRDefault="00C3371A" w:rsidP="00D42C7B">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(0.062</w:t>
            </w:r>
            <w:r w:rsidR="00D42C7B" w:rsidRPr="00352FB3">
              <w:rPr>
                <w:rFonts w:ascii="Times New Roman" w:eastAsia="Times New Roman" w:hAnsi="Times New Roman" w:cs="Times New Roman"/>
                <w:sz w:val="18"/>
                <w:szCs w:val="18"/>
                <w:shd w:val="clear" w:color="auto" w:fill="FFFFFF"/>
                <w:lang w:val="en-US"/>
              </w:rPr>
              <w:t>)</w:t>
            </w:r>
          </w:p>
        </w:tc>
        <w:tc>
          <w:tcPr>
            <w:tcW w:w="993" w:type="dxa"/>
          </w:tcPr>
          <w:p w14:paraId="7C0BB954" w14:textId="04E8AB82" w:rsidR="00D42C7B" w:rsidRPr="000972D1" w:rsidRDefault="00090025" w:rsidP="00D42C7B">
            <w:pPr>
              <w:jc w:val="center"/>
              <w:rPr>
                <w:rFonts w:ascii="Times New Roman" w:eastAsia="Times New Roman" w:hAnsi="Times New Roman" w:cs="Times New Roman"/>
                <w:sz w:val="18"/>
                <w:szCs w:val="18"/>
                <w:shd w:val="clear" w:color="auto" w:fill="FFFFFF"/>
                <w:lang w:val="en-US"/>
              </w:rPr>
            </w:pPr>
            <w:r w:rsidRPr="000972D1">
              <w:rPr>
                <w:rFonts w:ascii="Times New Roman" w:eastAsia="Times New Roman" w:hAnsi="Times New Roman" w:cs="Times New Roman"/>
                <w:sz w:val="18"/>
                <w:szCs w:val="18"/>
                <w:shd w:val="clear" w:color="auto" w:fill="FFFFFF"/>
                <w:lang w:val="en-US"/>
              </w:rPr>
              <w:t>-</w:t>
            </w:r>
          </w:p>
        </w:tc>
      </w:tr>
      <w:tr w:rsidR="00D42C7B" w:rsidRPr="00352FB3" w14:paraId="49A83123" w14:textId="6F0F733E" w:rsidTr="00911D12">
        <w:trPr>
          <w:trHeight w:val="300"/>
          <w:jc w:val="center"/>
        </w:trPr>
        <w:tc>
          <w:tcPr>
            <w:tcW w:w="1560" w:type="dxa"/>
            <w:gridSpan w:val="2"/>
            <w:tcBorders>
              <w:right w:val="single" w:sz="12" w:space="0" w:color="auto"/>
            </w:tcBorders>
            <w:noWrap/>
            <w:hideMark/>
          </w:tcPr>
          <w:p w14:paraId="5519513A" w14:textId="5F129E5F" w:rsidR="00D42C7B" w:rsidRPr="00352FB3" w:rsidRDefault="00D42C7B" w:rsidP="00D42C7B">
            <w:pP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DISH</w:t>
            </w:r>
          </w:p>
        </w:tc>
        <w:tc>
          <w:tcPr>
            <w:tcW w:w="993" w:type="dxa"/>
          </w:tcPr>
          <w:p w14:paraId="4FBE8551" w14:textId="40ADCC5D" w:rsidR="00D42C7B" w:rsidRPr="00352FB3" w:rsidRDefault="00D42C7B" w:rsidP="00D42C7B">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w:t>
            </w:r>
          </w:p>
        </w:tc>
        <w:tc>
          <w:tcPr>
            <w:tcW w:w="992" w:type="dxa"/>
            <w:noWrap/>
          </w:tcPr>
          <w:p w14:paraId="6685F030" w14:textId="4D409B28" w:rsidR="00D42C7B" w:rsidRPr="00352FB3" w:rsidRDefault="00D42C7B" w:rsidP="00D42C7B">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w:t>
            </w:r>
            <w:r w:rsidR="00D733CB" w:rsidRPr="00352FB3">
              <w:rPr>
                <w:rFonts w:ascii="Times New Roman" w:eastAsia="Times New Roman" w:hAnsi="Times New Roman" w:cs="Times New Roman"/>
                <w:sz w:val="18"/>
                <w:szCs w:val="18"/>
                <w:shd w:val="clear" w:color="auto" w:fill="FFFFFF"/>
                <w:lang w:val="en-US"/>
              </w:rPr>
              <w:t>736</w:t>
            </w:r>
          </w:p>
          <w:p w14:paraId="474DF4B0" w14:textId="3A5A8E23" w:rsidR="00D42C7B" w:rsidRPr="00352FB3" w:rsidRDefault="00D733CB" w:rsidP="00D42C7B">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(0.164</w:t>
            </w:r>
            <w:r w:rsidR="00D42C7B" w:rsidRPr="00352FB3">
              <w:rPr>
                <w:rFonts w:ascii="Times New Roman" w:eastAsia="Times New Roman" w:hAnsi="Times New Roman" w:cs="Times New Roman"/>
                <w:sz w:val="18"/>
                <w:szCs w:val="18"/>
                <w:shd w:val="clear" w:color="auto" w:fill="FFFFFF"/>
                <w:lang w:val="en-US"/>
              </w:rPr>
              <w:t>)</w:t>
            </w:r>
          </w:p>
        </w:tc>
        <w:tc>
          <w:tcPr>
            <w:tcW w:w="1134" w:type="dxa"/>
            <w:noWrap/>
          </w:tcPr>
          <w:p w14:paraId="5EA54A15" w14:textId="19425F43" w:rsidR="00D42C7B" w:rsidRPr="00352FB3" w:rsidRDefault="00C60057" w:rsidP="00D42C7B">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-0.373</w:t>
            </w:r>
          </w:p>
          <w:p w14:paraId="60166E84" w14:textId="07A59025" w:rsidR="00D42C7B" w:rsidRPr="00352FB3" w:rsidRDefault="00C60057" w:rsidP="00D42C7B">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(0.500</w:t>
            </w:r>
            <w:r w:rsidR="00D42C7B" w:rsidRPr="00352FB3">
              <w:rPr>
                <w:rFonts w:ascii="Times New Roman" w:eastAsia="Times New Roman" w:hAnsi="Times New Roman" w:cs="Times New Roman"/>
                <w:sz w:val="18"/>
                <w:szCs w:val="18"/>
                <w:shd w:val="clear" w:color="auto" w:fill="FFFFFF"/>
                <w:lang w:val="en-US"/>
              </w:rPr>
              <w:t>)</w:t>
            </w:r>
          </w:p>
        </w:tc>
        <w:tc>
          <w:tcPr>
            <w:tcW w:w="1275" w:type="dxa"/>
          </w:tcPr>
          <w:p w14:paraId="6256460D" w14:textId="7AAF8A77" w:rsidR="00D42C7B" w:rsidRPr="000972D1" w:rsidRDefault="00130E1F" w:rsidP="00D42C7B">
            <w:pPr>
              <w:jc w:val="center"/>
              <w:rPr>
                <w:rFonts w:ascii="Times New Roman" w:eastAsia="Times New Roman" w:hAnsi="Times New Roman" w:cs="Times New Roman"/>
                <w:sz w:val="18"/>
                <w:szCs w:val="18"/>
                <w:shd w:val="clear" w:color="auto" w:fill="FFFFFF"/>
                <w:lang w:val="en-US"/>
              </w:rPr>
            </w:pPr>
            <w:r w:rsidRPr="000972D1">
              <w:rPr>
                <w:rFonts w:ascii="Times New Roman" w:eastAsia="Times New Roman" w:hAnsi="Times New Roman" w:cs="Times New Roman"/>
                <w:sz w:val="18"/>
                <w:szCs w:val="18"/>
                <w:shd w:val="clear" w:color="auto" w:fill="FFFFFF"/>
                <w:lang w:val="en-US"/>
              </w:rPr>
              <w:t>-</w:t>
            </w:r>
          </w:p>
        </w:tc>
        <w:tc>
          <w:tcPr>
            <w:tcW w:w="1134" w:type="dxa"/>
          </w:tcPr>
          <w:p w14:paraId="05A08657" w14:textId="5C33B97A" w:rsidR="00D42C7B" w:rsidRPr="00352FB3" w:rsidRDefault="00D42C7B" w:rsidP="00D42C7B">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w:t>
            </w:r>
          </w:p>
        </w:tc>
        <w:tc>
          <w:tcPr>
            <w:tcW w:w="992" w:type="dxa"/>
          </w:tcPr>
          <w:p w14:paraId="475F749B" w14:textId="2FEB4333" w:rsidR="00D42C7B" w:rsidRPr="00352FB3" w:rsidRDefault="007F496D" w:rsidP="00D42C7B">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0.262</w:t>
            </w:r>
            <w:r w:rsidR="00D42C7B" w:rsidRPr="00352FB3">
              <w:rPr>
                <w:rFonts w:ascii="Times New Roman" w:eastAsia="Times New Roman" w:hAnsi="Times New Roman" w:cs="Times New Roman"/>
                <w:sz w:val="18"/>
                <w:szCs w:val="18"/>
                <w:shd w:val="clear" w:color="auto" w:fill="FFFFFF"/>
                <w:lang w:val="en-US"/>
              </w:rPr>
              <w:t>**</w:t>
            </w:r>
          </w:p>
          <w:p w14:paraId="22CA56BD" w14:textId="66C3ABBE" w:rsidR="00D42C7B" w:rsidRPr="00352FB3" w:rsidRDefault="007F496D" w:rsidP="007F496D">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(0.041</w:t>
            </w:r>
            <w:r w:rsidR="00D42C7B" w:rsidRPr="00352FB3">
              <w:rPr>
                <w:rFonts w:ascii="Times New Roman" w:eastAsia="Times New Roman" w:hAnsi="Times New Roman" w:cs="Times New Roman"/>
                <w:sz w:val="18"/>
                <w:szCs w:val="18"/>
                <w:shd w:val="clear" w:color="auto" w:fill="FFFFFF"/>
                <w:lang w:val="en-US"/>
              </w:rPr>
              <w:t>)</w:t>
            </w:r>
          </w:p>
        </w:tc>
        <w:tc>
          <w:tcPr>
            <w:tcW w:w="992" w:type="dxa"/>
          </w:tcPr>
          <w:p w14:paraId="61B8D018" w14:textId="5AEFB700" w:rsidR="00D42C7B" w:rsidRPr="00352FB3" w:rsidRDefault="00C3371A" w:rsidP="00D42C7B">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0.288</w:t>
            </w:r>
            <w:r w:rsidR="00D42C7B" w:rsidRPr="00352FB3">
              <w:rPr>
                <w:rFonts w:ascii="Times New Roman" w:eastAsia="Times New Roman" w:hAnsi="Times New Roman" w:cs="Times New Roman"/>
                <w:sz w:val="18"/>
                <w:szCs w:val="18"/>
                <w:shd w:val="clear" w:color="auto" w:fill="FFFFFF"/>
                <w:lang w:val="en-US"/>
              </w:rPr>
              <w:t>**</w:t>
            </w:r>
          </w:p>
          <w:p w14:paraId="6CB45ED3" w14:textId="402EAFFA" w:rsidR="00D42C7B" w:rsidRPr="00352FB3" w:rsidRDefault="00C3371A" w:rsidP="00D42C7B">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0.023</w:t>
            </w:r>
          </w:p>
        </w:tc>
        <w:tc>
          <w:tcPr>
            <w:tcW w:w="993" w:type="dxa"/>
          </w:tcPr>
          <w:p w14:paraId="3B3A6101" w14:textId="376384BB" w:rsidR="00D42C7B" w:rsidRPr="000972D1" w:rsidRDefault="00090025" w:rsidP="00D42C7B">
            <w:pPr>
              <w:jc w:val="center"/>
              <w:rPr>
                <w:rFonts w:ascii="Times New Roman" w:eastAsia="Times New Roman" w:hAnsi="Times New Roman" w:cs="Times New Roman"/>
                <w:sz w:val="18"/>
                <w:szCs w:val="18"/>
                <w:shd w:val="clear" w:color="auto" w:fill="FFFFFF"/>
                <w:lang w:val="en-US"/>
              </w:rPr>
            </w:pPr>
            <w:r w:rsidRPr="000972D1">
              <w:rPr>
                <w:rFonts w:ascii="Times New Roman" w:eastAsia="Times New Roman" w:hAnsi="Times New Roman" w:cs="Times New Roman"/>
                <w:sz w:val="18"/>
                <w:szCs w:val="18"/>
                <w:shd w:val="clear" w:color="auto" w:fill="FFFFFF"/>
                <w:lang w:val="en-US"/>
              </w:rPr>
              <w:t>-</w:t>
            </w:r>
          </w:p>
        </w:tc>
      </w:tr>
      <w:tr w:rsidR="00D42C7B" w:rsidRPr="00352FB3" w14:paraId="013FE2F8" w14:textId="28FB21AE" w:rsidTr="00911D12">
        <w:trPr>
          <w:trHeight w:val="300"/>
          <w:jc w:val="center"/>
        </w:trPr>
        <w:tc>
          <w:tcPr>
            <w:tcW w:w="1560" w:type="dxa"/>
            <w:gridSpan w:val="2"/>
            <w:tcBorders>
              <w:right w:val="single" w:sz="12" w:space="0" w:color="auto"/>
            </w:tcBorders>
            <w:noWrap/>
          </w:tcPr>
          <w:p w14:paraId="5471FA62" w14:textId="2AB64D17" w:rsidR="00D42C7B" w:rsidRPr="00352FB3" w:rsidRDefault="00D42C7B" w:rsidP="00D42C7B">
            <w:pP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FLSH</w:t>
            </w:r>
          </w:p>
        </w:tc>
        <w:tc>
          <w:tcPr>
            <w:tcW w:w="993" w:type="dxa"/>
          </w:tcPr>
          <w:p w14:paraId="2A188603" w14:textId="2F05E3F0" w:rsidR="00D42C7B" w:rsidRPr="00352FB3" w:rsidRDefault="00D42C7B" w:rsidP="00D42C7B">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w:t>
            </w:r>
          </w:p>
        </w:tc>
        <w:tc>
          <w:tcPr>
            <w:tcW w:w="992" w:type="dxa"/>
            <w:noWrap/>
          </w:tcPr>
          <w:p w14:paraId="10064AA7" w14:textId="20D27781" w:rsidR="00D42C7B" w:rsidRPr="00352FB3" w:rsidRDefault="00D733CB" w:rsidP="00D42C7B">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-2</w:t>
            </w:r>
            <w:r w:rsidR="00D42C7B" w:rsidRPr="00352FB3">
              <w:rPr>
                <w:rFonts w:ascii="Times New Roman" w:eastAsia="Times New Roman" w:hAnsi="Times New Roman" w:cs="Times New Roman"/>
                <w:sz w:val="18"/>
                <w:szCs w:val="18"/>
                <w:shd w:val="clear" w:color="auto" w:fill="FFFFFF"/>
                <w:lang w:val="en-US"/>
              </w:rPr>
              <w:t>.0</w:t>
            </w:r>
            <w:r w:rsidRPr="00352FB3">
              <w:rPr>
                <w:rFonts w:ascii="Times New Roman" w:eastAsia="Times New Roman" w:hAnsi="Times New Roman" w:cs="Times New Roman"/>
                <w:sz w:val="18"/>
                <w:szCs w:val="18"/>
                <w:shd w:val="clear" w:color="auto" w:fill="FFFFFF"/>
                <w:lang w:val="en-US"/>
              </w:rPr>
              <w:t>58*</w:t>
            </w:r>
            <w:r w:rsidR="00D42C7B" w:rsidRPr="00352FB3">
              <w:rPr>
                <w:rFonts w:ascii="Times New Roman" w:eastAsia="Times New Roman" w:hAnsi="Times New Roman" w:cs="Times New Roman"/>
                <w:sz w:val="18"/>
                <w:szCs w:val="18"/>
                <w:shd w:val="clear" w:color="auto" w:fill="FFFFFF"/>
                <w:lang w:val="en-US"/>
              </w:rPr>
              <w:t>**</w:t>
            </w:r>
          </w:p>
          <w:p w14:paraId="339F664E" w14:textId="284643ED" w:rsidR="00D42C7B" w:rsidRPr="00352FB3" w:rsidRDefault="00D733CB" w:rsidP="00D42C7B">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(0.000</w:t>
            </w:r>
            <w:r w:rsidR="00D42C7B" w:rsidRPr="00352FB3">
              <w:rPr>
                <w:rFonts w:ascii="Times New Roman" w:eastAsia="Times New Roman" w:hAnsi="Times New Roman" w:cs="Times New Roman"/>
                <w:sz w:val="18"/>
                <w:szCs w:val="18"/>
                <w:shd w:val="clear" w:color="auto" w:fill="FFFFFF"/>
                <w:lang w:val="en-US"/>
              </w:rPr>
              <w:t>)</w:t>
            </w:r>
          </w:p>
        </w:tc>
        <w:tc>
          <w:tcPr>
            <w:tcW w:w="1134" w:type="dxa"/>
            <w:noWrap/>
          </w:tcPr>
          <w:p w14:paraId="01C9BF8C" w14:textId="0ACBF871" w:rsidR="00D42C7B" w:rsidRPr="00352FB3" w:rsidRDefault="00C60057" w:rsidP="00D42C7B">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w:t>
            </w:r>
            <w:r w:rsidR="00D42C7B" w:rsidRPr="00352FB3">
              <w:rPr>
                <w:rFonts w:ascii="Times New Roman" w:eastAsia="Times New Roman" w:hAnsi="Times New Roman" w:cs="Times New Roman"/>
                <w:sz w:val="18"/>
                <w:szCs w:val="18"/>
                <w:shd w:val="clear" w:color="auto" w:fill="FFFFFF"/>
                <w:lang w:val="en-US"/>
              </w:rPr>
              <w:t>1.4</w:t>
            </w:r>
            <w:r w:rsidRPr="00352FB3">
              <w:rPr>
                <w:rFonts w:ascii="Times New Roman" w:eastAsia="Times New Roman" w:hAnsi="Times New Roman" w:cs="Times New Roman"/>
                <w:sz w:val="18"/>
                <w:szCs w:val="18"/>
                <w:shd w:val="clear" w:color="auto" w:fill="FFFFFF"/>
                <w:lang w:val="en-US"/>
              </w:rPr>
              <w:t>13</w:t>
            </w:r>
            <w:r w:rsidR="00D42C7B" w:rsidRPr="00352FB3">
              <w:rPr>
                <w:rFonts w:ascii="Times New Roman" w:eastAsia="Times New Roman" w:hAnsi="Times New Roman" w:cs="Times New Roman"/>
                <w:sz w:val="18"/>
                <w:szCs w:val="18"/>
                <w:shd w:val="clear" w:color="auto" w:fill="FFFFFF"/>
                <w:lang w:val="en-US"/>
              </w:rPr>
              <w:t>**</w:t>
            </w:r>
          </w:p>
          <w:p w14:paraId="68A6BFBE" w14:textId="5267A4D8" w:rsidR="00D42C7B" w:rsidRPr="00352FB3" w:rsidRDefault="00D42C7B" w:rsidP="00C60057">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(0.0</w:t>
            </w:r>
            <w:r w:rsidR="00C60057" w:rsidRPr="00352FB3">
              <w:rPr>
                <w:rFonts w:ascii="Times New Roman" w:eastAsia="Times New Roman" w:hAnsi="Times New Roman" w:cs="Times New Roman"/>
                <w:sz w:val="18"/>
                <w:szCs w:val="18"/>
                <w:shd w:val="clear" w:color="auto" w:fill="FFFFFF"/>
                <w:lang w:val="en-US"/>
              </w:rPr>
              <w:t>11</w:t>
            </w:r>
            <w:r w:rsidRPr="00352FB3">
              <w:rPr>
                <w:rFonts w:ascii="Times New Roman" w:eastAsia="Times New Roman" w:hAnsi="Times New Roman" w:cs="Times New Roman"/>
                <w:sz w:val="18"/>
                <w:szCs w:val="18"/>
                <w:shd w:val="clear" w:color="auto" w:fill="FFFFFF"/>
                <w:lang w:val="en-US"/>
              </w:rPr>
              <w:t>)</w:t>
            </w:r>
          </w:p>
        </w:tc>
        <w:tc>
          <w:tcPr>
            <w:tcW w:w="1275" w:type="dxa"/>
          </w:tcPr>
          <w:p w14:paraId="62F26974" w14:textId="12C7C1D6" w:rsidR="00D42C7B" w:rsidRPr="000972D1" w:rsidRDefault="00130E1F" w:rsidP="00D42C7B">
            <w:pPr>
              <w:jc w:val="center"/>
              <w:rPr>
                <w:rFonts w:ascii="Times New Roman" w:eastAsia="Times New Roman" w:hAnsi="Times New Roman" w:cs="Times New Roman"/>
                <w:sz w:val="18"/>
                <w:szCs w:val="18"/>
                <w:shd w:val="clear" w:color="auto" w:fill="FFFFFF"/>
                <w:lang w:val="en-US"/>
              </w:rPr>
            </w:pPr>
            <w:r w:rsidRPr="000972D1">
              <w:rPr>
                <w:rFonts w:ascii="Times New Roman" w:eastAsia="Times New Roman" w:hAnsi="Times New Roman" w:cs="Times New Roman"/>
                <w:sz w:val="18"/>
                <w:szCs w:val="18"/>
                <w:shd w:val="clear" w:color="auto" w:fill="FFFFFF"/>
                <w:lang w:val="en-US"/>
              </w:rPr>
              <w:t>-</w:t>
            </w:r>
          </w:p>
        </w:tc>
        <w:tc>
          <w:tcPr>
            <w:tcW w:w="1134" w:type="dxa"/>
          </w:tcPr>
          <w:p w14:paraId="2D5505D7" w14:textId="407C7831" w:rsidR="00D42C7B" w:rsidRPr="00352FB3" w:rsidRDefault="00D42C7B" w:rsidP="00D42C7B">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w:t>
            </w:r>
          </w:p>
        </w:tc>
        <w:tc>
          <w:tcPr>
            <w:tcW w:w="992" w:type="dxa"/>
          </w:tcPr>
          <w:p w14:paraId="021BD7F5" w14:textId="5867987C" w:rsidR="00D42C7B" w:rsidRPr="00352FB3" w:rsidRDefault="007F496D" w:rsidP="00D42C7B">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-0.327***</w:t>
            </w:r>
          </w:p>
          <w:p w14:paraId="08C47E0E" w14:textId="4B6E6D2E" w:rsidR="00D42C7B" w:rsidRPr="00352FB3" w:rsidRDefault="007F496D" w:rsidP="00D42C7B">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(0.008</w:t>
            </w:r>
            <w:r w:rsidR="00D42C7B" w:rsidRPr="00352FB3">
              <w:rPr>
                <w:rFonts w:ascii="Times New Roman" w:eastAsia="Times New Roman" w:hAnsi="Times New Roman" w:cs="Times New Roman"/>
                <w:sz w:val="18"/>
                <w:szCs w:val="18"/>
                <w:shd w:val="clear" w:color="auto" w:fill="FFFFFF"/>
                <w:lang w:val="en-US"/>
              </w:rPr>
              <w:t>)</w:t>
            </w:r>
          </w:p>
        </w:tc>
        <w:tc>
          <w:tcPr>
            <w:tcW w:w="992" w:type="dxa"/>
          </w:tcPr>
          <w:p w14:paraId="6D68F3C2" w14:textId="04883E9F" w:rsidR="00D42C7B" w:rsidRPr="00352FB3" w:rsidRDefault="00C3371A" w:rsidP="00D42C7B">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w:t>
            </w:r>
            <w:r w:rsidR="00D42C7B" w:rsidRPr="00352FB3">
              <w:rPr>
                <w:rFonts w:ascii="Times New Roman" w:eastAsia="Times New Roman" w:hAnsi="Times New Roman" w:cs="Times New Roman"/>
                <w:sz w:val="18"/>
                <w:szCs w:val="18"/>
                <w:shd w:val="clear" w:color="auto" w:fill="FFFFFF"/>
                <w:lang w:val="en-US"/>
              </w:rPr>
              <w:t>0.</w:t>
            </w:r>
            <w:r w:rsidRPr="00352FB3">
              <w:rPr>
                <w:rFonts w:ascii="Times New Roman" w:eastAsia="Times New Roman" w:hAnsi="Times New Roman" w:cs="Times New Roman"/>
                <w:sz w:val="18"/>
                <w:szCs w:val="18"/>
                <w:shd w:val="clear" w:color="auto" w:fill="FFFFFF"/>
                <w:lang w:val="en-US"/>
              </w:rPr>
              <w:t>323**</w:t>
            </w:r>
          </w:p>
          <w:p w14:paraId="189B7E87" w14:textId="48354513" w:rsidR="00D42C7B" w:rsidRPr="00352FB3" w:rsidRDefault="00C3371A" w:rsidP="00D42C7B">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(0.013</w:t>
            </w:r>
            <w:r w:rsidR="00D42C7B" w:rsidRPr="00352FB3">
              <w:rPr>
                <w:rFonts w:ascii="Times New Roman" w:eastAsia="Times New Roman" w:hAnsi="Times New Roman" w:cs="Times New Roman"/>
                <w:sz w:val="18"/>
                <w:szCs w:val="18"/>
                <w:shd w:val="clear" w:color="auto" w:fill="FFFFFF"/>
                <w:lang w:val="en-US"/>
              </w:rPr>
              <w:t>)</w:t>
            </w:r>
          </w:p>
        </w:tc>
        <w:tc>
          <w:tcPr>
            <w:tcW w:w="993" w:type="dxa"/>
          </w:tcPr>
          <w:p w14:paraId="7C55C3A7" w14:textId="47061D6C" w:rsidR="00D42C7B" w:rsidRPr="000972D1" w:rsidRDefault="00090025" w:rsidP="00D42C7B">
            <w:pPr>
              <w:jc w:val="center"/>
              <w:rPr>
                <w:rFonts w:ascii="Times New Roman" w:eastAsia="Times New Roman" w:hAnsi="Times New Roman" w:cs="Times New Roman"/>
                <w:sz w:val="18"/>
                <w:szCs w:val="18"/>
                <w:shd w:val="clear" w:color="auto" w:fill="FFFFFF"/>
                <w:lang w:val="en-US"/>
              </w:rPr>
            </w:pPr>
            <w:r w:rsidRPr="000972D1">
              <w:rPr>
                <w:rFonts w:ascii="Times New Roman" w:eastAsia="Times New Roman" w:hAnsi="Times New Roman" w:cs="Times New Roman"/>
                <w:sz w:val="18"/>
                <w:szCs w:val="18"/>
                <w:shd w:val="clear" w:color="auto" w:fill="FFFFFF"/>
                <w:lang w:val="en-US"/>
              </w:rPr>
              <w:t>-</w:t>
            </w:r>
          </w:p>
        </w:tc>
      </w:tr>
      <w:tr w:rsidR="00D42C7B" w:rsidRPr="00352FB3" w14:paraId="7778D365" w14:textId="72B428D9" w:rsidTr="00911D12">
        <w:trPr>
          <w:trHeight w:val="300"/>
          <w:jc w:val="center"/>
        </w:trPr>
        <w:tc>
          <w:tcPr>
            <w:tcW w:w="1560" w:type="dxa"/>
            <w:gridSpan w:val="2"/>
            <w:tcBorders>
              <w:right w:val="single" w:sz="12" w:space="0" w:color="auto"/>
            </w:tcBorders>
            <w:noWrap/>
          </w:tcPr>
          <w:p w14:paraId="491D2B54" w14:textId="3A5FC97B" w:rsidR="00D42C7B" w:rsidRPr="00352FB3" w:rsidRDefault="00D42C7B" w:rsidP="00D42C7B">
            <w:pP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SHRGI</w:t>
            </w:r>
          </w:p>
        </w:tc>
        <w:tc>
          <w:tcPr>
            <w:tcW w:w="993" w:type="dxa"/>
          </w:tcPr>
          <w:p w14:paraId="7F13FFD7" w14:textId="51D4B37F" w:rsidR="00D42C7B" w:rsidRPr="00352FB3" w:rsidRDefault="002635B6" w:rsidP="00D42C7B">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w:t>
            </w:r>
          </w:p>
        </w:tc>
        <w:tc>
          <w:tcPr>
            <w:tcW w:w="992" w:type="dxa"/>
            <w:noWrap/>
          </w:tcPr>
          <w:p w14:paraId="3D4AE280" w14:textId="77777777" w:rsidR="00D42C7B" w:rsidRPr="00352FB3" w:rsidRDefault="00D42C7B" w:rsidP="00D42C7B">
            <w:pPr>
              <w:jc w:val="center"/>
              <w:rPr>
                <w:rFonts w:ascii="Times New Roman" w:eastAsia="Times New Roman" w:hAnsi="Times New Roman" w:cs="Times New Roman"/>
                <w:sz w:val="18"/>
                <w:szCs w:val="18"/>
                <w:shd w:val="clear" w:color="auto" w:fill="FFFFFF"/>
                <w:lang w:val="en-US"/>
              </w:rPr>
            </w:pPr>
          </w:p>
        </w:tc>
        <w:tc>
          <w:tcPr>
            <w:tcW w:w="1134" w:type="dxa"/>
            <w:noWrap/>
          </w:tcPr>
          <w:p w14:paraId="7CE02B07" w14:textId="229276B4" w:rsidR="00D42C7B" w:rsidRPr="00352FB3" w:rsidRDefault="005C4645" w:rsidP="00D42C7B">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w:t>
            </w:r>
          </w:p>
        </w:tc>
        <w:tc>
          <w:tcPr>
            <w:tcW w:w="1275" w:type="dxa"/>
          </w:tcPr>
          <w:p w14:paraId="238DEB53" w14:textId="77777777" w:rsidR="00D42C7B" w:rsidRPr="000972D1" w:rsidRDefault="00130E1F" w:rsidP="00D42C7B">
            <w:pPr>
              <w:jc w:val="center"/>
              <w:rPr>
                <w:rFonts w:ascii="Times New Roman" w:eastAsia="Times New Roman" w:hAnsi="Times New Roman" w:cs="Times New Roman"/>
                <w:sz w:val="18"/>
                <w:szCs w:val="18"/>
                <w:shd w:val="clear" w:color="auto" w:fill="FFFFFF"/>
                <w:lang w:val="en-US"/>
              </w:rPr>
            </w:pPr>
            <w:r w:rsidRPr="000972D1">
              <w:rPr>
                <w:rFonts w:ascii="Times New Roman" w:eastAsia="Times New Roman" w:hAnsi="Times New Roman" w:cs="Times New Roman"/>
                <w:sz w:val="18"/>
                <w:szCs w:val="18"/>
                <w:shd w:val="clear" w:color="auto" w:fill="FFFFFF"/>
                <w:lang w:val="en-US"/>
              </w:rPr>
              <w:t>0.010</w:t>
            </w:r>
          </w:p>
          <w:p w14:paraId="3EDFA647" w14:textId="36CF305B" w:rsidR="00130E1F" w:rsidRPr="000972D1" w:rsidRDefault="00130E1F" w:rsidP="00D42C7B">
            <w:pPr>
              <w:jc w:val="center"/>
              <w:rPr>
                <w:rFonts w:ascii="Times New Roman" w:eastAsia="Times New Roman" w:hAnsi="Times New Roman" w:cs="Times New Roman"/>
                <w:sz w:val="18"/>
                <w:szCs w:val="18"/>
                <w:shd w:val="clear" w:color="auto" w:fill="FFFFFF"/>
                <w:lang w:val="en-US"/>
              </w:rPr>
            </w:pPr>
            <w:r w:rsidRPr="000972D1">
              <w:rPr>
                <w:rFonts w:ascii="Times New Roman" w:eastAsia="Times New Roman" w:hAnsi="Times New Roman" w:cs="Times New Roman"/>
                <w:sz w:val="18"/>
                <w:szCs w:val="18"/>
                <w:shd w:val="clear" w:color="auto" w:fill="FFFFFF"/>
                <w:lang w:val="en-US"/>
              </w:rPr>
              <w:t>(0.979)</w:t>
            </w:r>
          </w:p>
        </w:tc>
        <w:tc>
          <w:tcPr>
            <w:tcW w:w="1134" w:type="dxa"/>
          </w:tcPr>
          <w:p w14:paraId="24FAB9A7" w14:textId="7168E70E" w:rsidR="00D42C7B" w:rsidRPr="00352FB3" w:rsidRDefault="00090025" w:rsidP="00D42C7B">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w:t>
            </w:r>
          </w:p>
        </w:tc>
        <w:tc>
          <w:tcPr>
            <w:tcW w:w="992" w:type="dxa"/>
          </w:tcPr>
          <w:p w14:paraId="41B0F690" w14:textId="400795EC" w:rsidR="00D42C7B" w:rsidRPr="00352FB3" w:rsidRDefault="00090025" w:rsidP="00D42C7B">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w:t>
            </w:r>
          </w:p>
        </w:tc>
        <w:tc>
          <w:tcPr>
            <w:tcW w:w="992" w:type="dxa"/>
          </w:tcPr>
          <w:p w14:paraId="3CEFC34F" w14:textId="06E48DFF" w:rsidR="00D42C7B" w:rsidRPr="00352FB3" w:rsidRDefault="00090025" w:rsidP="00D42C7B">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w:t>
            </w:r>
          </w:p>
        </w:tc>
        <w:tc>
          <w:tcPr>
            <w:tcW w:w="993" w:type="dxa"/>
          </w:tcPr>
          <w:p w14:paraId="6A3F02C5" w14:textId="77777777" w:rsidR="00D42C7B" w:rsidRPr="000972D1" w:rsidRDefault="00F60B00" w:rsidP="00D42C7B">
            <w:pPr>
              <w:jc w:val="center"/>
              <w:rPr>
                <w:rFonts w:ascii="Times New Roman" w:eastAsia="Times New Roman" w:hAnsi="Times New Roman" w:cs="Times New Roman"/>
                <w:sz w:val="18"/>
                <w:szCs w:val="18"/>
                <w:shd w:val="clear" w:color="auto" w:fill="FFFFFF"/>
                <w:lang w:val="en-US"/>
              </w:rPr>
            </w:pPr>
            <w:r w:rsidRPr="000972D1">
              <w:rPr>
                <w:rFonts w:ascii="Times New Roman" w:eastAsia="Times New Roman" w:hAnsi="Times New Roman" w:cs="Times New Roman"/>
                <w:sz w:val="18"/>
                <w:szCs w:val="18"/>
                <w:shd w:val="clear" w:color="auto" w:fill="FFFFFF"/>
                <w:lang w:val="en-US"/>
              </w:rPr>
              <w:t>0.401***</w:t>
            </w:r>
          </w:p>
          <w:p w14:paraId="55249519" w14:textId="33DDB033" w:rsidR="00F60B00" w:rsidRPr="000972D1" w:rsidRDefault="00F60B00" w:rsidP="00D42C7B">
            <w:pPr>
              <w:jc w:val="center"/>
              <w:rPr>
                <w:rFonts w:ascii="Times New Roman" w:eastAsia="Times New Roman" w:hAnsi="Times New Roman" w:cs="Times New Roman"/>
                <w:sz w:val="18"/>
                <w:szCs w:val="18"/>
                <w:shd w:val="clear" w:color="auto" w:fill="FFFFFF"/>
                <w:lang w:val="en-US"/>
              </w:rPr>
            </w:pPr>
            <w:r w:rsidRPr="000972D1">
              <w:rPr>
                <w:rFonts w:ascii="Times New Roman" w:eastAsia="Times New Roman" w:hAnsi="Times New Roman" w:cs="Times New Roman"/>
                <w:sz w:val="18"/>
                <w:szCs w:val="18"/>
                <w:shd w:val="clear" w:color="auto" w:fill="FFFFFF"/>
                <w:lang w:val="en-US"/>
              </w:rPr>
              <w:t>(0.000)</w:t>
            </w:r>
          </w:p>
        </w:tc>
      </w:tr>
      <w:tr w:rsidR="00D42C7B" w:rsidRPr="00352FB3" w14:paraId="5B781D11" w14:textId="257C0227" w:rsidTr="00911D12">
        <w:trPr>
          <w:trHeight w:val="136"/>
          <w:jc w:val="center"/>
        </w:trPr>
        <w:tc>
          <w:tcPr>
            <w:tcW w:w="2553" w:type="dxa"/>
            <w:gridSpan w:val="3"/>
            <w:tcBorders>
              <w:top w:val="single" w:sz="12" w:space="0" w:color="auto"/>
              <w:bottom w:val="single" w:sz="12" w:space="0" w:color="auto"/>
            </w:tcBorders>
          </w:tcPr>
          <w:p w14:paraId="0D1876AD" w14:textId="0E5A28D8" w:rsidR="00D42C7B" w:rsidRPr="00352FB3" w:rsidRDefault="00D42C7B" w:rsidP="00B544B4">
            <w:pPr>
              <w:rPr>
                <w:rFonts w:ascii="Times New Roman" w:eastAsia="Times New Roman" w:hAnsi="Times New Roman" w:cs="Times New Roman"/>
                <w:b/>
                <w:sz w:val="18"/>
                <w:szCs w:val="18"/>
                <w:shd w:val="clear" w:color="auto" w:fill="FFFFFF"/>
                <w:lang w:val="en-US"/>
              </w:rPr>
            </w:pPr>
            <w:r w:rsidRPr="00352FB3">
              <w:rPr>
                <w:rFonts w:ascii="Times New Roman" w:eastAsia="Times New Roman" w:hAnsi="Times New Roman" w:cs="Times New Roman"/>
                <w:b/>
                <w:sz w:val="18"/>
                <w:szCs w:val="18"/>
                <w:shd w:val="clear" w:color="auto" w:fill="FFFFFF"/>
                <w:lang w:val="en-US"/>
              </w:rPr>
              <w:t>Control variables</w:t>
            </w:r>
          </w:p>
        </w:tc>
        <w:tc>
          <w:tcPr>
            <w:tcW w:w="992" w:type="dxa"/>
            <w:tcBorders>
              <w:top w:val="single" w:sz="12" w:space="0" w:color="auto"/>
              <w:bottom w:val="single" w:sz="12" w:space="0" w:color="auto"/>
            </w:tcBorders>
          </w:tcPr>
          <w:p w14:paraId="6479B040" w14:textId="4866069C" w:rsidR="00D42C7B" w:rsidRPr="00352FB3" w:rsidRDefault="00D42C7B" w:rsidP="00B544B4">
            <w:pPr>
              <w:rPr>
                <w:rFonts w:ascii="Times New Roman" w:eastAsia="Times New Roman" w:hAnsi="Times New Roman" w:cs="Times New Roman"/>
                <w:b/>
                <w:sz w:val="18"/>
                <w:szCs w:val="18"/>
                <w:shd w:val="clear" w:color="auto" w:fill="FFFFFF"/>
                <w:lang w:val="en-US"/>
              </w:rPr>
            </w:pPr>
          </w:p>
        </w:tc>
        <w:tc>
          <w:tcPr>
            <w:tcW w:w="1134" w:type="dxa"/>
            <w:tcBorders>
              <w:top w:val="single" w:sz="12" w:space="0" w:color="auto"/>
              <w:bottom w:val="single" w:sz="12" w:space="0" w:color="auto"/>
            </w:tcBorders>
          </w:tcPr>
          <w:p w14:paraId="2B6B814F" w14:textId="77777777" w:rsidR="00D42C7B" w:rsidRPr="00352FB3" w:rsidRDefault="00D42C7B" w:rsidP="00B544B4">
            <w:pPr>
              <w:rPr>
                <w:rFonts w:ascii="Times New Roman" w:eastAsia="Times New Roman" w:hAnsi="Times New Roman" w:cs="Times New Roman"/>
                <w:b/>
                <w:sz w:val="18"/>
                <w:szCs w:val="18"/>
                <w:shd w:val="clear" w:color="auto" w:fill="FFFFFF"/>
                <w:lang w:val="en-US"/>
              </w:rPr>
            </w:pPr>
          </w:p>
        </w:tc>
        <w:tc>
          <w:tcPr>
            <w:tcW w:w="1275" w:type="dxa"/>
            <w:tcBorders>
              <w:top w:val="single" w:sz="12" w:space="0" w:color="auto"/>
              <w:bottom w:val="single" w:sz="12" w:space="0" w:color="auto"/>
            </w:tcBorders>
          </w:tcPr>
          <w:p w14:paraId="564C896B" w14:textId="77777777" w:rsidR="00D42C7B" w:rsidRPr="000972D1" w:rsidRDefault="00D42C7B" w:rsidP="00B544B4">
            <w:pPr>
              <w:rPr>
                <w:rFonts w:ascii="Times New Roman" w:eastAsia="Times New Roman" w:hAnsi="Times New Roman" w:cs="Times New Roman"/>
                <w:b/>
                <w:sz w:val="18"/>
                <w:szCs w:val="18"/>
                <w:shd w:val="clear" w:color="auto" w:fill="FFFFFF"/>
                <w:lang w:val="en-US"/>
              </w:rPr>
            </w:pPr>
          </w:p>
        </w:tc>
        <w:tc>
          <w:tcPr>
            <w:tcW w:w="1134" w:type="dxa"/>
            <w:tcBorders>
              <w:top w:val="single" w:sz="12" w:space="0" w:color="auto"/>
              <w:bottom w:val="single" w:sz="12" w:space="0" w:color="auto"/>
            </w:tcBorders>
          </w:tcPr>
          <w:p w14:paraId="011AEAD9" w14:textId="77777777" w:rsidR="00D42C7B" w:rsidRPr="00352FB3" w:rsidRDefault="00D42C7B" w:rsidP="00B544B4">
            <w:pPr>
              <w:rPr>
                <w:rFonts w:ascii="Times New Roman" w:eastAsia="Times New Roman" w:hAnsi="Times New Roman" w:cs="Times New Roman"/>
                <w:b/>
                <w:sz w:val="18"/>
                <w:szCs w:val="18"/>
                <w:shd w:val="clear" w:color="auto" w:fill="FFFFFF"/>
                <w:lang w:val="en-US"/>
              </w:rPr>
            </w:pPr>
          </w:p>
        </w:tc>
        <w:tc>
          <w:tcPr>
            <w:tcW w:w="992" w:type="dxa"/>
            <w:tcBorders>
              <w:top w:val="single" w:sz="12" w:space="0" w:color="auto"/>
              <w:bottom w:val="single" w:sz="12" w:space="0" w:color="auto"/>
            </w:tcBorders>
          </w:tcPr>
          <w:p w14:paraId="51409FEB" w14:textId="21C441BE" w:rsidR="00D42C7B" w:rsidRPr="00352FB3" w:rsidRDefault="00D42C7B" w:rsidP="00B544B4">
            <w:pPr>
              <w:rPr>
                <w:rFonts w:ascii="Times New Roman" w:eastAsia="Times New Roman" w:hAnsi="Times New Roman" w:cs="Times New Roman"/>
                <w:b/>
                <w:sz w:val="18"/>
                <w:szCs w:val="18"/>
                <w:shd w:val="clear" w:color="auto" w:fill="FFFFFF"/>
                <w:lang w:val="en-US"/>
              </w:rPr>
            </w:pPr>
          </w:p>
        </w:tc>
        <w:tc>
          <w:tcPr>
            <w:tcW w:w="992" w:type="dxa"/>
            <w:tcBorders>
              <w:top w:val="single" w:sz="12" w:space="0" w:color="auto"/>
              <w:bottom w:val="single" w:sz="12" w:space="0" w:color="auto"/>
            </w:tcBorders>
          </w:tcPr>
          <w:p w14:paraId="3743D03D" w14:textId="77777777" w:rsidR="00D42C7B" w:rsidRPr="00352FB3" w:rsidRDefault="00D42C7B" w:rsidP="00B544B4">
            <w:pPr>
              <w:rPr>
                <w:rFonts w:ascii="Times New Roman" w:eastAsia="Times New Roman" w:hAnsi="Times New Roman" w:cs="Times New Roman"/>
                <w:b/>
                <w:sz w:val="18"/>
                <w:szCs w:val="18"/>
                <w:shd w:val="clear" w:color="auto" w:fill="FFFFFF"/>
                <w:lang w:val="en-US"/>
              </w:rPr>
            </w:pPr>
          </w:p>
        </w:tc>
        <w:tc>
          <w:tcPr>
            <w:tcW w:w="993" w:type="dxa"/>
            <w:tcBorders>
              <w:top w:val="single" w:sz="12" w:space="0" w:color="auto"/>
              <w:bottom w:val="single" w:sz="12" w:space="0" w:color="auto"/>
            </w:tcBorders>
          </w:tcPr>
          <w:p w14:paraId="3F989425" w14:textId="77777777" w:rsidR="00D42C7B" w:rsidRPr="000972D1" w:rsidRDefault="00D42C7B" w:rsidP="00B544B4">
            <w:pPr>
              <w:rPr>
                <w:rFonts w:ascii="Times New Roman" w:eastAsia="Times New Roman" w:hAnsi="Times New Roman" w:cs="Times New Roman"/>
                <w:b/>
                <w:sz w:val="18"/>
                <w:szCs w:val="18"/>
                <w:shd w:val="clear" w:color="auto" w:fill="FFFFFF"/>
                <w:lang w:val="en-US"/>
              </w:rPr>
            </w:pPr>
          </w:p>
        </w:tc>
      </w:tr>
      <w:tr w:rsidR="00D42C7B" w:rsidRPr="00352FB3" w14:paraId="2BB75EF3" w14:textId="2F9D0B9A" w:rsidTr="00911D12">
        <w:trPr>
          <w:trHeight w:val="300"/>
          <w:jc w:val="center"/>
        </w:trPr>
        <w:tc>
          <w:tcPr>
            <w:tcW w:w="1418" w:type="dxa"/>
            <w:tcBorders>
              <w:top w:val="single" w:sz="12" w:space="0" w:color="auto"/>
              <w:right w:val="single" w:sz="12" w:space="0" w:color="auto"/>
            </w:tcBorders>
            <w:noWrap/>
          </w:tcPr>
          <w:p w14:paraId="29FFF5E9" w14:textId="77777777" w:rsidR="00D42C7B" w:rsidRPr="00352FB3" w:rsidRDefault="00D42C7B" w:rsidP="00626415">
            <w:pP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BIG4</w:t>
            </w:r>
          </w:p>
        </w:tc>
        <w:tc>
          <w:tcPr>
            <w:tcW w:w="1135" w:type="dxa"/>
            <w:gridSpan w:val="2"/>
            <w:tcBorders>
              <w:top w:val="single" w:sz="12" w:space="0" w:color="auto"/>
              <w:left w:val="single" w:sz="12" w:space="0" w:color="auto"/>
            </w:tcBorders>
          </w:tcPr>
          <w:p w14:paraId="15E08011" w14:textId="75B78336" w:rsidR="00D42C7B" w:rsidRPr="00352FB3" w:rsidRDefault="00D42C7B"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w:t>
            </w:r>
          </w:p>
        </w:tc>
        <w:tc>
          <w:tcPr>
            <w:tcW w:w="992" w:type="dxa"/>
            <w:tcBorders>
              <w:top w:val="single" w:sz="12" w:space="0" w:color="auto"/>
            </w:tcBorders>
            <w:noWrap/>
          </w:tcPr>
          <w:p w14:paraId="5B89B23A" w14:textId="1C319426" w:rsidR="00D42C7B" w:rsidRPr="00352FB3" w:rsidRDefault="00D42C7B"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w:t>
            </w:r>
          </w:p>
        </w:tc>
        <w:tc>
          <w:tcPr>
            <w:tcW w:w="1134" w:type="dxa"/>
            <w:tcBorders>
              <w:top w:val="single" w:sz="12" w:space="0" w:color="auto"/>
            </w:tcBorders>
            <w:noWrap/>
          </w:tcPr>
          <w:p w14:paraId="4C8738F4" w14:textId="350D2E14" w:rsidR="00D42C7B" w:rsidRPr="00352FB3" w:rsidRDefault="00D42C7B"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w:t>
            </w:r>
          </w:p>
        </w:tc>
        <w:tc>
          <w:tcPr>
            <w:tcW w:w="1275" w:type="dxa"/>
            <w:tcBorders>
              <w:top w:val="single" w:sz="12" w:space="0" w:color="auto"/>
            </w:tcBorders>
          </w:tcPr>
          <w:p w14:paraId="7AA0D954" w14:textId="55AD788D" w:rsidR="00D42C7B" w:rsidRPr="000972D1" w:rsidRDefault="00D42C7B" w:rsidP="00626415">
            <w:pPr>
              <w:jc w:val="center"/>
              <w:rPr>
                <w:rFonts w:ascii="Times New Roman" w:eastAsia="Times New Roman" w:hAnsi="Times New Roman" w:cs="Times New Roman"/>
                <w:sz w:val="18"/>
                <w:szCs w:val="18"/>
                <w:shd w:val="clear" w:color="auto" w:fill="FFFFFF"/>
                <w:lang w:val="en-US"/>
              </w:rPr>
            </w:pPr>
            <w:r w:rsidRPr="000972D1">
              <w:rPr>
                <w:rFonts w:ascii="Times New Roman" w:eastAsia="Times New Roman" w:hAnsi="Times New Roman" w:cs="Times New Roman"/>
                <w:sz w:val="18"/>
                <w:szCs w:val="18"/>
                <w:shd w:val="clear" w:color="auto" w:fill="FFFFFF"/>
                <w:lang w:val="en-US"/>
              </w:rPr>
              <w:t>-</w:t>
            </w:r>
          </w:p>
        </w:tc>
        <w:tc>
          <w:tcPr>
            <w:tcW w:w="1134" w:type="dxa"/>
            <w:tcBorders>
              <w:top w:val="single" w:sz="12" w:space="0" w:color="auto"/>
            </w:tcBorders>
          </w:tcPr>
          <w:p w14:paraId="3A378E7E" w14:textId="4769EC6A" w:rsidR="00D42C7B" w:rsidRPr="00352FB3" w:rsidRDefault="00314DD6"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0.217</w:t>
            </w:r>
            <w:r w:rsidR="00D42C7B" w:rsidRPr="00352FB3">
              <w:rPr>
                <w:rFonts w:ascii="Times New Roman" w:eastAsia="Times New Roman" w:hAnsi="Times New Roman" w:cs="Times New Roman"/>
                <w:sz w:val="18"/>
                <w:szCs w:val="18"/>
                <w:shd w:val="clear" w:color="auto" w:fill="FFFFFF"/>
                <w:lang w:val="en-US"/>
              </w:rPr>
              <w:t>***</w:t>
            </w:r>
          </w:p>
          <w:p w14:paraId="018653B9" w14:textId="00624E9F" w:rsidR="00D42C7B" w:rsidRPr="00352FB3" w:rsidRDefault="00D42C7B"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(0.000)</w:t>
            </w:r>
          </w:p>
        </w:tc>
        <w:tc>
          <w:tcPr>
            <w:tcW w:w="992" w:type="dxa"/>
            <w:tcBorders>
              <w:top w:val="single" w:sz="12" w:space="0" w:color="auto"/>
            </w:tcBorders>
          </w:tcPr>
          <w:p w14:paraId="07BE72EA" w14:textId="73B14241" w:rsidR="00D42C7B" w:rsidRPr="00352FB3" w:rsidRDefault="007F496D"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0.220</w:t>
            </w:r>
            <w:r w:rsidR="00D42C7B" w:rsidRPr="00352FB3">
              <w:rPr>
                <w:rFonts w:ascii="Times New Roman" w:eastAsia="Times New Roman" w:hAnsi="Times New Roman" w:cs="Times New Roman"/>
                <w:sz w:val="18"/>
                <w:szCs w:val="18"/>
                <w:shd w:val="clear" w:color="auto" w:fill="FFFFFF"/>
                <w:lang w:val="en-US"/>
              </w:rPr>
              <w:t>***</w:t>
            </w:r>
          </w:p>
          <w:p w14:paraId="304B372D" w14:textId="77777777" w:rsidR="00D42C7B" w:rsidRPr="00352FB3" w:rsidRDefault="00D42C7B"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(0.000)</w:t>
            </w:r>
          </w:p>
        </w:tc>
        <w:tc>
          <w:tcPr>
            <w:tcW w:w="992" w:type="dxa"/>
            <w:tcBorders>
              <w:top w:val="single" w:sz="12" w:space="0" w:color="auto"/>
            </w:tcBorders>
          </w:tcPr>
          <w:p w14:paraId="50908DB7" w14:textId="47BF02A8" w:rsidR="00D42C7B" w:rsidRPr="00352FB3" w:rsidRDefault="00C3371A"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0.199</w:t>
            </w:r>
            <w:r w:rsidR="00D42C7B" w:rsidRPr="00352FB3">
              <w:rPr>
                <w:rFonts w:ascii="Times New Roman" w:eastAsia="Times New Roman" w:hAnsi="Times New Roman" w:cs="Times New Roman"/>
                <w:sz w:val="18"/>
                <w:szCs w:val="18"/>
                <w:shd w:val="clear" w:color="auto" w:fill="FFFFFF"/>
                <w:lang w:val="en-US"/>
              </w:rPr>
              <w:t>***</w:t>
            </w:r>
          </w:p>
          <w:p w14:paraId="5499938D" w14:textId="7585AEF9" w:rsidR="00D42C7B" w:rsidRPr="00352FB3" w:rsidRDefault="00D42C7B" w:rsidP="00C3371A">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(0.00</w:t>
            </w:r>
            <w:r w:rsidR="00C3371A" w:rsidRPr="00352FB3">
              <w:rPr>
                <w:rFonts w:ascii="Times New Roman" w:eastAsia="Times New Roman" w:hAnsi="Times New Roman" w:cs="Times New Roman"/>
                <w:sz w:val="18"/>
                <w:szCs w:val="18"/>
                <w:shd w:val="clear" w:color="auto" w:fill="FFFFFF"/>
                <w:lang w:val="en-US"/>
              </w:rPr>
              <w:t>1</w:t>
            </w:r>
            <w:r w:rsidRPr="00352FB3">
              <w:rPr>
                <w:rFonts w:ascii="Times New Roman" w:eastAsia="Times New Roman" w:hAnsi="Times New Roman" w:cs="Times New Roman"/>
                <w:sz w:val="18"/>
                <w:szCs w:val="18"/>
                <w:shd w:val="clear" w:color="auto" w:fill="FFFFFF"/>
                <w:lang w:val="en-US"/>
              </w:rPr>
              <w:t>)</w:t>
            </w:r>
          </w:p>
        </w:tc>
        <w:tc>
          <w:tcPr>
            <w:tcW w:w="993" w:type="dxa"/>
            <w:tcBorders>
              <w:top w:val="single" w:sz="12" w:space="0" w:color="auto"/>
            </w:tcBorders>
          </w:tcPr>
          <w:p w14:paraId="22BE5B8C" w14:textId="2EB8EF69" w:rsidR="00D42C7B" w:rsidRPr="000972D1" w:rsidRDefault="00D42C7B" w:rsidP="00626415">
            <w:pPr>
              <w:jc w:val="center"/>
              <w:rPr>
                <w:rFonts w:ascii="Times New Roman" w:eastAsia="Times New Roman" w:hAnsi="Times New Roman" w:cs="Times New Roman"/>
                <w:sz w:val="18"/>
                <w:szCs w:val="18"/>
                <w:shd w:val="clear" w:color="auto" w:fill="FFFFFF"/>
                <w:lang w:val="en-US"/>
              </w:rPr>
            </w:pPr>
            <w:r w:rsidRPr="000972D1">
              <w:rPr>
                <w:rFonts w:ascii="Times New Roman" w:eastAsia="Times New Roman" w:hAnsi="Times New Roman" w:cs="Times New Roman"/>
                <w:sz w:val="18"/>
                <w:szCs w:val="18"/>
                <w:shd w:val="clear" w:color="auto" w:fill="FFFFFF"/>
                <w:lang w:val="en-US"/>
              </w:rPr>
              <w:t>0</w:t>
            </w:r>
            <w:r w:rsidR="00F60B00" w:rsidRPr="000972D1">
              <w:rPr>
                <w:rFonts w:ascii="Times New Roman" w:eastAsia="Times New Roman" w:hAnsi="Times New Roman" w:cs="Times New Roman"/>
                <w:sz w:val="18"/>
                <w:szCs w:val="18"/>
                <w:shd w:val="clear" w:color="auto" w:fill="FFFFFF"/>
                <w:lang w:val="en-US"/>
              </w:rPr>
              <w:t>.266</w:t>
            </w:r>
            <w:r w:rsidRPr="000972D1">
              <w:rPr>
                <w:rFonts w:ascii="Times New Roman" w:eastAsia="Times New Roman" w:hAnsi="Times New Roman" w:cs="Times New Roman"/>
                <w:sz w:val="18"/>
                <w:szCs w:val="18"/>
                <w:shd w:val="clear" w:color="auto" w:fill="FFFFFF"/>
                <w:lang w:val="en-US"/>
              </w:rPr>
              <w:t>***</w:t>
            </w:r>
          </w:p>
          <w:p w14:paraId="7BCABCBB" w14:textId="390937DC" w:rsidR="00D42C7B" w:rsidRPr="000972D1" w:rsidRDefault="00D42C7B" w:rsidP="00F60B00">
            <w:pPr>
              <w:jc w:val="center"/>
              <w:rPr>
                <w:rFonts w:ascii="Times New Roman" w:eastAsia="Times New Roman" w:hAnsi="Times New Roman" w:cs="Times New Roman"/>
                <w:sz w:val="18"/>
                <w:szCs w:val="18"/>
                <w:shd w:val="clear" w:color="auto" w:fill="FFFFFF"/>
                <w:lang w:val="en-US"/>
              </w:rPr>
            </w:pPr>
            <w:r w:rsidRPr="000972D1">
              <w:rPr>
                <w:rFonts w:ascii="Times New Roman" w:eastAsia="Times New Roman" w:hAnsi="Times New Roman" w:cs="Times New Roman"/>
                <w:sz w:val="18"/>
                <w:szCs w:val="18"/>
                <w:shd w:val="clear" w:color="auto" w:fill="FFFFFF"/>
                <w:lang w:val="en-US"/>
              </w:rPr>
              <w:t>(0.00</w:t>
            </w:r>
            <w:r w:rsidR="00F60B00" w:rsidRPr="000972D1">
              <w:rPr>
                <w:rFonts w:ascii="Times New Roman" w:eastAsia="Times New Roman" w:hAnsi="Times New Roman" w:cs="Times New Roman"/>
                <w:sz w:val="18"/>
                <w:szCs w:val="18"/>
                <w:shd w:val="clear" w:color="auto" w:fill="FFFFFF"/>
                <w:lang w:val="en-US"/>
              </w:rPr>
              <w:t>0</w:t>
            </w:r>
            <w:r w:rsidRPr="000972D1">
              <w:rPr>
                <w:rFonts w:ascii="Times New Roman" w:eastAsia="Times New Roman" w:hAnsi="Times New Roman" w:cs="Times New Roman"/>
                <w:sz w:val="18"/>
                <w:szCs w:val="18"/>
                <w:shd w:val="clear" w:color="auto" w:fill="FFFFFF"/>
                <w:lang w:val="en-US"/>
              </w:rPr>
              <w:t>)</w:t>
            </w:r>
          </w:p>
        </w:tc>
      </w:tr>
      <w:tr w:rsidR="00D42C7B" w:rsidRPr="00352FB3" w14:paraId="6B8D1099" w14:textId="50A83CAC" w:rsidTr="00911D12">
        <w:trPr>
          <w:trHeight w:val="300"/>
          <w:jc w:val="center"/>
        </w:trPr>
        <w:tc>
          <w:tcPr>
            <w:tcW w:w="1418" w:type="dxa"/>
            <w:tcBorders>
              <w:right w:val="single" w:sz="12" w:space="0" w:color="auto"/>
            </w:tcBorders>
            <w:noWrap/>
          </w:tcPr>
          <w:p w14:paraId="34C2646C" w14:textId="77777777" w:rsidR="00D42C7B" w:rsidRPr="00352FB3" w:rsidRDefault="00D42C7B" w:rsidP="00626415">
            <w:pP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LNTA</w:t>
            </w:r>
          </w:p>
        </w:tc>
        <w:tc>
          <w:tcPr>
            <w:tcW w:w="1135" w:type="dxa"/>
            <w:gridSpan w:val="2"/>
            <w:tcBorders>
              <w:left w:val="single" w:sz="12" w:space="0" w:color="auto"/>
            </w:tcBorders>
          </w:tcPr>
          <w:p w14:paraId="07F414A3" w14:textId="2C7EAB40" w:rsidR="00D42C7B" w:rsidRPr="00352FB3" w:rsidRDefault="00D42C7B"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w:t>
            </w:r>
            <w:r w:rsidR="00F46DD2" w:rsidRPr="00352FB3">
              <w:rPr>
                <w:rFonts w:ascii="Times New Roman" w:eastAsia="Times New Roman" w:hAnsi="Times New Roman" w:cs="Times New Roman"/>
                <w:sz w:val="18"/>
                <w:szCs w:val="18"/>
                <w:shd w:val="clear" w:color="auto" w:fill="FFFFFF"/>
                <w:lang w:val="en-US"/>
              </w:rPr>
              <w:t>615</w:t>
            </w:r>
            <w:r w:rsidRPr="00352FB3">
              <w:rPr>
                <w:rFonts w:ascii="Times New Roman" w:eastAsia="Times New Roman" w:hAnsi="Times New Roman" w:cs="Times New Roman"/>
                <w:sz w:val="18"/>
                <w:szCs w:val="18"/>
                <w:shd w:val="clear" w:color="auto" w:fill="FFFFFF"/>
                <w:lang w:val="en-US"/>
              </w:rPr>
              <w:t>***</w:t>
            </w:r>
          </w:p>
          <w:p w14:paraId="21F31721" w14:textId="39C85A93" w:rsidR="00D42C7B" w:rsidRPr="00352FB3" w:rsidRDefault="00D42C7B"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(0.000)</w:t>
            </w:r>
          </w:p>
        </w:tc>
        <w:tc>
          <w:tcPr>
            <w:tcW w:w="992" w:type="dxa"/>
            <w:noWrap/>
          </w:tcPr>
          <w:p w14:paraId="20935C67" w14:textId="1FD14ACF" w:rsidR="00D42C7B" w:rsidRPr="00352FB3" w:rsidRDefault="00D733CB"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0.584</w:t>
            </w:r>
            <w:r w:rsidR="00D42C7B" w:rsidRPr="00352FB3">
              <w:rPr>
                <w:rFonts w:ascii="Times New Roman" w:eastAsia="Times New Roman" w:hAnsi="Times New Roman" w:cs="Times New Roman"/>
                <w:sz w:val="18"/>
                <w:szCs w:val="18"/>
                <w:shd w:val="clear" w:color="auto" w:fill="FFFFFF"/>
                <w:lang w:val="en-US"/>
              </w:rPr>
              <w:t>***</w:t>
            </w:r>
          </w:p>
          <w:p w14:paraId="504C94BD" w14:textId="77777777" w:rsidR="00D42C7B" w:rsidRPr="00352FB3" w:rsidRDefault="00D42C7B"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(0.000)</w:t>
            </w:r>
          </w:p>
        </w:tc>
        <w:tc>
          <w:tcPr>
            <w:tcW w:w="1134" w:type="dxa"/>
            <w:noWrap/>
          </w:tcPr>
          <w:p w14:paraId="24F2EEC7" w14:textId="469429FD" w:rsidR="00D42C7B" w:rsidRPr="00352FB3" w:rsidRDefault="00C60057"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0.596</w:t>
            </w:r>
            <w:r w:rsidR="00D42C7B" w:rsidRPr="00352FB3">
              <w:rPr>
                <w:rFonts w:ascii="Times New Roman" w:eastAsia="Times New Roman" w:hAnsi="Times New Roman" w:cs="Times New Roman"/>
                <w:sz w:val="18"/>
                <w:szCs w:val="18"/>
                <w:shd w:val="clear" w:color="auto" w:fill="FFFFFF"/>
                <w:lang w:val="en-US"/>
              </w:rPr>
              <w:t>***</w:t>
            </w:r>
          </w:p>
          <w:p w14:paraId="16BF1326" w14:textId="77777777" w:rsidR="00D42C7B" w:rsidRPr="00352FB3" w:rsidRDefault="00D42C7B"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(0.000)</w:t>
            </w:r>
          </w:p>
        </w:tc>
        <w:tc>
          <w:tcPr>
            <w:tcW w:w="1275" w:type="dxa"/>
          </w:tcPr>
          <w:p w14:paraId="3B4E5DE4" w14:textId="30B4EC57" w:rsidR="00D42C7B" w:rsidRPr="000972D1" w:rsidRDefault="00130E1F" w:rsidP="00626415">
            <w:pPr>
              <w:jc w:val="center"/>
              <w:rPr>
                <w:rFonts w:ascii="Times New Roman" w:eastAsia="Times New Roman" w:hAnsi="Times New Roman" w:cs="Times New Roman"/>
                <w:sz w:val="18"/>
                <w:szCs w:val="18"/>
                <w:shd w:val="clear" w:color="auto" w:fill="FFFFFF"/>
                <w:lang w:val="en-US"/>
              </w:rPr>
            </w:pPr>
            <w:r w:rsidRPr="000972D1">
              <w:rPr>
                <w:rFonts w:ascii="Times New Roman" w:eastAsia="Times New Roman" w:hAnsi="Times New Roman" w:cs="Times New Roman"/>
                <w:sz w:val="18"/>
                <w:szCs w:val="18"/>
                <w:shd w:val="clear" w:color="auto" w:fill="FFFFFF"/>
                <w:lang w:val="en-US"/>
              </w:rPr>
              <w:t>0.580</w:t>
            </w:r>
            <w:r w:rsidR="00D42C7B" w:rsidRPr="000972D1">
              <w:rPr>
                <w:rFonts w:ascii="Times New Roman" w:eastAsia="Times New Roman" w:hAnsi="Times New Roman" w:cs="Times New Roman"/>
                <w:sz w:val="18"/>
                <w:szCs w:val="18"/>
                <w:shd w:val="clear" w:color="auto" w:fill="FFFFFF"/>
                <w:lang w:val="en-US"/>
              </w:rPr>
              <w:t>***</w:t>
            </w:r>
          </w:p>
          <w:p w14:paraId="4874B970" w14:textId="77777777" w:rsidR="00D42C7B" w:rsidRPr="000972D1" w:rsidRDefault="00D42C7B" w:rsidP="00626415">
            <w:pPr>
              <w:jc w:val="center"/>
              <w:rPr>
                <w:rFonts w:ascii="Times New Roman" w:eastAsia="Times New Roman" w:hAnsi="Times New Roman" w:cs="Times New Roman"/>
                <w:sz w:val="18"/>
                <w:szCs w:val="18"/>
                <w:shd w:val="clear" w:color="auto" w:fill="FFFFFF"/>
                <w:lang w:val="en-US"/>
              </w:rPr>
            </w:pPr>
            <w:r w:rsidRPr="000972D1">
              <w:rPr>
                <w:rFonts w:ascii="Times New Roman" w:eastAsia="Times New Roman" w:hAnsi="Times New Roman" w:cs="Times New Roman"/>
                <w:sz w:val="18"/>
                <w:szCs w:val="18"/>
                <w:shd w:val="clear" w:color="auto" w:fill="FFFFFF"/>
                <w:lang w:val="en-US"/>
              </w:rPr>
              <w:t>(0.000)</w:t>
            </w:r>
          </w:p>
        </w:tc>
        <w:tc>
          <w:tcPr>
            <w:tcW w:w="1134" w:type="dxa"/>
          </w:tcPr>
          <w:p w14:paraId="566ECAE1" w14:textId="14C9DE20" w:rsidR="00D42C7B" w:rsidRPr="00352FB3" w:rsidRDefault="00314DD6"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0.318</w:t>
            </w:r>
            <w:r w:rsidR="00D42C7B" w:rsidRPr="00352FB3">
              <w:rPr>
                <w:rFonts w:ascii="Times New Roman" w:eastAsia="Times New Roman" w:hAnsi="Times New Roman" w:cs="Times New Roman"/>
                <w:sz w:val="18"/>
                <w:szCs w:val="18"/>
                <w:shd w:val="clear" w:color="auto" w:fill="FFFFFF"/>
                <w:lang w:val="en-US"/>
              </w:rPr>
              <w:t>***</w:t>
            </w:r>
          </w:p>
          <w:p w14:paraId="4594D48E" w14:textId="7369FE84" w:rsidR="00D42C7B" w:rsidRPr="00352FB3" w:rsidRDefault="00D42C7B"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(0.000)</w:t>
            </w:r>
          </w:p>
        </w:tc>
        <w:tc>
          <w:tcPr>
            <w:tcW w:w="992" w:type="dxa"/>
          </w:tcPr>
          <w:p w14:paraId="40FACDB6" w14:textId="407B4BAE" w:rsidR="00D42C7B" w:rsidRPr="00352FB3" w:rsidRDefault="007F496D"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0.338</w:t>
            </w:r>
            <w:r w:rsidR="00D42C7B" w:rsidRPr="00352FB3">
              <w:rPr>
                <w:rFonts w:ascii="Times New Roman" w:eastAsia="Times New Roman" w:hAnsi="Times New Roman" w:cs="Times New Roman"/>
                <w:sz w:val="18"/>
                <w:szCs w:val="18"/>
                <w:shd w:val="clear" w:color="auto" w:fill="FFFFFF"/>
                <w:lang w:val="en-US"/>
              </w:rPr>
              <w:t>***</w:t>
            </w:r>
          </w:p>
          <w:p w14:paraId="70B298A7" w14:textId="77777777" w:rsidR="00D42C7B" w:rsidRPr="00352FB3" w:rsidRDefault="00D42C7B"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(0.000)</w:t>
            </w:r>
          </w:p>
        </w:tc>
        <w:tc>
          <w:tcPr>
            <w:tcW w:w="992" w:type="dxa"/>
          </w:tcPr>
          <w:p w14:paraId="0E974132" w14:textId="3B6E6D86" w:rsidR="00D42C7B" w:rsidRPr="00352FB3" w:rsidRDefault="00C3371A"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0.317</w:t>
            </w:r>
            <w:r w:rsidR="00D42C7B" w:rsidRPr="00352FB3">
              <w:rPr>
                <w:rFonts w:ascii="Times New Roman" w:eastAsia="Times New Roman" w:hAnsi="Times New Roman" w:cs="Times New Roman"/>
                <w:sz w:val="18"/>
                <w:szCs w:val="18"/>
                <w:shd w:val="clear" w:color="auto" w:fill="FFFFFF"/>
                <w:lang w:val="en-US"/>
              </w:rPr>
              <w:t>***</w:t>
            </w:r>
          </w:p>
          <w:p w14:paraId="5BACDED3" w14:textId="77777777" w:rsidR="00D42C7B" w:rsidRPr="00352FB3" w:rsidRDefault="00D42C7B"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(0.000)</w:t>
            </w:r>
          </w:p>
        </w:tc>
        <w:tc>
          <w:tcPr>
            <w:tcW w:w="993" w:type="dxa"/>
          </w:tcPr>
          <w:p w14:paraId="11ED1F52" w14:textId="77777777" w:rsidR="00D42C7B" w:rsidRPr="000972D1" w:rsidRDefault="00D42C7B" w:rsidP="00626415">
            <w:pPr>
              <w:jc w:val="center"/>
              <w:rPr>
                <w:rFonts w:ascii="Times New Roman" w:eastAsia="Times New Roman" w:hAnsi="Times New Roman" w:cs="Times New Roman"/>
                <w:sz w:val="18"/>
                <w:szCs w:val="18"/>
                <w:shd w:val="clear" w:color="auto" w:fill="FFFFFF"/>
                <w:lang w:val="en-US"/>
              </w:rPr>
            </w:pPr>
            <w:r w:rsidRPr="000972D1">
              <w:rPr>
                <w:rFonts w:ascii="Times New Roman" w:eastAsia="Times New Roman" w:hAnsi="Times New Roman" w:cs="Times New Roman"/>
                <w:sz w:val="18"/>
                <w:szCs w:val="18"/>
                <w:shd w:val="clear" w:color="auto" w:fill="FFFFFF"/>
                <w:lang w:val="en-US"/>
              </w:rPr>
              <w:t>0.332***</w:t>
            </w:r>
          </w:p>
          <w:p w14:paraId="50D73806" w14:textId="77777777" w:rsidR="00D42C7B" w:rsidRPr="000972D1" w:rsidRDefault="00D42C7B" w:rsidP="00626415">
            <w:pPr>
              <w:jc w:val="center"/>
              <w:rPr>
                <w:rFonts w:ascii="Times New Roman" w:eastAsia="Times New Roman" w:hAnsi="Times New Roman" w:cs="Times New Roman"/>
                <w:sz w:val="18"/>
                <w:szCs w:val="18"/>
                <w:shd w:val="clear" w:color="auto" w:fill="FFFFFF"/>
                <w:lang w:val="en-US"/>
              </w:rPr>
            </w:pPr>
            <w:r w:rsidRPr="000972D1">
              <w:rPr>
                <w:rFonts w:ascii="Times New Roman" w:eastAsia="Times New Roman" w:hAnsi="Times New Roman" w:cs="Times New Roman"/>
                <w:sz w:val="18"/>
                <w:szCs w:val="18"/>
                <w:shd w:val="clear" w:color="auto" w:fill="FFFFFF"/>
                <w:lang w:val="en-US"/>
              </w:rPr>
              <w:t>(0.000)</w:t>
            </w:r>
          </w:p>
        </w:tc>
      </w:tr>
      <w:tr w:rsidR="00D42C7B" w:rsidRPr="00352FB3" w14:paraId="18E2B54C" w14:textId="7F5BA84C" w:rsidTr="00911D12">
        <w:trPr>
          <w:trHeight w:val="300"/>
          <w:jc w:val="center"/>
        </w:trPr>
        <w:tc>
          <w:tcPr>
            <w:tcW w:w="1418" w:type="dxa"/>
            <w:tcBorders>
              <w:right w:val="single" w:sz="12" w:space="0" w:color="auto"/>
            </w:tcBorders>
            <w:noWrap/>
          </w:tcPr>
          <w:p w14:paraId="1DC2B64B" w14:textId="77777777" w:rsidR="00D42C7B" w:rsidRPr="00352FB3" w:rsidRDefault="00D42C7B" w:rsidP="00626415">
            <w:pP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BUSY</w:t>
            </w:r>
          </w:p>
        </w:tc>
        <w:tc>
          <w:tcPr>
            <w:tcW w:w="1135" w:type="dxa"/>
            <w:gridSpan w:val="2"/>
            <w:tcBorders>
              <w:left w:val="single" w:sz="12" w:space="0" w:color="auto"/>
            </w:tcBorders>
          </w:tcPr>
          <w:p w14:paraId="5D192AA3" w14:textId="155CC6AD" w:rsidR="00D42C7B" w:rsidRPr="00352FB3" w:rsidRDefault="00D42C7B"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w:t>
            </w:r>
          </w:p>
        </w:tc>
        <w:tc>
          <w:tcPr>
            <w:tcW w:w="992" w:type="dxa"/>
            <w:noWrap/>
          </w:tcPr>
          <w:p w14:paraId="51D826B3" w14:textId="70E4D218" w:rsidR="00D42C7B" w:rsidRPr="00352FB3" w:rsidRDefault="00D42C7B"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w:t>
            </w:r>
          </w:p>
        </w:tc>
        <w:tc>
          <w:tcPr>
            <w:tcW w:w="1134" w:type="dxa"/>
            <w:noWrap/>
          </w:tcPr>
          <w:p w14:paraId="6C51777E" w14:textId="611B56FB" w:rsidR="00D42C7B" w:rsidRPr="00352FB3" w:rsidRDefault="00D42C7B"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w:t>
            </w:r>
          </w:p>
        </w:tc>
        <w:tc>
          <w:tcPr>
            <w:tcW w:w="1275" w:type="dxa"/>
          </w:tcPr>
          <w:p w14:paraId="0C620E25" w14:textId="7AF69767" w:rsidR="00D42C7B" w:rsidRPr="000972D1" w:rsidRDefault="00D42C7B" w:rsidP="00626415">
            <w:pPr>
              <w:jc w:val="center"/>
              <w:rPr>
                <w:rFonts w:ascii="Times New Roman" w:eastAsia="Times New Roman" w:hAnsi="Times New Roman" w:cs="Times New Roman"/>
                <w:sz w:val="18"/>
                <w:szCs w:val="18"/>
                <w:shd w:val="clear" w:color="auto" w:fill="FFFFFF"/>
                <w:lang w:val="en-US"/>
              </w:rPr>
            </w:pPr>
            <w:r w:rsidRPr="000972D1">
              <w:rPr>
                <w:rFonts w:ascii="Times New Roman" w:eastAsia="Times New Roman" w:hAnsi="Times New Roman" w:cs="Times New Roman"/>
                <w:sz w:val="18"/>
                <w:szCs w:val="18"/>
                <w:shd w:val="clear" w:color="auto" w:fill="FFFFFF"/>
                <w:lang w:val="en-US"/>
              </w:rPr>
              <w:t>-</w:t>
            </w:r>
          </w:p>
        </w:tc>
        <w:tc>
          <w:tcPr>
            <w:tcW w:w="1134" w:type="dxa"/>
          </w:tcPr>
          <w:p w14:paraId="445601F1" w14:textId="05C53278" w:rsidR="00D42C7B" w:rsidRPr="00352FB3" w:rsidRDefault="00314DD6"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0.374</w:t>
            </w:r>
            <w:r w:rsidR="00D42C7B" w:rsidRPr="00352FB3">
              <w:rPr>
                <w:rFonts w:ascii="Times New Roman" w:eastAsia="Times New Roman" w:hAnsi="Times New Roman" w:cs="Times New Roman"/>
                <w:sz w:val="18"/>
                <w:szCs w:val="18"/>
                <w:shd w:val="clear" w:color="auto" w:fill="FFFFFF"/>
                <w:lang w:val="en-US"/>
              </w:rPr>
              <w:t>***</w:t>
            </w:r>
          </w:p>
          <w:p w14:paraId="359BC243" w14:textId="32955B49" w:rsidR="00D42C7B" w:rsidRPr="00352FB3" w:rsidRDefault="00D42C7B"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(0.000)</w:t>
            </w:r>
          </w:p>
        </w:tc>
        <w:tc>
          <w:tcPr>
            <w:tcW w:w="992" w:type="dxa"/>
          </w:tcPr>
          <w:p w14:paraId="28C54E2D" w14:textId="58FE5DE1" w:rsidR="00D42C7B" w:rsidRPr="00352FB3" w:rsidRDefault="007F496D"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0.478</w:t>
            </w:r>
            <w:r w:rsidR="00D42C7B" w:rsidRPr="00352FB3">
              <w:rPr>
                <w:rFonts w:ascii="Times New Roman" w:eastAsia="Times New Roman" w:hAnsi="Times New Roman" w:cs="Times New Roman"/>
                <w:sz w:val="18"/>
                <w:szCs w:val="18"/>
                <w:shd w:val="clear" w:color="auto" w:fill="FFFFFF"/>
                <w:lang w:val="en-US"/>
              </w:rPr>
              <w:t>***</w:t>
            </w:r>
          </w:p>
          <w:p w14:paraId="3454D8AF" w14:textId="77777777" w:rsidR="00D42C7B" w:rsidRPr="00352FB3" w:rsidRDefault="00D42C7B"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(0.000)</w:t>
            </w:r>
          </w:p>
        </w:tc>
        <w:tc>
          <w:tcPr>
            <w:tcW w:w="992" w:type="dxa"/>
          </w:tcPr>
          <w:p w14:paraId="36097E3A" w14:textId="5D13656D" w:rsidR="00D42C7B" w:rsidRPr="00352FB3" w:rsidRDefault="00C3371A"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0.437</w:t>
            </w:r>
            <w:r w:rsidR="00D42C7B" w:rsidRPr="00352FB3">
              <w:rPr>
                <w:rFonts w:ascii="Times New Roman" w:eastAsia="Times New Roman" w:hAnsi="Times New Roman" w:cs="Times New Roman"/>
                <w:sz w:val="18"/>
                <w:szCs w:val="18"/>
                <w:shd w:val="clear" w:color="auto" w:fill="FFFFFF"/>
                <w:lang w:val="en-US"/>
              </w:rPr>
              <w:t>***</w:t>
            </w:r>
          </w:p>
          <w:p w14:paraId="253C49F1" w14:textId="77777777" w:rsidR="00D42C7B" w:rsidRPr="00352FB3" w:rsidRDefault="00D42C7B"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(0.000)</w:t>
            </w:r>
          </w:p>
        </w:tc>
        <w:tc>
          <w:tcPr>
            <w:tcW w:w="993" w:type="dxa"/>
          </w:tcPr>
          <w:p w14:paraId="14ED7859" w14:textId="67589EC0" w:rsidR="00D42C7B" w:rsidRPr="000972D1" w:rsidRDefault="00F60B00" w:rsidP="00626415">
            <w:pPr>
              <w:jc w:val="center"/>
              <w:rPr>
                <w:rFonts w:ascii="Times New Roman" w:eastAsia="Times New Roman" w:hAnsi="Times New Roman" w:cs="Times New Roman"/>
                <w:sz w:val="18"/>
                <w:szCs w:val="18"/>
                <w:shd w:val="clear" w:color="auto" w:fill="FFFFFF"/>
                <w:lang w:val="en-US"/>
              </w:rPr>
            </w:pPr>
            <w:r w:rsidRPr="000972D1">
              <w:rPr>
                <w:rFonts w:ascii="Times New Roman" w:eastAsia="Times New Roman" w:hAnsi="Times New Roman" w:cs="Times New Roman"/>
                <w:sz w:val="18"/>
                <w:szCs w:val="18"/>
                <w:shd w:val="clear" w:color="auto" w:fill="FFFFFF"/>
                <w:lang w:val="en-US"/>
              </w:rPr>
              <w:t>0.387</w:t>
            </w:r>
            <w:r w:rsidR="00D42C7B" w:rsidRPr="000972D1">
              <w:rPr>
                <w:rFonts w:ascii="Times New Roman" w:eastAsia="Times New Roman" w:hAnsi="Times New Roman" w:cs="Times New Roman"/>
                <w:sz w:val="18"/>
                <w:szCs w:val="18"/>
                <w:shd w:val="clear" w:color="auto" w:fill="FFFFFF"/>
                <w:lang w:val="en-US"/>
              </w:rPr>
              <w:t>***</w:t>
            </w:r>
          </w:p>
          <w:p w14:paraId="752EA0FB" w14:textId="77777777" w:rsidR="00D42C7B" w:rsidRPr="000972D1" w:rsidRDefault="00D42C7B" w:rsidP="00626415">
            <w:pPr>
              <w:jc w:val="center"/>
              <w:rPr>
                <w:rFonts w:ascii="Times New Roman" w:eastAsia="Times New Roman" w:hAnsi="Times New Roman" w:cs="Times New Roman"/>
                <w:sz w:val="18"/>
                <w:szCs w:val="18"/>
                <w:shd w:val="clear" w:color="auto" w:fill="FFFFFF"/>
                <w:lang w:val="en-US"/>
              </w:rPr>
            </w:pPr>
            <w:r w:rsidRPr="000972D1">
              <w:rPr>
                <w:rFonts w:ascii="Times New Roman" w:eastAsia="Times New Roman" w:hAnsi="Times New Roman" w:cs="Times New Roman"/>
                <w:sz w:val="18"/>
                <w:szCs w:val="18"/>
                <w:shd w:val="clear" w:color="auto" w:fill="FFFFFF"/>
                <w:lang w:val="en-US"/>
              </w:rPr>
              <w:t>(0.000)</w:t>
            </w:r>
          </w:p>
        </w:tc>
      </w:tr>
      <w:tr w:rsidR="00D42C7B" w:rsidRPr="00352FB3" w14:paraId="67ADA058" w14:textId="11EFD0CD" w:rsidTr="00911D12">
        <w:trPr>
          <w:trHeight w:val="300"/>
          <w:jc w:val="center"/>
        </w:trPr>
        <w:tc>
          <w:tcPr>
            <w:tcW w:w="1418" w:type="dxa"/>
            <w:tcBorders>
              <w:right w:val="single" w:sz="12" w:space="0" w:color="auto"/>
            </w:tcBorders>
            <w:noWrap/>
          </w:tcPr>
          <w:p w14:paraId="4C51DEAE" w14:textId="747EFF8B" w:rsidR="00D42C7B" w:rsidRPr="00352FB3" w:rsidRDefault="00D42C7B" w:rsidP="00626415">
            <w:pP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QUIK</w:t>
            </w:r>
          </w:p>
        </w:tc>
        <w:tc>
          <w:tcPr>
            <w:tcW w:w="1135" w:type="dxa"/>
            <w:gridSpan w:val="2"/>
            <w:tcBorders>
              <w:left w:val="single" w:sz="12" w:space="0" w:color="auto"/>
            </w:tcBorders>
          </w:tcPr>
          <w:p w14:paraId="56479D6E" w14:textId="47249367" w:rsidR="00D42C7B" w:rsidRPr="00352FB3" w:rsidRDefault="00F46DD2"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0.158</w:t>
            </w:r>
          </w:p>
          <w:p w14:paraId="0280346B" w14:textId="32D02A5D" w:rsidR="00D42C7B" w:rsidRPr="00352FB3" w:rsidRDefault="00F46DD2"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(0.180</w:t>
            </w:r>
            <w:r w:rsidR="00D42C7B" w:rsidRPr="00352FB3">
              <w:rPr>
                <w:rFonts w:ascii="Times New Roman" w:eastAsia="Times New Roman" w:hAnsi="Times New Roman" w:cs="Times New Roman"/>
                <w:sz w:val="18"/>
                <w:szCs w:val="18"/>
                <w:shd w:val="clear" w:color="auto" w:fill="FFFFFF"/>
                <w:lang w:val="en-US"/>
              </w:rPr>
              <w:t>)</w:t>
            </w:r>
          </w:p>
        </w:tc>
        <w:tc>
          <w:tcPr>
            <w:tcW w:w="992" w:type="dxa"/>
            <w:noWrap/>
          </w:tcPr>
          <w:p w14:paraId="7BD88A48" w14:textId="2EDA332A" w:rsidR="00D42C7B" w:rsidRPr="00352FB3" w:rsidRDefault="00D733CB"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0.195*</w:t>
            </w:r>
          </w:p>
          <w:p w14:paraId="3D3DDA87" w14:textId="34348702" w:rsidR="00D42C7B" w:rsidRPr="00352FB3" w:rsidRDefault="00D733CB"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(0.098</w:t>
            </w:r>
            <w:r w:rsidR="00D42C7B" w:rsidRPr="00352FB3">
              <w:rPr>
                <w:rFonts w:ascii="Times New Roman" w:eastAsia="Times New Roman" w:hAnsi="Times New Roman" w:cs="Times New Roman"/>
                <w:sz w:val="18"/>
                <w:szCs w:val="18"/>
                <w:shd w:val="clear" w:color="auto" w:fill="FFFFFF"/>
                <w:lang w:val="en-US"/>
              </w:rPr>
              <w:t>)</w:t>
            </w:r>
          </w:p>
        </w:tc>
        <w:tc>
          <w:tcPr>
            <w:tcW w:w="1134" w:type="dxa"/>
            <w:noWrap/>
          </w:tcPr>
          <w:p w14:paraId="08F535F4" w14:textId="3DBA0F76" w:rsidR="00D42C7B" w:rsidRPr="00352FB3" w:rsidRDefault="00C60057"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0.134</w:t>
            </w:r>
          </w:p>
          <w:p w14:paraId="42237B00" w14:textId="025EA304" w:rsidR="00D42C7B" w:rsidRPr="00352FB3" w:rsidRDefault="00C60057"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(0.267</w:t>
            </w:r>
            <w:r w:rsidR="00D42C7B" w:rsidRPr="00352FB3">
              <w:rPr>
                <w:rFonts w:ascii="Times New Roman" w:eastAsia="Times New Roman" w:hAnsi="Times New Roman" w:cs="Times New Roman"/>
                <w:sz w:val="18"/>
                <w:szCs w:val="18"/>
                <w:shd w:val="clear" w:color="auto" w:fill="FFFFFF"/>
                <w:lang w:val="en-US"/>
              </w:rPr>
              <w:t>)</w:t>
            </w:r>
          </w:p>
        </w:tc>
        <w:tc>
          <w:tcPr>
            <w:tcW w:w="1275" w:type="dxa"/>
          </w:tcPr>
          <w:p w14:paraId="66329307" w14:textId="4631CE14" w:rsidR="00D42C7B" w:rsidRPr="000972D1" w:rsidRDefault="00130E1F" w:rsidP="00626415">
            <w:pPr>
              <w:jc w:val="center"/>
              <w:rPr>
                <w:rFonts w:ascii="Times New Roman" w:eastAsia="Times New Roman" w:hAnsi="Times New Roman" w:cs="Times New Roman"/>
                <w:sz w:val="18"/>
                <w:szCs w:val="18"/>
                <w:shd w:val="clear" w:color="auto" w:fill="FFFFFF"/>
                <w:lang w:val="en-US"/>
              </w:rPr>
            </w:pPr>
            <w:r w:rsidRPr="000972D1">
              <w:rPr>
                <w:rFonts w:ascii="Times New Roman" w:eastAsia="Times New Roman" w:hAnsi="Times New Roman" w:cs="Times New Roman"/>
                <w:sz w:val="18"/>
                <w:szCs w:val="18"/>
                <w:shd w:val="clear" w:color="auto" w:fill="FFFFFF"/>
                <w:lang w:val="en-US"/>
              </w:rPr>
              <w:t>0.183</w:t>
            </w:r>
          </w:p>
          <w:p w14:paraId="3D3F6031" w14:textId="61166F80" w:rsidR="00D42C7B" w:rsidRPr="000972D1" w:rsidRDefault="00130E1F" w:rsidP="00626415">
            <w:pPr>
              <w:jc w:val="center"/>
              <w:rPr>
                <w:rFonts w:ascii="Times New Roman" w:eastAsia="Times New Roman" w:hAnsi="Times New Roman" w:cs="Times New Roman"/>
                <w:sz w:val="18"/>
                <w:szCs w:val="18"/>
                <w:shd w:val="clear" w:color="auto" w:fill="FFFFFF"/>
                <w:lang w:val="en-US"/>
              </w:rPr>
            </w:pPr>
            <w:r w:rsidRPr="000972D1">
              <w:rPr>
                <w:rFonts w:ascii="Times New Roman" w:eastAsia="Times New Roman" w:hAnsi="Times New Roman" w:cs="Times New Roman"/>
                <w:sz w:val="18"/>
                <w:szCs w:val="18"/>
                <w:shd w:val="clear" w:color="auto" w:fill="FFFFFF"/>
                <w:lang w:val="en-US"/>
              </w:rPr>
              <w:t>(0.117</w:t>
            </w:r>
            <w:r w:rsidR="00D42C7B" w:rsidRPr="000972D1">
              <w:rPr>
                <w:rFonts w:ascii="Times New Roman" w:eastAsia="Times New Roman" w:hAnsi="Times New Roman" w:cs="Times New Roman"/>
                <w:sz w:val="18"/>
                <w:szCs w:val="18"/>
                <w:shd w:val="clear" w:color="auto" w:fill="FFFFFF"/>
                <w:lang w:val="en-US"/>
              </w:rPr>
              <w:t>)</w:t>
            </w:r>
          </w:p>
        </w:tc>
        <w:tc>
          <w:tcPr>
            <w:tcW w:w="1134" w:type="dxa"/>
          </w:tcPr>
          <w:p w14:paraId="26DBC61B" w14:textId="6C8634E2" w:rsidR="00D42C7B" w:rsidRPr="00352FB3" w:rsidRDefault="00314DD6"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0.002</w:t>
            </w:r>
          </w:p>
          <w:p w14:paraId="29DEF21C" w14:textId="05B37DA3" w:rsidR="00D42C7B" w:rsidRPr="00352FB3" w:rsidRDefault="00314DD6" w:rsidP="00626415">
            <w:pPr>
              <w:tabs>
                <w:tab w:val="left" w:pos="220"/>
                <w:tab w:val="center" w:pos="459"/>
              </w:tabs>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(0.934</w:t>
            </w:r>
            <w:r w:rsidR="00D42C7B" w:rsidRPr="00352FB3">
              <w:rPr>
                <w:rFonts w:ascii="Times New Roman" w:eastAsia="Times New Roman" w:hAnsi="Times New Roman" w:cs="Times New Roman"/>
                <w:sz w:val="18"/>
                <w:szCs w:val="18"/>
                <w:shd w:val="clear" w:color="auto" w:fill="FFFFFF"/>
                <w:lang w:val="en-US"/>
              </w:rPr>
              <w:t>)</w:t>
            </w:r>
          </w:p>
        </w:tc>
        <w:tc>
          <w:tcPr>
            <w:tcW w:w="992" w:type="dxa"/>
          </w:tcPr>
          <w:p w14:paraId="4359F9D0" w14:textId="74B6D19F" w:rsidR="00D42C7B" w:rsidRPr="00352FB3" w:rsidRDefault="007F496D" w:rsidP="00626415">
            <w:pPr>
              <w:tabs>
                <w:tab w:val="left" w:pos="220"/>
                <w:tab w:val="center" w:pos="459"/>
              </w:tabs>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0.017</w:t>
            </w:r>
          </w:p>
          <w:p w14:paraId="6DD17B60" w14:textId="7737B271" w:rsidR="00D42C7B" w:rsidRPr="00352FB3" w:rsidRDefault="007F496D"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(0.541</w:t>
            </w:r>
            <w:r w:rsidR="00D42C7B" w:rsidRPr="00352FB3">
              <w:rPr>
                <w:rFonts w:ascii="Times New Roman" w:eastAsia="Times New Roman" w:hAnsi="Times New Roman" w:cs="Times New Roman"/>
                <w:sz w:val="18"/>
                <w:szCs w:val="18"/>
                <w:shd w:val="clear" w:color="auto" w:fill="FFFFFF"/>
                <w:lang w:val="en-US"/>
              </w:rPr>
              <w:t>)</w:t>
            </w:r>
          </w:p>
        </w:tc>
        <w:tc>
          <w:tcPr>
            <w:tcW w:w="992" w:type="dxa"/>
          </w:tcPr>
          <w:p w14:paraId="1876F169" w14:textId="0C9C41EC" w:rsidR="00D42C7B" w:rsidRPr="00352FB3" w:rsidRDefault="00C3371A"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0.017</w:t>
            </w:r>
          </w:p>
          <w:p w14:paraId="26181366" w14:textId="5DEE541C" w:rsidR="00D42C7B" w:rsidRPr="00352FB3" w:rsidRDefault="00C3371A"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(0.542</w:t>
            </w:r>
            <w:r w:rsidR="00D42C7B" w:rsidRPr="00352FB3">
              <w:rPr>
                <w:rFonts w:ascii="Times New Roman" w:eastAsia="Times New Roman" w:hAnsi="Times New Roman" w:cs="Times New Roman"/>
                <w:sz w:val="18"/>
                <w:szCs w:val="18"/>
                <w:shd w:val="clear" w:color="auto" w:fill="FFFFFF"/>
                <w:lang w:val="en-US"/>
              </w:rPr>
              <w:t>)</w:t>
            </w:r>
          </w:p>
        </w:tc>
        <w:tc>
          <w:tcPr>
            <w:tcW w:w="993" w:type="dxa"/>
          </w:tcPr>
          <w:p w14:paraId="04AD0A1F" w14:textId="1D355F94" w:rsidR="00D42C7B" w:rsidRPr="000972D1" w:rsidRDefault="00F60B00" w:rsidP="00626415">
            <w:pPr>
              <w:jc w:val="center"/>
              <w:rPr>
                <w:rFonts w:ascii="Times New Roman" w:eastAsia="Times New Roman" w:hAnsi="Times New Roman" w:cs="Times New Roman"/>
                <w:sz w:val="18"/>
                <w:szCs w:val="18"/>
                <w:shd w:val="clear" w:color="auto" w:fill="FFFFFF"/>
                <w:lang w:val="en-US"/>
              </w:rPr>
            </w:pPr>
            <w:r w:rsidRPr="000972D1">
              <w:rPr>
                <w:rFonts w:ascii="Times New Roman" w:eastAsia="Times New Roman" w:hAnsi="Times New Roman" w:cs="Times New Roman"/>
                <w:sz w:val="18"/>
                <w:szCs w:val="18"/>
                <w:shd w:val="clear" w:color="auto" w:fill="FFFFFF"/>
                <w:lang w:val="en-US"/>
              </w:rPr>
              <w:t>0.014</w:t>
            </w:r>
          </w:p>
          <w:p w14:paraId="7D6A0779" w14:textId="5BEA67EB" w:rsidR="00D42C7B" w:rsidRPr="000972D1" w:rsidRDefault="00F60B00" w:rsidP="00626415">
            <w:pPr>
              <w:jc w:val="center"/>
              <w:rPr>
                <w:rFonts w:ascii="Times New Roman" w:eastAsia="Times New Roman" w:hAnsi="Times New Roman" w:cs="Times New Roman"/>
                <w:sz w:val="18"/>
                <w:szCs w:val="18"/>
                <w:shd w:val="clear" w:color="auto" w:fill="FFFFFF"/>
                <w:lang w:val="en-US"/>
              </w:rPr>
            </w:pPr>
            <w:r w:rsidRPr="000972D1">
              <w:rPr>
                <w:rFonts w:ascii="Times New Roman" w:eastAsia="Times New Roman" w:hAnsi="Times New Roman" w:cs="Times New Roman"/>
                <w:sz w:val="18"/>
                <w:szCs w:val="18"/>
                <w:shd w:val="clear" w:color="auto" w:fill="FFFFFF"/>
                <w:lang w:val="en-US"/>
              </w:rPr>
              <w:t>(0.615</w:t>
            </w:r>
            <w:r w:rsidR="00D42C7B" w:rsidRPr="000972D1">
              <w:rPr>
                <w:rFonts w:ascii="Times New Roman" w:eastAsia="Times New Roman" w:hAnsi="Times New Roman" w:cs="Times New Roman"/>
                <w:sz w:val="18"/>
                <w:szCs w:val="18"/>
                <w:shd w:val="clear" w:color="auto" w:fill="FFFFFF"/>
                <w:lang w:val="en-US"/>
              </w:rPr>
              <w:t>)</w:t>
            </w:r>
          </w:p>
        </w:tc>
      </w:tr>
      <w:tr w:rsidR="00D42C7B" w:rsidRPr="00352FB3" w14:paraId="38835DF1" w14:textId="3E1AE64B" w:rsidTr="00911D12">
        <w:trPr>
          <w:trHeight w:val="300"/>
          <w:jc w:val="center"/>
        </w:trPr>
        <w:tc>
          <w:tcPr>
            <w:tcW w:w="1418" w:type="dxa"/>
            <w:tcBorders>
              <w:right w:val="single" w:sz="12" w:space="0" w:color="auto"/>
            </w:tcBorders>
            <w:noWrap/>
          </w:tcPr>
          <w:p w14:paraId="0AED45AF" w14:textId="37F4E9DF" w:rsidR="00D42C7B" w:rsidRPr="00352FB3" w:rsidRDefault="00D42C7B" w:rsidP="00626415">
            <w:pP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LOS</w:t>
            </w:r>
          </w:p>
        </w:tc>
        <w:tc>
          <w:tcPr>
            <w:tcW w:w="1135" w:type="dxa"/>
            <w:gridSpan w:val="2"/>
            <w:tcBorders>
              <w:left w:val="single" w:sz="12" w:space="0" w:color="auto"/>
            </w:tcBorders>
          </w:tcPr>
          <w:p w14:paraId="12662FB0" w14:textId="36874584" w:rsidR="00D42C7B" w:rsidRPr="00352FB3" w:rsidRDefault="00F46DD2"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w:t>
            </w:r>
            <w:r w:rsidR="00D42C7B" w:rsidRPr="00352FB3">
              <w:rPr>
                <w:rFonts w:ascii="Times New Roman" w:eastAsia="Times New Roman" w:hAnsi="Times New Roman" w:cs="Times New Roman"/>
                <w:sz w:val="18"/>
                <w:szCs w:val="18"/>
                <w:shd w:val="clear" w:color="auto" w:fill="FFFFFF"/>
                <w:lang w:val="en-US"/>
              </w:rPr>
              <w:t>0.0</w:t>
            </w:r>
            <w:r w:rsidRPr="00352FB3">
              <w:rPr>
                <w:rFonts w:ascii="Times New Roman" w:eastAsia="Times New Roman" w:hAnsi="Times New Roman" w:cs="Times New Roman"/>
                <w:sz w:val="18"/>
                <w:szCs w:val="18"/>
                <w:shd w:val="clear" w:color="auto" w:fill="FFFFFF"/>
                <w:lang w:val="en-US"/>
              </w:rPr>
              <w:t>1</w:t>
            </w:r>
            <w:r w:rsidR="00D42C7B" w:rsidRPr="00352FB3">
              <w:rPr>
                <w:rFonts w:ascii="Times New Roman" w:eastAsia="Times New Roman" w:hAnsi="Times New Roman" w:cs="Times New Roman"/>
                <w:sz w:val="18"/>
                <w:szCs w:val="18"/>
                <w:shd w:val="clear" w:color="auto" w:fill="FFFFFF"/>
                <w:lang w:val="en-US"/>
              </w:rPr>
              <w:t>9</w:t>
            </w:r>
          </w:p>
          <w:p w14:paraId="20AA9194" w14:textId="7423A92B" w:rsidR="00D42C7B" w:rsidRPr="00352FB3" w:rsidRDefault="00F46DD2"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(0.953</w:t>
            </w:r>
            <w:r w:rsidR="00D42C7B" w:rsidRPr="00352FB3">
              <w:rPr>
                <w:rFonts w:ascii="Times New Roman" w:eastAsia="Times New Roman" w:hAnsi="Times New Roman" w:cs="Times New Roman"/>
                <w:sz w:val="18"/>
                <w:szCs w:val="18"/>
                <w:shd w:val="clear" w:color="auto" w:fill="FFFFFF"/>
                <w:lang w:val="en-US"/>
              </w:rPr>
              <w:t>)</w:t>
            </w:r>
          </w:p>
        </w:tc>
        <w:tc>
          <w:tcPr>
            <w:tcW w:w="992" w:type="dxa"/>
            <w:noWrap/>
          </w:tcPr>
          <w:p w14:paraId="4B970BC3" w14:textId="7FF99623" w:rsidR="00D42C7B" w:rsidRPr="00352FB3" w:rsidRDefault="00D733CB"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0.049</w:t>
            </w:r>
          </w:p>
          <w:p w14:paraId="7CAB12B9" w14:textId="504BC303" w:rsidR="00D42C7B" w:rsidRPr="00352FB3" w:rsidRDefault="00D733CB"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(0.884</w:t>
            </w:r>
            <w:r w:rsidR="00D42C7B" w:rsidRPr="00352FB3">
              <w:rPr>
                <w:rFonts w:ascii="Times New Roman" w:eastAsia="Times New Roman" w:hAnsi="Times New Roman" w:cs="Times New Roman"/>
                <w:sz w:val="18"/>
                <w:szCs w:val="18"/>
                <w:shd w:val="clear" w:color="auto" w:fill="FFFFFF"/>
                <w:lang w:val="en-US"/>
              </w:rPr>
              <w:t>)</w:t>
            </w:r>
          </w:p>
        </w:tc>
        <w:tc>
          <w:tcPr>
            <w:tcW w:w="1134" w:type="dxa"/>
            <w:noWrap/>
          </w:tcPr>
          <w:p w14:paraId="49FA5012" w14:textId="70D6C526" w:rsidR="00D42C7B" w:rsidRPr="00352FB3" w:rsidRDefault="00C60057"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w:t>
            </w:r>
            <w:r w:rsidR="00D42C7B" w:rsidRPr="00352FB3">
              <w:rPr>
                <w:rFonts w:ascii="Times New Roman" w:eastAsia="Times New Roman" w:hAnsi="Times New Roman" w:cs="Times New Roman"/>
                <w:sz w:val="18"/>
                <w:szCs w:val="18"/>
                <w:shd w:val="clear" w:color="auto" w:fill="FFFFFF"/>
                <w:lang w:val="en-US"/>
              </w:rPr>
              <w:t>0.</w:t>
            </w:r>
            <w:r w:rsidRPr="00352FB3">
              <w:rPr>
                <w:rFonts w:ascii="Times New Roman" w:eastAsia="Times New Roman" w:hAnsi="Times New Roman" w:cs="Times New Roman"/>
                <w:sz w:val="18"/>
                <w:szCs w:val="18"/>
                <w:shd w:val="clear" w:color="auto" w:fill="FFFFFF"/>
                <w:lang w:val="en-US"/>
              </w:rPr>
              <w:t>0</w:t>
            </w:r>
            <w:r w:rsidR="00D42C7B" w:rsidRPr="00352FB3">
              <w:rPr>
                <w:rFonts w:ascii="Times New Roman" w:eastAsia="Times New Roman" w:hAnsi="Times New Roman" w:cs="Times New Roman"/>
                <w:sz w:val="18"/>
                <w:szCs w:val="18"/>
                <w:shd w:val="clear" w:color="auto" w:fill="FFFFFF"/>
                <w:lang w:val="en-US"/>
              </w:rPr>
              <w:t>1</w:t>
            </w:r>
            <w:r w:rsidRPr="00352FB3">
              <w:rPr>
                <w:rFonts w:ascii="Times New Roman" w:eastAsia="Times New Roman" w:hAnsi="Times New Roman" w:cs="Times New Roman"/>
                <w:sz w:val="18"/>
                <w:szCs w:val="18"/>
                <w:shd w:val="clear" w:color="auto" w:fill="FFFFFF"/>
                <w:lang w:val="en-US"/>
              </w:rPr>
              <w:t>9</w:t>
            </w:r>
          </w:p>
          <w:p w14:paraId="22DEAEF6" w14:textId="2BEA0661" w:rsidR="00D42C7B" w:rsidRPr="00352FB3" w:rsidRDefault="00960CA5"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(0.956</w:t>
            </w:r>
            <w:r w:rsidR="00D42C7B" w:rsidRPr="00352FB3">
              <w:rPr>
                <w:rFonts w:ascii="Times New Roman" w:eastAsia="Times New Roman" w:hAnsi="Times New Roman" w:cs="Times New Roman"/>
                <w:sz w:val="18"/>
                <w:szCs w:val="18"/>
                <w:shd w:val="clear" w:color="auto" w:fill="FFFFFF"/>
                <w:lang w:val="en-US"/>
              </w:rPr>
              <w:t>)</w:t>
            </w:r>
          </w:p>
        </w:tc>
        <w:tc>
          <w:tcPr>
            <w:tcW w:w="1275" w:type="dxa"/>
          </w:tcPr>
          <w:p w14:paraId="53EAE6D6" w14:textId="6D5F11B9" w:rsidR="00D42C7B" w:rsidRPr="000972D1" w:rsidRDefault="00130E1F" w:rsidP="00626415">
            <w:pPr>
              <w:jc w:val="center"/>
              <w:rPr>
                <w:rFonts w:ascii="Times New Roman" w:eastAsia="Times New Roman" w:hAnsi="Times New Roman" w:cs="Times New Roman"/>
                <w:sz w:val="18"/>
                <w:szCs w:val="18"/>
                <w:shd w:val="clear" w:color="auto" w:fill="FFFFFF"/>
                <w:lang w:val="en-US"/>
              </w:rPr>
            </w:pPr>
            <w:r w:rsidRPr="000972D1">
              <w:rPr>
                <w:rFonts w:ascii="Times New Roman" w:eastAsia="Times New Roman" w:hAnsi="Times New Roman" w:cs="Times New Roman"/>
                <w:sz w:val="18"/>
                <w:szCs w:val="18"/>
                <w:shd w:val="clear" w:color="auto" w:fill="FFFFFF"/>
                <w:lang w:val="en-US"/>
              </w:rPr>
              <w:t>-</w:t>
            </w:r>
            <w:r w:rsidR="00D42C7B" w:rsidRPr="000972D1">
              <w:rPr>
                <w:rFonts w:ascii="Times New Roman" w:eastAsia="Times New Roman" w:hAnsi="Times New Roman" w:cs="Times New Roman"/>
                <w:sz w:val="18"/>
                <w:szCs w:val="18"/>
                <w:shd w:val="clear" w:color="auto" w:fill="FFFFFF"/>
                <w:lang w:val="en-US"/>
              </w:rPr>
              <w:t>0.02</w:t>
            </w:r>
            <w:r w:rsidRPr="000972D1">
              <w:rPr>
                <w:rFonts w:ascii="Times New Roman" w:eastAsia="Times New Roman" w:hAnsi="Times New Roman" w:cs="Times New Roman"/>
                <w:sz w:val="18"/>
                <w:szCs w:val="18"/>
                <w:shd w:val="clear" w:color="auto" w:fill="FFFFFF"/>
                <w:lang w:val="en-US"/>
              </w:rPr>
              <w:t>9</w:t>
            </w:r>
          </w:p>
          <w:p w14:paraId="75A686EA" w14:textId="40C050CA" w:rsidR="00D42C7B" w:rsidRPr="000972D1" w:rsidRDefault="00130E1F" w:rsidP="00626415">
            <w:pPr>
              <w:jc w:val="center"/>
              <w:rPr>
                <w:rFonts w:ascii="Times New Roman" w:eastAsia="Times New Roman" w:hAnsi="Times New Roman" w:cs="Times New Roman"/>
                <w:sz w:val="18"/>
                <w:szCs w:val="18"/>
                <w:shd w:val="clear" w:color="auto" w:fill="FFFFFF"/>
                <w:lang w:val="en-US"/>
              </w:rPr>
            </w:pPr>
            <w:r w:rsidRPr="000972D1">
              <w:rPr>
                <w:rFonts w:ascii="Times New Roman" w:eastAsia="Times New Roman" w:hAnsi="Times New Roman" w:cs="Times New Roman"/>
                <w:sz w:val="18"/>
                <w:szCs w:val="18"/>
                <w:shd w:val="clear" w:color="auto" w:fill="FFFFFF"/>
                <w:lang w:val="en-US"/>
              </w:rPr>
              <w:t>(0.929</w:t>
            </w:r>
            <w:r w:rsidR="00D42C7B" w:rsidRPr="000972D1">
              <w:rPr>
                <w:rFonts w:ascii="Times New Roman" w:eastAsia="Times New Roman" w:hAnsi="Times New Roman" w:cs="Times New Roman"/>
                <w:sz w:val="18"/>
                <w:szCs w:val="18"/>
                <w:shd w:val="clear" w:color="auto" w:fill="FFFFFF"/>
                <w:lang w:val="en-US"/>
              </w:rPr>
              <w:t>)</w:t>
            </w:r>
          </w:p>
        </w:tc>
        <w:tc>
          <w:tcPr>
            <w:tcW w:w="1134" w:type="dxa"/>
          </w:tcPr>
          <w:p w14:paraId="6ADED435" w14:textId="3D407E74" w:rsidR="00D42C7B" w:rsidRPr="00352FB3" w:rsidRDefault="00314DD6"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0.031</w:t>
            </w:r>
          </w:p>
          <w:p w14:paraId="7EF0606E" w14:textId="268223E9" w:rsidR="00D42C7B" w:rsidRPr="00352FB3" w:rsidRDefault="00314DD6"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(0.685</w:t>
            </w:r>
            <w:r w:rsidR="00D42C7B" w:rsidRPr="00352FB3">
              <w:rPr>
                <w:rFonts w:ascii="Times New Roman" w:eastAsia="Times New Roman" w:hAnsi="Times New Roman" w:cs="Times New Roman"/>
                <w:sz w:val="18"/>
                <w:szCs w:val="18"/>
                <w:shd w:val="clear" w:color="auto" w:fill="FFFFFF"/>
                <w:lang w:val="en-US"/>
              </w:rPr>
              <w:t>)</w:t>
            </w:r>
          </w:p>
        </w:tc>
        <w:tc>
          <w:tcPr>
            <w:tcW w:w="992" w:type="dxa"/>
          </w:tcPr>
          <w:p w14:paraId="1092C3C9" w14:textId="6EEB350B" w:rsidR="00D42C7B" w:rsidRPr="00352FB3" w:rsidRDefault="007F496D"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0.063</w:t>
            </w:r>
          </w:p>
          <w:p w14:paraId="696DA466" w14:textId="615D1DEE" w:rsidR="00D42C7B" w:rsidRPr="00352FB3" w:rsidRDefault="00D42C7B"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w:t>
            </w:r>
            <w:r w:rsidR="007F496D" w:rsidRPr="00352FB3">
              <w:rPr>
                <w:rFonts w:ascii="Times New Roman" w:eastAsia="Times New Roman" w:hAnsi="Times New Roman" w:cs="Times New Roman"/>
                <w:sz w:val="18"/>
                <w:szCs w:val="18"/>
                <w:shd w:val="clear" w:color="auto" w:fill="FFFFFF"/>
                <w:lang w:val="en-US"/>
              </w:rPr>
              <w:t>0.419</w:t>
            </w:r>
            <w:r w:rsidRPr="00352FB3">
              <w:rPr>
                <w:rFonts w:ascii="Times New Roman" w:eastAsia="Times New Roman" w:hAnsi="Times New Roman" w:cs="Times New Roman"/>
                <w:sz w:val="18"/>
                <w:szCs w:val="18"/>
                <w:shd w:val="clear" w:color="auto" w:fill="FFFFFF"/>
                <w:lang w:val="en-US"/>
              </w:rPr>
              <w:t>)</w:t>
            </w:r>
          </w:p>
        </w:tc>
        <w:tc>
          <w:tcPr>
            <w:tcW w:w="992" w:type="dxa"/>
          </w:tcPr>
          <w:p w14:paraId="2E48C79B" w14:textId="59CB6202" w:rsidR="00D42C7B" w:rsidRPr="00352FB3" w:rsidRDefault="00C3371A"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0.052</w:t>
            </w:r>
          </w:p>
          <w:p w14:paraId="391E4406" w14:textId="2AF5D110" w:rsidR="00D42C7B" w:rsidRPr="00352FB3" w:rsidRDefault="00C3371A"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(0.497</w:t>
            </w:r>
            <w:r w:rsidR="00D42C7B" w:rsidRPr="00352FB3">
              <w:rPr>
                <w:rFonts w:ascii="Times New Roman" w:eastAsia="Times New Roman" w:hAnsi="Times New Roman" w:cs="Times New Roman"/>
                <w:sz w:val="18"/>
                <w:szCs w:val="18"/>
                <w:shd w:val="clear" w:color="auto" w:fill="FFFFFF"/>
                <w:lang w:val="en-US"/>
              </w:rPr>
              <w:t>)</w:t>
            </w:r>
          </w:p>
        </w:tc>
        <w:tc>
          <w:tcPr>
            <w:tcW w:w="993" w:type="dxa"/>
          </w:tcPr>
          <w:p w14:paraId="5924754B" w14:textId="77777777" w:rsidR="00D42C7B" w:rsidRPr="000972D1" w:rsidRDefault="00D42C7B" w:rsidP="00626415">
            <w:pPr>
              <w:jc w:val="center"/>
              <w:rPr>
                <w:rFonts w:ascii="Times New Roman" w:eastAsia="Times New Roman" w:hAnsi="Times New Roman" w:cs="Times New Roman"/>
                <w:sz w:val="18"/>
                <w:szCs w:val="18"/>
                <w:shd w:val="clear" w:color="auto" w:fill="FFFFFF"/>
                <w:lang w:val="en-US"/>
              </w:rPr>
            </w:pPr>
            <w:r w:rsidRPr="000972D1">
              <w:rPr>
                <w:rFonts w:ascii="Times New Roman" w:eastAsia="Times New Roman" w:hAnsi="Times New Roman" w:cs="Times New Roman"/>
                <w:sz w:val="18"/>
                <w:szCs w:val="18"/>
                <w:shd w:val="clear" w:color="auto" w:fill="FFFFFF"/>
                <w:lang w:val="en-US"/>
              </w:rPr>
              <w:t>0.065</w:t>
            </w:r>
          </w:p>
          <w:p w14:paraId="66B4934A" w14:textId="30CDADCA" w:rsidR="00D42C7B" w:rsidRPr="000972D1" w:rsidRDefault="00F60B00" w:rsidP="00626415">
            <w:pPr>
              <w:jc w:val="center"/>
              <w:rPr>
                <w:rFonts w:ascii="Times New Roman" w:eastAsia="Times New Roman" w:hAnsi="Times New Roman" w:cs="Times New Roman"/>
                <w:sz w:val="18"/>
                <w:szCs w:val="18"/>
                <w:shd w:val="clear" w:color="auto" w:fill="FFFFFF"/>
                <w:lang w:val="en-US"/>
              </w:rPr>
            </w:pPr>
            <w:r w:rsidRPr="000972D1">
              <w:rPr>
                <w:rFonts w:ascii="Times New Roman" w:eastAsia="Times New Roman" w:hAnsi="Times New Roman" w:cs="Times New Roman"/>
                <w:sz w:val="18"/>
                <w:szCs w:val="18"/>
                <w:shd w:val="clear" w:color="auto" w:fill="FFFFFF"/>
                <w:lang w:val="en-US"/>
              </w:rPr>
              <w:t>(0.395</w:t>
            </w:r>
            <w:r w:rsidR="00D42C7B" w:rsidRPr="000972D1">
              <w:rPr>
                <w:rFonts w:ascii="Times New Roman" w:eastAsia="Times New Roman" w:hAnsi="Times New Roman" w:cs="Times New Roman"/>
                <w:sz w:val="18"/>
                <w:szCs w:val="18"/>
                <w:shd w:val="clear" w:color="auto" w:fill="FFFFFF"/>
                <w:lang w:val="en-US"/>
              </w:rPr>
              <w:t>)</w:t>
            </w:r>
          </w:p>
        </w:tc>
      </w:tr>
      <w:tr w:rsidR="00D42C7B" w:rsidRPr="00352FB3" w14:paraId="167C8689" w14:textId="3FD946A5" w:rsidTr="00911D12">
        <w:trPr>
          <w:trHeight w:val="300"/>
          <w:jc w:val="center"/>
        </w:trPr>
        <w:tc>
          <w:tcPr>
            <w:tcW w:w="1418" w:type="dxa"/>
            <w:tcBorders>
              <w:right w:val="single" w:sz="12" w:space="0" w:color="auto"/>
            </w:tcBorders>
            <w:noWrap/>
          </w:tcPr>
          <w:p w14:paraId="22B7BB26" w14:textId="2F23762C" w:rsidR="00D42C7B" w:rsidRPr="00352FB3" w:rsidRDefault="00D42C7B" w:rsidP="00626415">
            <w:pP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LV</w:t>
            </w:r>
          </w:p>
        </w:tc>
        <w:tc>
          <w:tcPr>
            <w:tcW w:w="1135" w:type="dxa"/>
            <w:gridSpan w:val="2"/>
            <w:tcBorders>
              <w:left w:val="single" w:sz="12" w:space="0" w:color="auto"/>
            </w:tcBorders>
          </w:tcPr>
          <w:p w14:paraId="3933E080" w14:textId="40642A46" w:rsidR="00D42C7B" w:rsidRPr="00352FB3" w:rsidRDefault="00F46DD2"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2</w:t>
            </w:r>
            <w:r w:rsidR="00D42C7B" w:rsidRPr="00352FB3">
              <w:rPr>
                <w:rFonts w:ascii="Times New Roman" w:eastAsia="Times New Roman" w:hAnsi="Times New Roman" w:cs="Times New Roman"/>
                <w:sz w:val="18"/>
                <w:szCs w:val="18"/>
                <w:shd w:val="clear" w:color="auto" w:fill="FFFFFF"/>
                <w:lang w:val="en-US"/>
              </w:rPr>
              <w:t>.</w:t>
            </w:r>
            <w:r w:rsidRPr="00352FB3">
              <w:rPr>
                <w:rFonts w:ascii="Times New Roman" w:eastAsia="Times New Roman" w:hAnsi="Times New Roman" w:cs="Times New Roman"/>
                <w:sz w:val="18"/>
                <w:szCs w:val="18"/>
                <w:shd w:val="clear" w:color="auto" w:fill="FFFFFF"/>
                <w:lang w:val="en-US"/>
              </w:rPr>
              <w:t>584</w:t>
            </w:r>
            <w:r w:rsidR="00D42C7B" w:rsidRPr="00352FB3">
              <w:rPr>
                <w:rFonts w:ascii="Times New Roman" w:eastAsia="Times New Roman" w:hAnsi="Times New Roman" w:cs="Times New Roman"/>
                <w:sz w:val="18"/>
                <w:szCs w:val="18"/>
                <w:shd w:val="clear" w:color="auto" w:fill="FFFFFF"/>
                <w:lang w:val="en-US"/>
              </w:rPr>
              <w:t>***</w:t>
            </w:r>
          </w:p>
          <w:p w14:paraId="6936D2A7" w14:textId="163858C2" w:rsidR="00D42C7B" w:rsidRPr="00352FB3" w:rsidRDefault="00D42C7B"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(0.000)</w:t>
            </w:r>
          </w:p>
        </w:tc>
        <w:tc>
          <w:tcPr>
            <w:tcW w:w="992" w:type="dxa"/>
            <w:noWrap/>
          </w:tcPr>
          <w:p w14:paraId="7D93570D" w14:textId="3453C3BA" w:rsidR="00D42C7B" w:rsidRPr="00352FB3" w:rsidRDefault="00D733CB"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3.466</w:t>
            </w:r>
            <w:r w:rsidR="00D42C7B" w:rsidRPr="00352FB3">
              <w:rPr>
                <w:rFonts w:ascii="Times New Roman" w:eastAsia="Times New Roman" w:hAnsi="Times New Roman" w:cs="Times New Roman"/>
                <w:sz w:val="18"/>
                <w:szCs w:val="18"/>
                <w:shd w:val="clear" w:color="auto" w:fill="FFFFFF"/>
                <w:lang w:val="en-US"/>
              </w:rPr>
              <w:t>***</w:t>
            </w:r>
          </w:p>
          <w:p w14:paraId="187F7B0C" w14:textId="6C1934D6" w:rsidR="00D42C7B" w:rsidRPr="00352FB3" w:rsidRDefault="00D42C7B" w:rsidP="00D733CB">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(0.00</w:t>
            </w:r>
            <w:r w:rsidR="00D733CB" w:rsidRPr="00352FB3">
              <w:rPr>
                <w:rFonts w:ascii="Times New Roman" w:eastAsia="Times New Roman" w:hAnsi="Times New Roman" w:cs="Times New Roman"/>
                <w:sz w:val="18"/>
                <w:szCs w:val="18"/>
                <w:shd w:val="clear" w:color="auto" w:fill="FFFFFF"/>
                <w:lang w:val="en-US"/>
              </w:rPr>
              <w:t>0</w:t>
            </w:r>
            <w:r w:rsidRPr="00352FB3">
              <w:rPr>
                <w:rFonts w:ascii="Times New Roman" w:eastAsia="Times New Roman" w:hAnsi="Times New Roman" w:cs="Times New Roman"/>
                <w:sz w:val="18"/>
                <w:szCs w:val="18"/>
                <w:shd w:val="clear" w:color="auto" w:fill="FFFFFF"/>
                <w:lang w:val="en-US"/>
              </w:rPr>
              <w:t>)</w:t>
            </w:r>
          </w:p>
        </w:tc>
        <w:tc>
          <w:tcPr>
            <w:tcW w:w="1134" w:type="dxa"/>
            <w:noWrap/>
          </w:tcPr>
          <w:p w14:paraId="6DA02F6F" w14:textId="410F561F" w:rsidR="00D42C7B" w:rsidRPr="00352FB3" w:rsidRDefault="00960CA5"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2.656</w:t>
            </w:r>
            <w:r w:rsidR="00D42C7B" w:rsidRPr="00352FB3">
              <w:rPr>
                <w:rFonts w:ascii="Times New Roman" w:eastAsia="Times New Roman" w:hAnsi="Times New Roman" w:cs="Times New Roman"/>
                <w:sz w:val="18"/>
                <w:szCs w:val="18"/>
                <w:shd w:val="clear" w:color="auto" w:fill="FFFFFF"/>
                <w:lang w:val="en-US"/>
              </w:rPr>
              <w:t>***</w:t>
            </w:r>
          </w:p>
          <w:p w14:paraId="35489861" w14:textId="1C2470BB" w:rsidR="00D42C7B" w:rsidRPr="00352FB3" w:rsidRDefault="00D42C7B" w:rsidP="00960CA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(0.00</w:t>
            </w:r>
            <w:r w:rsidR="00960CA5" w:rsidRPr="00352FB3">
              <w:rPr>
                <w:rFonts w:ascii="Times New Roman" w:eastAsia="Times New Roman" w:hAnsi="Times New Roman" w:cs="Times New Roman"/>
                <w:sz w:val="18"/>
                <w:szCs w:val="18"/>
                <w:shd w:val="clear" w:color="auto" w:fill="FFFFFF"/>
                <w:lang w:val="en-US"/>
              </w:rPr>
              <w:t>8</w:t>
            </w:r>
            <w:r w:rsidRPr="00352FB3">
              <w:rPr>
                <w:rFonts w:ascii="Times New Roman" w:eastAsia="Times New Roman" w:hAnsi="Times New Roman" w:cs="Times New Roman"/>
                <w:sz w:val="18"/>
                <w:szCs w:val="18"/>
                <w:shd w:val="clear" w:color="auto" w:fill="FFFFFF"/>
                <w:lang w:val="en-US"/>
              </w:rPr>
              <w:t>)</w:t>
            </w:r>
          </w:p>
        </w:tc>
        <w:tc>
          <w:tcPr>
            <w:tcW w:w="1275" w:type="dxa"/>
          </w:tcPr>
          <w:p w14:paraId="3D0AA02C" w14:textId="606306A8" w:rsidR="00D42C7B" w:rsidRPr="000972D1" w:rsidRDefault="00D42C7B" w:rsidP="00626415">
            <w:pPr>
              <w:jc w:val="center"/>
              <w:rPr>
                <w:rFonts w:ascii="Times New Roman" w:eastAsia="Times New Roman" w:hAnsi="Times New Roman" w:cs="Times New Roman"/>
                <w:sz w:val="18"/>
                <w:szCs w:val="18"/>
                <w:shd w:val="clear" w:color="auto" w:fill="FFFFFF"/>
                <w:lang w:val="en-US"/>
              </w:rPr>
            </w:pPr>
            <w:r w:rsidRPr="000972D1">
              <w:rPr>
                <w:rFonts w:ascii="Times New Roman" w:eastAsia="Times New Roman" w:hAnsi="Times New Roman" w:cs="Times New Roman"/>
                <w:sz w:val="18"/>
                <w:szCs w:val="18"/>
                <w:shd w:val="clear" w:color="auto" w:fill="FFFFFF"/>
                <w:lang w:val="en-US"/>
              </w:rPr>
              <w:t>2</w:t>
            </w:r>
            <w:r w:rsidR="00130E1F" w:rsidRPr="000972D1">
              <w:rPr>
                <w:rFonts w:ascii="Times New Roman" w:eastAsia="Times New Roman" w:hAnsi="Times New Roman" w:cs="Times New Roman"/>
                <w:sz w:val="18"/>
                <w:szCs w:val="18"/>
                <w:shd w:val="clear" w:color="auto" w:fill="FFFFFF"/>
                <w:lang w:val="en-US"/>
              </w:rPr>
              <w:t>.963</w:t>
            </w:r>
            <w:r w:rsidRPr="000972D1">
              <w:rPr>
                <w:rFonts w:ascii="Times New Roman" w:eastAsia="Times New Roman" w:hAnsi="Times New Roman" w:cs="Times New Roman"/>
                <w:sz w:val="18"/>
                <w:szCs w:val="18"/>
                <w:shd w:val="clear" w:color="auto" w:fill="FFFFFF"/>
                <w:lang w:val="en-US"/>
              </w:rPr>
              <w:t>***</w:t>
            </w:r>
          </w:p>
          <w:p w14:paraId="5BAF9724" w14:textId="1EE3D903" w:rsidR="00D42C7B" w:rsidRPr="000972D1" w:rsidRDefault="00130E1F" w:rsidP="00130E1F">
            <w:pPr>
              <w:jc w:val="center"/>
              <w:rPr>
                <w:rFonts w:ascii="Times New Roman" w:eastAsia="Times New Roman" w:hAnsi="Times New Roman" w:cs="Times New Roman"/>
                <w:sz w:val="18"/>
                <w:szCs w:val="18"/>
                <w:shd w:val="clear" w:color="auto" w:fill="FFFFFF"/>
                <w:lang w:val="en-US"/>
              </w:rPr>
            </w:pPr>
            <w:r w:rsidRPr="000972D1">
              <w:rPr>
                <w:rFonts w:ascii="Times New Roman" w:eastAsia="Times New Roman" w:hAnsi="Times New Roman" w:cs="Times New Roman"/>
                <w:sz w:val="18"/>
                <w:szCs w:val="18"/>
                <w:shd w:val="clear" w:color="auto" w:fill="FFFFFF"/>
                <w:lang w:val="en-US"/>
              </w:rPr>
              <w:t>(0.0</w:t>
            </w:r>
            <w:r w:rsidR="00D42C7B" w:rsidRPr="000972D1">
              <w:rPr>
                <w:rFonts w:ascii="Times New Roman" w:eastAsia="Times New Roman" w:hAnsi="Times New Roman" w:cs="Times New Roman"/>
                <w:sz w:val="18"/>
                <w:szCs w:val="18"/>
                <w:shd w:val="clear" w:color="auto" w:fill="FFFFFF"/>
                <w:lang w:val="en-US"/>
              </w:rPr>
              <w:t>0</w:t>
            </w:r>
            <w:r w:rsidRPr="000972D1">
              <w:rPr>
                <w:rFonts w:ascii="Times New Roman" w:eastAsia="Times New Roman" w:hAnsi="Times New Roman" w:cs="Times New Roman"/>
                <w:sz w:val="18"/>
                <w:szCs w:val="18"/>
                <w:shd w:val="clear" w:color="auto" w:fill="FFFFFF"/>
                <w:lang w:val="en-US"/>
              </w:rPr>
              <w:t>2)</w:t>
            </w:r>
          </w:p>
        </w:tc>
        <w:tc>
          <w:tcPr>
            <w:tcW w:w="1134" w:type="dxa"/>
          </w:tcPr>
          <w:p w14:paraId="204C910D" w14:textId="7F6817C9" w:rsidR="00D42C7B" w:rsidRPr="00352FB3" w:rsidRDefault="00D42C7B"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w:t>
            </w:r>
            <w:r w:rsidR="00314DD6" w:rsidRPr="00352FB3">
              <w:rPr>
                <w:rFonts w:ascii="Times New Roman" w:eastAsia="Times New Roman" w:hAnsi="Times New Roman" w:cs="Times New Roman"/>
                <w:sz w:val="18"/>
                <w:szCs w:val="18"/>
                <w:shd w:val="clear" w:color="auto" w:fill="FFFFFF"/>
                <w:lang w:val="en-US"/>
              </w:rPr>
              <w:t>0.316</w:t>
            </w:r>
          </w:p>
          <w:p w14:paraId="171D0563" w14:textId="695F81DA" w:rsidR="00D42C7B" w:rsidRPr="00352FB3" w:rsidRDefault="00314DD6"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(0.126</w:t>
            </w:r>
            <w:r w:rsidR="00D42C7B" w:rsidRPr="00352FB3">
              <w:rPr>
                <w:rFonts w:ascii="Times New Roman" w:eastAsia="Times New Roman" w:hAnsi="Times New Roman" w:cs="Times New Roman"/>
                <w:sz w:val="18"/>
                <w:szCs w:val="18"/>
                <w:shd w:val="clear" w:color="auto" w:fill="FFFFFF"/>
                <w:lang w:val="en-US"/>
              </w:rPr>
              <w:t>)</w:t>
            </w:r>
          </w:p>
        </w:tc>
        <w:tc>
          <w:tcPr>
            <w:tcW w:w="992" w:type="dxa"/>
          </w:tcPr>
          <w:p w14:paraId="7A463424" w14:textId="035C2E92" w:rsidR="00D42C7B" w:rsidRPr="00352FB3" w:rsidRDefault="007F496D"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-0.402*</w:t>
            </w:r>
          </w:p>
          <w:p w14:paraId="724B30C7" w14:textId="1BA55FA3" w:rsidR="00D42C7B" w:rsidRPr="00352FB3" w:rsidRDefault="007F496D"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(0.053</w:t>
            </w:r>
            <w:r w:rsidR="00D42C7B" w:rsidRPr="00352FB3">
              <w:rPr>
                <w:rFonts w:ascii="Times New Roman" w:eastAsia="Times New Roman" w:hAnsi="Times New Roman" w:cs="Times New Roman"/>
                <w:sz w:val="18"/>
                <w:szCs w:val="18"/>
                <w:shd w:val="clear" w:color="auto" w:fill="FFFFFF"/>
                <w:lang w:val="en-US"/>
              </w:rPr>
              <w:t>)</w:t>
            </w:r>
          </w:p>
        </w:tc>
        <w:tc>
          <w:tcPr>
            <w:tcW w:w="992" w:type="dxa"/>
          </w:tcPr>
          <w:p w14:paraId="499B2B1E" w14:textId="332EDC81" w:rsidR="00D42C7B" w:rsidRPr="00352FB3" w:rsidRDefault="00C3371A"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-0.329</w:t>
            </w:r>
          </w:p>
          <w:p w14:paraId="60D1FC3B" w14:textId="25EF3F14" w:rsidR="00D42C7B" w:rsidRPr="00352FB3" w:rsidRDefault="00C3371A"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(0.110</w:t>
            </w:r>
            <w:r w:rsidR="00D42C7B" w:rsidRPr="00352FB3">
              <w:rPr>
                <w:rFonts w:ascii="Times New Roman" w:eastAsia="Times New Roman" w:hAnsi="Times New Roman" w:cs="Times New Roman"/>
                <w:sz w:val="18"/>
                <w:szCs w:val="18"/>
                <w:shd w:val="clear" w:color="auto" w:fill="FFFFFF"/>
                <w:lang w:val="en-US"/>
              </w:rPr>
              <w:t>)</w:t>
            </w:r>
          </w:p>
        </w:tc>
        <w:tc>
          <w:tcPr>
            <w:tcW w:w="993" w:type="dxa"/>
          </w:tcPr>
          <w:p w14:paraId="72C65792" w14:textId="1C2B046B" w:rsidR="00D42C7B" w:rsidRPr="000972D1" w:rsidRDefault="00F60B00" w:rsidP="00626415">
            <w:pPr>
              <w:jc w:val="center"/>
              <w:rPr>
                <w:rFonts w:ascii="Times New Roman" w:eastAsia="Times New Roman" w:hAnsi="Times New Roman" w:cs="Times New Roman"/>
                <w:sz w:val="18"/>
                <w:szCs w:val="18"/>
                <w:shd w:val="clear" w:color="auto" w:fill="FFFFFF"/>
                <w:lang w:val="en-US"/>
              </w:rPr>
            </w:pPr>
            <w:r w:rsidRPr="000972D1">
              <w:rPr>
                <w:rFonts w:ascii="Times New Roman" w:eastAsia="Times New Roman" w:hAnsi="Times New Roman" w:cs="Times New Roman"/>
                <w:sz w:val="18"/>
                <w:szCs w:val="18"/>
                <w:shd w:val="clear" w:color="auto" w:fill="FFFFFF"/>
                <w:lang w:val="en-US"/>
              </w:rPr>
              <w:t>-0.392</w:t>
            </w:r>
            <w:r w:rsidR="00D42C7B" w:rsidRPr="000972D1">
              <w:rPr>
                <w:rFonts w:ascii="Times New Roman" w:eastAsia="Times New Roman" w:hAnsi="Times New Roman" w:cs="Times New Roman"/>
                <w:sz w:val="18"/>
                <w:szCs w:val="18"/>
                <w:shd w:val="clear" w:color="auto" w:fill="FFFFFF"/>
                <w:lang w:val="en-US"/>
              </w:rPr>
              <w:t>*</w:t>
            </w:r>
          </w:p>
          <w:p w14:paraId="3E1A6AB5" w14:textId="15F2C393" w:rsidR="00D42C7B" w:rsidRPr="000972D1" w:rsidRDefault="00F60B00" w:rsidP="00626415">
            <w:pPr>
              <w:jc w:val="center"/>
              <w:rPr>
                <w:rFonts w:ascii="Times New Roman" w:eastAsia="Times New Roman" w:hAnsi="Times New Roman" w:cs="Times New Roman"/>
                <w:sz w:val="18"/>
                <w:szCs w:val="18"/>
                <w:shd w:val="clear" w:color="auto" w:fill="FFFFFF"/>
                <w:lang w:val="en-US"/>
              </w:rPr>
            </w:pPr>
            <w:r w:rsidRPr="000972D1">
              <w:rPr>
                <w:rFonts w:ascii="Times New Roman" w:eastAsia="Times New Roman" w:hAnsi="Times New Roman" w:cs="Times New Roman"/>
                <w:sz w:val="18"/>
                <w:szCs w:val="18"/>
                <w:shd w:val="clear" w:color="auto" w:fill="FFFFFF"/>
                <w:lang w:val="en-US"/>
              </w:rPr>
              <w:t>(0.057</w:t>
            </w:r>
            <w:r w:rsidR="00D42C7B" w:rsidRPr="000972D1">
              <w:rPr>
                <w:rFonts w:ascii="Times New Roman" w:eastAsia="Times New Roman" w:hAnsi="Times New Roman" w:cs="Times New Roman"/>
                <w:sz w:val="18"/>
                <w:szCs w:val="18"/>
                <w:shd w:val="clear" w:color="auto" w:fill="FFFFFF"/>
                <w:lang w:val="en-US"/>
              </w:rPr>
              <w:t>)</w:t>
            </w:r>
          </w:p>
        </w:tc>
      </w:tr>
      <w:tr w:rsidR="00D42C7B" w:rsidRPr="00352FB3" w14:paraId="28F88F69" w14:textId="51CC119A" w:rsidTr="00911D12">
        <w:trPr>
          <w:trHeight w:val="300"/>
          <w:jc w:val="center"/>
        </w:trPr>
        <w:tc>
          <w:tcPr>
            <w:tcW w:w="1418" w:type="dxa"/>
            <w:tcBorders>
              <w:right w:val="single" w:sz="12" w:space="0" w:color="auto"/>
            </w:tcBorders>
            <w:noWrap/>
          </w:tcPr>
          <w:p w14:paraId="4241F502" w14:textId="77777777" w:rsidR="00D42C7B" w:rsidRPr="00352FB3" w:rsidRDefault="00D42C7B" w:rsidP="00626415">
            <w:pP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SGR</w:t>
            </w:r>
          </w:p>
        </w:tc>
        <w:tc>
          <w:tcPr>
            <w:tcW w:w="1135" w:type="dxa"/>
            <w:gridSpan w:val="2"/>
            <w:tcBorders>
              <w:left w:val="single" w:sz="12" w:space="0" w:color="auto"/>
            </w:tcBorders>
          </w:tcPr>
          <w:p w14:paraId="0AB1BE2E" w14:textId="60EF7978" w:rsidR="00D42C7B" w:rsidRPr="00352FB3" w:rsidRDefault="00F46DD2"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w:t>
            </w:r>
            <w:r w:rsidR="00D42C7B" w:rsidRPr="00352FB3">
              <w:rPr>
                <w:rFonts w:ascii="Times New Roman" w:eastAsia="Times New Roman" w:hAnsi="Times New Roman" w:cs="Times New Roman"/>
                <w:sz w:val="18"/>
                <w:szCs w:val="18"/>
                <w:shd w:val="clear" w:color="auto" w:fill="FFFFFF"/>
                <w:lang w:val="en-US"/>
              </w:rPr>
              <w:t>0.0</w:t>
            </w:r>
            <w:r w:rsidRPr="00352FB3">
              <w:rPr>
                <w:rFonts w:ascii="Times New Roman" w:eastAsia="Times New Roman" w:hAnsi="Times New Roman" w:cs="Times New Roman"/>
                <w:sz w:val="18"/>
                <w:szCs w:val="18"/>
                <w:shd w:val="clear" w:color="auto" w:fill="FFFFFF"/>
                <w:lang w:val="en-US"/>
              </w:rPr>
              <w:t>26</w:t>
            </w:r>
          </w:p>
          <w:p w14:paraId="5FDD6DD9" w14:textId="3832D708" w:rsidR="00D42C7B" w:rsidRPr="00352FB3" w:rsidRDefault="00F46DD2"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(0.923</w:t>
            </w:r>
            <w:r w:rsidR="00D42C7B" w:rsidRPr="00352FB3">
              <w:rPr>
                <w:rFonts w:ascii="Times New Roman" w:eastAsia="Times New Roman" w:hAnsi="Times New Roman" w:cs="Times New Roman"/>
                <w:sz w:val="18"/>
                <w:szCs w:val="18"/>
                <w:shd w:val="clear" w:color="auto" w:fill="FFFFFF"/>
                <w:lang w:val="en-US"/>
              </w:rPr>
              <w:t>)</w:t>
            </w:r>
          </w:p>
        </w:tc>
        <w:tc>
          <w:tcPr>
            <w:tcW w:w="992" w:type="dxa"/>
            <w:noWrap/>
          </w:tcPr>
          <w:p w14:paraId="77613340" w14:textId="2960A6E8" w:rsidR="00D42C7B" w:rsidRPr="00352FB3" w:rsidRDefault="00D733CB"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0.033</w:t>
            </w:r>
          </w:p>
          <w:p w14:paraId="66F8232C" w14:textId="3D7BDBDC" w:rsidR="00D42C7B" w:rsidRPr="00352FB3" w:rsidRDefault="00D733CB"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(0.902</w:t>
            </w:r>
            <w:r w:rsidR="00D42C7B" w:rsidRPr="00352FB3">
              <w:rPr>
                <w:rFonts w:ascii="Times New Roman" w:eastAsia="Times New Roman" w:hAnsi="Times New Roman" w:cs="Times New Roman"/>
                <w:sz w:val="18"/>
                <w:szCs w:val="18"/>
                <w:shd w:val="clear" w:color="auto" w:fill="FFFFFF"/>
                <w:lang w:val="en-US"/>
              </w:rPr>
              <w:t>)</w:t>
            </w:r>
          </w:p>
        </w:tc>
        <w:tc>
          <w:tcPr>
            <w:tcW w:w="1134" w:type="dxa"/>
            <w:noWrap/>
          </w:tcPr>
          <w:p w14:paraId="586A31D0" w14:textId="697A37F0" w:rsidR="00D42C7B" w:rsidRPr="00352FB3" w:rsidRDefault="00960CA5"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w:t>
            </w:r>
            <w:r w:rsidR="00D42C7B" w:rsidRPr="00352FB3">
              <w:rPr>
                <w:rFonts w:ascii="Times New Roman" w:eastAsia="Times New Roman" w:hAnsi="Times New Roman" w:cs="Times New Roman"/>
                <w:sz w:val="18"/>
                <w:szCs w:val="18"/>
                <w:shd w:val="clear" w:color="auto" w:fill="FFFFFF"/>
                <w:lang w:val="en-US"/>
              </w:rPr>
              <w:t>0.0</w:t>
            </w:r>
            <w:r w:rsidRPr="00352FB3">
              <w:rPr>
                <w:rFonts w:ascii="Times New Roman" w:eastAsia="Times New Roman" w:hAnsi="Times New Roman" w:cs="Times New Roman"/>
                <w:sz w:val="18"/>
                <w:szCs w:val="18"/>
                <w:shd w:val="clear" w:color="auto" w:fill="FFFFFF"/>
                <w:lang w:val="en-US"/>
              </w:rPr>
              <w:t>36</w:t>
            </w:r>
          </w:p>
          <w:p w14:paraId="7D05E8CD" w14:textId="55171863" w:rsidR="00D42C7B" w:rsidRPr="00352FB3" w:rsidRDefault="00960CA5"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(0.897</w:t>
            </w:r>
            <w:r w:rsidR="00D42C7B" w:rsidRPr="00352FB3">
              <w:rPr>
                <w:rFonts w:ascii="Times New Roman" w:eastAsia="Times New Roman" w:hAnsi="Times New Roman" w:cs="Times New Roman"/>
                <w:sz w:val="18"/>
                <w:szCs w:val="18"/>
                <w:shd w:val="clear" w:color="auto" w:fill="FFFFFF"/>
                <w:lang w:val="en-US"/>
              </w:rPr>
              <w:t>)</w:t>
            </w:r>
          </w:p>
        </w:tc>
        <w:tc>
          <w:tcPr>
            <w:tcW w:w="1275" w:type="dxa"/>
          </w:tcPr>
          <w:p w14:paraId="66C1046B" w14:textId="656F2F1C" w:rsidR="00D42C7B" w:rsidRPr="000972D1" w:rsidRDefault="00D42C7B" w:rsidP="00626415">
            <w:pPr>
              <w:jc w:val="center"/>
              <w:rPr>
                <w:rFonts w:ascii="Times New Roman" w:eastAsia="Times New Roman" w:hAnsi="Times New Roman" w:cs="Times New Roman"/>
                <w:sz w:val="18"/>
                <w:szCs w:val="18"/>
                <w:shd w:val="clear" w:color="auto" w:fill="FFFFFF"/>
                <w:lang w:val="en-US"/>
              </w:rPr>
            </w:pPr>
            <w:r w:rsidRPr="000972D1">
              <w:rPr>
                <w:rFonts w:ascii="Times New Roman" w:eastAsia="Times New Roman" w:hAnsi="Times New Roman" w:cs="Times New Roman"/>
                <w:sz w:val="18"/>
                <w:szCs w:val="18"/>
                <w:shd w:val="clear" w:color="auto" w:fill="FFFFFF"/>
                <w:lang w:val="en-US"/>
              </w:rPr>
              <w:t>0.0</w:t>
            </w:r>
            <w:r w:rsidR="00130E1F" w:rsidRPr="000972D1">
              <w:rPr>
                <w:rFonts w:ascii="Times New Roman" w:eastAsia="Times New Roman" w:hAnsi="Times New Roman" w:cs="Times New Roman"/>
                <w:sz w:val="18"/>
                <w:szCs w:val="18"/>
                <w:shd w:val="clear" w:color="auto" w:fill="FFFFFF"/>
                <w:lang w:val="en-US"/>
              </w:rPr>
              <w:t>33</w:t>
            </w:r>
          </w:p>
          <w:p w14:paraId="15D37822" w14:textId="43D75E52" w:rsidR="00D42C7B" w:rsidRPr="000972D1" w:rsidRDefault="00130E1F" w:rsidP="00626415">
            <w:pPr>
              <w:jc w:val="center"/>
              <w:rPr>
                <w:rFonts w:ascii="Times New Roman" w:eastAsia="Times New Roman" w:hAnsi="Times New Roman" w:cs="Times New Roman"/>
                <w:sz w:val="18"/>
                <w:szCs w:val="18"/>
                <w:shd w:val="clear" w:color="auto" w:fill="FFFFFF"/>
                <w:lang w:val="en-US"/>
              </w:rPr>
            </w:pPr>
            <w:r w:rsidRPr="000972D1">
              <w:rPr>
                <w:rFonts w:ascii="Times New Roman" w:eastAsia="Times New Roman" w:hAnsi="Times New Roman" w:cs="Times New Roman"/>
                <w:sz w:val="18"/>
                <w:szCs w:val="18"/>
                <w:shd w:val="clear" w:color="auto" w:fill="FFFFFF"/>
                <w:lang w:val="en-US"/>
              </w:rPr>
              <w:t>(0.900</w:t>
            </w:r>
            <w:r w:rsidR="00D42C7B" w:rsidRPr="000972D1">
              <w:rPr>
                <w:rFonts w:ascii="Times New Roman" w:eastAsia="Times New Roman" w:hAnsi="Times New Roman" w:cs="Times New Roman"/>
                <w:sz w:val="18"/>
                <w:szCs w:val="18"/>
                <w:shd w:val="clear" w:color="auto" w:fill="FFFFFF"/>
                <w:lang w:val="en-US"/>
              </w:rPr>
              <w:t>)</w:t>
            </w:r>
          </w:p>
        </w:tc>
        <w:tc>
          <w:tcPr>
            <w:tcW w:w="1134" w:type="dxa"/>
          </w:tcPr>
          <w:p w14:paraId="33238FED" w14:textId="3B2F9231" w:rsidR="00D42C7B" w:rsidRPr="00352FB3" w:rsidRDefault="00314DD6"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0.024</w:t>
            </w:r>
          </w:p>
          <w:p w14:paraId="58DD07FD" w14:textId="72839B2D" w:rsidR="00D42C7B" w:rsidRPr="00352FB3" w:rsidRDefault="00314DD6"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(0.687</w:t>
            </w:r>
            <w:r w:rsidR="00D42C7B" w:rsidRPr="00352FB3">
              <w:rPr>
                <w:rFonts w:ascii="Times New Roman" w:eastAsia="Times New Roman" w:hAnsi="Times New Roman" w:cs="Times New Roman"/>
                <w:sz w:val="18"/>
                <w:szCs w:val="18"/>
                <w:shd w:val="clear" w:color="auto" w:fill="FFFFFF"/>
                <w:lang w:val="en-US"/>
              </w:rPr>
              <w:t>)</w:t>
            </w:r>
          </w:p>
        </w:tc>
        <w:tc>
          <w:tcPr>
            <w:tcW w:w="992" w:type="dxa"/>
          </w:tcPr>
          <w:p w14:paraId="6CB45C1B" w14:textId="7097C38A" w:rsidR="00D42C7B" w:rsidRPr="00352FB3" w:rsidRDefault="007F496D"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w:t>
            </w:r>
            <w:r w:rsidR="00D42C7B" w:rsidRPr="00352FB3">
              <w:rPr>
                <w:rFonts w:ascii="Times New Roman" w:eastAsia="Times New Roman" w:hAnsi="Times New Roman" w:cs="Times New Roman"/>
                <w:sz w:val="18"/>
                <w:szCs w:val="18"/>
                <w:shd w:val="clear" w:color="auto" w:fill="FFFFFF"/>
                <w:lang w:val="en-US"/>
              </w:rPr>
              <w:t>0.0</w:t>
            </w:r>
            <w:r w:rsidRPr="00352FB3">
              <w:rPr>
                <w:rFonts w:ascii="Times New Roman" w:eastAsia="Times New Roman" w:hAnsi="Times New Roman" w:cs="Times New Roman"/>
                <w:sz w:val="18"/>
                <w:szCs w:val="18"/>
                <w:shd w:val="clear" w:color="auto" w:fill="FFFFFF"/>
                <w:lang w:val="en-US"/>
              </w:rPr>
              <w:t>10</w:t>
            </w:r>
          </w:p>
          <w:p w14:paraId="5E3E7B02" w14:textId="63605BF9" w:rsidR="00D42C7B" w:rsidRPr="00352FB3" w:rsidRDefault="00D42C7B"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(0.8</w:t>
            </w:r>
            <w:r w:rsidR="007F496D" w:rsidRPr="00352FB3">
              <w:rPr>
                <w:rFonts w:ascii="Times New Roman" w:eastAsia="Times New Roman" w:hAnsi="Times New Roman" w:cs="Times New Roman"/>
                <w:sz w:val="18"/>
                <w:szCs w:val="18"/>
                <w:shd w:val="clear" w:color="auto" w:fill="FFFFFF"/>
                <w:lang w:val="en-US"/>
              </w:rPr>
              <w:t>67</w:t>
            </w:r>
            <w:r w:rsidRPr="00352FB3">
              <w:rPr>
                <w:rFonts w:ascii="Times New Roman" w:eastAsia="Times New Roman" w:hAnsi="Times New Roman" w:cs="Times New Roman"/>
                <w:sz w:val="18"/>
                <w:szCs w:val="18"/>
                <w:shd w:val="clear" w:color="auto" w:fill="FFFFFF"/>
                <w:lang w:val="en-US"/>
              </w:rPr>
              <w:t>)</w:t>
            </w:r>
          </w:p>
        </w:tc>
        <w:tc>
          <w:tcPr>
            <w:tcW w:w="992" w:type="dxa"/>
          </w:tcPr>
          <w:p w14:paraId="1E01D7AA" w14:textId="3105FBCA" w:rsidR="00D42C7B" w:rsidRPr="00352FB3" w:rsidRDefault="00C3371A"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-0.002</w:t>
            </w:r>
          </w:p>
          <w:p w14:paraId="47BB69BA" w14:textId="0C102141" w:rsidR="00D42C7B" w:rsidRPr="00352FB3" w:rsidRDefault="00C3371A"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(0.969</w:t>
            </w:r>
            <w:r w:rsidR="00D42C7B" w:rsidRPr="00352FB3">
              <w:rPr>
                <w:rFonts w:ascii="Times New Roman" w:eastAsia="Times New Roman" w:hAnsi="Times New Roman" w:cs="Times New Roman"/>
                <w:sz w:val="18"/>
                <w:szCs w:val="18"/>
                <w:shd w:val="clear" w:color="auto" w:fill="FFFFFF"/>
                <w:lang w:val="en-US"/>
              </w:rPr>
              <w:t>)</w:t>
            </w:r>
          </w:p>
        </w:tc>
        <w:tc>
          <w:tcPr>
            <w:tcW w:w="993" w:type="dxa"/>
          </w:tcPr>
          <w:p w14:paraId="7BD3DDA8" w14:textId="5C3982A8" w:rsidR="00D42C7B" w:rsidRPr="000972D1" w:rsidRDefault="00D42C7B" w:rsidP="00626415">
            <w:pPr>
              <w:jc w:val="center"/>
              <w:rPr>
                <w:rFonts w:ascii="Times New Roman" w:eastAsia="Times New Roman" w:hAnsi="Times New Roman" w:cs="Times New Roman"/>
                <w:sz w:val="18"/>
                <w:szCs w:val="18"/>
                <w:shd w:val="clear" w:color="auto" w:fill="FFFFFF"/>
                <w:lang w:val="en-US"/>
              </w:rPr>
            </w:pPr>
            <w:r w:rsidRPr="000972D1">
              <w:rPr>
                <w:rFonts w:ascii="Times New Roman" w:eastAsia="Times New Roman" w:hAnsi="Times New Roman" w:cs="Times New Roman"/>
                <w:sz w:val="18"/>
                <w:szCs w:val="18"/>
                <w:shd w:val="clear" w:color="auto" w:fill="FFFFFF"/>
                <w:lang w:val="en-US"/>
              </w:rPr>
              <w:t>0.00</w:t>
            </w:r>
            <w:r w:rsidR="00F60B00" w:rsidRPr="000972D1">
              <w:rPr>
                <w:rFonts w:ascii="Times New Roman" w:eastAsia="Times New Roman" w:hAnsi="Times New Roman" w:cs="Times New Roman"/>
                <w:sz w:val="18"/>
                <w:szCs w:val="18"/>
                <w:shd w:val="clear" w:color="auto" w:fill="FFFFFF"/>
                <w:lang w:val="en-US"/>
              </w:rPr>
              <w:t>1</w:t>
            </w:r>
          </w:p>
          <w:p w14:paraId="09EB751D" w14:textId="7D78A956" w:rsidR="00D42C7B" w:rsidRPr="000972D1" w:rsidRDefault="00F60B00" w:rsidP="00626415">
            <w:pPr>
              <w:jc w:val="center"/>
              <w:rPr>
                <w:rFonts w:ascii="Times New Roman" w:eastAsia="Times New Roman" w:hAnsi="Times New Roman" w:cs="Times New Roman"/>
                <w:sz w:val="18"/>
                <w:szCs w:val="18"/>
                <w:shd w:val="clear" w:color="auto" w:fill="FFFFFF"/>
                <w:lang w:val="en-US"/>
              </w:rPr>
            </w:pPr>
            <w:r w:rsidRPr="000972D1">
              <w:rPr>
                <w:rFonts w:ascii="Times New Roman" w:eastAsia="Times New Roman" w:hAnsi="Times New Roman" w:cs="Times New Roman"/>
                <w:sz w:val="18"/>
                <w:szCs w:val="18"/>
                <w:shd w:val="clear" w:color="auto" w:fill="FFFFFF"/>
                <w:lang w:val="en-US"/>
              </w:rPr>
              <w:t>(0.992</w:t>
            </w:r>
            <w:r w:rsidR="00D42C7B" w:rsidRPr="000972D1">
              <w:rPr>
                <w:rFonts w:ascii="Times New Roman" w:eastAsia="Times New Roman" w:hAnsi="Times New Roman" w:cs="Times New Roman"/>
                <w:sz w:val="18"/>
                <w:szCs w:val="18"/>
                <w:shd w:val="clear" w:color="auto" w:fill="FFFFFF"/>
                <w:lang w:val="en-US"/>
              </w:rPr>
              <w:t>)</w:t>
            </w:r>
          </w:p>
        </w:tc>
      </w:tr>
      <w:tr w:rsidR="00D42C7B" w:rsidRPr="00352FB3" w14:paraId="3C50C77A" w14:textId="5CD62692" w:rsidTr="00911D12">
        <w:trPr>
          <w:trHeight w:val="300"/>
          <w:jc w:val="center"/>
        </w:trPr>
        <w:tc>
          <w:tcPr>
            <w:tcW w:w="1418" w:type="dxa"/>
            <w:tcBorders>
              <w:right w:val="single" w:sz="12" w:space="0" w:color="auto"/>
            </w:tcBorders>
            <w:noWrap/>
          </w:tcPr>
          <w:p w14:paraId="62A2799F" w14:textId="77777777" w:rsidR="00D42C7B" w:rsidRPr="00352FB3" w:rsidRDefault="00D42C7B" w:rsidP="00626415">
            <w:pP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ROA</w:t>
            </w:r>
          </w:p>
        </w:tc>
        <w:tc>
          <w:tcPr>
            <w:tcW w:w="1135" w:type="dxa"/>
            <w:gridSpan w:val="2"/>
            <w:tcBorders>
              <w:left w:val="single" w:sz="12" w:space="0" w:color="auto"/>
            </w:tcBorders>
          </w:tcPr>
          <w:p w14:paraId="3C7F1320" w14:textId="15D16626" w:rsidR="00D42C7B" w:rsidRPr="00352FB3" w:rsidRDefault="00F46DD2"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4.788</w:t>
            </w:r>
            <w:r w:rsidR="00D42C7B" w:rsidRPr="00352FB3">
              <w:rPr>
                <w:rFonts w:ascii="Times New Roman" w:eastAsia="Times New Roman" w:hAnsi="Times New Roman" w:cs="Times New Roman"/>
                <w:sz w:val="18"/>
                <w:szCs w:val="18"/>
                <w:shd w:val="clear" w:color="auto" w:fill="FFFFFF"/>
                <w:lang w:val="en-US"/>
              </w:rPr>
              <w:t>***</w:t>
            </w:r>
          </w:p>
          <w:p w14:paraId="47AA1600" w14:textId="0197CA85" w:rsidR="00D42C7B" w:rsidRPr="00352FB3" w:rsidRDefault="00D42C7B" w:rsidP="00F46DD2">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(0.00</w:t>
            </w:r>
            <w:r w:rsidR="00F46DD2" w:rsidRPr="00352FB3">
              <w:rPr>
                <w:rFonts w:ascii="Times New Roman" w:eastAsia="Times New Roman" w:hAnsi="Times New Roman" w:cs="Times New Roman"/>
                <w:sz w:val="18"/>
                <w:szCs w:val="18"/>
                <w:shd w:val="clear" w:color="auto" w:fill="FFFFFF"/>
                <w:lang w:val="en-US"/>
              </w:rPr>
              <w:t>4</w:t>
            </w:r>
            <w:r w:rsidRPr="00352FB3">
              <w:rPr>
                <w:rFonts w:ascii="Times New Roman" w:eastAsia="Times New Roman" w:hAnsi="Times New Roman" w:cs="Times New Roman"/>
                <w:sz w:val="18"/>
                <w:szCs w:val="18"/>
                <w:shd w:val="clear" w:color="auto" w:fill="FFFFFF"/>
                <w:lang w:val="en-US"/>
              </w:rPr>
              <w:t>)</w:t>
            </w:r>
          </w:p>
        </w:tc>
        <w:tc>
          <w:tcPr>
            <w:tcW w:w="992" w:type="dxa"/>
            <w:noWrap/>
          </w:tcPr>
          <w:p w14:paraId="0E20B7BC" w14:textId="6D870FF4" w:rsidR="00D42C7B" w:rsidRPr="00352FB3" w:rsidRDefault="00D733CB"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3</w:t>
            </w:r>
            <w:r w:rsidR="00D42C7B" w:rsidRPr="00352FB3">
              <w:rPr>
                <w:rFonts w:ascii="Times New Roman" w:eastAsia="Times New Roman" w:hAnsi="Times New Roman" w:cs="Times New Roman"/>
                <w:sz w:val="18"/>
                <w:szCs w:val="18"/>
                <w:shd w:val="clear" w:color="auto" w:fill="FFFFFF"/>
                <w:lang w:val="en-US"/>
              </w:rPr>
              <w:t>.</w:t>
            </w:r>
            <w:r w:rsidRPr="00352FB3">
              <w:rPr>
                <w:rFonts w:ascii="Times New Roman" w:eastAsia="Times New Roman" w:hAnsi="Times New Roman" w:cs="Times New Roman"/>
                <w:sz w:val="18"/>
                <w:szCs w:val="18"/>
                <w:shd w:val="clear" w:color="auto" w:fill="FFFFFF"/>
                <w:lang w:val="en-US"/>
              </w:rPr>
              <w:t>876</w:t>
            </w:r>
            <w:r w:rsidR="00D42C7B" w:rsidRPr="00352FB3">
              <w:rPr>
                <w:rFonts w:ascii="Times New Roman" w:eastAsia="Times New Roman" w:hAnsi="Times New Roman" w:cs="Times New Roman"/>
                <w:sz w:val="18"/>
                <w:szCs w:val="18"/>
                <w:shd w:val="clear" w:color="auto" w:fill="FFFFFF"/>
                <w:lang w:val="en-US"/>
              </w:rPr>
              <w:t>**</w:t>
            </w:r>
          </w:p>
          <w:p w14:paraId="18355B26" w14:textId="126492A4" w:rsidR="00D42C7B" w:rsidRPr="00352FB3" w:rsidRDefault="00D733CB" w:rsidP="00D733CB">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(0.019</w:t>
            </w:r>
            <w:r w:rsidR="00D42C7B" w:rsidRPr="00352FB3">
              <w:rPr>
                <w:rFonts w:ascii="Times New Roman" w:eastAsia="Times New Roman" w:hAnsi="Times New Roman" w:cs="Times New Roman"/>
                <w:sz w:val="18"/>
                <w:szCs w:val="18"/>
                <w:shd w:val="clear" w:color="auto" w:fill="FFFFFF"/>
                <w:lang w:val="en-US"/>
              </w:rPr>
              <w:t>)</w:t>
            </w:r>
          </w:p>
        </w:tc>
        <w:tc>
          <w:tcPr>
            <w:tcW w:w="1134" w:type="dxa"/>
            <w:noWrap/>
          </w:tcPr>
          <w:p w14:paraId="51F68EF4" w14:textId="1CAE350B" w:rsidR="00D42C7B" w:rsidRPr="00352FB3" w:rsidRDefault="00960CA5"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4</w:t>
            </w:r>
            <w:r w:rsidR="00D42C7B" w:rsidRPr="00352FB3">
              <w:rPr>
                <w:rFonts w:ascii="Times New Roman" w:eastAsia="Times New Roman" w:hAnsi="Times New Roman" w:cs="Times New Roman"/>
                <w:sz w:val="18"/>
                <w:szCs w:val="18"/>
                <w:shd w:val="clear" w:color="auto" w:fill="FFFFFF"/>
                <w:lang w:val="en-US"/>
              </w:rPr>
              <w:t>.</w:t>
            </w:r>
            <w:r w:rsidRPr="00352FB3">
              <w:rPr>
                <w:rFonts w:ascii="Times New Roman" w:eastAsia="Times New Roman" w:hAnsi="Times New Roman" w:cs="Times New Roman"/>
                <w:sz w:val="18"/>
                <w:szCs w:val="18"/>
                <w:shd w:val="clear" w:color="auto" w:fill="FFFFFF"/>
                <w:lang w:val="en-US"/>
              </w:rPr>
              <w:t>282</w:t>
            </w:r>
            <w:r w:rsidR="00D42C7B" w:rsidRPr="00352FB3">
              <w:rPr>
                <w:rFonts w:ascii="Times New Roman" w:eastAsia="Times New Roman" w:hAnsi="Times New Roman" w:cs="Times New Roman"/>
                <w:sz w:val="18"/>
                <w:szCs w:val="18"/>
                <w:shd w:val="clear" w:color="auto" w:fill="FFFFFF"/>
                <w:lang w:val="en-US"/>
              </w:rPr>
              <w:t>**</w:t>
            </w:r>
          </w:p>
          <w:p w14:paraId="7AD711C9" w14:textId="4EB656FD" w:rsidR="00D42C7B" w:rsidRPr="00352FB3" w:rsidRDefault="00960CA5"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(0.012</w:t>
            </w:r>
            <w:r w:rsidR="00D42C7B" w:rsidRPr="00352FB3">
              <w:rPr>
                <w:rFonts w:ascii="Times New Roman" w:eastAsia="Times New Roman" w:hAnsi="Times New Roman" w:cs="Times New Roman"/>
                <w:sz w:val="18"/>
                <w:szCs w:val="18"/>
                <w:shd w:val="clear" w:color="auto" w:fill="FFFFFF"/>
                <w:lang w:val="en-US"/>
              </w:rPr>
              <w:t>)</w:t>
            </w:r>
          </w:p>
        </w:tc>
        <w:tc>
          <w:tcPr>
            <w:tcW w:w="1275" w:type="dxa"/>
          </w:tcPr>
          <w:p w14:paraId="27D2427C" w14:textId="1DB514B6" w:rsidR="00D42C7B" w:rsidRPr="000972D1" w:rsidRDefault="00130E1F" w:rsidP="00626415">
            <w:pPr>
              <w:jc w:val="center"/>
              <w:rPr>
                <w:rFonts w:ascii="Times New Roman" w:eastAsia="Times New Roman" w:hAnsi="Times New Roman" w:cs="Times New Roman"/>
                <w:sz w:val="18"/>
                <w:szCs w:val="18"/>
                <w:shd w:val="clear" w:color="auto" w:fill="FFFFFF"/>
                <w:lang w:val="en-US"/>
              </w:rPr>
            </w:pPr>
            <w:r w:rsidRPr="000972D1">
              <w:rPr>
                <w:rFonts w:ascii="Times New Roman" w:eastAsia="Times New Roman" w:hAnsi="Times New Roman" w:cs="Times New Roman"/>
                <w:sz w:val="18"/>
                <w:szCs w:val="18"/>
                <w:shd w:val="clear" w:color="auto" w:fill="FFFFFF"/>
                <w:lang w:val="en-US"/>
              </w:rPr>
              <w:t>4.771</w:t>
            </w:r>
            <w:r w:rsidR="00D42C7B" w:rsidRPr="000972D1">
              <w:rPr>
                <w:rFonts w:ascii="Times New Roman" w:eastAsia="Times New Roman" w:hAnsi="Times New Roman" w:cs="Times New Roman"/>
                <w:sz w:val="18"/>
                <w:szCs w:val="18"/>
                <w:shd w:val="clear" w:color="auto" w:fill="FFFFFF"/>
                <w:lang w:val="en-US"/>
              </w:rPr>
              <w:t>*</w:t>
            </w:r>
            <w:r w:rsidRPr="000972D1">
              <w:rPr>
                <w:rFonts w:ascii="Times New Roman" w:eastAsia="Times New Roman" w:hAnsi="Times New Roman" w:cs="Times New Roman"/>
                <w:sz w:val="18"/>
                <w:szCs w:val="18"/>
                <w:shd w:val="clear" w:color="auto" w:fill="FFFFFF"/>
                <w:lang w:val="en-US"/>
              </w:rPr>
              <w:t>*</w:t>
            </w:r>
            <w:r w:rsidR="00D42C7B" w:rsidRPr="000972D1">
              <w:rPr>
                <w:rFonts w:ascii="Times New Roman" w:eastAsia="Times New Roman" w:hAnsi="Times New Roman" w:cs="Times New Roman"/>
                <w:sz w:val="18"/>
                <w:szCs w:val="18"/>
                <w:shd w:val="clear" w:color="auto" w:fill="FFFFFF"/>
                <w:lang w:val="en-US"/>
              </w:rPr>
              <w:t>*</w:t>
            </w:r>
          </w:p>
          <w:p w14:paraId="484D4944" w14:textId="72FE37F1" w:rsidR="00D42C7B" w:rsidRPr="000972D1" w:rsidRDefault="00130E1F" w:rsidP="00130E1F">
            <w:pPr>
              <w:jc w:val="center"/>
              <w:rPr>
                <w:rFonts w:ascii="Times New Roman" w:eastAsia="Times New Roman" w:hAnsi="Times New Roman" w:cs="Times New Roman"/>
                <w:sz w:val="18"/>
                <w:szCs w:val="18"/>
                <w:shd w:val="clear" w:color="auto" w:fill="FFFFFF"/>
                <w:lang w:val="en-US"/>
              </w:rPr>
            </w:pPr>
            <w:r w:rsidRPr="000972D1">
              <w:rPr>
                <w:rFonts w:ascii="Times New Roman" w:eastAsia="Times New Roman" w:hAnsi="Times New Roman" w:cs="Times New Roman"/>
                <w:sz w:val="18"/>
                <w:szCs w:val="18"/>
                <w:shd w:val="clear" w:color="auto" w:fill="FFFFFF"/>
                <w:lang w:val="en-US"/>
              </w:rPr>
              <w:t>(0.004</w:t>
            </w:r>
            <w:r w:rsidR="00D42C7B" w:rsidRPr="000972D1">
              <w:rPr>
                <w:rFonts w:ascii="Times New Roman" w:eastAsia="Times New Roman" w:hAnsi="Times New Roman" w:cs="Times New Roman"/>
                <w:sz w:val="18"/>
                <w:szCs w:val="18"/>
                <w:shd w:val="clear" w:color="auto" w:fill="FFFFFF"/>
                <w:lang w:val="en-US"/>
              </w:rPr>
              <w:t>)</w:t>
            </w:r>
          </w:p>
        </w:tc>
        <w:tc>
          <w:tcPr>
            <w:tcW w:w="1134" w:type="dxa"/>
          </w:tcPr>
          <w:p w14:paraId="4346BAD4" w14:textId="136038C6" w:rsidR="00D42C7B" w:rsidRPr="00352FB3" w:rsidRDefault="00D42C7B"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w:t>
            </w:r>
            <w:r w:rsidR="00314DD6" w:rsidRPr="00352FB3">
              <w:rPr>
                <w:rFonts w:ascii="Times New Roman" w:eastAsia="Times New Roman" w:hAnsi="Times New Roman" w:cs="Times New Roman"/>
                <w:sz w:val="18"/>
                <w:szCs w:val="18"/>
                <w:shd w:val="clear" w:color="auto" w:fill="FFFFFF"/>
                <w:lang w:val="en-US"/>
              </w:rPr>
              <w:t>1.392</w:t>
            </w:r>
            <w:r w:rsidRPr="00352FB3">
              <w:rPr>
                <w:rFonts w:ascii="Times New Roman" w:eastAsia="Times New Roman" w:hAnsi="Times New Roman" w:cs="Times New Roman"/>
                <w:sz w:val="18"/>
                <w:szCs w:val="18"/>
                <w:shd w:val="clear" w:color="auto" w:fill="FFFFFF"/>
                <w:lang w:val="en-US"/>
              </w:rPr>
              <w:t>***</w:t>
            </w:r>
          </w:p>
          <w:p w14:paraId="32AC48A3" w14:textId="4D02F0FE" w:rsidR="00D42C7B" w:rsidRPr="00352FB3" w:rsidRDefault="00D42C7B" w:rsidP="00314DD6">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(0.00</w:t>
            </w:r>
            <w:r w:rsidR="00314DD6" w:rsidRPr="00352FB3">
              <w:rPr>
                <w:rFonts w:ascii="Times New Roman" w:eastAsia="Times New Roman" w:hAnsi="Times New Roman" w:cs="Times New Roman"/>
                <w:sz w:val="18"/>
                <w:szCs w:val="18"/>
                <w:shd w:val="clear" w:color="auto" w:fill="FFFFFF"/>
                <w:lang w:val="en-US"/>
              </w:rPr>
              <w:t>0</w:t>
            </w:r>
            <w:r w:rsidRPr="00352FB3">
              <w:rPr>
                <w:rFonts w:ascii="Times New Roman" w:eastAsia="Times New Roman" w:hAnsi="Times New Roman" w:cs="Times New Roman"/>
                <w:sz w:val="18"/>
                <w:szCs w:val="18"/>
                <w:shd w:val="clear" w:color="auto" w:fill="FFFFFF"/>
                <w:lang w:val="en-US"/>
              </w:rPr>
              <w:t>)</w:t>
            </w:r>
          </w:p>
        </w:tc>
        <w:tc>
          <w:tcPr>
            <w:tcW w:w="992" w:type="dxa"/>
          </w:tcPr>
          <w:p w14:paraId="580094B6" w14:textId="7FDF2DB2" w:rsidR="00D42C7B" w:rsidRPr="00352FB3" w:rsidRDefault="00D42C7B"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w:t>
            </w:r>
            <w:r w:rsidR="007F496D" w:rsidRPr="00352FB3">
              <w:rPr>
                <w:rFonts w:ascii="Times New Roman" w:eastAsia="Times New Roman" w:hAnsi="Times New Roman" w:cs="Times New Roman"/>
                <w:sz w:val="18"/>
                <w:szCs w:val="18"/>
                <w:shd w:val="clear" w:color="auto" w:fill="FFFFFF"/>
                <w:lang w:val="en-US"/>
              </w:rPr>
              <w:t>1.536</w:t>
            </w:r>
            <w:r w:rsidRPr="00352FB3">
              <w:rPr>
                <w:rFonts w:ascii="Times New Roman" w:eastAsia="Times New Roman" w:hAnsi="Times New Roman" w:cs="Times New Roman"/>
                <w:sz w:val="18"/>
                <w:szCs w:val="18"/>
                <w:shd w:val="clear" w:color="auto" w:fill="FFFFFF"/>
                <w:lang w:val="en-US"/>
              </w:rPr>
              <w:t>***</w:t>
            </w:r>
          </w:p>
          <w:p w14:paraId="2955F03F" w14:textId="77777777" w:rsidR="00D42C7B" w:rsidRPr="00352FB3" w:rsidRDefault="00D42C7B"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(0.000)</w:t>
            </w:r>
          </w:p>
        </w:tc>
        <w:tc>
          <w:tcPr>
            <w:tcW w:w="992" w:type="dxa"/>
          </w:tcPr>
          <w:p w14:paraId="60EE6A77" w14:textId="48FB4365" w:rsidR="00D42C7B" w:rsidRPr="00352FB3" w:rsidRDefault="00C3371A"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-1.688</w:t>
            </w:r>
            <w:r w:rsidR="00D42C7B" w:rsidRPr="00352FB3">
              <w:rPr>
                <w:rFonts w:ascii="Times New Roman" w:eastAsia="Times New Roman" w:hAnsi="Times New Roman" w:cs="Times New Roman"/>
                <w:sz w:val="18"/>
                <w:szCs w:val="18"/>
                <w:shd w:val="clear" w:color="auto" w:fill="FFFFFF"/>
                <w:lang w:val="en-US"/>
              </w:rPr>
              <w:t>***</w:t>
            </w:r>
          </w:p>
          <w:p w14:paraId="35773F4F" w14:textId="77777777" w:rsidR="00D42C7B" w:rsidRPr="00352FB3" w:rsidRDefault="00D42C7B"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(0.000)</w:t>
            </w:r>
          </w:p>
        </w:tc>
        <w:tc>
          <w:tcPr>
            <w:tcW w:w="993" w:type="dxa"/>
          </w:tcPr>
          <w:p w14:paraId="3AC478A4" w14:textId="7CB0189A" w:rsidR="00D42C7B" w:rsidRPr="000972D1" w:rsidRDefault="00F60B00" w:rsidP="00626415">
            <w:pPr>
              <w:jc w:val="center"/>
              <w:rPr>
                <w:rFonts w:ascii="Times New Roman" w:eastAsia="Times New Roman" w:hAnsi="Times New Roman" w:cs="Times New Roman"/>
                <w:sz w:val="18"/>
                <w:szCs w:val="18"/>
                <w:shd w:val="clear" w:color="auto" w:fill="FFFFFF"/>
                <w:lang w:val="en-US"/>
              </w:rPr>
            </w:pPr>
            <w:r w:rsidRPr="000972D1">
              <w:rPr>
                <w:rFonts w:ascii="Times New Roman" w:eastAsia="Times New Roman" w:hAnsi="Times New Roman" w:cs="Times New Roman"/>
                <w:sz w:val="18"/>
                <w:szCs w:val="18"/>
                <w:shd w:val="clear" w:color="auto" w:fill="FFFFFF"/>
                <w:lang w:val="en-US"/>
              </w:rPr>
              <w:t>-1.398</w:t>
            </w:r>
            <w:r w:rsidR="00D42C7B" w:rsidRPr="000972D1">
              <w:rPr>
                <w:rFonts w:ascii="Times New Roman" w:eastAsia="Times New Roman" w:hAnsi="Times New Roman" w:cs="Times New Roman"/>
                <w:sz w:val="18"/>
                <w:szCs w:val="18"/>
                <w:shd w:val="clear" w:color="auto" w:fill="FFFFFF"/>
                <w:lang w:val="en-US"/>
              </w:rPr>
              <w:t>***</w:t>
            </w:r>
          </w:p>
          <w:p w14:paraId="1E54F53C" w14:textId="77777777" w:rsidR="00D42C7B" w:rsidRPr="000972D1" w:rsidRDefault="00D42C7B" w:rsidP="00626415">
            <w:pPr>
              <w:jc w:val="center"/>
              <w:rPr>
                <w:rFonts w:ascii="Times New Roman" w:eastAsia="Times New Roman" w:hAnsi="Times New Roman" w:cs="Times New Roman"/>
                <w:sz w:val="18"/>
                <w:szCs w:val="18"/>
                <w:shd w:val="clear" w:color="auto" w:fill="FFFFFF"/>
                <w:lang w:val="en-US"/>
              </w:rPr>
            </w:pPr>
            <w:r w:rsidRPr="000972D1">
              <w:rPr>
                <w:rFonts w:ascii="Times New Roman" w:eastAsia="Times New Roman" w:hAnsi="Times New Roman" w:cs="Times New Roman"/>
                <w:sz w:val="18"/>
                <w:szCs w:val="18"/>
                <w:shd w:val="clear" w:color="auto" w:fill="FFFFFF"/>
                <w:lang w:val="en-US"/>
              </w:rPr>
              <w:t>(0.000)</w:t>
            </w:r>
          </w:p>
        </w:tc>
      </w:tr>
      <w:tr w:rsidR="00D42C7B" w:rsidRPr="00352FB3" w14:paraId="3A43466F" w14:textId="77D06371" w:rsidTr="00911D12">
        <w:trPr>
          <w:trHeight w:val="300"/>
          <w:jc w:val="center"/>
        </w:trPr>
        <w:tc>
          <w:tcPr>
            <w:tcW w:w="1418" w:type="dxa"/>
            <w:tcBorders>
              <w:bottom w:val="single" w:sz="4" w:space="0" w:color="auto"/>
              <w:right w:val="single" w:sz="12" w:space="0" w:color="auto"/>
            </w:tcBorders>
            <w:noWrap/>
          </w:tcPr>
          <w:p w14:paraId="376B41BC" w14:textId="5CB940AC" w:rsidR="00D42C7B" w:rsidRPr="00352FB3" w:rsidRDefault="00D42C7B" w:rsidP="00FC4982">
            <w:pP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bCs/>
                <w:sz w:val="18"/>
                <w:szCs w:val="18"/>
                <w:shd w:val="clear" w:color="auto" w:fill="FFFFFF"/>
              </w:rPr>
              <w:t>NGI</w:t>
            </w:r>
          </w:p>
        </w:tc>
        <w:tc>
          <w:tcPr>
            <w:tcW w:w="1135" w:type="dxa"/>
            <w:gridSpan w:val="2"/>
            <w:tcBorders>
              <w:left w:val="single" w:sz="12" w:space="0" w:color="auto"/>
              <w:bottom w:val="single" w:sz="4" w:space="0" w:color="auto"/>
            </w:tcBorders>
          </w:tcPr>
          <w:p w14:paraId="49F2E079" w14:textId="6093C707" w:rsidR="00D42C7B" w:rsidRPr="00352FB3" w:rsidRDefault="00F46DD2" w:rsidP="00FC4982">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-0.640</w:t>
            </w:r>
          </w:p>
          <w:p w14:paraId="28C5AA2E" w14:textId="6821388B" w:rsidR="00D42C7B" w:rsidRPr="00352FB3" w:rsidRDefault="00F46DD2" w:rsidP="00FC4982">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(0.564</w:t>
            </w:r>
            <w:r w:rsidR="00D42C7B" w:rsidRPr="00352FB3">
              <w:rPr>
                <w:rFonts w:ascii="Times New Roman" w:eastAsia="Times New Roman" w:hAnsi="Times New Roman" w:cs="Times New Roman"/>
                <w:sz w:val="18"/>
                <w:szCs w:val="18"/>
                <w:shd w:val="clear" w:color="auto" w:fill="FFFFFF"/>
                <w:lang w:val="en-US"/>
              </w:rPr>
              <w:t>)</w:t>
            </w:r>
          </w:p>
        </w:tc>
        <w:tc>
          <w:tcPr>
            <w:tcW w:w="992" w:type="dxa"/>
            <w:tcBorders>
              <w:bottom w:val="single" w:sz="4" w:space="0" w:color="auto"/>
            </w:tcBorders>
            <w:noWrap/>
          </w:tcPr>
          <w:p w14:paraId="0E9DC8D4" w14:textId="2B22A32B" w:rsidR="00D42C7B" w:rsidRPr="00352FB3" w:rsidRDefault="00D733CB" w:rsidP="00FC4982">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1</w:t>
            </w:r>
            <w:r w:rsidR="00D42C7B" w:rsidRPr="00352FB3">
              <w:rPr>
                <w:rFonts w:ascii="Times New Roman" w:eastAsia="Times New Roman" w:hAnsi="Times New Roman" w:cs="Times New Roman"/>
                <w:sz w:val="18"/>
                <w:szCs w:val="18"/>
                <w:shd w:val="clear" w:color="auto" w:fill="FFFFFF"/>
                <w:lang w:val="en-US"/>
              </w:rPr>
              <w:t>.</w:t>
            </w:r>
            <w:r w:rsidRPr="00352FB3">
              <w:rPr>
                <w:rFonts w:ascii="Times New Roman" w:eastAsia="Times New Roman" w:hAnsi="Times New Roman" w:cs="Times New Roman"/>
                <w:sz w:val="18"/>
                <w:szCs w:val="18"/>
                <w:shd w:val="clear" w:color="auto" w:fill="FFFFFF"/>
                <w:lang w:val="en-US"/>
              </w:rPr>
              <w:t>790*</w:t>
            </w:r>
          </w:p>
          <w:p w14:paraId="421E7B3B" w14:textId="5A8CA8E5" w:rsidR="00D42C7B" w:rsidRPr="00352FB3" w:rsidRDefault="00D733CB" w:rsidP="00FC4982">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(0.055</w:t>
            </w:r>
            <w:r w:rsidR="00D42C7B" w:rsidRPr="00352FB3">
              <w:rPr>
                <w:rFonts w:ascii="Times New Roman" w:eastAsia="Times New Roman" w:hAnsi="Times New Roman" w:cs="Times New Roman"/>
                <w:sz w:val="18"/>
                <w:szCs w:val="18"/>
                <w:shd w:val="clear" w:color="auto" w:fill="FFFFFF"/>
                <w:lang w:val="en-US"/>
              </w:rPr>
              <w:t>)</w:t>
            </w:r>
          </w:p>
        </w:tc>
        <w:tc>
          <w:tcPr>
            <w:tcW w:w="1134" w:type="dxa"/>
            <w:tcBorders>
              <w:bottom w:val="single" w:sz="4" w:space="0" w:color="auto"/>
            </w:tcBorders>
            <w:noWrap/>
          </w:tcPr>
          <w:p w14:paraId="41008633" w14:textId="7D530CA6" w:rsidR="00D42C7B" w:rsidRPr="00352FB3" w:rsidRDefault="00960CA5" w:rsidP="00FC4982">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-0.367</w:t>
            </w:r>
          </w:p>
          <w:p w14:paraId="266A5C14" w14:textId="3F057210" w:rsidR="00D42C7B" w:rsidRPr="00352FB3" w:rsidRDefault="00960CA5" w:rsidP="00FC4982">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(0.750</w:t>
            </w:r>
            <w:r w:rsidR="00D42C7B" w:rsidRPr="00352FB3">
              <w:rPr>
                <w:rFonts w:ascii="Times New Roman" w:eastAsia="Times New Roman" w:hAnsi="Times New Roman" w:cs="Times New Roman"/>
                <w:sz w:val="18"/>
                <w:szCs w:val="18"/>
                <w:shd w:val="clear" w:color="auto" w:fill="FFFFFF"/>
                <w:lang w:val="en-US"/>
              </w:rPr>
              <w:t>)</w:t>
            </w:r>
          </w:p>
        </w:tc>
        <w:tc>
          <w:tcPr>
            <w:tcW w:w="1275" w:type="dxa"/>
            <w:tcBorders>
              <w:bottom w:val="single" w:sz="4" w:space="0" w:color="auto"/>
            </w:tcBorders>
          </w:tcPr>
          <w:p w14:paraId="6016E0A9" w14:textId="716E5619" w:rsidR="00D42C7B" w:rsidRPr="000972D1" w:rsidRDefault="00D42C7B" w:rsidP="00FC4982">
            <w:pPr>
              <w:jc w:val="center"/>
              <w:rPr>
                <w:rFonts w:ascii="Times New Roman" w:eastAsia="Times New Roman" w:hAnsi="Times New Roman" w:cs="Times New Roman"/>
                <w:sz w:val="18"/>
                <w:szCs w:val="18"/>
                <w:shd w:val="clear" w:color="auto" w:fill="FFFFFF"/>
                <w:lang w:val="en-US"/>
              </w:rPr>
            </w:pPr>
            <w:r w:rsidRPr="000972D1">
              <w:rPr>
                <w:rFonts w:ascii="Times New Roman" w:eastAsia="Times New Roman" w:hAnsi="Times New Roman" w:cs="Times New Roman"/>
                <w:sz w:val="18"/>
                <w:szCs w:val="18"/>
                <w:shd w:val="clear" w:color="auto" w:fill="FFFFFF"/>
                <w:lang w:val="en-US"/>
              </w:rPr>
              <w:t>0.</w:t>
            </w:r>
            <w:r w:rsidR="00130E1F" w:rsidRPr="000972D1">
              <w:rPr>
                <w:rFonts w:ascii="Times New Roman" w:eastAsia="Times New Roman" w:hAnsi="Times New Roman" w:cs="Times New Roman"/>
                <w:sz w:val="18"/>
                <w:szCs w:val="18"/>
                <w:shd w:val="clear" w:color="auto" w:fill="FFFFFF"/>
                <w:lang w:val="en-US"/>
              </w:rPr>
              <w:t>1</w:t>
            </w:r>
            <w:r w:rsidRPr="000972D1">
              <w:rPr>
                <w:rFonts w:ascii="Times New Roman" w:eastAsia="Times New Roman" w:hAnsi="Times New Roman" w:cs="Times New Roman"/>
                <w:sz w:val="18"/>
                <w:szCs w:val="18"/>
                <w:shd w:val="clear" w:color="auto" w:fill="FFFFFF"/>
                <w:lang w:val="en-US"/>
              </w:rPr>
              <w:t>0</w:t>
            </w:r>
            <w:r w:rsidR="00130E1F" w:rsidRPr="000972D1">
              <w:rPr>
                <w:rFonts w:ascii="Times New Roman" w:eastAsia="Times New Roman" w:hAnsi="Times New Roman" w:cs="Times New Roman"/>
                <w:sz w:val="18"/>
                <w:szCs w:val="18"/>
                <w:shd w:val="clear" w:color="auto" w:fill="FFFFFF"/>
                <w:lang w:val="en-US"/>
              </w:rPr>
              <w:t>3</w:t>
            </w:r>
          </w:p>
          <w:p w14:paraId="595B3658" w14:textId="1BB7EA7E" w:rsidR="00D42C7B" w:rsidRPr="000972D1" w:rsidRDefault="00130E1F" w:rsidP="00FC4982">
            <w:pPr>
              <w:jc w:val="center"/>
              <w:rPr>
                <w:rFonts w:ascii="Times New Roman" w:eastAsia="Times New Roman" w:hAnsi="Times New Roman" w:cs="Times New Roman"/>
                <w:sz w:val="18"/>
                <w:szCs w:val="18"/>
                <w:shd w:val="clear" w:color="auto" w:fill="FFFFFF"/>
                <w:lang w:val="en-US"/>
              </w:rPr>
            </w:pPr>
            <w:r w:rsidRPr="000972D1">
              <w:rPr>
                <w:rFonts w:ascii="Times New Roman" w:eastAsia="Times New Roman" w:hAnsi="Times New Roman" w:cs="Times New Roman"/>
                <w:sz w:val="18"/>
                <w:szCs w:val="18"/>
                <w:shd w:val="clear" w:color="auto" w:fill="FFFFFF"/>
                <w:lang w:val="en-US"/>
              </w:rPr>
              <w:t>(0.918</w:t>
            </w:r>
            <w:r w:rsidR="00D42C7B" w:rsidRPr="000972D1">
              <w:rPr>
                <w:rFonts w:ascii="Times New Roman" w:eastAsia="Times New Roman" w:hAnsi="Times New Roman" w:cs="Times New Roman"/>
                <w:sz w:val="18"/>
                <w:szCs w:val="18"/>
                <w:shd w:val="clear" w:color="auto" w:fill="FFFFFF"/>
                <w:lang w:val="en-US"/>
              </w:rPr>
              <w:t>)</w:t>
            </w:r>
          </w:p>
        </w:tc>
        <w:tc>
          <w:tcPr>
            <w:tcW w:w="1134" w:type="dxa"/>
            <w:tcBorders>
              <w:bottom w:val="single" w:sz="4" w:space="0" w:color="auto"/>
            </w:tcBorders>
          </w:tcPr>
          <w:p w14:paraId="17A4AC39" w14:textId="3848C477" w:rsidR="00D42C7B" w:rsidRPr="00352FB3" w:rsidRDefault="00314DD6" w:rsidP="00FC4982">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2</w:t>
            </w:r>
            <w:r w:rsidR="00D42C7B" w:rsidRPr="00352FB3">
              <w:rPr>
                <w:rFonts w:ascii="Times New Roman" w:eastAsia="Times New Roman" w:hAnsi="Times New Roman" w:cs="Times New Roman"/>
                <w:sz w:val="18"/>
                <w:szCs w:val="18"/>
                <w:shd w:val="clear" w:color="auto" w:fill="FFFFFF"/>
                <w:lang w:val="en-US"/>
              </w:rPr>
              <w:t>.</w:t>
            </w:r>
            <w:r w:rsidRPr="00352FB3">
              <w:rPr>
                <w:rFonts w:ascii="Times New Roman" w:eastAsia="Times New Roman" w:hAnsi="Times New Roman" w:cs="Times New Roman"/>
                <w:sz w:val="18"/>
                <w:szCs w:val="18"/>
                <w:shd w:val="clear" w:color="auto" w:fill="FFFFFF"/>
                <w:lang w:val="en-US"/>
              </w:rPr>
              <w:t>368</w:t>
            </w:r>
            <w:r w:rsidR="00D42C7B" w:rsidRPr="00352FB3">
              <w:rPr>
                <w:rFonts w:ascii="Times New Roman" w:eastAsia="Times New Roman" w:hAnsi="Times New Roman" w:cs="Times New Roman"/>
                <w:sz w:val="18"/>
                <w:szCs w:val="18"/>
                <w:shd w:val="clear" w:color="auto" w:fill="FFFFFF"/>
                <w:lang w:val="en-US"/>
              </w:rPr>
              <w:t>***</w:t>
            </w:r>
          </w:p>
          <w:p w14:paraId="1B40A7F6" w14:textId="236FBE28" w:rsidR="00D42C7B" w:rsidRPr="00352FB3" w:rsidRDefault="00D42C7B" w:rsidP="00FC4982">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(0.000)</w:t>
            </w:r>
          </w:p>
        </w:tc>
        <w:tc>
          <w:tcPr>
            <w:tcW w:w="992" w:type="dxa"/>
            <w:tcBorders>
              <w:bottom w:val="single" w:sz="4" w:space="0" w:color="auto"/>
            </w:tcBorders>
          </w:tcPr>
          <w:p w14:paraId="10DEC7E5" w14:textId="3B49C154" w:rsidR="00D42C7B" w:rsidRPr="00352FB3" w:rsidRDefault="007F496D" w:rsidP="00FC4982">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2.571</w:t>
            </w:r>
            <w:r w:rsidR="00D42C7B" w:rsidRPr="00352FB3">
              <w:rPr>
                <w:rFonts w:ascii="Times New Roman" w:eastAsia="Times New Roman" w:hAnsi="Times New Roman" w:cs="Times New Roman"/>
                <w:sz w:val="18"/>
                <w:szCs w:val="18"/>
                <w:shd w:val="clear" w:color="auto" w:fill="FFFFFF"/>
                <w:lang w:val="en-US"/>
              </w:rPr>
              <w:t>***</w:t>
            </w:r>
          </w:p>
          <w:p w14:paraId="1A78419D" w14:textId="4DA75AFB" w:rsidR="00D42C7B" w:rsidRPr="00352FB3" w:rsidRDefault="00D42C7B" w:rsidP="00FC4982">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(0.000)</w:t>
            </w:r>
          </w:p>
        </w:tc>
        <w:tc>
          <w:tcPr>
            <w:tcW w:w="992" w:type="dxa"/>
            <w:tcBorders>
              <w:bottom w:val="single" w:sz="4" w:space="0" w:color="auto"/>
            </w:tcBorders>
          </w:tcPr>
          <w:p w14:paraId="285A3144" w14:textId="67892D88" w:rsidR="00D42C7B" w:rsidRPr="00352FB3" w:rsidRDefault="00C3371A" w:rsidP="00FC4982">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2.763</w:t>
            </w:r>
            <w:r w:rsidR="00D42C7B" w:rsidRPr="00352FB3">
              <w:rPr>
                <w:rFonts w:ascii="Times New Roman" w:eastAsia="Times New Roman" w:hAnsi="Times New Roman" w:cs="Times New Roman"/>
                <w:sz w:val="18"/>
                <w:szCs w:val="18"/>
                <w:shd w:val="clear" w:color="auto" w:fill="FFFFFF"/>
                <w:lang w:val="en-US"/>
              </w:rPr>
              <w:t>***</w:t>
            </w:r>
          </w:p>
          <w:p w14:paraId="1279F530" w14:textId="2720CEA1" w:rsidR="00D42C7B" w:rsidRPr="00352FB3" w:rsidRDefault="00D42C7B" w:rsidP="00FC4982">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(0.000)</w:t>
            </w:r>
          </w:p>
        </w:tc>
        <w:tc>
          <w:tcPr>
            <w:tcW w:w="993" w:type="dxa"/>
            <w:tcBorders>
              <w:bottom w:val="single" w:sz="4" w:space="0" w:color="auto"/>
            </w:tcBorders>
          </w:tcPr>
          <w:p w14:paraId="30A3B08F" w14:textId="1E023CA1" w:rsidR="00D42C7B" w:rsidRPr="000972D1" w:rsidRDefault="00F60B00" w:rsidP="00FC4982">
            <w:pPr>
              <w:jc w:val="center"/>
              <w:rPr>
                <w:rFonts w:ascii="Times New Roman" w:eastAsia="Times New Roman" w:hAnsi="Times New Roman" w:cs="Times New Roman"/>
                <w:sz w:val="18"/>
                <w:szCs w:val="18"/>
                <w:shd w:val="clear" w:color="auto" w:fill="FFFFFF"/>
                <w:lang w:val="en-US"/>
              </w:rPr>
            </w:pPr>
            <w:r w:rsidRPr="000972D1">
              <w:rPr>
                <w:rFonts w:ascii="Times New Roman" w:eastAsia="Times New Roman" w:hAnsi="Times New Roman" w:cs="Times New Roman"/>
                <w:sz w:val="18"/>
                <w:szCs w:val="18"/>
                <w:shd w:val="clear" w:color="auto" w:fill="FFFFFF"/>
                <w:lang w:val="en-US"/>
              </w:rPr>
              <w:t>2.267</w:t>
            </w:r>
            <w:r w:rsidR="00D42C7B" w:rsidRPr="000972D1">
              <w:rPr>
                <w:rFonts w:ascii="Times New Roman" w:eastAsia="Times New Roman" w:hAnsi="Times New Roman" w:cs="Times New Roman"/>
                <w:sz w:val="18"/>
                <w:szCs w:val="18"/>
                <w:shd w:val="clear" w:color="auto" w:fill="FFFFFF"/>
                <w:lang w:val="en-US"/>
              </w:rPr>
              <w:t>***</w:t>
            </w:r>
          </w:p>
          <w:p w14:paraId="6BBFDB0C" w14:textId="12B92F06" w:rsidR="00D42C7B" w:rsidRPr="000972D1" w:rsidRDefault="00D42C7B" w:rsidP="00FC4982">
            <w:pPr>
              <w:jc w:val="center"/>
              <w:rPr>
                <w:rFonts w:ascii="Times New Roman" w:eastAsia="Times New Roman" w:hAnsi="Times New Roman" w:cs="Times New Roman"/>
                <w:sz w:val="18"/>
                <w:szCs w:val="18"/>
                <w:shd w:val="clear" w:color="auto" w:fill="FFFFFF"/>
                <w:lang w:val="en-US"/>
              </w:rPr>
            </w:pPr>
            <w:r w:rsidRPr="000972D1">
              <w:rPr>
                <w:rFonts w:ascii="Times New Roman" w:eastAsia="Times New Roman" w:hAnsi="Times New Roman" w:cs="Times New Roman"/>
                <w:sz w:val="18"/>
                <w:szCs w:val="18"/>
                <w:shd w:val="clear" w:color="auto" w:fill="FFFFFF"/>
                <w:lang w:val="en-US"/>
              </w:rPr>
              <w:t>(0.000)</w:t>
            </w:r>
          </w:p>
        </w:tc>
      </w:tr>
      <w:tr w:rsidR="00D42C7B" w:rsidRPr="00352FB3" w14:paraId="7A5BD8B8" w14:textId="2B9E85F8" w:rsidTr="00911D12">
        <w:trPr>
          <w:trHeight w:val="86"/>
          <w:jc w:val="center"/>
        </w:trPr>
        <w:tc>
          <w:tcPr>
            <w:tcW w:w="1418" w:type="dxa"/>
            <w:tcBorders>
              <w:top w:val="single" w:sz="4" w:space="0" w:color="auto"/>
              <w:right w:val="single" w:sz="12" w:space="0" w:color="auto"/>
            </w:tcBorders>
            <w:noWrap/>
          </w:tcPr>
          <w:p w14:paraId="02017482" w14:textId="77777777" w:rsidR="00D42C7B" w:rsidRPr="00352FB3" w:rsidRDefault="00D42C7B" w:rsidP="00626415">
            <w:pPr>
              <w:jc w:val="lowKashida"/>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 xml:space="preserve">YDU </w:t>
            </w:r>
          </w:p>
        </w:tc>
        <w:tc>
          <w:tcPr>
            <w:tcW w:w="1135" w:type="dxa"/>
            <w:gridSpan w:val="2"/>
            <w:tcBorders>
              <w:top w:val="single" w:sz="4" w:space="0" w:color="auto"/>
              <w:left w:val="single" w:sz="12" w:space="0" w:color="auto"/>
            </w:tcBorders>
          </w:tcPr>
          <w:p w14:paraId="19DC8D80" w14:textId="0B401503" w:rsidR="00D42C7B" w:rsidRPr="00352FB3" w:rsidRDefault="00D42C7B"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Included</w:t>
            </w:r>
          </w:p>
        </w:tc>
        <w:tc>
          <w:tcPr>
            <w:tcW w:w="992" w:type="dxa"/>
            <w:tcBorders>
              <w:top w:val="single" w:sz="4" w:space="0" w:color="auto"/>
            </w:tcBorders>
            <w:noWrap/>
          </w:tcPr>
          <w:p w14:paraId="0CDF42E5" w14:textId="631AE553" w:rsidR="00D42C7B" w:rsidRPr="00352FB3" w:rsidRDefault="00D42C7B"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Included</w:t>
            </w:r>
          </w:p>
        </w:tc>
        <w:tc>
          <w:tcPr>
            <w:tcW w:w="1134" w:type="dxa"/>
            <w:tcBorders>
              <w:top w:val="single" w:sz="4" w:space="0" w:color="auto"/>
            </w:tcBorders>
            <w:noWrap/>
          </w:tcPr>
          <w:p w14:paraId="6C16105A" w14:textId="77777777" w:rsidR="00D42C7B" w:rsidRPr="00352FB3" w:rsidRDefault="00D42C7B"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Included</w:t>
            </w:r>
          </w:p>
        </w:tc>
        <w:tc>
          <w:tcPr>
            <w:tcW w:w="1275" w:type="dxa"/>
            <w:tcBorders>
              <w:top w:val="single" w:sz="4" w:space="0" w:color="auto"/>
            </w:tcBorders>
          </w:tcPr>
          <w:p w14:paraId="257E3045" w14:textId="77777777" w:rsidR="00D42C7B" w:rsidRPr="000972D1" w:rsidRDefault="00D42C7B" w:rsidP="00626415">
            <w:pPr>
              <w:jc w:val="center"/>
              <w:rPr>
                <w:rFonts w:ascii="Times New Roman" w:eastAsia="Times New Roman" w:hAnsi="Times New Roman" w:cs="Times New Roman"/>
                <w:sz w:val="18"/>
                <w:szCs w:val="18"/>
                <w:shd w:val="clear" w:color="auto" w:fill="FFFFFF"/>
                <w:lang w:val="en-US"/>
              </w:rPr>
            </w:pPr>
            <w:r w:rsidRPr="000972D1">
              <w:rPr>
                <w:rFonts w:ascii="Times New Roman" w:eastAsia="Times New Roman" w:hAnsi="Times New Roman" w:cs="Times New Roman"/>
                <w:sz w:val="18"/>
                <w:szCs w:val="18"/>
                <w:shd w:val="clear" w:color="auto" w:fill="FFFFFF"/>
                <w:lang w:val="en-US"/>
              </w:rPr>
              <w:t>Included</w:t>
            </w:r>
          </w:p>
        </w:tc>
        <w:tc>
          <w:tcPr>
            <w:tcW w:w="1134" w:type="dxa"/>
            <w:tcBorders>
              <w:top w:val="single" w:sz="4" w:space="0" w:color="auto"/>
            </w:tcBorders>
          </w:tcPr>
          <w:p w14:paraId="32A45CDB" w14:textId="68BF9E17" w:rsidR="00D42C7B" w:rsidRPr="00352FB3" w:rsidRDefault="00D42C7B"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Included</w:t>
            </w:r>
          </w:p>
        </w:tc>
        <w:tc>
          <w:tcPr>
            <w:tcW w:w="992" w:type="dxa"/>
            <w:tcBorders>
              <w:top w:val="single" w:sz="4" w:space="0" w:color="auto"/>
            </w:tcBorders>
          </w:tcPr>
          <w:p w14:paraId="750E7AB0" w14:textId="166B6F95" w:rsidR="00D42C7B" w:rsidRPr="00352FB3" w:rsidRDefault="00D42C7B"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Included</w:t>
            </w:r>
          </w:p>
        </w:tc>
        <w:tc>
          <w:tcPr>
            <w:tcW w:w="992" w:type="dxa"/>
            <w:tcBorders>
              <w:top w:val="single" w:sz="4" w:space="0" w:color="auto"/>
            </w:tcBorders>
          </w:tcPr>
          <w:p w14:paraId="4785B7E9" w14:textId="77777777" w:rsidR="00D42C7B" w:rsidRPr="00352FB3" w:rsidRDefault="00D42C7B"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Included</w:t>
            </w:r>
          </w:p>
        </w:tc>
        <w:tc>
          <w:tcPr>
            <w:tcW w:w="993" w:type="dxa"/>
            <w:tcBorders>
              <w:top w:val="single" w:sz="4" w:space="0" w:color="auto"/>
            </w:tcBorders>
          </w:tcPr>
          <w:p w14:paraId="6FED36CA" w14:textId="77777777" w:rsidR="00D42C7B" w:rsidRPr="000972D1" w:rsidRDefault="00D42C7B" w:rsidP="00626415">
            <w:pPr>
              <w:jc w:val="center"/>
              <w:rPr>
                <w:rFonts w:ascii="Times New Roman" w:eastAsia="Times New Roman" w:hAnsi="Times New Roman" w:cs="Times New Roman"/>
                <w:sz w:val="18"/>
                <w:szCs w:val="18"/>
                <w:shd w:val="clear" w:color="auto" w:fill="FFFFFF"/>
                <w:lang w:val="en-US"/>
              </w:rPr>
            </w:pPr>
            <w:r w:rsidRPr="000972D1">
              <w:rPr>
                <w:rFonts w:ascii="Times New Roman" w:eastAsia="Times New Roman" w:hAnsi="Times New Roman" w:cs="Times New Roman"/>
                <w:sz w:val="18"/>
                <w:szCs w:val="18"/>
                <w:shd w:val="clear" w:color="auto" w:fill="FFFFFF"/>
                <w:lang w:val="en-US"/>
              </w:rPr>
              <w:t>Included</w:t>
            </w:r>
          </w:p>
        </w:tc>
      </w:tr>
      <w:tr w:rsidR="00D42C7B" w:rsidRPr="00352FB3" w14:paraId="779A4705" w14:textId="6AE28D17" w:rsidTr="00911D12">
        <w:trPr>
          <w:trHeight w:val="47"/>
          <w:jc w:val="center"/>
        </w:trPr>
        <w:tc>
          <w:tcPr>
            <w:tcW w:w="1418" w:type="dxa"/>
            <w:tcBorders>
              <w:bottom w:val="single" w:sz="12" w:space="0" w:color="auto"/>
              <w:right w:val="single" w:sz="12" w:space="0" w:color="auto"/>
            </w:tcBorders>
            <w:noWrap/>
          </w:tcPr>
          <w:p w14:paraId="3095F611" w14:textId="517C7F54" w:rsidR="00D42C7B" w:rsidRPr="00352FB3" w:rsidRDefault="00D42C7B" w:rsidP="004C2ADB">
            <w:pPr>
              <w:jc w:val="lowKashida"/>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IRY</w:t>
            </w:r>
          </w:p>
        </w:tc>
        <w:tc>
          <w:tcPr>
            <w:tcW w:w="1135" w:type="dxa"/>
            <w:gridSpan w:val="2"/>
            <w:tcBorders>
              <w:left w:val="single" w:sz="12" w:space="0" w:color="auto"/>
              <w:bottom w:val="single" w:sz="12" w:space="0" w:color="auto"/>
            </w:tcBorders>
          </w:tcPr>
          <w:p w14:paraId="0A30CF4D" w14:textId="3472C8C4" w:rsidR="00D42C7B" w:rsidRPr="00352FB3" w:rsidRDefault="00D42C7B"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Included</w:t>
            </w:r>
          </w:p>
        </w:tc>
        <w:tc>
          <w:tcPr>
            <w:tcW w:w="992" w:type="dxa"/>
            <w:tcBorders>
              <w:bottom w:val="single" w:sz="12" w:space="0" w:color="auto"/>
            </w:tcBorders>
            <w:noWrap/>
          </w:tcPr>
          <w:p w14:paraId="040DC152" w14:textId="3D2D3401" w:rsidR="00D42C7B" w:rsidRPr="00352FB3" w:rsidRDefault="00D42C7B"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Included</w:t>
            </w:r>
          </w:p>
        </w:tc>
        <w:tc>
          <w:tcPr>
            <w:tcW w:w="1134" w:type="dxa"/>
            <w:tcBorders>
              <w:bottom w:val="single" w:sz="12" w:space="0" w:color="auto"/>
            </w:tcBorders>
            <w:noWrap/>
          </w:tcPr>
          <w:p w14:paraId="1EBE23C8" w14:textId="77777777" w:rsidR="00D42C7B" w:rsidRPr="00352FB3" w:rsidRDefault="00D42C7B"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Included</w:t>
            </w:r>
          </w:p>
        </w:tc>
        <w:tc>
          <w:tcPr>
            <w:tcW w:w="1275" w:type="dxa"/>
            <w:tcBorders>
              <w:bottom w:val="single" w:sz="12" w:space="0" w:color="auto"/>
            </w:tcBorders>
          </w:tcPr>
          <w:p w14:paraId="7F6F83F2" w14:textId="77777777" w:rsidR="00D42C7B" w:rsidRPr="000972D1" w:rsidRDefault="00D42C7B" w:rsidP="00626415">
            <w:pPr>
              <w:jc w:val="center"/>
              <w:rPr>
                <w:rFonts w:ascii="Times New Roman" w:eastAsia="Times New Roman" w:hAnsi="Times New Roman" w:cs="Times New Roman"/>
                <w:sz w:val="18"/>
                <w:szCs w:val="18"/>
                <w:shd w:val="clear" w:color="auto" w:fill="FFFFFF"/>
                <w:lang w:val="en-US"/>
              </w:rPr>
            </w:pPr>
            <w:r w:rsidRPr="000972D1">
              <w:rPr>
                <w:rFonts w:ascii="Times New Roman" w:eastAsia="Times New Roman" w:hAnsi="Times New Roman" w:cs="Times New Roman"/>
                <w:sz w:val="18"/>
                <w:szCs w:val="18"/>
                <w:shd w:val="clear" w:color="auto" w:fill="FFFFFF"/>
                <w:lang w:val="en-US"/>
              </w:rPr>
              <w:t>Included</w:t>
            </w:r>
          </w:p>
        </w:tc>
        <w:tc>
          <w:tcPr>
            <w:tcW w:w="1134" w:type="dxa"/>
            <w:tcBorders>
              <w:bottom w:val="single" w:sz="12" w:space="0" w:color="auto"/>
            </w:tcBorders>
          </w:tcPr>
          <w:p w14:paraId="7CA9884A" w14:textId="1A20D903" w:rsidR="00D42C7B" w:rsidRPr="00352FB3" w:rsidRDefault="00D42C7B"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Included</w:t>
            </w:r>
          </w:p>
        </w:tc>
        <w:tc>
          <w:tcPr>
            <w:tcW w:w="992" w:type="dxa"/>
            <w:tcBorders>
              <w:bottom w:val="single" w:sz="12" w:space="0" w:color="auto"/>
            </w:tcBorders>
          </w:tcPr>
          <w:p w14:paraId="7425E860" w14:textId="668AFA19" w:rsidR="00D42C7B" w:rsidRPr="00352FB3" w:rsidRDefault="00D42C7B"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Included</w:t>
            </w:r>
          </w:p>
        </w:tc>
        <w:tc>
          <w:tcPr>
            <w:tcW w:w="992" w:type="dxa"/>
            <w:tcBorders>
              <w:bottom w:val="single" w:sz="12" w:space="0" w:color="auto"/>
            </w:tcBorders>
          </w:tcPr>
          <w:p w14:paraId="6D50A8AD" w14:textId="77777777" w:rsidR="00D42C7B" w:rsidRPr="00352FB3" w:rsidRDefault="00D42C7B"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Included</w:t>
            </w:r>
          </w:p>
        </w:tc>
        <w:tc>
          <w:tcPr>
            <w:tcW w:w="993" w:type="dxa"/>
            <w:tcBorders>
              <w:bottom w:val="single" w:sz="12" w:space="0" w:color="auto"/>
            </w:tcBorders>
          </w:tcPr>
          <w:p w14:paraId="4A63F427" w14:textId="77777777" w:rsidR="00D42C7B" w:rsidRPr="000972D1" w:rsidRDefault="00D42C7B" w:rsidP="00626415">
            <w:pPr>
              <w:jc w:val="center"/>
              <w:rPr>
                <w:rFonts w:ascii="Times New Roman" w:eastAsia="Times New Roman" w:hAnsi="Times New Roman" w:cs="Times New Roman"/>
                <w:sz w:val="18"/>
                <w:szCs w:val="18"/>
                <w:shd w:val="clear" w:color="auto" w:fill="FFFFFF"/>
                <w:lang w:val="en-US"/>
              </w:rPr>
            </w:pPr>
            <w:r w:rsidRPr="000972D1">
              <w:rPr>
                <w:rFonts w:ascii="Times New Roman" w:eastAsia="Times New Roman" w:hAnsi="Times New Roman" w:cs="Times New Roman"/>
                <w:sz w:val="18"/>
                <w:szCs w:val="18"/>
                <w:shd w:val="clear" w:color="auto" w:fill="FFFFFF"/>
                <w:lang w:val="en-US"/>
              </w:rPr>
              <w:t>Included</w:t>
            </w:r>
          </w:p>
        </w:tc>
      </w:tr>
      <w:tr w:rsidR="00D42C7B" w:rsidRPr="00352FB3" w14:paraId="27A13139" w14:textId="3EF381DF" w:rsidTr="00911D12">
        <w:trPr>
          <w:trHeight w:val="120"/>
          <w:jc w:val="center"/>
        </w:trPr>
        <w:tc>
          <w:tcPr>
            <w:tcW w:w="1418" w:type="dxa"/>
            <w:tcBorders>
              <w:top w:val="single" w:sz="12" w:space="0" w:color="auto"/>
              <w:right w:val="single" w:sz="12" w:space="0" w:color="auto"/>
            </w:tcBorders>
            <w:noWrap/>
          </w:tcPr>
          <w:p w14:paraId="74A37643" w14:textId="77777777" w:rsidR="00D42C7B" w:rsidRPr="00352FB3" w:rsidRDefault="00D42C7B" w:rsidP="00626415">
            <w:pPr>
              <w:jc w:val="lowKashida"/>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 xml:space="preserve">Constant </w:t>
            </w:r>
          </w:p>
        </w:tc>
        <w:tc>
          <w:tcPr>
            <w:tcW w:w="1135" w:type="dxa"/>
            <w:gridSpan w:val="2"/>
            <w:tcBorders>
              <w:top w:val="single" w:sz="12" w:space="0" w:color="auto"/>
              <w:left w:val="single" w:sz="12" w:space="0" w:color="auto"/>
            </w:tcBorders>
          </w:tcPr>
          <w:p w14:paraId="06C0B636" w14:textId="5AA4FC83" w:rsidR="00D42C7B" w:rsidRPr="00352FB3" w:rsidRDefault="00491482" w:rsidP="00F46DD2">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-12.417***</w:t>
            </w:r>
          </w:p>
        </w:tc>
        <w:tc>
          <w:tcPr>
            <w:tcW w:w="992" w:type="dxa"/>
            <w:tcBorders>
              <w:top w:val="single" w:sz="12" w:space="0" w:color="auto"/>
            </w:tcBorders>
            <w:noWrap/>
          </w:tcPr>
          <w:p w14:paraId="3DFCD476" w14:textId="6A7C0036" w:rsidR="00D42C7B" w:rsidRPr="00352FB3" w:rsidRDefault="00491482"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-7.726***</w:t>
            </w:r>
          </w:p>
        </w:tc>
        <w:tc>
          <w:tcPr>
            <w:tcW w:w="1134" w:type="dxa"/>
            <w:tcBorders>
              <w:top w:val="single" w:sz="12" w:space="0" w:color="auto"/>
            </w:tcBorders>
            <w:noWrap/>
          </w:tcPr>
          <w:p w14:paraId="276F90E7" w14:textId="0B3FBC28" w:rsidR="00D42C7B" w:rsidRPr="00352FB3" w:rsidRDefault="00BF10FD" w:rsidP="00491482">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-11.22</w:t>
            </w:r>
            <w:r w:rsidR="00491482" w:rsidRPr="00352FB3">
              <w:rPr>
                <w:rFonts w:ascii="Times New Roman" w:eastAsia="Times New Roman" w:hAnsi="Times New Roman" w:cs="Times New Roman"/>
                <w:sz w:val="18"/>
                <w:szCs w:val="18"/>
                <w:shd w:val="clear" w:color="auto" w:fill="FFFFFF"/>
                <w:lang w:val="en-US"/>
              </w:rPr>
              <w:t>2</w:t>
            </w:r>
            <w:r w:rsidRPr="00352FB3">
              <w:rPr>
                <w:rFonts w:ascii="Times New Roman" w:eastAsia="Times New Roman" w:hAnsi="Times New Roman" w:cs="Times New Roman"/>
                <w:sz w:val="18"/>
                <w:szCs w:val="18"/>
                <w:shd w:val="clear" w:color="auto" w:fill="FFFFFF"/>
                <w:lang w:val="en-US"/>
              </w:rPr>
              <w:t>***</w:t>
            </w:r>
          </w:p>
        </w:tc>
        <w:tc>
          <w:tcPr>
            <w:tcW w:w="1275" w:type="dxa"/>
            <w:tcBorders>
              <w:top w:val="single" w:sz="12" w:space="0" w:color="auto"/>
            </w:tcBorders>
          </w:tcPr>
          <w:p w14:paraId="7E16C62E" w14:textId="5737A9E9" w:rsidR="00D42C7B" w:rsidRPr="000972D1" w:rsidRDefault="00491482" w:rsidP="00626415">
            <w:pPr>
              <w:jc w:val="center"/>
              <w:rPr>
                <w:rFonts w:ascii="Times New Roman" w:eastAsia="Times New Roman" w:hAnsi="Times New Roman" w:cs="Times New Roman"/>
                <w:sz w:val="18"/>
                <w:szCs w:val="18"/>
                <w:shd w:val="clear" w:color="auto" w:fill="FFFFFF"/>
                <w:lang w:val="en-US"/>
              </w:rPr>
            </w:pPr>
            <w:r w:rsidRPr="000972D1">
              <w:rPr>
                <w:rFonts w:ascii="Times New Roman" w:eastAsia="Times New Roman" w:hAnsi="Times New Roman" w:cs="Times New Roman"/>
                <w:sz w:val="18"/>
                <w:szCs w:val="18"/>
                <w:shd w:val="clear" w:color="auto" w:fill="FFFFFF"/>
                <w:lang w:val="en-US"/>
              </w:rPr>
              <w:t>-11.147***</w:t>
            </w:r>
          </w:p>
        </w:tc>
        <w:tc>
          <w:tcPr>
            <w:tcW w:w="1134" w:type="dxa"/>
            <w:tcBorders>
              <w:top w:val="single" w:sz="12" w:space="0" w:color="auto"/>
            </w:tcBorders>
          </w:tcPr>
          <w:p w14:paraId="08AFE177" w14:textId="25842390" w:rsidR="00D42C7B" w:rsidRPr="00352FB3" w:rsidRDefault="00314DD6"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4.025</w:t>
            </w:r>
            <w:r w:rsidR="00D42C7B" w:rsidRPr="00352FB3">
              <w:rPr>
                <w:rFonts w:ascii="Times New Roman" w:eastAsia="Times New Roman" w:hAnsi="Times New Roman" w:cs="Times New Roman"/>
                <w:sz w:val="18"/>
                <w:szCs w:val="18"/>
                <w:shd w:val="clear" w:color="auto" w:fill="FFFFFF"/>
                <w:lang w:val="en-US"/>
              </w:rPr>
              <w:t>***</w:t>
            </w:r>
          </w:p>
        </w:tc>
        <w:tc>
          <w:tcPr>
            <w:tcW w:w="992" w:type="dxa"/>
            <w:tcBorders>
              <w:top w:val="single" w:sz="12" w:space="0" w:color="auto"/>
            </w:tcBorders>
          </w:tcPr>
          <w:p w14:paraId="4ABDD1DD" w14:textId="3B49379E" w:rsidR="00D42C7B" w:rsidRPr="00352FB3" w:rsidRDefault="007F496D"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5.042</w:t>
            </w:r>
            <w:r w:rsidR="00D42C7B" w:rsidRPr="00352FB3">
              <w:rPr>
                <w:rFonts w:ascii="Times New Roman" w:eastAsia="Times New Roman" w:hAnsi="Times New Roman" w:cs="Times New Roman"/>
                <w:sz w:val="18"/>
                <w:szCs w:val="18"/>
                <w:shd w:val="clear" w:color="auto" w:fill="FFFFFF"/>
                <w:lang w:val="en-US"/>
              </w:rPr>
              <w:t>***</w:t>
            </w:r>
          </w:p>
        </w:tc>
        <w:tc>
          <w:tcPr>
            <w:tcW w:w="992" w:type="dxa"/>
            <w:tcBorders>
              <w:top w:val="single" w:sz="12" w:space="0" w:color="auto"/>
            </w:tcBorders>
          </w:tcPr>
          <w:p w14:paraId="6F28EE90" w14:textId="0C1C80EE" w:rsidR="00D42C7B" w:rsidRPr="00352FB3" w:rsidRDefault="00C3371A"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3.963</w:t>
            </w:r>
            <w:r w:rsidR="00D42C7B" w:rsidRPr="00352FB3">
              <w:rPr>
                <w:rFonts w:ascii="Times New Roman" w:eastAsia="Times New Roman" w:hAnsi="Times New Roman" w:cs="Times New Roman"/>
                <w:sz w:val="18"/>
                <w:szCs w:val="18"/>
                <w:shd w:val="clear" w:color="auto" w:fill="FFFFFF"/>
                <w:lang w:val="en-US"/>
              </w:rPr>
              <w:t>***</w:t>
            </w:r>
          </w:p>
        </w:tc>
        <w:tc>
          <w:tcPr>
            <w:tcW w:w="993" w:type="dxa"/>
            <w:tcBorders>
              <w:top w:val="single" w:sz="12" w:space="0" w:color="auto"/>
            </w:tcBorders>
          </w:tcPr>
          <w:p w14:paraId="1054FE01" w14:textId="6B8C7A65" w:rsidR="00D42C7B" w:rsidRPr="000972D1" w:rsidRDefault="00F60B00" w:rsidP="00626415">
            <w:pPr>
              <w:jc w:val="center"/>
              <w:rPr>
                <w:rFonts w:ascii="Times New Roman" w:eastAsia="Times New Roman" w:hAnsi="Times New Roman" w:cs="Times New Roman"/>
                <w:sz w:val="18"/>
                <w:szCs w:val="18"/>
                <w:shd w:val="clear" w:color="auto" w:fill="FFFFFF"/>
                <w:lang w:val="en-US"/>
              </w:rPr>
            </w:pPr>
            <w:r w:rsidRPr="000972D1">
              <w:rPr>
                <w:rFonts w:ascii="Times New Roman" w:eastAsia="Times New Roman" w:hAnsi="Times New Roman" w:cs="Times New Roman"/>
                <w:sz w:val="18"/>
                <w:szCs w:val="18"/>
                <w:shd w:val="clear" w:color="auto" w:fill="FFFFFF"/>
                <w:lang w:val="en-US"/>
              </w:rPr>
              <w:t>4.810</w:t>
            </w:r>
            <w:r w:rsidR="00D42C7B" w:rsidRPr="000972D1">
              <w:rPr>
                <w:rFonts w:ascii="Times New Roman" w:eastAsia="Times New Roman" w:hAnsi="Times New Roman" w:cs="Times New Roman"/>
                <w:sz w:val="18"/>
                <w:szCs w:val="18"/>
                <w:shd w:val="clear" w:color="auto" w:fill="FFFFFF"/>
                <w:lang w:val="en-US"/>
              </w:rPr>
              <w:t>***</w:t>
            </w:r>
          </w:p>
        </w:tc>
      </w:tr>
      <w:tr w:rsidR="00D42C7B" w:rsidRPr="00352FB3" w14:paraId="6D48D98E" w14:textId="09928D36" w:rsidTr="00911D12">
        <w:trPr>
          <w:trHeight w:val="154"/>
          <w:jc w:val="center"/>
        </w:trPr>
        <w:tc>
          <w:tcPr>
            <w:tcW w:w="1418" w:type="dxa"/>
            <w:tcBorders>
              <w:right w:val="single" w:sz="12" w:space="0" w:color="auto"/>
            </w:tcBorders>
            <w:noWrap/>
          </w:tcPr>
          <w:p w14:paraId="4B75971B" w14:textId="77777777" w:rsidR="00D42C7B" w:rsidRPr="00352FB3" w:rsidRDefault="00D42C7B" w:rsidP="00626415">
            <w:pPr>
              <w:jc w:val="lowKashida"/>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F-value</w:t>
            </w:r>
          </w:p>
        </w:tc>
        <w:tc>
          <w:tcPr>
            <w:tcW w:w="1135" w:type="dxa"/>
            <w:gridSpan w:val="2"/>
            <w:tcBorders>
              <w:left w:val="single" w:sz="12" w:space="0" w:color="auto"/>
            </w:tcBorders>
          </w:tcPr>
          <w:p w14:paraId="3F6A263B" w14:textId="33B2C322" w:rsidR="00D42C7B" w:rsidRPr="00352FB3" w:rsidRDefault="00D42C7B"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w:t>
            </w:r>
          </w:p>
        </w:tc>
        <w:tc>
          <w:tcPr>
            <w:tcW w:w="992" w:type="dxa"/>
            <w:noWrap/>
          </w:tcPr>
          <w:p w14:paraId="7932C55D" w14:textId="27B1FBAA" w:rsidR="00D42C7B" w:rsidRPr="00352FB3" w:rsidRDefault="00D42C7B"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w:t>
            </w:r>
          </w:p>
        </w:tc>
        <w:tc>
          <w:tcPr>
            <w:tcW w:w="1134" w:type="dxa"/>
            <w:noWrap/>
          </w:tcPr>
          <w:p w14:paraId="2BCA89D5" w14:textId="7E1E7CDF" w:rsidR="00D42C7B" w:rsidRPr="00352FB3" w:rsidRDefault="00D42C7B"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w:t>
            </w:r>
          </w:p>
        </w:tc>
        <w:tc>
          <w:tcPr>
            <w:tcW w:w="1275" w:type="dxa"/>
          </w:tcPr>
          <w:p w14:paraId="14166C66" w14:textId="6A4F4ABA" w:rsidR="00D42C7B" w:rsidRPr="000972D1" w:rsidRDefault="00D42C7B" w:rsidP="00626415">
            <w:pPr>
              <w:jc w:val="center"/>
              <w:rPr>
                <w:rFonts w:ascii="Times New Roman" w:eastAsia="Times New Roman" w:hAnsi="Times New Roman" w:cs="Times New Roman"/>
                <w:sz w:val="18"/>
                <w:szCs w:val="18"/>
                <w:shd w:val="clear" w:color="auto" w:fill="FFFFFF"/>
                <w:lang w:val="en-US"/>
              </w:rPr>
            </w:pPr>
            <w:r w:rsidRPr="000972D1">
              <w:rPr>
                <w:rFonts w:ascii="Times New Roman" w:eastAsia="Times New Roman" w:hAnsi="Times New Roman" w:cs="Times New Roman"/>
                <w:sz w:val="18"/>
                <w:szCs w:val="18"/>
                <w:shd w:val="clear" w:color="auto" w:fill="FFFFFF"/>
                <w:lang w:val="en-US"/>
              </w:rPr>
              <w:t>-</w:t>
            </w:r>
          </w:p>
        </w:tc>
        <w:tc>
          <w:tcPr>
            <w:tcW w:w="1134" w:type="dxa"/>
          </w:tcPr>
          <w:p w14:paraId="20E22494" w14:textId="67587344" w:rsidR="00D42C7B" w:rsidRPr="00352FB3" w:rsidRDefault="00314DD6"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49.07</w:t>
            </w:r>
            <w:r w:rsidR="00D42C7B" w:rsidRPr="00352FB3">
              <w:rPr>
                <w:rFonts w:ascii="Times New Roman" w:eastAsia="Times New Roman" w:hAnsi="Times New Roman" w:cs="Times New Roman"/>
                <w:sz w:val="18"/>
                <w:szCs w:val="18"/>
                <w:shd w:val="clear" w:color="auto" w:fill="FFFFFF"/>
                <w:lang w:val="en-US"/>
              </w:rPr>
              <w:t>***</w:t>
            </w:r>
          </w:p>
        </w:tc>
        <w:tc>
          <w:tcPr>
            <w:tcW w:w="992" w:type="dxa"/>
          </w:tcPr>
          <w:p w14:paraId="3B494B7D" w14:textId="41A14BA8" w:rsidR="00D42C7B" w:rsidRPr="00352FB3" w:rsidRDefault="00D42C7B" w:rsidP="00314DD6">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4</w:t>
            </w:r>
            <w:r w:rsidR="00314DD6" w:rsidRPr="00352FB3">
              <w:rPr>
                <w:rFonts w:ascii="Times New Roman" w:eastAsia="Times New Roman" w:hAnsi="Times New Roman" w:cs="Times New Roman"/>
                <w:sz w:val="18"/>
                <w:szCs w:val="18"/>
                <w:shd w:val="clear" w:color="auto" w:fill="FFFFFF"/>
                <w:lang w:val="en-US"/>
              </w:rPr>
              <w:t>9</w:t>
            </w:r>
            <w:r w:rsidRPr="00352FB3">
              <w:rPr>
                <w:rFonts w:ascii="Times New Roman" w:eastAsia="Times New Roman" w:hAnsi="Times New Roman" w:cs="Times New Roman"/>
                <w:sz w:val="18"/>
                <w:szCs w:val="18"/>
                <w:shd w:val="clear" w:color="auto" w:fill="FFFFFF"/>
                <w:lang w:val="en-US"/>
              </w:rPr>
              <w:t>.</w:t>
            </w:r>
            <w:r w:rsidR="00314DD6" w:rsidRPr="00352FB3">
              <w:rPr>
                <w:rFonts w:ascii="Times New Roman" w:eastAsia="Times New Roman" w:hAnsi="Times New Roman" w:cs="Times New Roman"/>
                <w:sz w:val="18"/>
                <w:szCs w:val="18"/>
                <w:shd w:val="clear" w:color="auto" w:fill="FFFFFF"/>
                <w:lang w:val="en-US"/>
              </w:rPr>
              <w:t>48</w:t>
            </w:r>
            <w:r w:rsidRPr="00352FB3">
              <w:rPr>
                <w:rFonts w:ascii="Times New Roman" w:eastAsia="Times New Roman" w:hAnsi="Times New Roman" w:cs="Times New Roman"/>
                <w:sz w:val="18"/>
                <w:szCs w:val="18"/>
                <w:shd w:val="clear" w:color="auto" w:fill="FFFFFF"/>
                <w:lang w:val="en-US"/>
              </w:rPr>
              <w:t>***</w:t>
            </w:r>
          </w:p>
        </w:tc>
        <w:tc>
          <w:tcPr>
            <w:tcW w:w="992" w:type="dxa"/>
          </w:tcPr>
          <w:p w14:paraId="05E1CA5D" w14:textId="64A7851A" w:rsidR="00D42C7B" w:rsidRPr="00352FB3" w:rsidRDefault="00C3371A"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46.33</w:t>
            </w:r>
            <w:r w:rsidR="00D42C7B" w:rsidRPr="00352FB3">
              <w:rPr>
                <w:rFonts w:ascii="Times New Roman" w:eastAsia="Times New Roman" w:hAnsi="Times New Roman" w:cs="Times New Roman"/>
                <w:sz w:val="18"/>
                <w:szCs w:val="18"/>
                <w:shd w:val="clear" w:color="auto" w:fill="FFFFFF"/>
                <w:lang w:val="en-US"/>
              </w:rPr>
              <w:t>***</w:t>
            </w:r>
          </w:p>
        </w:tc>
        <w:tc>
          <w:tcPr>
            <w:tcW w:w="993" w:type="dxa"/>
          </w:tcPr>
          <w:p w14:paraId="421CFDFE" w14:textId="6C4276EE" w:rsidR="00D42C7B" w:rsidRPr="000972D1" w:rsidRDefault="00F60B00" w:rsidP="00F60B00">
            <w:pPr>
              <w:jc w:val="center"/>
              <w:rPr>
                <w:rFonts w:ascii="Times New Roman" w:eastAsia="Times New Roman" w:hAnsi="Times New Roman" w:cs="Times New Roman"/>
                <w:sz w:val="18"/>
                <w:szCs w:val="18"/>
                <w:shd w:val="clear" w:color="auto" w:fill="FFFFFF"/>
                <w:lang w:val="en-US"/>
              </w:rPr>
            </w:pPr>
            <w:r w:rsidRPr="000972D1">
              <w:rPr>
                <w:rFonts w:ascii="Times New Roman" w:eastAsia="Times New Roman" w:hAnsi="Times New Roman" w:cs="Times New Roman"/>
                <w:sz w:val="18"/>
                <w:szCs w:val="18"/>
                <w:shd w:val="clear" w:color="auto" w:fill="FFFFFF"/>
                <w:lang w:val="en-US"/>
              </w:rPr>
              <w:t>51</w:t>
            </w:r>
            <w:r w:rsidR="00D42C7B" w:rsidRPr="000972D1">
              <w:rPr>
                <w:rFonts w:ascii="Times New Roman" w:eastAsia="Times New Roman" w:hAnsi="Times New Roman" w:cs="Times New Roman"/>
                <w:sz w:val="18"/>
                <w:szCs w:val="18"/>
                <w:shd w:val="clear" w:color="auto" w:fill="FFFFFF"/>
                <w:lang w:val="en-US"/>
              </w:rPr>
              <w:t>.</w:t>
            </w:r>
            <w:r w:rsidRPr="000972D1">
              <w:rPr>
                <w:rFonts w:ascii="Times New Roman" w:eastAsia="Times New Roman" w:hAnsi="Times New Roman" w:cs="Times New Roman"/>
                <w:sz w:val="18"/>
                <w:szCs w:val="18"/>
                <w:shd w:val="clear" w:color="auto" w:fill="FFFFFF"/>
                <w:lang w:val="en-US"/>
              </w:rPr>
              <w:t>50</w:t>
            </w:r>
            <w:r w:rsidR="00D42C7B" w:rsidRPr="000972D1">
              <w:rPr>
                <w:rFonts w:ascii="Times New Roman" w:eastAsia="Times New Roman" w:hAnsi="Times New Roman" w:cs="Times New Roman"/>
                <w:sz w:val="18"/>
                <w:szCs w:val="18"/>
                <w:shd w:val="clear" w:color="auto" w:fill="FFFFFF"/>
                <w:lang w:val="en-US"/>
              </w:rPr>
              <w:t>***</w:t>
            </w:r>
          </w:p>
        </w:tc>
      </w:tr>
      <w:tr w:rsidR="00D42C7B" w:rsidRPr="00352FB3" w14:paraId="32423447" w14:textId="73064613" w:rsidTr="00911D12">
        <w:trPr>
          <w:trHeight w:val="154"/>
          <w:jc w:val="center"/>
        </w:trPr>
        <w:tc>
          <w:tcPr>
            <w:tcW w:w="1418" w:type="dxa"/>
            <w:tcBorders>
              <w:right w:val="single" w:sz="12" w:space="0" w:color="auto"/>
            </w:tcBorders>
            <w:noWrap/>
          </w:tcPr>
          <w:p w14:paraId="1ECF0616" w14:textId="48EA7CDB" w:rsidR="00D42C7B" w:rsidRPr="00352FB3" w:rsidRDefault="00D42C7B" w:rsidP="00626415">
            <w:pPr>
              <w:jc w:val="lowKashida"/>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Chi-square</w:t>
            </w:r>
          </w:p>
        </w:tc>
        <w:tc>
          <w:tcPr>
            <w:tcW w:w="1135" w:type="dxa"/>
            <w:gridSpan w:val="2"/>
            <w:tcBorders>
              <w:left w:val="single" w:sz="12" w:space="0" w:color="auto"/>
            </w:tcBorders>
          </w:tcPr>
          <w:p w14:paraId="2C2BB789" w14:textId="0C8A1ADD" w:rsidR="00D42C7B" w:rsidRPr="00352FB3" w:rsidRDefault="00F46DD2"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288.21</w:t>
            </w:r>
            <w:r w:rsidR="00D42C7B" w:rsidRPr="00352FB3">
              <w:rPr>
                <w:rFonts w:ascii="Times New Roman" w:eastAsia="Times New Roman" w:hAnsi="Times New Roman" w:cs="Times New Roman"/>
                <w:sz w:val="18"/>
                <w:szCs w:val="18"/>
                <w:shd w:val="clear" w:color="auto" w:fill="FFFFFF"/>
                <w:lang w:val="en-US"/>
              </w:rPr>
              <w:t>***</w:t>
            </w:r>
          </w:p>
        </w:tc>
        <w:tc>
          <w:tcPr>
            <w:tcW w:w="992" w:type="dxa"/>
            <w:noWrap/>
          </w:tcPr>
          <w:p w14:paraId="07294A3F" w14:textId="140C94BF" w:rsidR="00D42C7B" w:rsidRPr="00352FB3" w:rsidRDefault="00D733CB"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272.52</w:t>
            </w:r>
            <w:r w:rsidR="00D42C7B" w:rsidRPr="00352FB3">
              <w:rPr>
                <w:rFonts w:ascii="Times New Roman" w:eastAsia="Times New Roman" w:hAnsi="Times New Roman" w:cs="Times New Roman"/>
                <w:sz w:val="18"/>
                <w:szCs w:val="18"/>
                <w:shd w:val="clear" w:color="auto" w:fill="FFFFFF"/>
                <w:lang w:val="en-US"/>
              </w:rPr>
              <w:t>***</w:t>
            </w:r>
          </w:p>
        </w:tc>
        <w:tc>
          <w:tcPr>
            <w:tcW w:w="1134" w:type="dxa"/>
            <w:noWrap/>
          </w:tcPr>
          <w:p w14:paraId="5611F49A" w14:textId="26611E26" w:rsidR="00D42C7B" w:rsidRPr="00352FB3" w:rsidRDefault="00960CA5"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295.93</w:t>
            </w:r>
            <w:r w:rsidR="00D42C7B" w:rsidRPr="00352FB3">
              <w:rPr>
                <w:rFonts w:ascii="Times New Roman" w:eastAsia="Times New Roman" w:hAnsi="Times New Roman" w:cs="Times New Roman"/>
                <w:sz w:val="18"/>
                <w:szCs w:val="18"/>
                <w:shd w:val="clear" w:color="auto" w:fill="FFFFFF"/>
                <w:lang w:val="en-US"/>
              </w:rPr>
              <w:t>***</w:t>
            </w:r>
          </w:p>
        </w:tc>
        <w:tc>
          <w:tcPr>
            <w:tcW w:w="1275" w:type="dxa"/>
          </w:tcPr>
          <w:p w14:paraId="09E1AE1C" w14:textId="288A994B" w:rsidR="00D42C7B" w:rsidRPr="000972D1" w:rsidRDefault="00130E1F" w:rsidP="00626415">
            <w:pPr>
              <w:jc w:val="center"/>
              <w:rPr>
                <w:rFonts w:ascii="Times New Roman" w:eastAsia="Times New Roman" w:hAnsi="Times New Roman" w:cs="Times New Roman"/>
                <w:sz w:val="18"/>
                <w:szCs w:val="18"/>
                <w:shd w:val="clear" w:color="auto" w:fill="FFFFFF"/>
                <w:lang w:val="en-US"/>
              </w:rPr>
            </w:pPr>
            <w:r w:rsidRPr="000972D1">
              <w:rPr>
                <w:rFonts w:ascii="Times New Roman" w:eastAsia="Times New Roman" w:hAnsi="Times New Roman" w:cs="Times New Roman"/>
                <w:sz w:val="18"/>
                <w:szCs w:val="18"/>
                <w:shd w:val="clear" w:color="auto" w:fill="FFFFFF"/>
                <w:lang w:val="en-US"/>
              </w:rPr>
              <w:t>273.45</w:t>
            </w:r>
            <w:r w:rsidR="00D42C7B" w:rsidRPr="000972D1">
              <w:rPr>
                <w:rFonts w:ascii="Times New Roman" w:eastAsia="Times New Roman" w:hAnsi="Times New Roman" w:cs="Times New Roman"/>
                <w:sz w:val="18"/>
                <w:szCs w:val="18"/>
                <w:shd w:val="clear" w:color="auto" w:fill="FFFFFF"/>
                <w:lang w:val="en-US"/>
              </w:rPr>
              <w:t>***</w:t>
            </w:r>
          </w:p>
        </w:tc>
        <w:tc>
          <w:tcPr>
            <w:tcW w:w="1134" w:type="dxa"/>
          </w:tcPr>
          <w:p w14:paraId="4B4383E7" w14:textId="7E634AAC" w:rsidR="00D42C7B" w:rsidRPr="00352FB3" w:rsidRDefault="00D42C7B"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w:t>
            </w:r>
          </w:p>
        </w:tc>
        <w:tc>
          <w:tcPr>
            <w:tcW w:w="992" w:type="dxa"/>
          </w:tcPr>
          <w:p w14:paraId="31E12CCF" w14:textId="75BA5037" w:rsidR="00D42C7B" w:rsidRPr="00352FB3" w:rsidRDefault="00D42C7B"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w:t>
            </w:r>
          </w:p>
        </w:tc>
        <w:tc>
          <w:tcPr>
            <w:tcW w:w="992" w:type="dxa"/>
          </w:tcPr>
          <w:p w14:paraId="2680C35D" w14:textId="41280322" w:rsidR="00D42C7B" w:rsidRPr="00352FB3" w:rsidRDefault="00D42C7B"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w:t>
            </w:r>
          </w:p>
        </w:tc>
        <w:tc>
          <w:tcPr>
            <w:tcW w:w="993" w:type="dxa"/>
          </w:tcPr>
          <w:p w14:paraId="34D3892C" w14:textId="0C9072AC" w:rsidR="00D42C7B" w:rsidRPr="000972D1" w:rsidRDefault="00D42C7B" w:rsidP="00626415">
            <w:pPr>
              <w:jc w:val="center"/>
              <w:rPr>
                <w:rFonts w:ascii="Times New Roman" w:eastAsia="Times New Roman" w:hAnsi="Times New Roman" w:cs="Times New Roman"/>
                <w:sz w:val="18"/>
                <w:szCs w:val="18"/>
                <w:shd w:val="clear" w:color="auto" w:fill="FFFFFF"/>
                <w:lang w:val="en-US"/>
              </w:rPr>
            </w:pPr>
            <w:r w:rsidRPr="000972D1">
              <w:rPr>
                <w:rFonts w:ascii="Times New Roman" w:eastAsia="Times New Roman" w:hAnsi="Times New Roman" w:cs="Times New Roman"/>
                <w:sz w:val="18"/>
                <w:szCs w:val="18"/>
                <w:shd w:val="clear" w:color="auto" w:fill="FFFFFF"/>
                <w:lang w:val="en-US"/>
              </w:rPr>
              <w:t>-</w:t>
            </w:r>
          </w:p>
        </w:tc>
      </w:tr>
      <w:tr w:rsidR="00D42C7B" w:rsidRPr="00352FB3" w14:paraId="47F5C1FF" w14:textId="7472F643" w:rsidTr="00911D12">
        <w:trPr>
          <w:trHeight w:val="113"/>
          <w:jc w:val="center"/>
        </w:trPr>
        <w:tc>
          <w:tcPr>
            <w:tcW w:w="1418" w:type="dxa"/>
            <w:tcBorders>
              <w:right w:val="single" w:sz="12" w:space="0" w:color="auto"/>
            </w:tcBorders>
            <w:noWrap/>
          </w:tcPr>
          <w:p w14:paraId="30DC52B9" w14:textId="1974D137" w:rsidR="00D42C7B" w:rsidRPr="00352FB3" w:rsidRDefault="00D42C7B" w:rsidP="00626415">
            <w:pPr>
              <w:jc w:val="lowKashida"/>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Adjusted R</w:t>
            </w:r>
            <w:r w:rsidRPr="00352FB3">
              <w:rPr>
                <w:rFonts w:ascii="Times New Roman" w:eastAsia="Times New Roman" w:hAnsi="Times New Roman" w:cs="Times New Roman"/>
                <w:sz w:val="18"/>
                <w:szCs w:val="18"/>
                <w:shd w:val="clear" w:color="auto" w:fill="FFFFFF"/>
                <w:vertAlign w:val="superscript"/>
                <w:lang w:val="en-US"/>
              </w:rPr>
              <w:t>2</w:t>
            </w:r>
          </w:p>
        </w:tc>
        <w:tc>
          <w:tcPr>
            <w:tcW w:w="1135" w:type="dxa"/>
            <w:gridSpan w:val="2"/>
            <w:tcBorders>
              <w:left w:val="single" w:sz="12" w:space="0" w:color="auto"/>
            </w:tcBorders>
          </w:tcPr>
          <w:p w14:paraId="65383F73" w14:textId="00209E3D" w:rsidR="00D42C7B" w:rsidRPr="00352FB3" w:rsidRDefault="00D42C7B"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w:t>
            </w:r>
          </w:p>
        </w:tc>
        <w:tc>
          <w:tcPr>
            <w:tcW w:w="992" w:type="dxa"/>
            <w:noWrap/>
          </w:tcPr>
          <w:p w14:paraId="0F5E4F43" w14:textId="07987DD9" w:rsidR="00D42C7B" w:rsidRPr="00352FB3" w:rsidRDefault="00D42C7B"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w:t>
            </w:r>
          </w:p>
        </w:tc>
        <w:tc>
          <w:tcPr>
            <w:tcW w:w="1134" w:type="dxa"/>
            <w:noWrap/>
          </w:tcPr>
          <w:p w14:paraId="30137ED4" w14:textId="3D3DD170" w:rsidR="00D42C7B" w:rsidRPr="00352FB3" w:rsidRDefault="00D42C7B"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w:t>
            </w:r>
          </w:p>
        </w:tc>
        <w:tc>
          <w:tcPr>
            <w:tcW w:w="1275" w:type="dxa"/>
          </w:tcPr>
          <w:p w14:paraId="76F55B69" w14:textId="7EF2A200" w:rsidR="00D42C7B" w:rsidRPr="000972D1" w:rsidRDefault="00D42C7B" w:rsidP="00626415">
            <w:pPr>
              <w:jc w:val="center"/>
              <w:rPr>
                <w:rFonts w:ascii="Times New Roman" w:eastAsia="Times New Roman" w:hAnsi="Times New Roman" w:cs="Times New Roman"/>
                <w:sz w:val="18"/>
                <w:szCs w:val="18"/>
                <w:shd w:val="clear" w:color="auto" w:fill="FFFFFF"/>
                <w:lang w:val="en-US"/>
              </w:rPr>
            </w:pPr>
            <w:r w:rsidRPr="000972D1">
              <w:rPr>
                <w:rFonts w:ascii="Times New Roman" w:eastAsia="Times New Roman" w:hAnsi="Times New Roman" w:cs="Times New Roman"/>
                <w:sz w:val="18"/>
                <w:szCs w:val="18"/>
                <w:shd w:val="clear" w:color="auto" w:fill="FFFFFF"/>
                <w:lang w:val="en-US"/>
              </w:rPr>
              <w:t>-</w:t>
            </w:r>
          </w:p>
        </w:tc>
        <w:tc>
          <w:tcPr>
            <w:tcW w:w="1134" w:type="dxa"/>
          </w:tcPr>
          <w:p w14:paraId="36183FA3" w14:textId="5E093D45" w:rsidR="00D42C7B" w:rsidRPr="00352FB3" w:rsidRDefault="00314DD6"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71.10</w:t>
            </w:r>
            <w:r w:rsidR="00D42C7B" w:rsidRPr="00352FB3">
              <w:rPr>
                <w:rFonts w:ascii="Times New Roman" w:eastAsia="Times New Roman" w:hAnsi="Times New Roman" w:cs="Times New Roman"/>
                <w:sz w:val="18"/>
                <w:szCs w:val="18"/>
                <w:shd w:val="clear" w:color="auto" w:fill="FFFFFF"/>
                <w:lang w:val="en-US"/>
              </w:rPr>
              <w:t>%</w:t>
            </w:r>
          </w:p>
        </w:tc>
        <w:tc>
          <w:tcPr>
            <w:tcW w:w="992" w:type="dxa"/>
          </w:tcPr>
          <w:p w14:paraId="3DC0C787" w14:textId="2B028EEC" w:rsidR="00D42C7B" w:rsidRPr="00352FB3" w:rsidRDefault="00314DD6"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71.27</w:t>
            </w:r>
            <w:r w:rsidR="00D42C7B" w:rsidRPr="00352FB3">
              <w:rPr>
                <w:rFonts w:ascii="Times New Roman" w:eastAsia="Times New Roman" w:hAnsi="Times New Roman" w:cs="Times New Roman"/>
                <w:sz w:val="18"/>
                <w:szCs w:val="18"/>
                <w:shd w:val="clear" w:color="auto" w:fill="FFFFFF"/>
                <w:lang w:val="en-US"/>
              </w:rPr>
              <w:t>%</w:t>
            </w:r>
          </w:p>
        </w:tc>
        <w:tc>
          <w:tcPr>
            <w:tcW w:w="992" w:type="dxa"/>
          </w:tcPr>
          <w:p w14:paraId="27B34D9A" w14:textId="23215F37" w:rsidR="00D42C7B" w:rsidRPr="00352FB3" w:rsidRDefault="00C3371A"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72.29</w:t>
            </w:r>
            <w:r w:rsidR="00D42C7B" w:rsidRPr="00352FB3">
              <w:rPr>
                <w:rFonts w:ascii="Times New Roman" w:eastAsia="Times New Roman" w:hAnsi="Times New Roman" w:cs="Times New Roman"/>
                <w:sz w:val="18"/>
                <w:szCs w:val="18"/>
                <w:shd w:val="clear" w:color="auto" w:fill="FFFFFF"/>
                <w:lang w:val="en-US"/>
              </w:rPr>
              <w:t>%</w:t>
            </w:r>
          </w:p>
        </w:tc>
        <w:tc>
          <w:tcPr>
            <w:tcW w:w="993" w:type="dxa"/>
          </w:tcPr>
          <w:p w14:paraId="24B4D255" w14:textId="73C5DA78" w:rsidR="00D42C7B" w:rsidRPr="000972D1" w:rsidRDefault="00D42C7B" w:rsidP="00F60B00">
            <w:pPr>
              <w:jc w:val="center"/>
              <w:rPr>
                <w:rFonts w:ascii="Times New Roman" w:eastAsia="Times New Roman" w:hAnsi="Times New Roman" w:cs="Times New Roman"/>
                <w:sz w:val="18"/>
                <w:szCs w:val="18"/>
                <w:shd w:val="clear" w:color="auto" w:fill="FFFFFF"/>
                <w:lang w:val="en-US"/>
              </w:rPr>
            </w:pPr>
            <w:r w:rsidRPr="000972D1">
              <w:rPr>
                <w:rFonts w:ascii="Times New Roman" w:eastAsia="Times New Roman" w:hAnsi="Times New Roman" w:cs="Times New Roman"/>
                <w:sz w:val="18"/>
                <w:szCs w:val="18"/>
                <w:shd w:val="clear" w:color="auto" w:fill="FFFFFF"/>
                <w:lang w:val="en-US"/>
              </w:rPr>
              <w:t>71.</w:t>
            </w:r>
            <w:r w:rsidR="00F60B00" w:rsidRPr="000972D1">
              <w:rPr>
                <w:rFonts w:ascii="Times New Roman" w:eastAsia="Times New Roman" w:hAnsi="Times New Roman" w:cs="Times New Roman"/>
                <w:sz w:val="18"/>
                <w:szCs w:val="18"/>
                <w:shd w:val="clear" w:color="auto" w:fill="FFFFFF"/>
                <w:lang w:val="en-US"/>
              </w:rPr>
              <w:t>24</w:t>
            </w:r>
            <w:r w:rsidRPr="000972D1">
              <w:rPr>
                <w:rFonts w:ascii="Times New Roman" w:eastAsia="Times New Roman" w:hAnsi="Times New Roman" w:cs="Times New Roman"/>
                <w:sz w:val="18"/>
                <w:szCs w:val="18"/>
                <w:shd w:val="clear" w:color="auto" w:fill="FFFFFF"/>
                <w:lang w:val="en-US"/>
              </w:rPr>
              <w:t>%</w:t>
            </w:r>
          </w:p>
        </w:tc>
      </w:tr>
      <w:tr w:rsidR="00D42C7B" w:rsidRPr="00352FB3" w14:paraId="01143E10" w14:textId="3350EB87" w:rsidTr="00911D12">
        <w:trPr>
          <w:trHeight w:val="113"/>
          <w:jc w:val="center"/>
        </w:trPr>
        <w:tc>
          <w:tcPr>
            <w:tcW w:w="1418" w:type="dxa"/>
            <w:tcBorders>
              <w:right w:val="single" w:sz="12" w:space="0" w:color="auto"/>
            </w:tcBorders>
            <w:noWrap/>
          </w:tcPr>
          <w:p w14:paraId="3A20398A" w14:textId="77777777" w:rsidR="00D42C7B" w:rsidRPr="00352FB3" w:rsidRDefault="00D42C7B" w:rsidP="00626415">
            <w:pPr>
              <w:jc w:val="lowKashida"/>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 xml:space="preserve">Pseudo R2  </w:t>
            </w:r>
          </w:p>
        </w:tc>
        <w:tc>
          <w:tcPr>
            <w:tcW w:w="1135" w:type="dxa"/>
            <w:gridSpan w:val="2"/>
            <w:tcBorders>
              <w:left w:val="single" w:sz="12" w:space="0" w:color="auto"/>
            </w:tcBorders>
          </w:tcPr>
          <w:p w14:paraId="6FAB36BC" w14:textId="79B215D0" w:rsidR="00D42C7B" w:rsidRPr="00352FB3" w:rsidRDefault="00F46DD2"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35.45</w:t>
            </w:r>
            <w:r w:rsidR="00D42C7B" w:rsidRPr="00352FB3">
              <w:rPr>
                <w:rFonts w:ascii="Times New Roman" w:eastAsia="Times New Roman" w:hAnsi="Times New Roman" w:cs="Times New Roman"/>
                <w:sz w:val="18"/>
                <w:szCs w:val="18"/>
                <w:shd w:val="clear" w:color="auto" w:fill="FFFFFF"/>
                <w:lang w:val="en-US"/>
              </w:rPr>
              <w:t>%</w:t>
            </w:r>
          </w:p>
        </w:tc>
        <w:tc>
          <w:tcPr>
            <w:tcW w:w="992" w:type="dxa"/>
            <w:noWrap/>
          </w:tcPr>
          <w:p w14:paraId="014C3E2D" w14:textId="0EF108EB" w:rsidR="00D42C7B" w:rsidRPr="00352FB3" w:rsidRDefault="00D733CB"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33.52</w:t>
            </w:r>
            <w:r w:rsidR="00D42C7B" w:rsidRPr="00352FB3">
              <w:rPr>
                <w:rFonts w:ascii="Times New Roman" w:eastAsia="Times New Roman" w:hAnsi="Times New Roman" w:cs="Times New Roman"/>
                <w:sz w:val="18"/>
                <w:szCs w:val="18"/>
                <w:shd w:val="clear" w:color="auto" w:fill="FFFFFF"/>
                <w:lang w:val="en-US"/>
              </w:rPr>
              <w:t>%</w:t>
            </w:r>
          </w:p>
        </w:tc>
        <w:tc>
          <w:tcPr>
            <w:tcW w:w="1134" w:type="dxa"/>
            <w:noWrap/>
          </w:tcPr>
          <w:p w14:paraId="64F9EC0F" w14:textId="5E2357F7" w:rsidR="00D42C7B" w:rsidRPr="00352FB3" w:rsidRDefault="00960CA5" w:rsidP="00960CA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36</w:t>
            </w:r>
            <w:r w:rsidR="00D42C7B" w:rsidRPr="00352FB3">
              <w:rPr>
                <w:rFonts w:ascii="Times New Roman" w:eastAsia="Times New Roman" w:hAnsi="Times New Roman" w:cs="Times New Roman"/>
                <w:sz w:val="18"/>
                <w:szCs w:val="18"/>
                <w:shd w:val="clear" w:color="auto" w:fill="FFFFFF"/>
                <w:lang w:val="en-US"/>
              </w:rPr>
              <w:t>.</w:t>
            </w:r>
            <w:r w:rsidRPr="00352FB3">
              <w:rPr>
                <w:rFonts w:ascii="Times New Roman" w:eastAsia="Times New Roman" w:hAnsi="Times New Roman" w:cs="Times New Roman"/>
                <w:sz w:val="18"/>
                <w:szCs w:val="18"/>
                <w:shd w:val="clear" w:color="auto" w:fill="FFFFFF"/>
                <w:lang w:val="en-US"/>
              </w:rPr>
              <w:t>40</w:t>
            </w:r>
            <w:r w:rsidR="00D42C7B" w:rsidRPr="00352FB3">
              <w:rPr>
                <w:rFonts w:ascii="Times New Roman" w:eastAsia="Times New Roman" w:hAnsi="Times New Roman" w:cs="Times New Roman"/>
                <w:sz w:val="18"/>
                <w:szCs w:val="18"/>
                <w:shd w:val="clear" w:color="auto" w:fill="FFFFFF"/>
                <w:lang w:val="en-US"/>
              </w:rPr>
              <w:t>%</w:t>
            </w:r>
          </w:p>
        </w:tc>
        <w:tc>
          <w:tcPr>
            <w:tcW w:w="1275" w:type="dxa"/>
          </w:tcPr>
          <w:p w14:paraId="62E1DFA1" w14:textId="508F4CE0" w:rsidR="00D42C7B" w:rsidRPr="000972D1" w:rsidRDefault="00D42C7B" w:rsidP="00626415">
            <w:pPr>
              <w:jc w:val="center"/>
              <w:rPr>
                <w:rFonts w:ascii="Times New Roman" w:eastAsia="Times New Roman" w:hAnsi="Times New Roman" w:cs="Times New Roman"/>
                <w:sz w:val="18"/>
                <w:szCs w:val="18"/>
                <w:shd w:val="clear" w:color="auto" w:fill="FFFFFF"/>
                <w:lang w:val="en-US"/>
              </w:rPr>
            </w:pPr>
            <w:r w:rsidRPr="000972D1">
              <w:rPr>
                <w:rFonts w:ascii="Times New Roman" w:eastAsia="Times New Roman" w:hAnsi="Times New Roman" w:cs="Times New Roman"/>
                <w:sz w:val="18"/>
                <w:szCs w:val="18"/>
                <w:shd w:val="clear" w:color="auto" w:fill="FFFFFF"/>
                <w:lang w:val="en-US"/>
              </w:rPr>
              <w:t>3</w:t>
            </w:r>
            <w:r w:rsidR="00130E1F" w:rsidRPr="000972D1">
              <w:rPr>
                <w:rFonts w:ascii="Times New Roman" w:eastAsia="Times New Roman" w:hAnsi="Times New Roman" w:cs="Times New Roman"/>
                <w:sz w:val="18"/>
                <w:szCs w:val="18"/>
                <w:shd w:val="clear" w:color="auto" w:fill="FFFFFF"/>
                <w:lang w:val="en-US"/>
              </w:rPr>
              <w:t>3.64</w:t>
            </w:r>
            <w:r w:rsidRPr="000972D1">
              <w:rPr>
                <w:rFonts w:ascii="Times New Roman" w:eastAsia="Times New Roman" w:hAnsi="Times New Roman" w:cs="Times New Roman"/>
                <w:sz w:val="18"/>
                <w:szCs w:val="18"/>
                <w:shd w:val="clear" w:color="auto" w:fill="FFFFFF"/>
                <w:lang w:val="en-US"/>
              </w:rPr>
              <w:t>%</w:t>
            </w:r>
          </w:p>
        </w:tc>
        <w:tc>
          <w:tcPr>
            <w:tcW w:w="1134" w:type="dxa"/>
          </w:tcPr>
          <w:p w14:paraId="60822ED3" w14:textId="42349163" w:rsidR="00D42C7B" w:rsidRPr="00352FB3" w:rsidRDefault="00D42C7B"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w:t>
            </w:r>
          </w:p>
        </w:tc>
        <w:tc>
          <w:tcPr>
            <w:tcW w:w="992" w:type="dxa"/>
          </w:tcPr>
          <w:p w14:paraId="0E4D032D" w14:textId="07A4323D" w:rsidR="00D42C7B" w:rsidRPr="00352FB3" w:rsidRDefault="00D42C7B"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w:t>
            </w:r>
          </w:p>
        </w:tc>
        <w:tc>
          <w:tcPr>
            <w:tcW w:w="992" w:type="dxa"/>
          </w:tcPr>
          <w:p w14:paraId="3B7F871A" w14:textId="370D194D" w:rsidR="00D42C7B" w:rsidRPr="00352FB3" w:rsidRDefault="00D42C7B"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w:t>
            </w:r>
          </w:p>
        </w:tc>
        <w:tc>
          <w:tcPr>
            <w:tcW w:w="993" w:type="dxa"/>
          </w:tcPr>
          <w:p w14:paraId="266EBB4D" w14:textId="1C8BDFD7" w:rsidR="00D42C7B" w:rsidRPr="000972D1" w:rsidRDefault="00D42C7B" w:rsidP="00626415">
            <w:pPr>
              <w:jc w:val="center"/>
              <w:rPr>
                <w:rFonts w:ascii="Times New Roman" w:eastAsia="Times New Roman" w:hAnsi="Times New Roman" w:cs="Times New Roman"/>
                <w:sz w:val="18"/>
                <w:szCs w:val="18"/>
                <w:shd w:val="clear" w:color="auto" w:fill="FFFFFF"/>
                <w:lang w:val="en-US"/>
              </w:rPr>
            </w:pPr>
            <w:r w:rsidRPr="000972D1">
              <w:rPr>
                <w:rFonts w:ascii="Times New Roman" w:eastAsia="Times New Roman" w:hAnsi="Times New Roman" w:cs="Times New Roman"/>
                <w:sz w:val="18"/>
                <w:szCs w:val="18"/>
                <w:shd w:val="clear" w:color="auto" w:fill="FFFFFF"/>
                <w:lang w:val="en-US"/>
              </w:rPr>
              <w:t>-</w:t>
            </w:r>
          </w:p>
        </w:tc>
      </w:tr>
      <w:tr w:rsidR="00D42C7B" w:rsidRPr="00352FB3" w14:paraId="593CF6C7" w14:textId="389AA029" w:rsidTr="00911D12">
        <w:trPr>
          <w:trHeight w:val="59"/>
          <w:jc w:val="center"/>
        </w:trPr>
        <w:tc>
          <w:tcPr>
            <w:tcW w:w="1418" w:type="dxa"/>
            <w:tcBorders>
              <w:bottom w:val="single" w:sz="12" w:space="0" w:color="auto"/>
              <w:right w:val="single" w:sz="12" w:space="0" w:color="auto"/>
            </w:tcBorders>
            <w:noWrap/>
          </w:tcPr>
          <w:p w14:paraId="009D8B10" w14:textId="0474DA17" w:rsidR="00D42C7B" w:rsidRPr="00352FB3" w:rsidRDefault="00D42C7B" w:rsidP="00D42C7B">
            <w:pPr>
              <w:jc w:val="lowKashida"/>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No. of obs.</w:t>
            </w:r>
          </w:p>
        </w:tc>
        <w:tc>
          <w:tcPr>
            <w:tcW w:w="1135" w:type="dxa"/>
            <w:gridSpan w:val="2"/>
            <w:tcBorders>
              <w:left w:val="single" w:sz="12" w:space="0" w:color="auto"/>
              <w:bottom w:val="single" w:sz="12" w:space="0" w:color="auto"/>
            </w:tcBorders>
          </w:tcPr>
          <w:p w14:paraId="74ABD973" w14:textId="5D0208FB" w:rsidR="00D42C7B" w:rsidRPr="00352FB3" w:rsidRDefault="00D42C7B"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600</w:t>
            </w:r>
          </w:p>
        </w:tc>
        <w:tc>
          <w:tcPr>
            <w:tcW w:w="992" w:type="dxa"/>
            <w:tcBorders>
              <w:bottom w:val="single" w:sz="12" w:space="0" w:color="auto"/>
            </w:tcBorders>
            <w:noWrap/>
          </w:tcPr>
          <w:p w14:paraId="36EC8E7A" w14:textId="165FCF99" w:rsidR="00D42C7B" w:rsidRPr="00352FB3" w:rsidRDefault="00D42C7B"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600</w:t>
            </w:r>
          </w:p>
        </w:tc>
        <w:tc>
          <w:tcPr>
            <w:tcW w:w="1134" w:type="dxa"/>
            <w:tcBorders>
              <w:bottom w:val="single" w:sz="12" w:space="0" w:color="auto"/>
            </w:tcBorders>
            <w:noWrap/>
          </w:tcPr>
          <w:p w14:paraId="2C229CFF" w14:textId="77777777" w:rsidR="00D42C7B" w:rsidRPr="00352FB3" w:rsidRDefault="00D42C7B"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600</w:t>
            </w:r>
          </w:p>
        </w:tc>
        <w:tc>
          <w:tcPr>
            <w:tcW w:w="1275" w:type="dxa"/>
            <w:tcBorders>
              <w:bottom w:val="single" w:sz="12" w:space="0" w:color="auto"/>
            </w:tcBorders>
          </w:tcPr>
          <w:p w14:paraId="46EDB67B" w14:textId="77777777" w:rsidR="00D42C7B" w:rsidRPr="000972D1" w:rsidRDefault="00D42C7B" w:rsidP="00626415">
            <w:pPr>
              <w:jc w:val="center"/>
              <w:rPr>
                <w:rFonts w:ascii="Times New Roman" w:eastAsia="Times New Roman" w:hAnsi="Times New Roman" w:cs="Times New Roman"/>
                <w:sz w:val="18"/>
                <w:szCs w:val="18"/>
                <w:shd w:val="clear" w:color="auto" w:fill="FFFFFF"/>
                <w:lang w:val="en-US"/>
              </w:rPr>
            </w:pPr>
            <w:r w:rsidRPr="000972D1">
              <w:rPr>
                <w:rFonts w:ascii="Times New Roman" w:eastAsia="Times New Roman" w:hAnsi="Times New Roman" w:cs="Times New Roman"/>
                <w:sz w:val="18"/>
                <w:szCs w:val="18"/>
                <w:shd w:val="clear" w:color="auto" w:fill="FFFFFF"/>
                <w:lang w:val="en-US"/>
              </w:rPr>
              <w:t>600</w:t>
            </w:r>
          </w:p>
        </w:tc>
        <w:tc>
          <w:tcPr>
            <w:tcW w:w="1134" w:type="dxa"/>
            <w:tcBorders>
              <w:bottom w:val="single" w:sz="12" w:space="0" w:color="auto"/>
            </w:tcBorders>
          </w:tcPr>
          <w:p w14:paraId="4C53FAA1" w14:textId="4DAB70B8" w:rsidR="00D42C7B" w:rsidRPr="00352FB3" w:rsidRDefault="00D42C7B"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470</w:t>
            </w:r>
          </w:p>
        </w:tc>
        <w:tc>
          <w:tcPr>
            <w:tcW w:w="992" w:type="dxa"/>
            <w:tcBorders>
              <w:bottom w:val="single" w:sz="12" w:space="0" w:color="auto"/>
            </w:tcBorders>
          </w:tcPr>
          <w:p w14:paraId="287E7057" w14:textId="7D4B499D" w:rsidR="00D42C7B" w:rsidRPr="00352FB3" w:rsidRDefault="00D42C7B"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470</w:t>
            </w:r>
          </w:p>
        </w:tc>
        <w:tc>
          <w:tcPr>
            <w:tcW w:w="992" w:type="dxa"/>
            <w:tcBorders>
              <w:bottom w:val="single" w:sz="12" w:space="0" w:color="auto"/>
            </w:tcBorders>
          </w:tcPr>
          <w:p w14:paraId="15A8836A" w14:textId="77777777" w:rsidR="00D42C7B" w:rsidRPr="00352FB3" w:rsidRDefault="00D42C7B" w:rsidP="00626415">
            <w:pPr>
              <w:jc w:val="center"/>
              <w:rPr>
                <w:rFonts w:ascii="Times New Roman" w:eastAsia="Times New Roman" w:hAnsi="Times New Roman" w:cs="Times New Roman"/>
                <w:sz w:val="18"/>
                <w:szCs w:val="18"/>
                <w:shd w:val="clear" w:color="auto" w:fill="FFFFFF"/>
                <w:lang w:val="en-US"/>
              </w:rPr>
            </w:pPr>
            <w:r w:rsidRPr="00352FB3">
              <w:rPr>
                <w:rFonts w:ascii="Times New Roman" w:eastAsia="Times New Roman" w:hAnsi="Times New Roman" w:cs="Times New Roman"/>
                <w:sz w:val="18"/>
                <w:szCs w:val="18"/>
                <w:shd w:val="clear" w:color="auto" w:fill="FFFFFF"/>
                <w:lang w:val="en-US"/>
              </w:rPr>
              <w:t>470</w:t>
            </w:r>
          </w:p>
        </w:tc>
        <w:tc>
          <w:tcPr>
            <w:tcW w:w="993" w:type="dxa"/>
            <w:tcBorders>
              <w:bottom w:val="single" w:sz="12" w:space="0" w:color="auto"/>
            </w:tcBorders>
          </w:tcPr>
          <w:p w14:paraId="7CC629C2" w14:textId="77777777" w:rsidR="00D42C7B" w:rsidRPr="000972D1" w:rsidRDefault="00D42C7B" w:rsidP="00626415">
            <w:pPr>
              <w:jc w:val="center"/>
              <w:rPr>
                <w:rFonts w:ascii="Times New Roman" w:eastAsia="Times New Roman" w:hAnsi="Times New Roman" w:cs="Times New Roman"/>
                <w:sz w:val="18"/>
                <w:szCs w:val="18"/>
                <w:shd w:val="clear" w:color="auto" w:fill="FFFFFF"/>
                <w:lang w:val="en-US"/>
              </w:rPr>
            </w:pPr>
            <w:r w:rsidRPr="000972D1">
              <w:rPr>
                <w:rFonts w:ascii="Times New Roman" w:eastAsia="Times New Roman" w:hAnsi="Times New Roman" w:cs="Times New Roman"/>
                <w:sz w:val="18"/>
                <w:szCs w:val="18"/>
                <w:shd w:val="clear" w:color="auto" w:fill="FFFFFF"/>
                <w:lang w:val="en-US"/>
              </w:rPr>
              <w:t>470</w:t>
            </w:r>
          </w:p>
        </w:tc>
      </w:tr>
    </w:tbl>
    <w:p w14:paraId="12D42183" w14:textId="45517890" w:rsidR="00B544B4" w:rsidRPr="00352FB3" w:rsidRDefault="0017000A" w:rsidP="00205079">
      <w:pPr>
        <w:spacing w:after="0" w:line="240" w:lineRule="auto"/>
        <w:ind w:left="-142" w:right="-143"/>
        <w:jc w:val="lowKashida"/>
        <w:rPr>
          <w:rFonts w:ascii="Times New Roman" w:eastAsia="Times New Roman" w:hAnsi="Times New Roman" w:cs="Times New Roman"/>
          <w:bCs/>
          <w:iCs/>
          <w:sz w:val="20"/>
          <w:szCs w:val="20"/>
          <w:shd w:val="clear" w:color="auto" w:fill="FFFFFF"/>
          <w:lang w:val="en-US"/>
        </w:rPr>
      </w:pPr>
      <w:r w:rsidRPr="00352FB3">
        <w:rPr>
          <w:rFonts w:ascii="Times New Roman" w:eastAsia="Times New Roman" w:hAnsi="Times New Roman" w:cs="Times New Roman"/>
          <w:bCs/>
          <w:iCs/>
          <w:sz w:val="20"/>
          <w:szCs w:val="20"/>
          <w:shd w:val="clear" w:color="auto" w:fill="FFFFFF"/>
        </w:rPr>
        <w:t xml:space="preserve">Variables’ definitions: </w:t>
      </w:r>
      <w:r w:rsidR="009B0A86" w:rsidRPr="00352FB3">
        <w:rPr>
          <w:rFonts w:ascii="Times New Roman" w:eastAsia="Times New Roman" w:hAnsi="Times New Roman" w:cs="Times New Roman"/>
          <w:bCs/>
          <w:iCs/>
          <w:sz w:val="20"/>
          <w:szCs w:val="20"/>
          <w:shd w:val="clear" w:color="auto" w:fill="FFFFFF"/>
        </w:rPr>
        <w:t xml:space="preserve">Board </w:t>
      </w:r>
      <w:r w:rsidR="00205079" w:rsidRPr="00352FB3">
        <w:rPr>
          <w:rFonts w:ascii="Times New Roman" w:eastAsia="Times New Roman" w:hAnsi="Times New Roman" w:cs="Times New Roman"/>
          <w:bCs/>
          <w:iCs/>
          <w:sz w:val="20"/>
          <w:szCs w:val="20"/>
          <w:shd w:val="clear" w:color="auto" w:fill="FFFFFF"/>
        </w:rPr>
        <w:t>governance index (</w:t>
      </w:r>
      <w:r w:rsidRPr="00352FB3">
        <w:rPr>
          <w:rFonts w:ascii="Times New Roman" w:eastAsia="Times New Roman" w:hAnsi="Times New Roman" w:cs="Times New Roman"/>
          <w:bCs/>
          <w:iCs/>
          <w:sz w:val="20"/>
          <w:szCs w:val="20"/>
          <w:shd w:val="clear" w:color="auto" w:fill="FFFFFF"/>
        </w:rPr>
        <w:t>BRDGI</w:t>
      </w:r>
      <w:r w:rsidR="00205079" w:rsidRPr="00352FB3">
        <w:rPr>
          <w:rFonts w:ascii="Times New Roman" w:eastAsia="Times New Roman" w:hAnsi="Times New Roman" w:cs="Times New Roman"/>
          <w:bCs/>
          <w:iCs/>
          <w:sz w:val="20"/>
          <w:szCs w:val="20"/>
          <w:shd w:val="clear" w:color="auto" w:fill="FFFFFF"/>
        </w:rPr>
        <w:t xml:space="preserve">), </w:t>
      </w:r>
      <w:r w:rsidR="00205079" w:rsidRPr="00352FB3">
        <w:rPr>
          <w:rFonts w:ascii="Times New Roman" w:eastAsia="Times New Roman" w:hAnsi="Times New Roman" w:cs="Times New Roman"/>
          <w:bCs/>
          <w:iCs/>
          <w:sz w:val="20"/>
          <w:szCs w:val="20"/>
          <w:shd w:val="clear" w:color="auto" w:fill="FFFFFF"/>
          <w:lang w:val="en-US"/>
        </w:rPr>
        <w:t>shareholding</w:t>
      </w:r>
      <w:r w:rsidR="00205079" w:rsidRPr="00352FB3">
        <w:rPr>
          <w:rFonts w:ascii="Times New Roman" w:eastAsia="Times New Roman" w:hAnsi="Times New Roman" w:cs="Times New Roman"/>
          <w:bCs/>
          <w:iCs/>
          <w:sz w:val="20"/>
          <w:szCs w:val="20"/>
          <w:shd w:val="clear" w:color="auto" w:fill="FFFFFF"/>
        </w:rPr>
        <w:t xml:space="preserve"> governance index (</w:t>
      </w:r>
      <w:r w:rsidRPr="00352FB3">
        <w:rPr>
          <w:rFonts w:ascii="Times New Roman" w:eastAsia="Times New Roman" w:hAnsi="Times New Roman" w:cs="Times New Roman"/>
          <w:bCs/>
          <w:iCs/>
          <w:sz w:val="20"/>
          <w:szCs w:val="20"/>
          <w:shd w:val="clear" w:color="auto" w:fill="FFFFFF"/>
          <w:lang w:val="en-US"/>
        </w:rPr>
        <w:t>SHRGI</w:t>
      </w:r>
      <w:r w:rsidR="00205079" w:rsidRPr="00352FB3">
        <w:rPr>
          <w:rFonts w:ascii="Times New Roman" w:eastAsia="Times New Roman" w:hAnsi="Times New Roman" w:cs="Times New Roman"/>
          <w:bCs/>
          <w:iCs/>
          <w:sz w:val="20"/>
          <w:szCs w:val="20"/>
          <w:shd w:val="clear" w:color="auto" w:fill="FFFFFF"/>
          <w:lang w:val="en-US"/>
        </w:rPr>
        <w:t>)</w:t>
      </w:r>
      <w:r w:rsidRPr="00352FB3">
        <w:rPr>
          <w:rFonts w:ascii="Times New Roman" w:eastAsia="Times New Roman" w:hAnsi="Times New Roman" w:cs="Times New Roman"/>
          <w:bCs/>
          <w:iCs/>
          <w:sz w:val="20"/>
          <w:szCs w:val="20"/>
          <w:shd w:val="clear" w:color="auto" w:fill="FFFFFF"/>
          <w:lang w:val="en-US"/>
        </w:rPr>
        <w:t xml:space="preserve">. </w:t>
      </w:r>
      <w:r w:rsidR="001931AF" w:rsidRPr="00352FB3">
        <w:rPr>
          <w:rFonts w:ascii="Times New Roman" w:eastAsia="Times New Roman" w:hAnsi="Times New Roman" w:cs="Times New Roman"/>
          <w:bCs/>
          <w:iCs/>
          <w:sz w:val="20"/>
          <w:szCs w:val="20"/>
          <w:shd w:val="clear" w:color="auto" w:fill="FFFFFF"/>
          <w:lang w:val="en-US"/>
        </w:rPr>
        <w:t xml:space="preserve">See Table </w:t>
      </w:r>
      <w:r w:rsidR="00174F4C" w:rsidRPr="00352FB3">
        <w:rPr>
          <w:rFonts w:ascii="Times New Roman" w:eastAsia="Times New Roman" w:hAnsi="Times New Roman" w:cs="Times New Roman"/>
          <w:bCs/>
          <w:iCs/>
          <w:sz w:val="20"/>
          <w:szCs w:val="20"/>
          <w:shd w:val="clear" w:color="auto" w:fill="FFFFFF"/>
          <w:lang w:val="en-US"/>
        </w:rPr>
        <w:t>1</w:t>
      </w:r>
      <w:r w:rsidR="001931AF" w:rsidRPr="00352FB3">
        <w:rPr>
          <w:rFonts w:ascii="Times New Roman" w:eastAsia="Times New Roman" w:hAnsi="Times New Roman" w:cs="Times New Roman"/>
          <w:bCs/>
          <w:iCs/>
          <w:sz w:val="20"/>
          <w:szCs w:val="20"/>
          <w:shd w:val="clear" w:color="auto" w:fill="FFFFFF"/>
          <w:lang w:val="en-US"/>
        </w:rPr>
        <w:t xml:space="preserve"> for variable</w:t>
      </w:r>
      <w:r w:rsidR="00327998" w:rsidRPr="00352FB3">
        <w:rPr>
          <w:rFonts w:ascii="Times New Roman" w:eastAsia="Times New Roman" w:hAnsi="Times New Roman" w:cs="Times New Roman"/>
          <w:bCs/>
          <w:iCs/>
          <w:sz w:val="20"/>
          <w:szCs w:val="20"/>
          <w:shd w:val="clear" w:color="auto" w:fill="FFFFFF"/>
          <w:lang w:val="en-US"/>
        </w:rPr>
        <w:t>s’</w:t>
      </w:r>
      <w:r w:rsidR="001931AF" w:rsidRPr="00352FB3">
        <w:rPr>
          <w:rFonts w:ascii="Times New Roman" w:eastAsia="Times New Roman" w:hAnsi="Times New Roman" w:cs="Times New Roman"/>
          <w:bCs/>
          <w:iCs/>
          <w:sz w:val="20"/>
          <w:szCs w:val="20"/>
          <w:shd w:val="clear" w:color="auto" w:fill="FFFFFF"/>
          <w:lang w:val="en-US"/>
        </w:rPr>
        <w:t xml:space="preserve"> definitions.</w:t>
      </w:r>
      <w:r w:rsidRPr="00352FB3">
        <w:rPr>
          <w:rFonts w:ascii="Times New Roman" w:eastAsia="Times New Roman" w:hAnsi="Times New Roman" w:cs="Times New Roman"/>
          <w:bCs/>
          <w:sz w:val="18"/>
          <w:szCs w:val="18"/>
          <w:shd w:val="clear" w:color="auto" w:fill="FFFFFF"/>
        </w:rPr>
        <w:t xml:space="preserve"> </w:t>
      </w:r>
    </w:p>
    <w:p w14:paraId="6F1663AC" w14:textId="1FBFDB86" w:rsidR="00B544B4" w:rsidRPr="00352FB3" w:rsidRDefault="00B544B4" w:rsidP="00205079">
      <w:pPr>
        <w:spacing w:after="0" w:line="240" w:lineRule="auto"/>
        <w:ind w:left="-142" w:right="-143"/>
        <w:jc w:val="lowKashida"/>
        <w:rPr>
          <w:rFonts w:ascii="Times New Roman" w:eastAsia="Calibri" w:hAnsi="Times New Roman" w:cs="Times New Roman"/>
          <w:sz w:val="19"/>
          <w:szCs w:val="19"/>
          <w:lang w:eastAsia="en-US"/>
        </w:rPr>
      </w:pPr>
      <w:r w:rsidRPr="00352FB3">
        <w:rPr>
          <w:rFonts w:ascii="Times New Roman" w:eastAsia="Times New Roman" w:hAnsi="Times New Roman" w:cs="Times New Roman"/>
          <w:bCs/>
          <w:iCs/>
          <w:sz w:val="20"/>
          <w:szCs w:val="20"/>
          <w:shd w:val="clear" w:color="auto" w:fill="FFFFFF"/>
        </w:rPr>
        <w:t xml:space="preserve">Ordinary least squares coefficients, logit regression </w:t>
      </w:r>
      <w:r w:rsidR="004474E9" w:rsidRPr="00352FB3">
        <w:rPr>
          <w:rFonts w:ascii="Times New Roman" w:eastAsia="Times New Roman" w:hAnsi="Times New Roman" w:cs="Times New Roman"/>
          <w:bCs/>
          <w:iCs/>
          <w:sz w:val="20"/>
          <w:szCs w:val="20"/>
          <w:shd w:val="clear" w:color="auto" w:fill="FFFFFF"/>
        </w:rPr>
        <w:t xml:space="preserve">coefficients </w:t>
      </w:r>
      <w:r w:rsidRPr="00352FB3">
        <w:rPr>
          <w:rFonts w:ascii="Times New Roman" w:eastAsia="Times New Roman" w:hAnsi="Times New Roman" w:cs="Times New Roman"/>
          <w:bCs/>
          <w:iCs/>
          <w:sz w:val="20"/>
          <w:szCs w:val="20"/>
          <w:shd w:val="clear" w:color="auto" w:fill="FFFFFF"/>
        </w:rPr>
        <w:t>and two-tailed p-values are shown. ***, **, and * denote significance at the 1%, 5%, and 10% levels, respectively.</w:t>
      </w:r>
    </w:p>
    <w:p w14:paraId="1679854B" w14:textId="073ED6D8" w:rsidR="00E45666" w:rsidRPr="00352FB3" w:rsidRDefault="00E45666" w:rsidP="000F3297">
      <w:pPr>
        <w:spacing w:after="0" w:line="240" w:lineRule="auto"/>
        <w:ind w:left="142" w:hanging="142"/>
        <w:jc w:val="both"/>
        <w:rPr>
          <w:rFonts w:ascii="Times New Roman" w:eastAsia="Calibri" w:hAnsi="Times New Roman" w:cs="Times New Roman"/>
          <w:sz w:val="19"/>
          <w:szCs w:val="19"/>
          <w:lang w:eastAsia="en-US"/>
        </w:rPr>
      </w:pPr>
    </w:p>
    <w:p w14:paraId="681DF3AD" w14:textId="77777777" w:rsidR="007F5801" w:rsidRPr="00352FB3" w:rsidRDefault="007F5801" w:rsidP="000F3297">
      <w:pPr>
        <w:spacing w:after="0" w:line="240" w:lineRule="auto"/>
        <w:ind w:left="142" w:hanging="142"/>
        <w:jc w:val="both"/>
        <w:rPr>
          <w:rFonts w:ascii="Times New Roman" w:eastAsia="Calibri" w:hAnsi="Times New Roman" w:cs="Times New Roman"/>
          <w:sz w:val="19"/>
          <w:szCs w:val="19"/>
          <w:lang w:eastAsia="en-US"/>
        </w:rPr>
      </w:pPr>
    </w:p>
    <w:p w14:paraId="601A34F3" w14:textId="77777777" w:rsidR="007F5801" w:rsidRPr="00352FB3" w:rsidRDefault="007F5801" w:rsidP="000F3297">
      <w:pPr>
        <w:spacing w:after="0" w:line="240" w:lineRule="auto"/>
        <w:ind w:left="142" w:hanging="142"/>
        <w:jc w:val="both"/>
        <w:rPr>
          <w:rFonts w:ascii="Times New Roman" w:eastAsia="Calibri" w:hAnsi="Times New Roman" w:cs="Times New Roman"/>
          <w:sz w:val="19"/>
          <w:szCs w:val="19"/>
          <w:lang w:eastAsia="en-US"/>
        </w:rPr>
      </w:pPr>
    </w:p>
    <w:p w14:paraId="686E26D7" w14:textId="77777777" w:rsidR="007F5801" w:rsidRPr="00352FB3" w:rsidRDefault="007F5801" w:rsidP="000F3297">
      <w:pPr>
        <w:spacing w:after="0" w:line="240" w:lineRule="auto"/>
        <w:ind w:left="142" w:hanging="142"/>
        <w:jc w:val="both"/>
        <w:rPr>
          <w:rFonts w:ascii="Times New Roman" w:eastAsia="Calibri" w:hAnsi="Times New Roman" w:cs="Times New Roman"/>
          <w:sz w:val="19"/>
          <w:szCs w:val="19"/>
          <w:lang w:eastAsia="en-US"/>
        </w:rPr>
      </w:pPr>
    </w:p>
    <w:p w14:paraId="64D4FAC4" w14:textId="77777777" w:rsidR="007F5801" w:rsidRPr="00352FB3" w:rsidRDefault="007F5801" w:rsidP="000F3297">
      <w:pPr>
        <w:spacing w:after="0" w:line="240" w:lineRule="auto"/>
        <w:ind w:left="142" w:hanging="142"/>
        <w:jc w:val="both"/>
        <w:rPr>
          <w:rFonts w:ascii="Times New Roman" w:eastAsia="Calibri" w:hAnsi="Times New Roman" w:cs="Times New Roman"/>
          <w:sz w:val="19"/>
          <w:szCs w:val="19"/>
          <w:lang w:eastAsia="en-US"/>
        </w:rPr>
      </w:pPr>
    </w:p>
    <w:p w14:paraId="59A52A49" w14:textId="77777777" w:rsidR="007F5801" w:rsidRPr="00352FB3" w:rsidRDefault="007F5801" w:rsidP="000F3297">
      <w:pPr>
        <w:spacing w:after="0" w:line="240" w:lineRule="auto"/>
        <w:ind w:left="142" w:hanging="142"/>
        <w:jc w:val="both"/>
        <w:rPr>
          <w:rFonts w:ascii="Times New Roman" w:eastAsia="Calibri" w:hAnsi="Times New Roman" w:cs="Times New Roman"/>
          <w:sz w:val="19"/>
          <w:szCs w:val="19"/>
          <w:lang w:eastAsia="en-US"/>
        </w:rPr>
      </w:pPr>
    </w:p>
    <w:p w14:paraId="305420BE" w14:textId="77777777" w:rsidR="007F5801" w:rsidRPr="00352FB3" w:rsidRDefault="007F5801" w:rsidP="000F3297">
      <w:pPr>
        <w:spacing w:after="0" w:line="240" w:lineRule="auto"/>
        <w:ind w:left="142" w:hanging="142"/>
        <w:jc w:val="both"/>
        <w:rPr>
          <w:rFonts w:ascii="Times New Roman" w:eastAsia="Calibri" w:hAnsi="Times New Roman" w:cs="Times New Roman"/>
          <w:sz w:val="19"/>
          <w:szCs w:val="19"/>
          <w:lang w:eastAsia="en-US"/>
        </w:rPr>
      </w:pPr>
    </w:p>
    <w:p w14:paraId="2678D3EB" w14:textId="77777777" w:rsidR="007F5801" w:rsidRPr="00352FB3" w:rsidRDefault="007F5801" w:rsidP="000F3297">
      <w:pPr>
        <w:spacing w:after="0" w:line="240" w:lineRule="auto"/>
        <w:ind w:left="142" w:hanging="142"/>
        <w:jc w:val="both"/>
        <w:rPr>
          <w:rFonts w:ascii="Times New Roman" w:eastAsia="Calibri" w:hAnsi="Times New Roman" w:cs="Times New Roman"/>
          <w:sz w:val="19"/>
          <w:szCs w:val="19"/>
          <w:lang w:eastAsia="en-US"/>
        </w:rPr>
      </w:pPr>
    </w:p>
    <w:p w14:paraId="0466AF5F" w14:textId="77777777" w:rsidR="007F5801" w:rsidRPr="00352FB3" w:rsidRDefault="007F5801" w:rsidP="000F3297">
      <w:pPr>
        <w:spacing w:after="0" w:line="240" w:lineRule="auto"/>
        <w:ind w:left="142" w:hanging="142"/>
        <w:jc w:val="both"/>
        <w:rPr>
          <w:rFonts w:ascii="Times New Roman" w:eastAsia="Calibri" w:hAnsi="Times New Roman" w:cs="Times New Roman"/>
          <w:sz w:val="19"/>
          <w:szCs w:val="19"/>
          <w:lang w:eastAsia="en-US"/>
        </w:rPr>
      </w:pPr>
    </w:p>
    <w:p w14:paraId="0C7852E6" w14:textId="77777777" w:rsidR="003E794C" w:rsidRPr="00352FB3" w:rsidRDefault="003E794C" w:rsidP="000F3297">
      <w:pPr>
        <w:spacing w:after="0" w:line="240" w:lineRule="auto"/>
        <w:ind w:left="142" w:hanging="142"/>
        <w:jc w:val="both"/>
        <w:rPr>
          <w:rFonts w:ascii="Times New Roman" w:eastAsia="Calibri" w:hAnsi="Times New Roman" w:cs="Times New Roman"/>
          <w:sz w:val="19"/>
          <w:szCs w:val="19"/>
          <w:lang w:eastAsia="en-US"/>
        </w:rPr>
      </w:pPr>
    </w:p>
    <w:p w14:paraId="7F1100F1" w14:textId="77777777" w:rsidR="003E794C" w:rsidRPr="00352FB3" w:rsidRDefault="003E794C" w:rsidP="000F3297">
      <w:pPr>
        <w:spacing w:after="0" w:line="240" w:lineRule="auto"/>
        <w:ind w:left="142" w:hanging="142"/>
        <w:jc w:val="both"/>
        <w:rPr>
          <w:rFonts w:ascii="Times New Roman" w:eastAsia="Calibri" w:hAnsi="Times New Roman" w:cs="Times New Roman"/>
          <w:sz w:val="19"/>
          <w:szCs w:val="19"/>
          <w:lang w:eastAsia="en-US"/>
        </w:rPr>
      </w:pPr>
    </w:p>
    <w:p w14:paraId="4A5E1104" w14:textId="77777777" w:rsidR="003E794C" w:rsidRPr="00352FB3" w:rsidRDefault="003E794C" w:rsidP="000F3297">
      <w:pPr>
        <w:spacing w:after="0" w:line="240" w:lineRule="auto"/>
        <w:ind w:left="142" w:hanging="142"/>
        <w:jc w:val="both"/>
        <w:rPr>
          <w:rFonts w:ascii="Times New Roman" w:eastAsia="Calibri" w:hAnsi="Times New Roman" w:cs="Times New Roman"/>
          <w:sz w:val="19"/>
          <w:szCs w:val="19"/>
          <w:lang w:eastAsia="en-US"/>
        </w:rPr>
      </w:pPr>
    </w:p>
    <w:p w14:paraId="15BF9CD9" w14:textId="77777777" w:rsidR="003E794C" w:rsidRPr="00352FB3" w:rsidRDefault="003E794C" w:rsidP="000F3297">
      <w:pPr>
        <w:spacing w:after="0" w:line="240" w:lineRule="auto"/>
        <w:ind w:left="142" w:hanging="142"/>
        <w:jc w:val="both"/>
        <w:rPr>
          <w:rFonts w:ascii="Times New Roman" w:eastAsia="Calibri" w:hAnsi="Times New Roman" w:cs="Times New Roman"/>
          <w:sz w:val="19"/>
          <w:szCs w:val="19"/>
          <w:lang w:eastAsia="en-US"/>
        </w:rPr>
      </w:pPr>
    </w:p>
    <w:p w14:paraId="72F0F4DD" w14:textId="77777777" w:rsidR="003E794C" w:rsidRPr="00352FB3" w:rsidRDefault="003E794C" w:rsidP="000F3297">
      <w:pPr>
        <w:spacing w:after="0" w:line="240" w:lineRule="auto"/>
        <w:ind w:left="142" w:hanging="142"/>
        <w:jc w:val="both"/>
        <w:rPr>
          <w:rFonts w:ascii="Times New Roman" w:eastAsia="Calibri" w:hAnsi="Times New Roman" w:cs="Times New Roman"/>
          <w:sz w:val="19"/>
          <w:szCs w:val="19"/>
          <w:lang w:eastAsia="en-US"/>
        </w:rPr>
      </w:pPr>
    </w:p>
    <w:p w14:paraId="173A158E" w14:textId="77777777" w:rsidR="00F275E1" w:rsidRPr="00352FB3" w:rsidRDefault="00F275E1" w:rsidP="000F3297">
      <w:pPr>
        <w:spacing w:after="0" w:line="240" w:lineRule="auto"/>
        <w:ind w:left="142" w:hanging="142"/>
        <w:jc w:val="both"/>
        <w:rPr>
          <w:rFonts w:ascii="Times New Roman" w:eastAsia="Calibri" w:hAnsi="Times New Roman" w:cs="Times New Roman"/>
          <w:sz w:val="19"/>
          <w:szCs w:val="19"/>
          <w:lang w:eastAsia="en-US"/>
        </w:rPr>
        <w:sectPr w:rsidR="00F275E1" w:rsidRPr="00352FB3" w:rsidSect="00F00C19">
          <w:pgSz w:w="11906" w:h="16838"/>
          <w:pgMar w:top="1134" w:right="1134" w:bottom="1134" w:left="1134" w:header="709" w:footer="709" w:gutter="0"/>
          <w:cols w:space="708"/>
          <w:docGrid w:linePitch="360"/>
        </w:sectPr>
      </w:pPr>
    </w:p>
    <w:p w14:paraId="0AF4DF10" w14:textId="36119D2B" w:rsidR="0050514B" w:rsidRPr="00352FB3" w:rsidRDefault="0050514B" w:rsidP="0017000A">
      <w:pPr>
        <w:spacing w:after="0" w:line="240" w:lineRule="auto"/>
        <w:ind w:left="284"/>
        <w:jc w:val="lowKashida"/>
        <w:rPr>
          <w:rFonts w:ascii="Times New Roman" w:eastAsia="Times New Roman" w:hAnsi="Times New Roman" w:cs="Times New Roman"/>
          <w:sz w:val="20"/>
          <w:szCs w:val="16"/>
          <w:shd w:val="clear" w:color="auto" w:fill="FFFFFF"/>
          <w:lang w:val="en-US"/>
        </w:rPr>
      </w:pPr>
      <w:r w:rsidRPr="00352FB3">
        <w:rPr>
          <w:rFonts w:ascii="Times New Roman" w:eastAsia="Times New Roman" w:hAnsi="Times New Roman" w:cs="Times New Roman"/>
          <w:b/>
          <w:sz w:val="20"/>
          <w:szCs w:val="16"/>
          <w:shd w:val="clear" w:color="auto" w:fill="FFFFFF"/>
          <w:lang w:val="en-US"/>
        </w:rPr>
        <w:lastRenderedPageBreak/>
        <w:t xml:space="preserve">Table 5. </w:t>
      </w:r>
      <w:r w:rsidRPr="00352FB3">
        <w:rPr>
          <w:rFonts w:ascii="Times New Roman" w:eastAsia="Times New Roman" w:hAnsi="Times New Roman" w:cs="Times New Roman"/>
          <w:sz w:val="20"/>
          <w:szCs w:val="16"/>
          <w:shd w:val="clear" w:color="auto" w:fill="FFFFFF"/>
          <w:lang w:val="en-US"/>
        </w:rPr>
        <w:t>Country-level</w:t>
      </w:r>
      <w:r w:rsidRPr="00352FB3">
        <w:rPr>
          <w:rFonts w:ascii="Times New Roman" w:eastAsia="Times New Roman" w:hAnsi="Times New Roman" w:cs="Times New Roman"/>
          <w:b/>
          <w:sz w:val="20"/>
          <w:szCs w:val="16"/>
          <w:shd w:val="clear" w:color="auto" w:fill="FFFFFF"/>
          <w:lang w:val="en-US"/>
        </w:rPr>
        <w:t xml:space="preserve"> </w:t>
      </w:r>
      <w:r w:rsidRPr="00352FB3">
        <w:rPr>
          <w:rFonts w:ascii="Times New Roman" w:eastAsia="Times New Roman" w:hAnsi="Times New Roman" w:cs="Times New Roman"/>
          <w:sz w:val="20"/>
          <w:szCs w:val="16"/>
          <w:shd w:val="clear" w:color="auto" w:fill="FFFFFF"/>
        </w:rPr>
        <w:t>antecedents of audit quality</w:t>
      </w:r>
    </w:p>
    <w:tbl>
      <w:tblPr>
        <w:tblStyle w:val="TableGrid31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1"/>
        <w:gridCol w:w="939"/>
        <w:gridCol w:w="939"/>
        <w:gridCol w:w="939"/>
        <w:gridCol w:w="939"/>
        <w:gridCol w:w="939"/>
        <w:gridCol w:w="939"/>
        <w:gridCol w:w="939"/>
        <w:gridCol w:w="911"/>
        <w:gridCol w:w="911"/>
        <w:gridCol w:w="854"/>
        <w:gridCol w:w="911"/>
        <w:gridCol w:w="911"/>
        <w:gridCol w:w="854"/>
        <w:gridCol w:w="911"/>
      </w:tblGrid>
      <w:tr w:rsidR="00236193" w:rsidRPr="000972D1" w14:paraId="216385FD" w14:textId="686822F1" w:rsidTr="00580A4D">
        <w:trPr>
          <w:trHeight w:val="164"/>
          <w:jc w:val="center"/>
        </w:trPr>
        <w:tc>
          <w:tcPr>
            <w:tcW w:w="0" w:type="auto"/>
            <w:tcBorders>
              <w:top w:val="single" w:sz="12" w:space="0" w:color="auto"/>
              <w:right w:val="single" w:sz="12" w:space="0" w:color="auto"/>
            </w:tcBorders>
            <w:noWrap/>
          </w:tcPr>
          <w:p w14:paraId="6F1E2C53" w14:textId="77777777" w:rsidR="00236193" w:rsidRPr="000972D1" w:rsidRDefault="00236193" w:rsidP="00911D12">
            <w:pPr>
              <w:rPr>
                <w:rFonts w:ascii="Times New Roman" w:eastAsia="Times New Roman" w:hAnsi="Times New Roman" w:cs="Times New Roman"/>
                <w:b/>
                <w:sz w:val="17"/>
                <w:szCs w:val="17"/>
                <w:shd w:val="clear" w:color="auto" w:fill="FFFFFF"/>
                <w:lang w:val="en-US"/>
              </w:rPr>
            </w:pPr>
          </w:p>
        </w:tc>
        <w:tc>
          <w:tcPr>
            <w:tcW w:w="0" w:type="auto"/>
            <w:tcBorders>
              <w:top w:val="single" w:sz="12" w:space="0" w:color="auto"/>
              <w:left w:val="single" w:sz="12" w:space="0" w:color="auto"/>
            </w:tcBorders>
          </w:tcPr>
          <w:p w14:paraId="73974FDF" w14:textId="77777777" w:rsidR="00236193" w:rsidRPr="000972D1" w:rsidRDefault="00236193" w:rsidP="00911D12">
            <w:pPr>
              <w:jc w:val="center"/>
              <w:rPr>
                <w:rFonts w:ascii="Times New Roman" w:eastAsia="Times New Roman" w:hAnsi="Times New Roman" w:cs="Times New Roman"/>
                <w:b/>
                <w:sz w:val="17"/>
                <w:szCs w:val="17"/>
                <w:shd w:val="clear" w:color="auto" w:fill="FFFFFF"/>
                <w:lang w:val="en-US"/>
              </w:rPr>
            </w:pPr>
            <w:r w:rsidRPr="000972D1">
              <w:rPr>
                <w:rFonts w:ascii="Times New Roman" w:eastAsia="Times New Roman" w:hAnsi="Times New Roman" w:cs="Times New Roman"/>
                <w:b/>
                <w:sz w:val="17"/>
                <w:szCs w:val="17"/>
                <w:shd w:val="clear" w:color="auto" w:fill="FFFFFF"/>
                <w:lang w:val="en-US"/>
              </w:rPr>
              <w:t>BIG4</w:t>
            </w:r>
          </w:p>
        </w:tc>
        <w:tc>
          <w:tcPr>
            <w:tcW w:w="0" w:type="auto"/>
            <w:tcBorders>
              <w:top w:val="single" w:sz="12" w:space="0" w:color="auto"/>
            </w:tcBorders>
            <w:noWrap/>
          </w:tcPr>
          <w:p w14:paraId="0EE005F1" w14:textId="77777777" w:rsidR="00236193" w:rsidRPr="000972D1" w:rsidRDefault="00236193" w:rsidP="00911D12">
            <w:pPr>
              <w:jc w:val="center"/>
              <w:rPr>
                <w:rFonts w:ascii="Times New Roman" w:eastAsia="Times New Roman" w:hAnsi="Times New Roman" w:cs="Times New Roman"/>
                <w:b/>
                <w:sz w:val="17"/>
                <w:szCs w:val="17"/>
                <w:shd w:val="clear" w:color="auto" w:fill="FFFFFF"/>
                <w:lang w:val="en-US"/>
              </w:rPr>
            </w:pPr>
            <w:r w:rsidRPr="000972D1">
              <w:rPr>
                <w:rFonts w:ascii="Times New Roman" w:eastAsia="Times New Roman" w:hAnsi="Times New Roman" w:cs="Times New Roman"/>
                <w:b/>
                <w:sz w:val="17"/>
                <w:szCs w:val="17"/>
                <w:shd w:val="clear" w:color="auto" w:fill="FFFFFF"/>
                <w:lang w:val="en-US"/>
              </w:rPr>
              <w:t>BIG4</w:t>
            </w:r>
          </w:p>
        </w:tc>
        <w:tc>
          <w:tcPr>
            <w:tcW w:w="0" w:type="auto"/>
            <w:tcBorders>
              <w:top w:val="single" w:sz="12" w:space="0" w:color="auto"/>
            </w:tcBorders>
            <w:noWrap/>
          </w:tcPr>
          <w:p w14:paraId="43509FA1" w14:textId="77777777" w:rsidR="00236193" w:rsidRPr="000972D1" w:rsidRDefault="00236193" w:rsidP="00911D12">
            <w:pPr>
              <w:jc w:val="center"/>
              <w:rPr>
                <w:rFonts w:ascii="Times New Roman" w:eastAsia="Times New Roman" w:hAnsi="Times New Roman" w:cs="Times New Roman"/>
                <w:b/>
                <w:sz w:val="17"/>
                <w:szCs w:val="17"/>
                <w:shd w:val="clear" w:color="auto" w:fill="FFFFFF"/>
                <w:lang w:val="en-US"/>
              </w:rPr>
            </w:pPr>
            <w:r w:rsidRPr="000972D1">
              <w:rPr>
                <w:rFonts w:ascii="Times New Roman" w:eastAsia="Times New Roman" w:hAnsi="Times New Roman" w:cs="Times New Roman"/>
                <w:b/>
                <w:sz w:val="17"/>
                <w:szCs w:val="17"/>
                <w:shd w:val="clear" w:color="auto" w:fill="FFFFFF"/>
                <w:lang w:val="en-US"/>
              </w:rPr>
              <w:t>BIG4</w:t>
            </w:r>
          </w:p>
        </w:tc>
        <w:tc>
          <w:tcPr>
            <w:tcW w:w="0" w:type="auto"/>
            <w:tcBorders>
              <w:top w:val="single" w:sz="12" w:space="0" w:color="auto"/>
            </w:tcBorders>
          </w:tcPr>
          <w:p w14:paraId="0708BC5B" w14:textId="77777777" w:rsidR="00236193" w:rsidRPr="000972D1" w:rsidRDefault="00236193" w:rsidP="00911D12">
            <w:pPr>
              <w:jc w:val="center"/>
              <w:rPr>
                <w:rFonts w:ascii="Times New Roman" w:eastAsia="Times New Roman" w:hAnsi="Times New Roman" w:cs="Times New Roman"/>
                <w:b/>
                <w:sz w:val="17"/>
                <w:szCs w:val="17"/>
                <w:shd w:val="clear" w:color="auto" w:fill="FFFFFF"/>
                <w:lang w:val="en-US"/>
              </w:rPr>
            </w:pPr>
            <w:r w:rsidRPr="000972D1">
              <w:rPr>
                <w:rFonts w:ascii="Times New Roman" w:eastAsia="Times New Roman" w:hAnsi="Times New Roman" w:cs="Times New Roman"/>
                <w:b/>
                <w:sz w:val="17"/>
                <w:szCs w:val="17"/>
                <w:shd w:val="clear" w:color="auto" w:fill="FFFFFF"/>
                <w:lang w:val="en-US"/>
              </w:rPr>
              <w:t>BIG4</w:t>
            </w:r>
          </w:p>
        </w:tc>
        <w:tc>
          <w:tcPr>
            <w:tcW w:w="0" w:type="auto"/>
            <w:tcBorders>
              <w:top w:val="single" w:sz="12" w:space="0" w:color="auto"/>
            </w:tcBorders>
          </w:tcPr>
          <w:p w14:paraId="763E09F0" w14:textId="1330A83A" w:rsidR="00236193" w:rsidRPr="000972D1" w:rsidRDefault="00236193" w:rsidP="00911D12">
            <w:pPr>
              <w:jc w:val="center"/>
              <w:rPr>
                <w:rFonts w:ascii="Times New Roman" w:eastAsia="Times New Roman" w:hAnsi="Times New Roman" w:cs="Times New Roman"/>
                <w:b/>
                <w:sz w:val="17"/>
                <w:szCs w:val="17"/>
                <w:shd w:val="clear" w:color="auto" w:fill="FFFFFF"/>
              </w:rPr>
            </w:pPr>
            <w:r w:rsidRPr="000972D1">
              <w:rPr>
                <w:rFonts w:ascii="Times New Roman" w:eastAsia="Times New Roman" w:hAnsi="Times New Roman" w:cs="Times New Roman"/>
                <w:b/>
                <w:sz w:val="17"/>
                <w:szCs w:val="17"/>
                <w:shd w:val="clear" w:color="auto" w:fill="FFFFFF"/>
                <w:lang w:val="en-US"/>
              </w:rPr>
              <w:t>BIG4</w:t>
            </w:r>
          </w:p>
        </w:tc>
        <w:tc>
          <w:tcPr>
            <w:tcW w:w="0" w:type="auto"/>
            <w:tcBorders>
              <w:top w:val="single" w:sz="12" w:space="0" w:color="auto"/>
            </w:tcBorders>
          </w:tcPr>
          <w:p w14:paraId="4510234A" w14:textId="4CB27144" w:rsidR="00236193" w:rsidRPr="000972D1" w:rsidRDefault="00236193" w:rsidP="00911D12">
            <w:pPr>
              <w:jc w:val="center"/>
              <w:rPr>
                <w:rFonts w:ascii="Times New Roman" w:eastAsia="Times New Roman" w:hAnsi="Times New Roman" w:cs="Times New Roman"/>
                <w:b/>
                <w:sz w:val="17"/>
                <w:szCs w:val="17"/>
                <w:shd w:val="clear" w:color="auto" w:fill="FFFFFF"/>
              </w:rPr>
            </w:pPr>
            <w:r w:rsidRPr="000972D1">
              <w:rPr>
                <w:rFonts w:ascii="Times New Roman" w:eastAsia="Times New Roman" w:hAnsi="Times New Roman" w:cs="Times New Roman"/>
                <w:b/>
                <w:sz w:val="17"/>
                <w:szCs w:val="17"/>
                <w:shd w:val="clear" w:color="auto" w:fill="FFFFFF"/>
                <w:lang w:val="en-US"/>
              </w:rPr>
              <w:t>BIG4</w:t>
            </w:r>
          </w:p>
        </w:tc>
        <w:tc>
          <w:tcPr>
            <w:tcW w:w="0" w:type="auto"/>
            <w:tcBorders>
              <w:top w:val="single" w:sz="12" w:space="0" w:color="auto"/>
            </w:tcBorders>
          </w:tcPr>
          <w:p w14:paraId="1726A554" w14:textId="74B02061" w:rsidR="00236193" w:rsidRPr="000972D1" w:rsidRDefault="00236193" w:rsidP="00911D12">
            <w:pPr>
              <w:jc w:val="center"/>
              <w:rPr>
                <w:rFonts w:ascii="Times New Roman" w:eastAsia="Times New Roman" w:hAnsi="Times New Roman" w:cs="Times New Roman"/>
                <w:b/>
                <w:sz w:val="17"/>
                <w:szCs w:val="17"/>
                <w:shd w:val="clear" w:color="auto" w:fill="FFFFFF"/>
              </w:rPr>
            </w:pPr>
            <w:r w:rsidRPr="000972D1">
              <w:rPr>
                <w:rFonts w:ascii="Times New Roman" w:eastAsia="Times New Roman" w:hAnsi="Times New Roman" w:cs="Times New Roman"/>
                <w:b/>
                <w:sz w:val="17"/>
                <w:szCs w:val="17"/>
                <w:shd w:val="clear" w:color="auto" w:fill="FFFFFF"/>
                <w:lang w:val="en-US"/>
              </w:rPr>
              <w:t>BIG4</w:t>
            </w:r>
          </w:p>
        </w:tc>
        <w:tc>
          <w:tcPr>
            <w:tcW w:w="0" w:type="auto"/>
            <w:tcBorders>
              <w:top w:val="single" w:sz="12" w:space="0" w:color="auto"/>
            </w:tcBorders>
          </w:tcPr>
          <w:p w14:paraId="752EB2DE" w14:textId="666CC7E8" w:rsidR="00236193" w:rsidRPr="000972D1" w:rsidRDefault="00236193" w:rsidP="00911D12">
            <w:pPr>
              <w:jc w:val="center"/>
              <w:rPr>
                <w:rFonts w:ascii="Times New Roman" w:eastAsia="Times New Roman" w:hAnsi="Times New Roman" w:cs="Times New Roman"/>
                <w:b/>
                <w:sz w:val="17"/>
                <w:szCs w:val="17"/>
                <w:shd w:val="clear" w:color="auto" w:fill="FFFFFF"/>
              </w:rPr>
            </w:pPr>
            <w:r w:rsidRPr="000972D1">
              <w:rPr>
                <w:rFonts w:ascii="Times New Roman" w:eastAsia="Times New Roman" w:hAnsi="Times New Roman" w:cs="Times New Roman"/>
                <w:b/>
                <w:sz w:val="17"/>
                <w:szCs w:val="17"/>
                <w:shd w:val="clear" w:color="auto" w:fill="FFFFFF"/>
              </w:rPr>
              <w:t>LNFE</w:t>
            </w:r>
          </w:p>
        </w:tc>
        <w:tc>
          <w:tcPr>
            <w:tcW w:w="0" w:type="auto"/>
            <w:tcBorders>
              <w:top w:val="single" w:sz="12" w:space="0" w:color="auto"/>
            </w:tcBorders>
          </w:tcPr>
          <w:p w14:paraId="1B90D740" w14:textId="77777777" w:rsidR="00236193" w:rsidRPr="000972D1" w:rsidRDefault="00236193" w:rsidP="00911D12">
            <w:pPr>
              <w:jc w:val="center"/>
              <w:rPr>
                <w:rFonts w:ascii="Times New Roman" w:eastAsia="Times New Roman" w:hAnsi="Times New Roman" w:cs="Times New Roman"/>
                <w:b/>
                <w:sz w:val="17"/>
                <w:szCs w:val="17"/>
                <w:shd w:val="clear" w:color="auto" w:fill="FFFFFF"/>
                <w:lang w:val="en-US"/>
              </w:rPr>
            </w:pPr>
            <w:r w:rsidRPr="000972D1">
              <w:rPr>
                <w:rFonts w:ascii="Times New Roman" w:eastAsia="Times New Roman" w:hAnsi="Times New Roman" w:cs="Times New Roman"/>
                <w:b/>
                <w:sz w:val="17"/>
                <w:szCs w:val="17"/>
                <w:shd w:val="clear" w:color="auto" w:fill="FFFFFF"/>
              </w:rPr>
              <w:t>LNFE</w:t>
            </w:r>
          </w:p>
        </w:tc>
        <w:tc>
          <w:tcPr>
            <w:tcW w:w="0" w:type="auto"/>
            <w:tcBorders>
              <w:top w:val="single" w:sz="12" w:space="0" w:color="auto"/>
            </w:tcBorders>
          </w:tcPr>
          <w:p w14:paraId="1E9E7B9B" w14:textId="77777777" w:rsidR="00236193" w:rsidRPr="000972D1" w:rsidRDefault="00236193" w:rsidP="00911D12">
            <w:pPr>
              <w:jc w:val="center"/>
              <w:rPr>
                <w:rFonts w:ascii="Times New Roman" w:eastAsia="Times New Roman" w:hAnsi="Times New Roman" w:cs="Times New Roman"/>
                <w:b/>
                <w:sz w:val="17"/>
                <w:szCs w:val="17"/>
                <w:shd w:val="clear" w:color="auto" w:fill="FFFFFF"/>
                <w:lang w:val="en-US"/>
              </w:rPr>
            </w:pPr>
            <w:r w:rsidRPr="000972D1">
              <w:rPr>
                <w:rFonts w:ascii="Times New Roman" w:eastAsia="Times New Roman" w:hAnsi="Times New Roman" w:cs="Times New Roman"/>
                <w:b/>
                <w:sz w:val="17"/>
                <w:szCs w:val="17"/>
                <w:shd w:val="clear" w:color="auto" w:fill="FFFFFF"/>
              </w:rPr>
              <w:t>LNFE</w:t>
            </w:r>
          </w:p>
        </w:tc>
        <w:tc>
          <w:tcPr>
            <w:tcW w:w="0" w:type="auto"/>
            <w:tcBorders>
              <w:top w:val="single" w:sz="12" w:space="0" w:color="auto"/>
            </w:tcBorders>
          </w:tcPr>
          <w:p w14:paraId="40F8BC7B" w14:textId="77777777" w:rsidR="00236193" w:rsidRPr="000972D1" w:rsidRDefault="00236193" w:rsidP="00911D12">
            <w:pPr>
              <w:jc w:val="center"/>
              <w:rPr>
                <w:rFonts w:ascii="Times New Roman" w:eastAsia="Times New Roman" w:hAnsi="Times New Roman" w:cs="Times New Roman"/>
                <w:b/>
                <w:sz w:val="17"/>
                <w:szCs w:val="17"/>
                <w:shd w:val="clear" w:color="auto" w:fill="FFFFFF"/>
                <w:lang w:val="en-US"/>
              </w:rPr>
            </w:pPr>
            <w:r w:rsidRPr="000972D1">
              <w:rPr>
                <w:rFonts w:ascii="Times New Roman" w:eastAsia="Times New Roman" w:hAnsi="Times New Roman" w:cs="Times New Roman"/>
                <w:b/>
                <w:sz w:val="17"/>
                <w:szCs w:val="17"/>
                <w:shd w:val="clear" w:color="auto" w:fill="FFFFFF"/>
              </w:rPr>
              <w:t>LNFE</w:t>
            </w:r>
          </w:p>
        </w:tc>
        <w:tc>
          <w:tcPr>
            <w:tcW w:w="0" w:type="auto"/>
            <w:tcBorders>
              <w:top w:val="single" w:sz="12" w:space="0" w:color="auto"/>
            </w:tcBorders>
          </w:tcPr>
          <w:p w14:paraId="7E117354" w14:textId="4868EA93" w:rsidR="00236193" w:rsidRPr="000972D1" w:rsidRDefault="00236193" w:rsidP="00911D12">
            <w:pPr>
              <w:jc w:val="center"/>
              <w:rPr>
                <w:rFonts w:ascii="Times New Roman" w:eastAsia="Times New Roman" w:hAnsi="Times New Roman" w:cs="Times New Roman"/>
                <w:b/>
                <w:sz w:val="17"/>
                <w:szCs w:val="17"/>
                <w:shd w:val="clear" w:color="auto" w:fill="FFFFFF"/>
              </w:rPr>
            </w:pPr>
            <w:r w:rsidRPr="000972D1">
              <w:rPr>
                <w:rFonts w:ascii="Times New Roman" w:eastAsia="Times New Roman" w:hAnsi="Times New Roman" w:cs="Times New Roman"/>
                <w:b/>
                <w:sz w:val="17"/>
                <w:szCs w:val="17"/>
                <w:shd w:val="clear" w:color="auto" w:fill="FFFFFF"/>
              </w:rPr>
              <w:t>LNFE</w:t>
            </w:r>
          </w:p>
        </w:tc>
        <w:tc>
          <w:tcPr>
            <w:tcW w:w="0" w:type="auto"/>
            <w:tcBorders>
              <w:top w:val="single" w:sz="12" w:space="0" w:color="auto"/>
            </w:tcBorders>
          </w:tcPr>
          <w:p w14:paraId="7E826069" w14:textId="7BFBD6E0" w:rsidR="00236193" w:rsidRPr="000972D1" w:rsidRDefault="00236193" w:rsidP="00911D12">
            <w:pPr>
              <w:jc w:val="center"/>
              <w:rPr>
                <w:rFonts w:ascii="Times New Roman" w:eastAsia="Times New Roman" w:hAnsi="Times New Roman" w:cs="Times New Roman"/>
                <w:b/>
                <w:sz w:val="17"/>
                <w:szCs w:val="17"/>
                <w:shd w:val="clear" w:color="auto" w:fill="FFFFFF"/>
              </w:rPr>
            </w:pPr>
            <w:r w:rsidRPr="000972D1">
              <w:rPr>
                <w:rFonts w:ascii="Times New Roman" w:eastAsia="Times New Roman" w:hAnsi="Times New Roman" w:cs="Times New Roman"/>
                <w:b/>
                <w:sz w:val="17"/>
                <w:szCs w:val="17"/>
                <w:shd w:val="clear" w:color="auto" w:fill="FFFFFF"/>
              </w:rPr>
              <w:t>LNFE</w:t>
            </w:r>
          </w:p>
        </w:tc>
        <w:tc>
          <w:tcPr>
            <w:tcW w:w="0" w:type="auto"/>
            <w:tcBorders>
              <w:top w:val="single" w:sz="12" w:space="0" w:color="auto"/>
            </w:tcBorders>
          </w:tcPr>
          <w:p w14:paraId="6AB9A8EF" w14:textId="076F488A" w:rsidR="00236193" w:rsidRPr="000972D1" w:rsidRDefault="00236193" w:rsidP="00911D12">
            <w:pPr>
              <w:jc w:val="center"/>
              <w:rPr>
                <w:rFonts w:ascii="Times New Roman" w:eastAsia="Times New Roman" w:hAnsi="Times New Roman" w:cs="Times New Roman"/>
                <w:b/>
                <w:sz w:val="17"/>
                <w:szCs w:val="17"/>
                <w:shd w:val="clear" w:color="auto" w:fill="FFFFFF"/>
              </w:rPr>
            </w:pPr>
            <w:r w:rsidRPr="000972D1">
              <w:rPr>
                <w:rFonts w:ascii="Times New Roman" w:eastAsia="Times New Roman" w:hAnsi="Times New Roman" w:cs="Times New Roman"/>
                <w:b/>
                <w:sz w:val="17"/>
                <w:szCs w:val="17"/>
                <w:shd w:val="clear" w:color="auto" w:fill="FFFFFF"/>
              </w:rPr>
              <w:t>LNFE</w:t>
            </w:r>
          </w:p>
        </w:tc>
      </w:tr>
      <w:tr w:rsidR="00580A4D" w:rsidRPr="000972D1" w14:paraId="367A6716" w14:textId="6F92BE59" w:rsidTr="00580A4D">
        <w:trPr>
          <w:trHeight w:val="154"/>
          <w:jc w:val="center"/>
        </w:trPr>
        <w:tc>
          <w:tcPr>
            <w:tcW w:w="0" w:type="auto"/>
            <w:tcBorders>
              <w:bottom w:val="single" w:sz="12" w:space="0" w:color="auto"/>
              <w:right w:val="single" w:sz="12" w:space="0" w:color="auto"/>
            </w:tcBorders>
            <w:noWrap/>
          </w:tcPr>
          <w:p w14:paraId="02180372" w14:textId="77777777" w:rsidR="00580A4D" w:rsidRPr="000972D1" w:rsidRDefault="00580A4D" w:rsidP="00911D12">
            <w:pPr>
              <w:rPr>
                <w:rFonts w:ascii="Times New Roman" w:eastAsia="Times New Roman" w:hAnsi="Times New Roman" w:cs="Times New Roman"/>
                <w:b/>
                <w:sz w:val="17"/>
                <w:szCs w:val="17"/>
                <w:shd w:val="clear" w:color="auto" w:fill="FFFFFF"/>
                <w:lang w:val="en-US"/>
              </w:rPr>
            </w:pPr>
            <w:r w:rsidRPr="000972D1">
              <w:rPr>
                <w:rFonts w:ascii="Times New Roman" w:eastAsia="Times New Roman" w:hAnsi="Times New Roman" w:cs="Times New Roman"/>
                <w:b/>
                <w:sz w:val="17"/>
                <w:szCs w:val="17"/>
                <w:shd w:val="clear" w:color="auto" w:fill="FFFFFF"/>
                <w:lang w:val="en-US"/>
              </w:rPr>
              <w:t>(Model)</w:t>
            </w:r>
          </w:p>
        </w:tc>
        <w:tc>
          <w:tcPr>
            <w:tcW w:w="0" w:type="auto"/>
            <w:tcBorders>
              <w:left w:val="single" w:sz="12" w:space="0" w:color="auto"/>
              <w:bottom w:val="single" w:sz="12" w:space="0" w:color="auto"/>
            </w:tcBorders>
          </w:tcPr>
          <w:p w14:paraId="6E48D94B" w14:textId="77777777" w:rsidR="00580A4D" w:rsidRPr="000972D1" w:rsidRDefault="00580A4D" w:rsidP="00911D12">
            <w:pPr>
              <w:jc w:val="center"/>
              <w:rPr>
                <w:rFonts w:ascii="Times New Roman" w:eastAsia="Times New Roman" w:hAnsi="Times New Roman" w:cs="Times New Roman"/>
                <w:b/>
                <w:sz w:val="17"/>
                <w:szCs w:val="17"/>
                <w:shd w:val="clear" w:color="auto" w:fill="FFFFFF"/>
                <w:lang w:val="en-US"/>
              </w:rPr>
            </w:pPr>
            <w:r w:rsidRPr="000972D1">
              <w:rPr>
                <w:rFonts w:ascii="Times New Roman" w:eastAsia="Times New Roman" w:hAnsi="Times New Roman" w:cs="Times New Roman"/>
                <w:b/>
                <w:sz w:val="17"/>
                <w:szCs w:val="17"/>
                <w:shd w:val="clear" w:color="auto" w:fill="FFFFFF"/>
                <w:lang w:val="en-US"/>
              </w:rPr>
              <w:t>1</w:t>
            </w:r>
          </w:p>
        </w:tc>
        <w:tc>
          <w:tcPr>
            <w:tcW w:w="0" w:type="auto"/>
            <w:tcBorders>
              <w:bottom w:val="single" w:sz="12" w:space="0" w:color="auto"/>
            </w:tcBorders>
            <w:noWrap/>
          </w:tcPr>
          <w:p w14:paraId="7BC50AE1" w14:textId="77777777" w:rsidR="00580A4D" w:rsidRPr="000972D1" w:rsidRDefault="00580A4D" w:rsidP="00911D12">
            <w:pPr>
              <w:jc w:val="center"/>
              <w:rPr>
                <w:rFonts w:ascii="Times New Roman" w:eastAsia="Times New Roman" w:hAnsi="Times New Roman" w:cs="Times New Roman"/>
                <w:b/>
                <w:sz w:val="17"/>
                <w:szCs w:val="17"/>
                <w:shd w:val="clear" w:color="auto" w:fill="FFFFFF"/>
                <w:lang w:val="en-US"/>
              </w:rPr>
            </w:pPr>
            <w:r w:rsidRPr="000972D1">
              <w:rPr>
                <w:rFonts w:ascii="Times New Roman" w:eastAsia="Times New Roman" w:hAnsi="Times New Roman" w:cs="Times New Roman"/>
                <w:b/>
                <w:sz w:val="17"/>
                <w:szCs w:val="17"/>
                <w:shd w:val="clear" w:color="auto" w:fill="FFFFFF"/>
                <w:lang w:val="en-US"/>
              </w:rPr>
              <w:t>2</w:t>
            </w:r>
          </w:p>
        </w:tc>
        <w:tc>
          <w:tcPr>
            <w:tcW w:w="0" w:type="auto"/>
            <w:tcBorders>
              <w:bottom w:val="single" w:sz="12" w:space="0" w:color="auto"/>
            </w:tcBorders>
            <w:noWrap/>
          </w:tcPr>
          <w:p w14:paraId="513F5B97" w14:textId="77777777" w:rsidR="00580A4D" w:rsidRPr="000972D1" w:rsidRDefault="00580A4D" w:rsidP="00911D12">
            <w:pPr>
              <w:jc w:val="center"/>
              <w:rPr>
                <w:rFonts w:ascii="Times New Roman" w:eastAsia="Times New Roman" w:hAnsi="Times New Roman" w:cs="Times New Roman"/>
                <w:b/>
                <w:sz w:val="17"/>
                <w:szCs w:val="17"/>
                <w:shd w:val="clear" w:color="auto" w:fill="FFFFFF"/>
                <w:lang w:val="en-US"/>
              </w:rPr>
            </w:pPr>
            <w:r w:rsidRPr="000972D1">
              <w:rPr>
                <w:rFonts w:ascii="Times New Roman" w:eastAsia="Times New Roman" w:hAnsi="Times New Roman" w:cs="Times New Roman"/>
                <w:b/>
                <w:sz w:val="17"/>
                <w:szCs w:val="17"/>
                <w:shd w:val="clear" w:color="auto" w:fill="FFFFFF"/>
                <w:lang w:val="en-US"/>
              </w:rPr>
              <w:t>3</w:t>
            </w:r>
          </w:p>
        </w:tc>
        <w:tc>
          <w:tcPr>
            <w:tcW w:w="0" w:type="auto"/>
            <w:tcBorders>
              <w:bottom w:val="single" w:sz="12" w:space="0" w:color="auto"/>
            </w:tcBorders>
          </w:tcPr>
          <w:p w14:paraId="06A98175" w14:textId="77777777" w:rsidR="00580A4D" w:rsidRPr="000972D1" w:rsidRDefault="00580A4D" w:rsidP="00911D12">
            <w:pPr>
              <w:jc w:val="center"/>
              <w:rPr>
                <w:rFonts w:ascii="Times New Roman" w:eastAsia="Times New Roman" w:hAnsi="Times New Roman" w:cs="Times New Roman"/>
                <w:b/>
                <w:sz w:val="17"/>
                <w:szCs w:val="17"/>
                <w:shd w:val="clear" w:color="auto" w:fill="FFFFFF"/>
                <w:lang w:val="en-US"/>
              </w:rPr>
            </w:pPr>
            <w:r w:rsidRPr="000972D1">
              <w:rPr>
                <w:rFonts w:ascii="Times New Roman" w:eastAsia="Times New Roman" w:hAnsi="Times New Roman" w:cs="Times New Roman"/>
                <w:b/>
                <w:sz w:val="17"/>
                <w:szCs w:val="17"/>
                <w:shd w:val="clear" w:color="auto" w:fill="FFFFFF"/>
                <w:lang w:val="en-US"/>
              </w:rPr>
              <w:t>4</w:t>
            </w:r>
          </w:p>
        </w:tc>
        <w:tc>
          <w:tcPr>
            <w:tcW w:w="0" w:type="auto"/>
            <w:tcBorders>
              <w:bottom w:val="single" w:sz="12" w:space="0" w:color="auto"/>
            </w:tcBorders>
          </w:tcPr>
          <w:p w14:paraId="043B95A1" w14:textId="376140E2" w:rsidR="00580A4D" w:rsidRPr="000972D1" w:rsidRDefault="001973FB" w:rsidP="00911D12">
            <w:pPr>
              <w:jc w:val="center"/>
              <w:rPr>
                <w:rFonts w:ascii="Times New Roman" w:eastAsia="Times New Roman" w:hAnsi="Times New Roman" w:cs="Times New Roman"/>
                <w:b/>
                <w:sz w:val="17"/>
                <w:szCs w:val="17"/>
                <w:shd w:val="clear" w:color="auto" w:fill="FFFFFF"/>
                <w:lang w:val="en-US"/>
              </w:rPr>
            </w:pPr>
            <w:r w:rsidRPr="000972D1">
              <w:rPr>
                <w:rFonts w:ascii="Times New Roman" w:eastAsia="Times New Roman" w:hAnsi="Times New Roman" w:cs="Times New Roman"/>
                <w:b/>
                <w:sz w:val="17"/>
                <w:szCs w:val="17"/>
                <w:shd w:val="clear" w:color="auto" w:fill="FFFFFF"/>
                <w:lang w:val="en-US"/>
              </w:rPr>
              <w:t>5</w:t>
            </w:r>
          </w:p>
        </w:tc>
        <w:tc>
          <w:tcPr>
            <w:tcW w:w="0" w:type="auto"/>
            <w:tcBorders>
              <w:bottom w:val="single" w:sz="12" w:space="0" w:color="auto"/>
            </w:tcBorders>
          </w:tcPr>
          <w:p w14:paraId="7CE803B9" w14:textId="2902F1F3" w:rsidR="00580A4D" w:rsidRPr="000972D1" w:rsidRDefault="001973FB" w:rsidP="00911D12">
            <w:pPr>
              <w:jc w:val="center"/>
              <w:rPr>
                <w:rFonts w:ascii="Times New Roman" w:eastAsia="Times New Roman" w:hAnsi="Times New Roman" w:cs="Times New Roman"/>
                <w:b/>
                <w:sz w:val="17"/>
                <w:szCs w:val="17"/>
                <w:shd w:val="clear" w:color="auto" w:fill="FFFFFF"/>
                <w:lang w:val="en-US"/>
              </w:rPr>
            </w:pPr>
            <w:r w:rsidRPr="000972D1">
              <w:rPr>
                <w:rFonts w:ascii="Times New Roman" w:eastAsia="Times New Roman" w:hAnsi="Times New Roman" w:cs="Times New Roman"/>
                <w:b/>
                <w:sz w:val="17"/>
                <w:szCs w:val="17"/>
                <w:shd w:val="clear" w:color="auto" w:fill="FFFFFF"/>
                <w:lang w:val="en-US"/>
              </w:rPr>
              <w:t>6</w:t>
            </w:r>
          </w:p>
        </w:tc>
        <w:tc>
          <w:tcPr>
            <w:tcW w:w="0" w:type="auto"/>
            <w:tcBorders>
              <w:bottom w:val="single" w:sz="12" w:space="0" w:color="auto"/>
            </w:tcBorders>
          </w:tcPr>
          <w:p w14:paraId="6BE3BFEC" w14:textId="7108B491" w:rsidR="00580A4D" w:rsidRPr="000972D1" w:rsidRDefault="001973FB" w:rsidP="00911D12">
            <w:pPr>
              <w:jc w:val="center"/>
              <w:rPr>
                <w:rFonts w:ascii="Times New Roman" w:eastAsia="Times New Roman" w:hAnsi="Times New Roman" w:cs="Times New Roman"/>
                <w:b/>
                <w:sz w:val="17"/>
                <w:szCs w:val="17"/>
                <w:shd w:val="clear" w:color="auto" w:fill="FFFFFF"/>
                <w:lang w:val="en-US"/>
              </w:rPr>
            </w:pPr>
            <w:r w:rsidRPr="000972D1">
              <w:rPr>
                <w:rFonts w:ascii="Times New Roman" w:eastAsia="Times New Roman" w:hAnsi="Times New Roman" w:cs="Times New Roman"/>
                <w:b/>
                <w:sz w:val="17"/>
                <w:szCs w:val="17"/>
                <w:shd w:val="clear" w:color="auto" w:fill="FFFFFF"/>
                <w:lang w:val="en-US"/>
              </w:rPr>
              <w:t>7</w:t>
            </w:r>
          </w:p>
        </w:tc>
        <w:tc>
          <w:tcPr>
            <w:tcW w:w="0" w:type="auto"/>
            <w:tcBorders>
              <w:bottom w:val="single" w:sz="12" w:space="0" w:color="auto"/>
            </w:tcBorders>
          </w:tcPr>
          <w:p w14:paraId="2FD81190" w14:textId="14BA4B2A" w:rsidR="00580A4D" w:rsidRPr="000972D1" w:rsidRDefault="001973FB" w:rsidP="00911D12">
            <w:pPr>
              <w:jc w:val="center"/>
              <w:rPr>
                <w:rFonts w:ascii="Times New Roman" w:eastAsia="Times New Roman" w:hAnsi="Times New Roman" w:cs="Times New Roman"/>
                <w:b/>
                <w:sz w:val="17"/>
                <w:szCs w:val="17"/>
                <w:shd w:val="clear" w:color="auto" w:fill="FFFFFF"/>
                <w:lang w:val="en-US"/>
              </w:rPr>
            </w:pPr>
            <w:r w:rsidRPr="000972D1">
              <w:rPr>
                <w:rFonts w:ascii="Times New Roman" w:eastAsia="Times New Roman" w:hAnsi="Times New Roman" w:cs="Times New Roman"/>
                <w:b/>
                <w:sz w:val="17"/>
                <w:szCs w:val="17"/>
                <w:shd w:val="clear" w:color="auto" w:fill="FFFFFF"/>
                <w:lang w:val="en-US"/>
              </w:rPr>
              <w:t>8</w:t>
            </w:r>
          </w:p>
        </w:tc>
        <w:tc>
          <w:tcPr>
            <w:tcW w:w="0" w:type="auto"/>
            <w:tcBorders>
              <w:bottom w:val="single" w:sz="12" w:space="0" w:color="auto"/>
            </w:tcBorders>
          </w:tcPr>
          <w:p w14:paraId="0F2693A9" w14:textId="0852DC5E" w:rsidR="00580A4D" w:rsidRPr="000972D1" w:rsidRDefault="001973FB" w:rsidP="00911D12">
            <w:pPr>
              <w:jc w:val="center"/>
              <w:rPr>
                <w:rFonts w:ascii="Times New Roman" w:eastAsia="Times New Roman" w:hAnsi="Times New Roman" w:cs="Times New Roman"/>
                <w:b/>
                <w:sz w:val="17"/>
                <w:szCs w:val="17"/>
                <w:shd w:val="clear" w:color="auto" w:fill="FFFFFF"/>
                <w:lang w:val="en-US"/>
              </w:rPr>
            </w:pPr>
            <w:r w:rsidRPr="000972D1">
              <w:rPr>
                <w:rFonts w:ascii="Times New Roman" w:eastAsia="Times New Roman" w:hAnsi="Times New Roman" w:cs="Times New Roman"/>
                <w:b/>
                <w:sz w:val="17"/>
                <w:szCs w:val="17"/>
                <w:shd w:val="clear" w:color="auto" w:fill="FFFFFF"/>
                <w:lang w:val="en-US"/>
              </w:rPr>
              <w:t>9</w:t>
            </w:r>
          </w:p>
        </w:tc>
        <w:tc>
          <w:tcPr>
            <w:tcW w:w="0" w:type="auto"/>
            <w:tcBorders>
              <w:bottom w:val="single" w:sz="12" w:space="0" w:color="auto"/>
            </w:tcBorders>
          </w:tcPr>
          <w:p w14:paraId="55FB85C5" w14:textId="483900E6" w:rsidR="00580A4D" w:rsidRPr="000972D1" w:rsidRDefault="001973FB" w:rsidP="00911D12">
            <w:pPr>
              <w:jc w:val="center"/>
              <w:rPr>
                <w:rFonts w:ascii="Times New Roman" w:eastAsia="Times New Roman" w:hAnsi="Times New Roman" w:cs="Times New Roman"/>
                <w:b/>
                <w:sz w:val="17"/>
                <w:szCs w:val="17"/>
                <w:shd w:val="clear" w:color="auto" w:fill="FFFFFF"/>
                <w:lang w:val="en-US"/>
              </w:rPr>
            </w:pPr>
            <w:r w:rsidRPr="000972D1">
              <w:rPr>
                <w:rFonts w:ascii="Times New Roman" w:eastAsia="Times New Roman" w:hAnsi="Times New Roman" w:cs="Times New Roman"/>
                <w:b/>
                <w:sz w:val="17"/>
                <w:szCs w:val="17"/>
                <w:shd w:val="clear" w:color="auto" w:fill="FFFFFF"/>
                <w:lang w:val="en-US"/>
              </w:rPr>
              <w:t>10</w:t>
            </w:r>
          </w:p>
        </w:tc>
        <w:tc>
          <w:tcPr>
            <w:tcW w:w="0" w:type="auto"/>
            <w:tcBorders>
              <w:bottom w:val="single" w:sz="12" w:space="0" w:color="auto"/>
            </w:tcBorders>
          </w:tcPr>
          <w:p w14:paraId="2D47CC6E" w14:textId="4BB45A1F" w:rsidR="00580A4D" w:rsidRPr="000972D1" w:rsidRDefault="001973FB" w:rsidP="00911D12">
            <w:pPr>
              <w:jc w:val="center"/>
              <w:rPr>
                <w:rFonts w:ascii="Times New Roman" w:eastAsia="Times New Roman" w:hAnsi="Times New Roman" w:cs="Times New Roman"/>
                <w:b/>
                <w:sz w:val="17"/>
                <w:szCs w:val="17"/>
                <w:shd w:val="clear" w:color="auto" w:fill="FFFFFF"/>
                <w:lang w:val="en-US"/>
              </w:rPr>
            </w:pPr>
            <w:r w:rsidRPr="000972D1">
              <w:rPr>
                <w:rFonts w:ascii="Times New Roman" w:eastAsia="Times New Roman" w:hAnsi="Times New Roman" w:cs="Times New Roman"/>
                <w:b/>
                <w:sz w:val="17"/>
                <w:szCs w:val="17"/>
                <w:shd w:val="clear" w:color="auto" w:fill="FFFFFF"/>
                <w:lang w:val="en-US"/>
              </w:rPr>
              <w:t>11</w:t>
            </w:r>
          </w:p>
        </w:tc>
        <w:tc>
          <w:tcPr>
            <w:tcW w:w="0" w:type="auto"/>
            <w:tcBorders>
              <w:bottom w:val="single" w:sz="12" w:space="0" w:color="auto"/>
            </w:tcBorders>
          </w:tcPr>
          <w:p w14:paraId="6B9D6141" w14:textId="60F2300D" w:rsidR="00580A4D" w:rsidRPr="000972D1" w:rsidRDefault="001973FB" w:rsidP="00911D12">
            <w:pPr>
              <w:jc w:val="center"/>
              <w:rPr>
                <w:rFonts w:ascii="Times New Roman" w:eastAsia="Times New Roman" w:hAnsi="Times New Roman" w:cs="Times New Roman"/>
                <w:b/>
                <w:sz w:val="17"/>
                <w:szCs w:val="17"/>
                <w:shd w:val="clear" w:color="auto" w:fill="FFFFFF"/>
                <w:lang w:val="en-US"/>
              </w:rPr>
            </w:pPr>
            <w:r w:rsidRPr="000972D1">
              <w:rPr>
                <w:rFonts w:ascii="Times New Roman" w:eastAsia="Times New Roman" w:hAnsi="Times New Roman" w:cs="Times New Roman"/>
                <w:b/>
                <w:sz w:val="17"/>
                <w:szCs w:val="17"/>
                <w:shd w:val="clear" w:color="auto" w:fill="FFFFFF"/>
                <w:lang w:val="en-US"/>
              </w:rPr>
              <w:t>12</w:t>
            </w:r>
          </w:p>
        </w:tc>
        <w:tc>
          <w:tcPr>
            <w:tcW w:w="0" w:type="auto"/>
            <w:tcBorders>
              <w:bottom w:val="single" w:sz="12" w:space="0" w:color="auto"/>
            </w:tcBorders>
          </w:tcPr>
          <w:p w14:paraId="0FA8DD72" w14:textId="462A45ED" w:rsidR="00580A4D" w:rsidRPr="000972D1" w:rsidRDefault="001973FB" w:rsidP="00911D12">
            <w:pPr>
              <w:jc w:val="center"/>
              <w:rPr>
                <w:rFonts w:ascii="Times New Roman" w:eastAsia="Times New Roman" w:hAnsi="Times New Roman" w:cs="Times New Roman"/>
                <w:b/>
                <w:sz w:val="17"/>
                <w:szCs w:val="17"/>
                <w:shd w:val="clear" w:color="auto" w:fill="FFFFFF"/>
                <w:lang w:val="en-US"/>
              </w:rPr>
            </w:pPr>
            <w:r w:rsidRPr="000972D1">
              <w:rPr>
                <w:rFonts w:ascii="Times New Roman" w:eastAsia="Times New Roman" w:hAnsi="Times New Roman" w:cs="Times New Roman"/>
                <w:b/>
                <w:sz w:val="17"/>
                <w:szCs w:val="17"/>
                <w:shd w:val="clear" w:color="auto" w:fill="FFFFFF"/>
                <w:lang w:val="en-US"/>
              </w:rPr>
              <w:t>13</w:t>
            </w:r>
          </w:p>
        </w:tc>
        <w:tc>
          <w:tcPr>
            <w:tcW w:w="0" w:type="auto"/>
            <w:tcBorders>
              <w:bottom w:val="single" w:sz="12" w:space="0" w:color="auto"/>
            </w:tcBorders>
          </w:tcPr>
          <w:p w14:paraId="5C44285E" w14:textId="5EC981D1" w:rsidR="00580A4D" w:rsidRPr="000972D1" w:rsidRDefault="001973FB" w:rsidP="00911D12">
            <w:pPr>
              <w:jc w:val="center"/>
              <w:rPr>
                <w:rFonts w:ascii="Times New Roman" w:eastAsia="Times New Roman" w:hAnsi="Times New Roman" w:cs="Times New Roman"/>
                <w:b/>
                <w:sz w:val="17"/>
                <w:szCs w:val="17"/>
                <w:shd w:val="clear" w:color="auto" w:fill="FFFFFF"/>
                <w:lang w:val="en-US"/>
              </w:rPr>
            </w:pPr>
            <w:r w:rsidRPr="000972D1">
              <w:rPr>
                <w:rFonts w:ascii="Times New Roman" w:eastAsia="Times New Roman" w:hAnsi="Times New Roman" w:cs="Times New Roman"/>
                <w:b/>
                <w:sz w:val="17"/>
                <w:szCs w:val="17"/>
                <w:shd w:val="clear" w:color="auto" w:fill="FFFFFF"/>
                <w:lang w:val="en-US"/>
              </w:rPr>
              <w:t>14</w:t>
            </w:r>
          </w:p>
        </w:tc>
      </w:tr>
      <w:tr w:rsidR="00151CBA" w:rsidRPr="000972D1" w14:paraId="69682A5A" w14:textId="3DCD82B4" w:rsidTr="00580A4D">
        <w:trPr>
          <w:trHeight w:val="225"/>
          <w:jc w:val="center"/>
        </w:trPr>
        <w:tc>
          <w:tcPr>
            <w:tcW w:w="0" w:type="auto"/>
            <w:tcBorders>
              <w:top w:val="single" w:sz="12" w:space="0" w:color="auto"/>
              <w:right w:val="single" w:sz="12" w:space="0" w:color="auto"/>
            </w:tcBorders>
            <w:noWrap/>
            <w:hideMark/>
          </w:tcPr>
          <w:p w14:paraId="10D189A4" w14:textId="2DA9B376" w:rsidR="00151CBA" w:rsidRPr="000972D1" w:rsidRDefault="00151CBA" w:rsidP="00911D12">
            <w:pP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VOICE</w:t>
            </w:r>
          </w:p>
        </w:tc>
        <w:tc>
          <w:tcPr>
            <w:tcW w:w="0" w:type="auto"/>
            <w:tcBorders>
              <w:top w:val="single" w:sz="12" w:space="0" w:color="auto"/>
            </w:tcBorders>
          </w:tcPr>
          <w:p w14:paraId="29C36770" w14:textId="77777777" w:rsidR="00151CBA" w:rsidRPr="000972D1" w:rsidRDefault="006C7C36"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0.670</w:t>
            </w:r>
          </w:p>
          <w:p w14:paraId="1FCFCF9C" w14:textId="3C23A25F" w:rsidR="006C7C36" w:rsidRPr="000972D1" w:rsidRDefault="006C7C36"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(0.645)</w:t>
            </w:r>
          </w:p>
        </w:tc>
        <w:tc>
          <w:tcPr>
            <w:tcW w:w="0" w:type="auto"/>
            <w:tcBorders>
              <w:top w:val="single" w:sz="12" w:space="0" w:color="auto"/>
            </w:tcBorders>
            <w:noWrap/>
          </w:tcPr>
          <w:p w14:paraId="025C644C" w14:textId="3EDF8FA9"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Borders>
              <w:top w:val="single" w:sz="12" w:space="0" w:color="auto"/>
            </w:tcBorders>
            <w:noWrap/>
          </w:tcPr>
          <w:p w14:paraId="35285F2E" w14:textId="0C1DEB87"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Borders>
              <w:top w:val="single" w:sz="12" w:space="0" w:color="auto"/>
            </w:tcBorders>
          </w:tcPr>
          <w:p w14:paraId="68D84538" w14:textId="08CFA1E4"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Borders>
              <w:top w:val="single" w:sz="12" w:space="0" w:color="auto"/>
            </w:tcBorders>
          </w:tcPr>
          <w:p w14:paraId="03679452" w14:textId="5FD3B4E0"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Borders>
              <w:top w:val="single" w:sz="12" w:space="0" w:color="auto"/>
            </w:tcBorders>
          </w:tcPr>
          <w:p w14:paraId="37B1B2CE" w14:textId="0E07E27E"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Borders>
              <w:top w:val="single" w:sz="12" w:space="0" w:color="auto"/>
            </w:tcBorders>
          </w:tcPr>
          <w:p w14:paraId="37255856" w14:textId="46CAECB8"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Borders>
              <w:top w:val="single" w:sz="12" w:space="0" w:color="auto"/>
            </w:tcBorders>
          </w:tcPr>
          <w:p w14:paraId="34A361D6" w14:textId="77777777" w:rsidR="00151CBA" w:rsidRPr="000972D1" w:rsidRDefault="002864E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3.937***</w:t>
            </w:r>
          </w:p>
          <w:p w14:paraId="14B2623A" w14:textId="77AC38B0" w:rsidR="002864EE" w:rsidRPr="000972D1" w:rsidRDefault="002864E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(0.000)</w:t>
            </w:r>
          </w:p>
        </w:tc>
        <w:tc>
          <w:tcPr>
            <w:tcW w:w="0" w:type="auto"/>
            <w:tcBorders>
              <w:top w:val="single" w:sz="12" w:space="0" w:color="auto"/>
            </w:tcBorders>
          </w:tcPr>
          <w:p w14:paraId="1A6F054B" w14:textId="2301957F"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Borders>
              <w:top w:val="single" w:sz="12" w:space="0" w:color="auto"/>
            </w:tcBorders>
          </w:tcPr>
          <w:p w14:paraId="741CFEF4" w14:textId="237F2E0A"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Borders>
              <w:top w:val="single" w:sz="12" w:space="0" w:color="auto"/>
            </w:tcBorders>
          </w:tcPr>
          <w:p w14:paraId="176DC696" w14:textId="78003131"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Borders>
              <w:top w:val="single" w:sz="12" w:space="0" w:color="auto"/>
            </w:tcBorders>
          </w:tcPr>
          <w:p w14:paraId="101C0417" w14:textId="228E213E"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Borders>
              <w:top w:val="single" w:sz="12" w:space="0" w:color="auto"/>
            </w:tcBorders>
          </w:tcPr>
          <w:p w14:paraId="1DD5B1E3" w14:textId="6BF0B2C9"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Borders>
              <w:top w:val="single" w:sz="12" w:space="0" w:color="auto"/>
            </w:tcBorders>
          </w:tcPr>
          <w:p w14:paraId="2A16088A" w14:textId="6B2F8C4D"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r>
      <w:tr w:rsidR="00151CBA" w:rsidRPr="000972D1" w14:paraId="05E87113" w14:textId="2A525D04" w:rsidTr="00580A4D">
        <w:trPr>
          <w:trHeight w:val="300"/>
          <w:jc w:val="center"/>
        </w:trPr>
        <w:tc>
          <w:tcPr>
            <w:tcW w:w="0" w:type="auto"/>
            <w:tcBorders>
              <w:right w:val="single" w:sz="12" w:space="0" w:color="auto"/>
            </w:tcBorders>
            <w:noWrap/>
            <w:hideMark/>
          </w:tcPr>
          <w:p w14:paraId="5C2DB1EF" w14:textId="7AED2B8A" w:rsidR="00151CBA" w:rsidRPr="000972D1" w:rsidRDefault="00151CBA" w:rsidP="00911D12">
            <w:pP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POLTC</w:t>
            </w:r>
          </w:p>
        </w:tc>
        <w:tc>
          <w:tcPr>
            <w:tcW w:w="0" w:type="auto"/>
          </w:tcPr>
          <w:p w14:paraId="61B3AE60" w14:textId="6907A0BC"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noWrap/>
          </w:tcPr>
          <w:p w14:paraId="14566F43" w14:textId="77777777" w:rsidR="00151CBA" w:rsidRPr="000972D1" w:rsidRDefault="006C7C36"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1.806***</w:t>
            </w:r>
          </w:p>
          <w:p w14:paraId="45357304" w14:textId="6AC5D9AC" w:rsidR="006C7C36" w:rsidRPr="000972D1" w:rsidRDefault="006C7C36"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(0.000)</w:t>
            </w:r>
          </w:p>
        </w:tc>
        <w:tc>
          <w:tcPr>
            <w:tcW w:w="0" w:type="auto"/>
            <w:noWrap/>
          </w:tcPr>
          <w:p w14:paraId="051F6120" w14:textId="4B41D824"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Pr>
          <w:p w14:paraId="1FDDB1FD" w14:textId="46AD31B6"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Pr>
          <w:p w14:paraId="4A26AACB" w14:textId="57CEE577"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Pr>
          <w:p w14:paraId="487314FF" w14:textId="5F88C414"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Pr>
          <w:p w14:paraId="01F96005" w14:textId="71E83186"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Pr>
          <w:p w14:paraId="4110980C" w14:textId="60CC1A60"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Pr>
          <w:p w14:paraId="5B540E07" w14:textId="77777777" w:rsidR="00151CBA" w:rsidRPr="000972D1" w:rsidRDefault="005A1142"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1.182***</w:t>
            </w:r>
          </w:p>
          <w:p w14:paraId="34A5ECBC" w14:textId="33BDF77E" w:rsidR="005A1142" w:rsidRPr="000972D1" w:rsidRDefault="005A1142"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(0.000)</w:t>
            </w:r>
          </w:p>
        </w:tc>
        <w:tc>
          <w:tcPr>
            <w:tcW w:w="0" w:type="auto"/>
          </w:tcPr>
          <w:p w14:paraId="7984E8B4" w14:textId="245F9D86"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Pr>
          <w:p w14:paraId="7AE031EE" w14:textId="6213A643"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Pr>
          <w:p w14:paraId="34C735D9" w14:textId="419E0E2E"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Pr>
          <w:p w14:paraId="5969A60A" w14:textId="0C07B0B9"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Pr>
          <w:p w14:paraId="4513B02A" w14:textId="1A266461"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r>
      <w:tr w:rsidR="00151CBA" w:rsidRPr="000972D1" w14:paraId="349D2FC9" w14:textId="1F5A0FA1" w:rsidTr="00580A4D">
        <w:trPr>
          <w:trHeight w:val="300"/>
          <w:jc w:val="center"/>
        </w:trPr>
        <w:tc>
          <w:tcPr>
            <w:tcW w:w="0" w:type="auto"/>
            <w:tcBorders>
              <w:right w:val="single" w:sz="12" w:space="0" w:color="auto"/>
            </w:tcBorders>
            <w:noWrap/>
            <w:hideMark/>
          </w:tcPr>
          <w:p w14:paraId="414691E3" w14:textId="42AAF676" w:rsidR="00151CBA" w:rsidRPr="000972D1" w:rsidRDefault="00151CBA" w:rsidP="00911D12">
            <w:pP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bCs/>
                <w:sz w:val="17"/>
                <w:szCs w:val="17"/>
                <w:shd w:val="clear" w:color="auto" w:fill="FFFFFF"/>
              </w:rPr>
              <w:t>GOVT</w:t>
            </w:r>
          </w:p>
        </w:tc>
        <w:tc>
          <w:tcPr>
            <w:tcW w:w="0" w:type="auto"/>
          </w:tcPr>
          <w:p w14:paraId="765D39F7" w14:textId="0A6C8232"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noWrap/>
          </w:tcPr>
          <w:p w14:paraId="7185AE37" w14:textId="1DAFAFCC"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noWrap/>
          </w:tcPr>
          <w:p w14:paraId="0DA99C95" w14:textId="77777777" w:rsidR="00151CBA" w:rsidRPr="000972D1" w:rsidRDefault="00CA4BE3"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1.165*</w:t>
            </w:r>
          </w:p>
          <w:p w14:paraId="3D570D3D" w14:textId="0210BE09" w:rsidR="00CA4BE3" w:rsidRPr="000972D1" w:rsidRDefault="00CA4BE3"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0.083</w:t>
            </w:r>
          </w:p>
        </w:tc>
        <w:tc>
          <w:tcPr>
            <w:tcW w:w="0" w:type="auto"/>
          </w:tcPr>
          <w:p w14:paraId="4FA3A324" w14:textId="577BC531"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Pr>
          <w:p w14:paraId="3557A5D4" w14:textId="3745FC3E"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Pr>
          <w:p w14:paraId="7E818835" w14:textId="1CD717F9"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Pr>
          <w:p w14:paraId="4A53636C" w14:textId="73C0C3FC"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Pr>
          <w:p w14:paraId="1D969EDA" w14:textId="18AEA2E2"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Pr>
          <w:p w14:paraId="3658C8DE" w14:textId="3689855C"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Pr>
          <w:p w14:paraId="33986BF2" w14:textId="77777777" w:rsidR="00151CBA" w:rsidRPr="000972D1" w:rsidRDefault="00AA537C"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1.792***</w:t>
            </w:r>
          </w:p>
          <w:p w14:paraId="42751DCC" w14:textId="26225C77" w:rsidR="00AA537C" w:rsidRPr="000972D1" w:rsidRDefault="00AA537C"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(0.000)</w:t>
            </w:r>
          </w:p>
        </w:tc>
        <w:tc>
          <w:tcPr>
            <w:tcW w:w="0" w:type="auto"/>
          </w:tcPr>
          <w:p w14:paraId="2204FE51" w14:textId="39DB0AF9"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Pr>
          <w:p w14:paraId="5D165B31" w14:textId="6792DF90"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Pr>
          <w:p w14:paraId="3DB5607C" w14:textId="1E136BAC"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Pr>
          <w:p w14:paraId="72434E49" w14:textId="4DE5A133"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r>
      <w:tr w:rsidR="00151CBA" w:rsidRPr="000972D1" w14:paraId="389731CA" w14:textId="1B1F2D2D" w:rsidTr="00580A4D">
        <w:trPr>
          <w:trHeight w:val="300"/>
          <w:jc w:val="center"/>
        </w:trPr>
        <w:tc>
          <w:tcPr>
            <w:tcW w:w="0" w:type="auto"/>
            <w:tcBorders>
              <w:right w:val="single" w:sz="12" w:space="0" w:color="auto"/>
            </w:tcBorders>
            <w:noWrap/>
          </w:tcPr>
          <w:p w14:paraId="0D3EFB01" w14:textId="79720478" w:rsidR="00151CBA" w:rsidRPr="000972D1" w:rsidRDefault="00151CBA" w:rsidP="00911D12">
            <w:pPr>
              <w:rPr>
                <w:rFonts w:ascii="Times New Roman" w:eastAsia="Times New Roman" w:hAnsi="Times New Roman" w:cs="Times New Roman"/>
                <w:bCs/>
                <w:sz w:val="17"/>
                <w:szCs w:val="17"/>
                <w:shd w:val="clear" w:color="auto" w:fill="FFFFFF"/>
              </w:rPr>
            </w:pPr>
            <w:r w:rsidRPr="000972D1">
              <w:rPr>
                <w:rFonts w:ascii="Times New Roman" w:eastAsia="Times New Roman" w:hAnsi="Times New Roman" w:cs="Times New Roman"/>
                <w:bCs/>
                <w:sz w:val="17"/>
                <w:szCs w:val="17"/>
                <w:shd w:val="clear" w:color="auto" w:fill="FFFFFF"/>
              </w:rPr>
              <w:t>REGY</w:t>
            </w:r>
          </w:p>
        </w:tc>
        <w:tc>
          <w:tcPr>
            <w:tcW w:w="0" w:type="auto"/>
          </w:tcPr>
          <w:p w14:paraId="443005B1" w14:textId="3D349E7D"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noWrap/>
          </w:tcPr>
          <w:p w14:paraId="01573737" w14:textId="7D282289"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noWrap/>
          </w:tcPr>
          <w:p w14:paraId="09EDD947" w14:textId="77BAC771"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Pr>
          <w:p w14:paraId="0D5AAD90" w14:textId="77777777" w:rsidR="00151CBA" w:rsidRPr="000972D1" w:rsidRDefault="009933B6"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1.774**</w:t>
            </w:r>
          </w:p>
          <w:p w14:paraId="3716BD3B" w14:textId="107DBB41" w:rsidR="009933B6" w:rsidRPr="000972D1" w:rsidRDefault="009933B6"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(0.044)</w:t>
            </w:r>
          </w:p>
        </w:tc>
        <w:tc>
          <w:tcPr>
            <w:tcW w:w="0" w:type="auto"/>
          </w:tcPr>
          <w:p w14:paraId="0C312E33" w14:textId="12EAB396"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Pr>
          <w:p w14:paraId="55C60E01" w14:textId="02BF63BB"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Pr>
          <w:p w14:paraId="2A140E09" w14:textId="452B8060"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Pr>
          <w:p w14:paraId="7E664A1F" w14:textId="11A3FA6E"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Pr>
          <w:p w14:paraId="35368CEF" w14:textId="7C07E324"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Pr>
          <w:p w14:paraId="08C98877" w14:textId="20AEF897"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Pr>
          <w:p w14:paraId="31020486" w14:textId="77777777" w:rsidR="00151CBA" w:rsidRPr="000972D1" w:rsidRDefault="00F21781"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2.094***</w:t>
            </w:r>
          </w:p>
          <w:p w14:paraId="25EAB7BA" w14:textId="35744A18" w:rsidR="00F21781" w:rsidRPr="000972D1" w:rsidRDefault="00F21781"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(0.000)</w:t>
            </w:r>
          </w:p>
        </w:tc>
        <w:tc>
          <w:tcPr>
            <w:tcW w:w="0" w:type="auto"/>
          </w:tcPr>
          <w:p w14:paraId="1614C522" w14:textId="089783E3"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Pr>
          <w:p w14:paraId="35DB5C27" w14:textId="6A165D61"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Pr>
          <w:p w14:paraId="3B6B23DA" w14:textId="7D65F1B2"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r>
      <w:tr w:rsidR="00151CBA" w:rsidRPr="000972D1" w14:paraId="67A375F8" w14:textId="184B3A50" w:rsidTr="00580A4D">
        <w:trPr>
          <w:trHeight w:val="300"/>
          <w:jc w:val="center"/>
        </w:trPr>
        <w:tc>
          <w:tcPr>
            <w:tcW w:w="0" w:type="auto"/>
            <w:tcBorders>
              <w:right w:val="single" w:sz="12" w:space="0" w:color="auto"/>
            </w:tcBorders>
            <w:noWrap/>
          </w:tcPr>
          <w:p w14:paraId="1B5DD658" w14:textId="6AC130E5" w:rsidR="00151CBA" w:rsidRPr="000972D1" w:rsidRDefault="00151CBA" w:rsidP="00911D12">
            <w:pP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RLAW</w:t>
            </w:r>
          </w:p>
        </w:tc>
        <w:tc>
          <w:tcPr>
            <w:tcW w:w="0" w:type="auto"/>
          </w:tcPr>
          <w:p w14:paraId="79F4BE24" w14:textId="6C7BB0C0"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noWrap/>
          </w:tcPr>
          <w:p w14:paraId="5B7EE594" w14:textId="3462DB11"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noWrap/>
          </w:tcPr>
          <w:p w14:paraId="0E299AFD" w14:textId="44AB90AD"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Pr>
          <w:p w14:paraId="6D2B8CE9" w14:textId="5F38D4AD"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Pr>
          <w:p w14:paraId="7BE5C6F9" w14:textId="77777777" w:rsidR="00151CBA" w:rsidRPr="000972D1" w:rsidRDefault="008477A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1.430</w:t>
            </w:r>
          </w:p>
          <w:p w14:paraId="54CF499E" w14:textId="1AA416F8" w:rsidR="008477AE" w:rsidRPr="000972D1" w:rsidRDefault="008477A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(0.176)</w:t>
            </w:r>
          </w:p>
        </w:tc>
        <w:tc>
          <w:tcPr>
            <w:tcW w:w="0" w:type="auto"/>
          </w:tcPr>
          <w:p w14:paraId="2F482484" w14:textId="0361C039"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Pr>
          <w:p w14:paraId="7DADA7ED" w14:textId="30E8B705"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Pr>
          <w:p w14:paraId="3AC9BEE8" w14:textId="3CCE8BA6"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Pr>
          <w:p w14:paraId="65D1E9B6" w14:textId="3A78EB57"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Pr>
          <w:p w14:paraId="326417F3" w14:textId="15A03661"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Pr>
          <w:p w14:paraId="44F78B2F" w14:textId="1C2821F4"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Pr>
          <w:p w14:paraId="5DDAF23F" w14:textId="77777777" w:rsidR="00151CBA" w:rsidRPr="000972D1" w:rsidRDefault="00015D44"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2.503***</w:t>
            </w:r>
          </w:p>
          <w:p w14:paraId="1908D9EB" w14:textId="24B89647" w:rsidR="00015D44" w:rsidRPr="000972D1" w:rsidRDefault="00015D44"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(0.000)</w:t>
            </w:r>
          </w:p>
        </w:tc>
        <w:tc>
          <w:tcPr>
            <w:tcW w:w="0" w:type="auto"/>
          </w:tcPr>
          <w:p w14:paraId="039CD176" w14:textId="77093F68"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Pr>
          <w:p w14:paraId="321C3B1D" w14:textId="4AF64781"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r>
      <w:tr w:rsidR="00151CBA" w:rsidRPr="000972D1" w14:paraId="1E9DBF14" w14:textId="00149790" w:rsidTr="00580A4D">
        <w:trPr>
          <w:trHeight w:val="300"/>
          <w:jc w:val="center"/>
        </w:trPr>
        <w:tc>
          <w:tcPr>
            <w:tcW w:w="0" w:type="auto"/>
            <w:tcBorders>
              <w:right w:val="single" w:sz="12" w:space="0" w:color="auto"/>
            </w:tcBorders>
            <w:noWrap/>
            <w:hideMark/>
          </w:tcPr>
          <w:p w14:paraId="04F19A84" w14:textId="338C3421" w:rsidR="00151CBA" w:rsidRPr="000972D1" w:rsidRDefault="00151CBA" w:rsidP="00911D12">
            <w:pP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CORN</w:t>
            </w:r>
          </w:p>
        </w:tc>
        <w:tc>
          <w:tcPr>
            <w:tcW w:w="0" w:type="auto"/>
          </w:tcPr>
          <w:p w14:paraId="43C17140" w14:textId="786FFCFE"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noWrap/>
          </w:tcPr>
          <w:p w14:paraId="1996C6AB" w14:textId="398C9DD8"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noWrap/>
          </w:tcPr>
          <w:p w14:paraId="4B10CF52" w14:textId="3C54DEBE"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Pr>
          <w:p w14:paraId="5EEE6011" w14:textId="1DAF7484"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Pr>
          <w:p w14:paraId="2B01A290" w14:textId="60847831"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Pr>
          <w:p w14:paraId="72547D82" w14:textId="77777777" w:rsidR="00151CBA" w:rsidRPr="000972D1" w:rsidRDefault="00CA15A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0.913</w:t>
            </w:r>
          </w:p>
          <w:p w14:paraId="78C64AEC" w14:textId="2C026D5E" w:rsidR="00CA15AE" w:rsidRPr="000972D1" w:rsidRDefault="00CA15A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(0.208)</w:t>
            </w:r>
          </w:p>
        </w:tc>
        <w:tc>
          <w:tcPr>
            <w:tcW w:w="0" w:type="auto"/>
          </w:tcPr>
          <w:p w14:paraId="6A352D0D" w14:textId="6AC213FB"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Pr>
          <w:p w14:paraId="79E85FDD" w14:textId="7F55A752"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Pr>
          <w:p w14:paraId="76C52E5D" w14:textId="4C5F5B57"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Pr>
          <w:p w14:paraId="1AA9BC4F" w14:textId="0CF660A3"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Pr>
          <w:p w14:paraId="7CA9F15F" w14:textId="28F0766C"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Pr>
          <w:p w14:paraId="3107227D" w14:textId="43229829"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Pr>
          <w:p w14:paraId="283FAC12" w14:textId="77777777" w:rsidR="00151CBA" w:rsidRPr="000972D1" w:rsidRDefault="00BF5D41"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2.023***</w:t>
            </w:r>
          </w:p>
          <w:p w14:paraId="79C2F192" w14:textId="29D778B6" w:rsidR="00BF5D41" w:rsidRPr="000972D1" w:rsidRDefault="00BF5D41"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(0.000)</w:t>
            </w:r>
          </w:p>
        </w:tc>
        <w:tc>
          <w:tcPr>
            <w:tcW w:w="0" w:type="auto"/>
          </w:tcPr>
          <w:p w14:paraId="46BA658D" w14:textId="6521F3DB"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r>
      <w:tr w:rsidR="006C7C36" w:rsidRPr="000972D1" w14:paraId="07669822" w14:textId="77D6A145" w:rsidTr="00A347B3">
        <w:trPr>
          <w:trHeight w:val="300"/>
          <w:jc w:val="center"/>
        </w:trPr>
        <w:tc>
          <w:tcPr>
            <w:tcW w:w="0" w:type="auto"/>
            <w:tcBorders>
              <w:bottom w:val="single" w:sz="4" w:space="0" w:color="auto"/>
              <w:right w:val="single" w:sz="12" w:space="0" w:color="auto"/>
            </w:tcBorders>
            <w:noWrap/>
          </w:tcPr>
          <w:p w14:paraId="24B81598" w14:textId="2DB8E936" w:rsidR="00151CBA" w:rsidRPr="000972D1" w:rsidRDefault="00151CBA" w:rsidP="00911D12">
            <w:pP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bCs/>
                <w:sz w:val="17"/>
                <w:szCs w:val="17"/>
                <w:shd w:val="clear" w:color="auto" w:fill="FFFFFF"/>
              </w:rPr>
              <w:t>NGI</w:t>
            </w:r>
          </w:p>
        </w:tc>
        <w:tc>
          <w:tcPr>
            <w:tcW w:w="0" w:type="auto"/>
            <w:tcBorders>
              <w:left w:val="single" w:sz="12" w:space="0" w:color="auto"/>
              <w:bottom w:val="single" w:sz="4" w:space="0" w:color="auto"/>
            </w:tcBorders>
          </w:tcPr>
          <w:p w14:paraId="45212BF4" w14:textId="4ECBCB1C"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Borders>
              <w:bottom w:val="single" w:sz="4" w:space="0" w:color="auto"/>
            </w:tcBorders>
            <w:noWrap/>
          </w:tcPr>
          <w:p w14:paraId="2BC377E8" w14:textId="517438E6"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Borders>
              <w:bottom w:val="single" w:sz="4" w:space="0" w:color="auto"/>
            </w:tcBorders>
            <w:noWrap/>
          </w:tcPr>
          <w:p w14:paraId="00171818" w14:textId="41588550"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Borders>
              <w:bottom w:val="single" w:sz="4" w:space="0" w:color="auto"/>
            </w:tcBorders>
          </w:tcPr>
          <w:p w14:paraId="1104077F" w14:textId="2FD37F9F"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Borders>
              <w:bottom w:val="single" w:sz="4" w:space="0" w:color="auto"/>
            </w:tcBorders>
          </w:tcPr>
          <w:p w14:paraId="609A93BC" w14:textId="5503CE22"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Borders>
              <w:bottom w:val="single" w:sz="4" w:space="0" w:color="auto"/>
            </w:tcBorders>
          </w:tcPr>
          <w:p w14:paraId="25227215" w14:textId="2C25F23E"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Borders>
              <w:bottom w:val="single" w:sz="4" w:space="0" w:color="auto"/>
            </w:tcBorders>
          </w:tcPr>
          <w:p w14:paraId="7DB6D975" w14:textId="77777777" w:rsidR="00151CBA" w:rsidRPr="000972D1" w:rsidRDefault="001973FB"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2.065**</w:t>
            </w:r>
          </w:p>
          <w:p w14:paraId="357F60DA" w14:textId="15630F74" w:rsidR="001973FB" w:rsidRPr="000972D1" w:rsidRDefault="001973FB"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(0.020)</w:t>
            </w:r>
          </w:p>
        </w:tc>
        <w:tc>
          <w:tcPr>
            <w:tcW w:w="0" w:type="auto"/>
            <w:tcBorders>
              <w:bottom w:val="single" w:sz="4" w:space="0" w:color="auto"/>
            </w:tcBorders>
          </w:tcPr>
          <w:p w14:paraId="62A03E25" w14:textId="017EE026"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Borders>
              <w:bottom w:val="single" w:sz="4" w:space="0" w:color="auto"/>
            </w:tcBorders>
          </w:tcPr>
          <w:p w14:paraId="2EE809E9" w14:textId="0C16FEAB"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Borders>
              <w:bottom w:val="single" w:sz="4" w:space="0" w:color="auto"/>
            </w:tcBorders>
          </w:tcPr>
          <w:p w14:paraId="6C3A8DA8" w14:textId="2D451182"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Borders>
              <w:bottom w:val="single" w:sz="4" w:space="0" w:color="auto"/>
            </w:tcBorders>
          </w:tcPr>
          <w:p w14:paraId="1D5956E0" w14:textId="787B057A"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Borders>
              <w:bottom w:val="single" w:sz="4" w:space="0" w:color="auto"/>
            </w:tcBorders>
          </w:tcPr>
          <w:p w14:paraId="7FF5C61B" w14:textId="21343C0E"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Borders>
              <w:bottom w:val="single" w:sz="4" w:space="0" w:color="auto"/>
            </w:tcBorders>
          </w:tcPr>
          <w:p w14:paraId="12BDE555" w14:textId="7B75A45D" w:rsidR="00151CBA" w:rsidRPr="000972D1" w:rsidRDefault="00151CBA"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Borders>
              <w:bottom w:val="single" w:sz="4" w:space="0" w:color="auto"/>
            </w:tcBorders>
          </w:tcPr>
          <w:p w14:paraId="0C3DA3B9" w14:textId="77777777" w:rsidR="00151CBA" w:rsidRPr="000972D1" w:rsidRDefault="002864E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2.379***</w:t>
            </w:r>
          </w:p>
          <w:p w14:paraId="1A13BA88" w14:textId="31C2D775" w:rsidR="002864EE" w:rsidRPr="000972D1" w:rsidRDefault="002864E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(0.000)</w:t>
            </w:r>
          </w:p>
        </w:tc>
      </w:tr>
      <w:tr w:rsidR="00580A4D" w:rsidRPr="000972D1" w14:paraId="7EDDCFDB" w14:textId="3C8B731D" w:rsidTr="00580A4D">
        <w:trPr>
          <w:trHeight w:val="136"/>
          <w:jc w:val="center"/>
        </w:trPr>
        <w:tc>
          <w:tcPr>
            <w:tcW w:w="0" w:type="auto"/>
            <w:gridSpan w:val="2"/>
            <w:tcBorders>
              <w:top w:val="single" w:sz="12" w:space="0" w:color="auto"/>
              <w:bottom w:val="single" w:sz="12" w:space="0" w:color="auto"/>
            </w:tcBorders>
          </w:tcPr>
          <w:p w14:paraId="62567F94" w14:textId="33BE9765" w:rsidR="00580A4D" w:rsidRPr="000972D1" w:rsidRDefault="00580A4D" w:rsidP="00911D12">
            <w:pPr>
              <w:rPr>
                <w:rFonts w:ascii="Times New Roman" w:eastAsia="Times New Roman" w:hAnsi="Times New Roman" w:cs="Times New Roman"/>
                <w:b/>
                <w:sz w:val="17"/>
                <w:szCs w:val="17"/>
                <w:shd w:val="clear" w:color="auto" w:fill="FFFFFF"/>
                <w:lang w:val="en-US"/>
              </w:rPr>
            </w:pPr>
            <w:r w:rsidRPr="000972D1">
              <w:rPr>
                <w:rFonts w:ascii="Times New Roman" w:eastAsia="Times New Roman" w:hAnsi="Times New Roman" w:cs="Times New Roman"/>
                <w:b/>
                <w:sz w:val="17"/>
                <w:szCs w:val="17"/>
                <w:shd w:val="clear" w:color="auto" w:fill="FFFFFF"/>
                <w:lang w:val="en-US"/>
              </w:rPr>
              <w:t>Control variables</w:t>
            </w:r>
          </w:p>
        </w:tc>
        <w:tc>
          <w:tcPr>
            <w:tcW w:w="0" w:type="auto"/>
            <w:tcBorders>
              <w:top w:val="single" w:sz="12" w:space="0" w:color="auto"/>
              <w:bottom w:val="single" w:sz="12" w:space="0" w:color="auto"/>
            </w:tcBorders>
          </w:tcPr>
          <w:p w14:paraId="2B69492D" w14:textId="77777777" w:rsidR="00580A4D" w:rsidRPr="000972D1" w:rsidRDefault="00580A4D" w:rsidP="00911D12">
            <w:pPr>
              <w:rPr>
                <w:rFonts w:ascii="Times New Roman" w:eastAsia="Times New Roman" w:hAnsi="Times New Roman" w:cs="Times New Roman"/>
                <w:b/>
                <w:sz w:val="17"/>
                <w:szCs w:val="17"/>
                <w:shd w:val="clear" w:color="auto" w:fill="FFFFFF"/>
                <w:lang w:val="en-US"/>
              </w:rPr>
            </w:pPr>
          </w:p>
        </w:tc>
        <w:tc>
          <w:tcPr>
            <w:tcW w:w="0" w:type="auto"/>
            <w:tcBorders>
              <w:top w:val="single" w:sz="12" w:space="0" w:color="auto"/>
              <w:bottom w:val="single" w:sz="12" w:space="0" w:color="auto"/>
            </w:tcBorders>
          </w:tcPr>
          <w:p w14:paraId="01291938" w14:textId="77777777" w:rsidR="00580A4D" w:rsidRPr="000972D1" w:rsidRDefault="00580A4D" w:rsidP="00911D12">
            <w:pPr>
              <w:rPr>
                <w:rFonts w:ascii="Times New Roman" w:eastAsia="Times New Roman" w:hAnsi="Times New Roman" w:cs="Times New Roman"/>
                <w:b/>
                <w:sz w:val="17"/>
                <w:szCs w:val="17"/>
                <w:shd w:val="clear" w:color="auto" w:fill="FFFFFF"/>
                <w:lang w:val="en-US"/>
              </w:rPr>
            </w:pPr>
          </w:p>
        </w:tc>
        <w:tc>
          <w:tcPr>
            <w:tcW w:w="0" w:type="auto"/>
            <w:tcBorders>
              <w:top w:val="single" w:sz="12" w:space="0" w:color="auto"/>
              <w:bottom w:val="single" w:sz="12" w:space="0" w:color="auto"/>
            </w:tcBorders>
          </w:tcPr>
          <w:p w14:paraId="20B932F7" w14:textId="77777777" w:rsidR="00580A4D" w:rsidRPr="000972D1" w:rsidRDefault="00580A4D" w:rsidP="00911D12">
            <w:pPr>
              <w:rPr>
                <w:rFonts w:ascii="Times New Roman" w:eastAsia="Times New Roman" w:hAnsi="Times New Roman" w:cs="Times New Roman"/>
                <w:b/>
                <w:sz w:val="17"/>
                <w:szCs w:val="17"/>
                <w:shd w:val="clear" w:color="auto" w:fill="FFFFFF"/>
                <w:lang w:val="en-US"/>
              </w:rPr>
            </w:pPr>
          </w:p>
        </w:tc>
        <w:tc>
          <w:tcPr>
            <w:tcW w:w="0" w:type="auto"/>
            <w:tcBorders>
              <w:top w:val="single" w:sz="12" w:space="0" w:color="auto"/>
              <w:bottom w:val="single" w:sz="12" w:space="0" w:color="auto"/>
            </w:tcBorders>
          </w:tcPr>
          <w:p w14:paraId="1299E35A" w14:textId="77777777" w:rsidR="00580A4D" w:rsidRPr="000972D1" w:rsidRDefault="00580A4D" w:rsidP="00911D12">
            <w:pPr>
              <w:rPr>
                <w:rFonts w:ascii="Times New Roman" w:eastAsia="Times New Roman" w:hAnsi="Times New Roman" w:cs="Times New Roman"/>
                <w:b/>
                <w:sz w:val="17"/>
                <w:szCs w:val="17"/>
                <w:shd w:val="clear" w:color="auto" w:fill="FFFFFF"/>
                <w:lang w:val="en-US"/>
              </w:rPr>
            </w:pPr>
          </w:p>
        </w:tc>
        <w:tc>
          <w:tcPr>
            <w:tcW w:w="0" w:type="auto"/>
            <w:tcBorders>
              <w:top w:val="single" w:sz="12" w:space="0" w:color="auto"/>
              <w:bottom w:val="single" w:sz="12" w:space="0" w:color="auto"/>
            </w:tcBorders>
          </w:tcPr>
          <w:p w14:paraId="34B3B0C3" w14:textId="77777777" w:rsidR="00580A4D" w:rsidRPr="000972D1" w:rsidRDefault="00580A4D" w:rsidP="00911D12">
            <w:pPr>
              <w:rPr>
                <w:rFonts w:ascii="Times New Roman" w:eastAsia="Times New Roman" w:hAnsi="Times New Roman" w:cs="Times New Roman"/>
                <w:b/>
                <w:sz w:val="17"/>
                <w:szCs w:val="17"/>
                <w:shd w:val="clear" w:color="auto" w:fill="FFFFFF"/>
                <w:lang w:val="en-US"/>
              </w:rPr>
            </w:pPr>
          </w:p>
        </w:tc>
        <w:tc>
          <w:tcPr>
            <w:tcW w:w="0" w:type="auto"/>
            <w:tcBorders>
              <w:top w:val="single" w:sz="12" w:space="0" w:color="auto"/>
              <w:bottom w:val="single" w:sz="12" w:space="0" w:color="auto"/>
            </w:tcBorders>
          </w:tcPr>
          <w:p w14:paraId="6C91041A" w14:textId="77777777" w:rsidR="00580A4D" w:rsidRPr="000972D1" w:rsidRDefault="00580A4D" w:rsidP="00911D12">
            <w:pPr>
              <w:rPr>
                <w:rFonts w:ascii="Times New Roman" w:eastAsia="Times New Roman" w:hAnsi="Times New Roman" w:cs="Times New Roman"/>
                <w:b/>
                <w:sz w:val="17"/>
                <w:szCs w:val="17"/>
                <w:shd w:val="clear" w:color="auto" w:fill="FFFFFF"/>
                <w:lang w:val="en-US"/>
              </w:rPr>
            </w:pPr>
          </w:p>
        </w:tc>
        <w:tc>
          <w:tcPr>
            <w:tcW w:w="0" w:type="auto"/>
            <w:tcBorders>
              <w:top w:val="single" w:sz="12" w:space="0" w:color="auto"/>
              <w:bottom w:val="single" w:sz="12" w:space="0" w:color="auto"/>
            </w:tcBorders>
          </w:tcPr>
          <w:p w14:paraId="7BE4FB5B" w14:textId="73F17EC9" w:rsidR="00580A4D" w:rsidRPr="000972D1" w:rsidRDefault="00580A4D" w:rsidP="00911D12">
            <w:pPr>
              <w:rPr>
                <w:rFonts w:ascii="Times New Roman" w:eastAsia="Times New Roman" w:hAnsi="Times New Roman" w:cs="Times New Roman"/>
                <w:b/>
                <w:sz w:val="17"/>
                <w:szCs w:val="17"/>
                <w:shd w:val="clear" w:color="auto" w:fill="FFFFFF"/>
                <w:lang w:val="en-US"/>
              </w:rPr>
            </w:pPr>
          </w:p>
        </w:tc>
        <w:tc>
          <w:tcPr>
            <w:tcW w:w="0" w:type="auto"/>
            <w:tcBorders>
              <w:top w:val="single" w:sz="12" w:space="0" w:color="auto"/>
              <w:bottom w:val="single" w:sz="12" w:space="0" w:color="auto"/>
            </w:tcBorders>
          </w:tcPr>
          <w:p w14:paraId="1A8BBE4C" w14:textId="77777777" w:rsidR="00580A4D" w:rsidRPr="000972D1" w:rsidRDefault="00580A4D" w:rsidP="00911D12">
            <w:pPr>
              <w:rPr>
                <w:rFonts w:ascii="Times New Roman" w:eastAsia="Times New Roman" w:hAnsi="Times New Roman" w:cs="Times New Roman"/>
                <w:b/>
                <w:sz w:val="17"/>
                <w:szCs w:val="17"/>
                <w:shd w:val="clear" w:color="auto" w:fill="FFFFFF"/>
                <w:lang w:val="en-US"/>
              </w:rPr>
            </w:pPr>
          </w:p>
        </w:tc>
        <w:tc>
          <w:tcPr>
            <w:tcW w:w="0" w:type="auto"/>
            <w:tcBorders>
              <w:top w:val="single" w:sz="12" w:space="0" w:color="auto"/>
              <w:bottom w:val="single" w:sz="12" w:space="0" w:color="auto"/>
            </w:tcBorders>
          </w:tcPr>
          <w:p w14:paraId="7E101896" w14:textId="77777777" w:rsidR="00580A4D" w:rsidRPr="000972D1" w:rsidRDefault="00580A4D" w:rsidP="00911D12">
            <w:pPr>
              <w:rPr>
                <w:rFonts w:ascii="Times New Roman" w:eastAsia="Times New Roman" w:hAnsi="Times New Roman" w:cs="Times New Roman"/>
                <w:b/>
                <w:sz w:val="17"/>
                <w:szCs w:val="17"/>
                <w:shd w:val="clear" w:color="auto" w:fill="FFFFFF"/>
                <w:lang w:val="en-US"/>
              </w:rPr>
            </w:pPr>
          </w:p>
        </w:tc>
        <w:tc>
          <w:tcPr>
            <w:tcW w:w="0" w:type="auto"/>
            <w:tcBorders>
              <w:top w:val="single" w:sz="12" w:space="0" w:color="auto"/>
              <w:bottom w:val="single" w:sz="12" w:space="0" w:color="auto"/>
            </w:tcBorders>
          </w:tcPr>
          <w:p w14:paraId="4A8C2E6C" w14:textId="77777777" w:rsidR="00580A4D" w:rsidRPr="000972D1" w:rsidRDefault="00580A4D" w:rsidP="00911D12">
            <w:pPr>
              <w:rPr>
                <w:rFonts w:ascii="Times New Roman" w:eastAsia="Times New Roman" w:hAnsi="Times New Roman" w:cs="Times New Roman"/>
                <w:b/>
                <w:sz w:val="17"/>
                <w:szCs w:val="17"/>
                <w:shd w:val="clear" w:color="auto" w:fill="FFFFFF"/>
                <w:lang w:val="en-US"/>
              </w:rPr>
            </w:pPr>
          </w:p>
        </w:tc>
        <w:tc>
          <w:tcPr>
            <w:tcW w:w="0" w:type="auto"/>
            <w:tcBorders>
              <w:top w:val="single" w:sz="12" w:space="0" w:color="auto"/>
              <w:bottom w:val="single" w:sz="12" w:space="0" w:color="auto"/>
            </w:tcBorders>
          </w:tcPr>
          <w:p w14:paraId="4CCBEA77" w14:textId="77777777" w:rsidR="00580A4D" w:rsidRPr="000972D1" w:rsidRDefault="00580A4D" w:rsidP="00911D12">
            <w:pPr>
              <w:rPr>
                <w:rFonts w:ascii="Times New Roman" w:eastAsia="Times New Roman" w:hAnsi="Times New Roman" w:cs="Times New Roman"/>
                <w:b/>
                <w:sz w:val="17"/>
                <w:szCs w:val="17"/>
                <w:shd w:val="clear" w:color="auto" w:fill="FFFFFF"/>
                <w:lang w:val="en-US"/>
              </w:rPr>
            </w:pPr>
          </w:p>
        </w:tc>
        <w:tc>
          <w:tcPr>
            <w:tcW w:w="0" w:type="auto"/>
            <w:tcBorders>
              <w:top w:val="single" w:sz="12" w:space="0" w:color="auto"/>
              <w:bottom w:val="single" w:sz="12" w:space="0" w:color="auto"/>
            </w:tcBorders>
          </w:tcPr>
          <w:p w14:paraId="45EEA348" w14:textId="77777777" w:rsidR="00580A4D" w:rsidRPr="000972D1" w:rsidRDefault="00580A4D" w:rsidP="00911D12">
            <w:pPr>
              <w:rPr>
                <w:rFonts w:ascii="Times New Roman" w:eastAsia="Times New Roman" w:hAnsi="Times New Roman" w:cs="Times New Roman"/>
                <w:b/>
                <w:sz w:val="17"/>
                <w:szCs w:val="17"/>
                <w:shd w:val="clear" w:color="auto" w:fill="FFFFFF"/>
                <w:lang w:val="en-US"/>
              </w:rPr>
            </w:pPr>
          </w:p>
        </w:tc>
        <w:tc>
          <w:tcPr>
            <w:tcW w:w="0" w:type="auto"/>
            <w:tcBorders>
              <w:top w:val="single" w:sz="12" w:space="0" w:color="auto"/>
              <w:bottom w:val="single" w:sz="12" w:space="0" w:color="auto"/>
            </w:tcBorders>
          </w:tcPr>
          <w:p w14:paraId="6EFAE901" w14:textId="77777777" w:rsidR="00580A4D" w:rsidRPr="000972D1" w:rsidRDefault="00580A4D" w:rsidP="00911D12">
            <w:pPr>
              <w:rPr>
                <w:rFonts w:ascii="Times New Roman" w:eastAsia="Times New Roman" w:hAnsi="Times New Roman" w:cs="Times New Roman"/>
                <w:b/>
                <w:sz w:val="17"/>
                <w:szCs w:val="17"/>
                <w:shd w:val="clear" w:color="auto" w:fill="FFFFFF"/>
                <w:lang w:val="en-US"/>
              </w:rPr>
            </w:pPr>
          </w:p>
        </w:tc>
      </w:tr>
      <w:tr w:rsidR="00580A4D" w:rsidRPr="000972D1" w14:paraId="27BF7C2B" w14:textId="2AC9C220" w:rsidTr="00580A4D">
        <w:trPr>
          <w:trHeight w:val="300"/>
          <w:jc w:val="center"/>
        </w:trPr>
        <w:tc>
          <w:tcPr>
            <w:tcW w:w="0" w:type="auto"/>
            <w:tcBorders>
              <w:top w:val="single" w:sz="12" w:space="0" w:color="auto"/>
              <w:right w:val="single" w:sz="12" w:space="0" w:color="auto"/>
            </w:tcBorders>
            <w:noWrap/>
          </w:tcPr>
          <w:p w14:paraId="1E7BF09C" w14:textId="77777777" w:rsidR="00580A4D" w:rsidRPr="000972D1" w:rsidRDefault="00580A4D" w:rsidP="00911D12">
            <w:pP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BIG4</w:t>
            </w:r>
          </w:p>
        </w:tc>
        <w:tc>
          <w:tcPr>
            <w:tcW w:w="0" w:type="auto"/>
            <w:tcBorders>
              <w:top w:val="single" w:sz="12" w:space="0" w:color="auto"/>
              <w:left w:val="single" w:sz="12" w:space="0" w:color="auto"/>
            </w:tcBorders>
          </w:tcPr>
          <w:p w14:paraId="13CA4174" w14:textId="77777777" w:rsidR="00580A4D" w:rsidRPr="000972D1" w:rsidRDefault="00580A4D"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Borders>
              <w:top w:val="single" w:sz="12" w:space="0" w:color="auto"/>
            </w:tcBorders>
            <w:noWrap/>
          </w:tcPr>
          <w:p w14:paraId="513DBC22" w14:textId="77777777" w:rsidR="00580A4D" w:rsidRPr="000972D1" w:rsidRDefault="00580A4D"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Borders>
              <w:top w:val="single" w:sz="12" w:space="0" w:color="auto"/>
            </w:tcBorders>
            <w:noWrap/>
          </w:tcPr>
          <w:p w14:paraId="486738A5" w14:textId="77777777" w:rsidR="00580A4D" w:rsidRPr="000972D1" w:rsidRDefault="00580A4D"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Borders>
              <w:top w:val="single" w:sz="12" w:space="0" w:color="auto"/>
            </w:tcBorders>
          </w:tcPr>
          <w:p w14:paraId="3AF4F90B" w14:textId="77777777" w:rsidR="00580A4D" w:rsidRPr="000972D1" w:rsidRDefault="00580A4D"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Borders>
              <w:top w:val="single" w:sz="12" w:space="0" w:color="auto"/>
            </w:tcBorders>
          </w:tcPr>
          <w:p w14:paraId="37B5F97D" w14:textId="2411EB62" w:rsidR="00580A4D" w:rsidRPr="000972D1" w:rsidRDefault="008477A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Borders>
              <w:top w:val="single" w:sz="12" w:space="0" w:color="auto"/>
            </w:tcBorders>
          </w:tcPr>
          <w:p w14:paraId="5B310CB8" w14:textId="742A77D3" w:rsidR="00580A4D" w:rsidRPr="000972D1" w:rsidRDefault="00CA15A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Borders>
              <w:top w:val="single" w:sz="12" w:space="0" w:color="auto"/>
            </w:tcBorders>
          </w:tcPr>
          <w:p w14:paraId="03C1E6A8" w14:textId="14549E93" w:rsidR="00580A4D" w:rsidRPr="000972D1" w:rsidRDefault="001973FB"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Borders>
              <w:top w:val="single" w:sz="12" w:space="0" w:color="auto"/>
            </w:tcBorders>
          </w:tcPr>
          <w:p w14:paraId="6302F270" w14:textId="359A3E88" w:rsidR="00580A4D" w:rsidRPr="000972D1" w:rsidRDefault="002864E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0.362</w:t>
            </w:r>
            <w:r w:rsidR="00580A4D" w:rsidRPr="000972D1">
              <w:rPr>
                <w:rFonts w:ascii="Times New Roman" w:eastAsia="Times New Roman" w:hAnsi="Times New Roman" w:cs="Times New Roman"/>
                <w:sz w:val="17"/>
                <w:szCs w:val="17"/>
                <w:shd w:val="clear" w:color="auto" w:fill="FFFFFF"/>
                <w:lang w:val="en-US"/>
              </w:rPr>
              <w:t>***</w:t>
            </w:r>
          </w:p>
          <w:p w14:paraId="031B8B8E" w14:textId="77777777" w:rsidR="00580A4D" w:rsidRPr="000972D1" w:rsidRDefault="00580A4D"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(0.000)</w:t>
            </w:r>
          </w:p>
        </w:tc>
        <w:tc>
          <w:tcPr>
            <w:tcW w:w="0" w:type="auto"/>
            <w:tcBorders>
              <w:top w:val="single" w:sz="12" w:space="0" w:color="auto"/>
            </w:tcBorders>
          </w:tcPr>
          <w:p w14:paraId="52C58A65" w14:textId="50E9F97F" w:rsidR="00580A4D" w:rsidRPr="000972D1" w:rsidRDefault="005A1142"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0.209</w:t>
            </w:r>
            <w:r w:rsidR="00580A4D" w:rsidRPr="000972D1">
              <w:rPr>
                <w:rFonts w:ascii="Times New Roman" w:eastAsia="Times New Roman" w:hAnsi="Times New Roman" w:cs="Times New Roman"/>
                <w:sz w:val="17"/>
                <w:szCs w:val="17"/>
                <w:shd w:val="clear" w:color="auto" w:fill="FFFFFF"/>
                <w:lang w:val="en-US"/>
              </w:rPr>
              <w:t>***</w:t>
            </w:r>
          </w:p>
          <w:p w14:paraId="7F5B2D4A" w14:textId="3C0CEE1F" w:rsidR="00580A4D" w:rsidRPr="000972D1" w:rsidRDefault="00580A4D"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(0.00</w:t>
            </w:r>
            <w:r w:rsidR="005A1142" w:rsidRPr="000972D1">
              <w:rPr>
                <w:rFonts w:ascii="Times New Roman" w:eastAsia="Times New Roman" w:hAnsi="Times New Roman" w:cs="Times New Roman"/>
                <w:sz w:val="17"/>
                <w:szCs w:val="17"/>
                <w:shd w:val="clear" w:color="auto" w:fill="FFFFFF"/>
                <w:lang w:val="en-US"/>
              </w:rPr>
              <w:t>1</w:t>
            </w:r>
            <w:r w:rsidRPr="000972D1">
              <w:rPr>
                <w:rFonts w:ascii="Times New Roman" w:eastAsia="Times New Roman" w:hAnsi="Times New Roman" w:cs="Times New Roman"/>
                <w:sz w:val="17"/>
                <w:szCs w:val="17"/>
                <w:shd w:val="clear" w:color="auto" w:fill="FFFFFF"/>
                <w:lang w:val="en-US"/>
              </w:rPr>
              <w:t>)</w:t>
            </w:r>
          </w:p>
        </w:tc>
        <w:tc>
          <w:tcPr>
            <w:tcW w:w="0" w:type="auto"/>
            <w:tcBorders>
              <w:top w:val="single" w:sz="12" w:space="0" w:color="auto"/>
            </w:tcBorders>
          </w:tcPr>
          <w:p w14:paraId="67E5769A" w14:textId="75A8181F" w:rsidR="00580A4D" w:rsidRPr="000972D1" w:rsidRDefault="00580A4D"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w:t>
            </w:r>
            <w:r w:rsidR="00AA537C" w:rsidRPr="000972D1">
              <w:rPr>
                <w:rFonts w:ascii="Times New Roman" w:eastAsia="Times New Roman" w:hAnsi="Times New Roman" w:cs="Times New Roman"/>
                <w:sz w:val="17"/>
                <w:szCs w:val="17"/>
                <w:shd w:val="clear" w:color="auto" w:fill="FFFFFF"/>
                <w:lang w:val="en-US"/>
              </w:rPr>
              <w:t>.287</w:t>
            </w:r>
            <w:r w:rsidRPr="000972D1">
              <w:rPr>
                <w:rFonts w:ascii="Times New Roman" w:eastAsia="Times New Roman" w:hAnsi="Times New Roman" w:cs="Times New Roman"/>
                <w:sz w:val="17"/>
                <w:szCs w:val="17"/>
                <w:shd w:val="clear" w:color="auto" w:fill="FFFFFF"/>
                <w:lang w:val="en-US"/>
              </w:rPr>
              <w:t>***</w:t>
            </w:r>
          </w:p>
          <w:p w14:paraId="6903E28F" w14:textId="721FEB52" w:rsidR="00580A4D" w:rsidRPr="000972D1" w:rsidRDefault="00580A4D"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(0.00</w:t>
            </w:r>
            <w:r w:rsidR="00AA537C" w:rsidRPr="000972D1">
              <w:rPr>
                <w:rFonts w:ascii="Times New Roman" w:eastAsia="Times New Roman" w:hAnsi="Times New Roman" w:cs="Times New Roman"/>
                <w:sz w:val="17"/>
                <w:szCs w:val="17"/>
                <w:shd w:val="clear" w:color="auto" w:fill="FFFFFF"/>
                <w:lang w:val="en-US"/>
              </w:rPr>
              <w:t>0</w:t>
            </w:r>
            <w:r w:rsidRPr="000972D1">
              <w:rPr>
                <w:rFonts w:ascii="Times New Roman" w:eastAsia="Times New Roman" w:hAnsi="Times New Roman" w:cs="Times New Roman"/>
                <w:sz w:val="17"/>
                <w:szCs w:val="17"/>
                <w:shd w:val="clear" w:color="auto" w:fill="FFFFFF"/>
                <w:lang w:val="en-US"/>
              </w:rPr>
              <w:t>)</w:t>
            </w:r>
          </w:p>
        </w:tc>
        <w:tc>
          <w:tcPr>
            <w:tcW w:w="0" w:type="auto"/>
            <w:tcBorders>
              <w:top w:val="single" w:sz="12" w:space="0" w:color="auto"/>
            </w:tcBorders>
          </w:tcPr>
          <w:p w14:paraId="55178860" w14:textId="67823FF1" w:rsidR="00580A4D" w:rsidRPr="000972D1" w:rsidRDefault="00580A4D"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w:t>
            </w:r>
            <w:r w:rsidR="00F21781" w:rsidRPr="000972D1">
              <w:rPr>
                <w:rFonts w:ascii="Times New Roman" w:eastAsia="Times New Roman" w:hAnsi="Times New Roman" w:cs="Times New Roman"/>
                <w:sz w:val="17"/>
                <w:szCs w:val="17"/>
                <w:shd w:val="clear" w:color="auto" w:fill="FFFFFF"/>
                <w:lang w:val="en-US"/>
              </w:rPr>
              <w:t>.260</w:t>
            </w:r>
            <w:r w:rsidRPr="000972D1">
              <w:rPr>
                <w:rFonts w:ascii="Times New Roman" w:eastAsia="Times New Roman" w:hAnsi="Times New Roman" w:cs="Times New Roman"/>
                <w:sz w:val="17"/>
                <w:szCs w:val="17"/>
                <w:shd w:val="clear" w:color="auto" w:fill="FFFFFF"/>
                <w:lang w:val="en-US"/>
              </w:rPr>
              <w:t>***</w:t>
            </w:r>
          </w:p>
          <w:p w14:paraId="02D7B175" w14:textId="77777777" w:rsidR="00580A4D" w:rsidRPr="000972D1" w:rsidRDefault="00580A4D"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(0.000)</w:t>
            </w:r>
          </w:p>
        </w:tc>
        <w:tc>
          <w:tcPr>
            <w:tcW w:w="0" w:type="auto"/>
            <w:tcBorders>
              <w:top w:val="single" w:sz="12" w:space="0" w:color="auto"/>
            </w:tcBorders>
          </w:tcPr>
          <w:p w14:paraId="5869F5C9" w14:textId="77777777" w:rsidR="00580A4D" w:rsidRPr="000972D1" w:rsidRDefault="00015D44"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0.274***</w:t>
            </w:r>
          </w:p>
          <w:p w14:paraId="19291BB8" w14:textId="4E3B7599" w:rsidR="00015D44" w:rsidRPr="000972D1" w:rsidRDefault="00015D44"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(0.000)</w:t>
            </w:r>
          </w:p>
        </w:tc>
        <w:tc>
          <w:tcPr>
            <w:tcW w:w="0" w:type="auto"/>
            <w:tcBorders>
              <w:top w:val="single" w:sz="12" w:space="0" w:color="auto"/>
            </w:tcBorders>
          </w:tcPr>
          <w:p w14:paraId="4A3EAB85" w14:textId="77777777" w:rsidR="00580A4D" w:rsidRPr="000972D1" w:rsidRDefault="00BF5D41"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0.305***</w:t>
            </w:r>
          </w:p>
          <w:p w14:paraId="5919305E" w14:textId="76053362" w:rsidR="00BF5D41" w:rsidRPr="000972D1" w:rsidRDefault="00BF5D41"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(0.000)</w:t>
            </w:r>
          </w:p>
        </w:tc>
        <w:tc>
          <w:tcPr>
            <w:tcW w:w="0" w:type="auto"/>
            <w:tcBorders>
              <w:top w:val="single" w:sz="12" w:space="0" w:color="auto"/>
            </w:tcBorders>
          </w:tcPr>
          <w:p w14:paraId="1AD06E36" w14:textId="77777777" w:rsidR="00580A4D" w:rsidRPr="000972D1" w:rsidRDefault="002864E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0.263***</w:t>
            </w:r>
          </w:p>
          <w:p w14:paraId="36616DC6" w14:textId="0929610F" w:rsidR="002864EE" w:rsidRPr="000972D1" w:rsidRDefault="002864E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(0.000)</w:t>
            </w:r>
          </w:p>
        </w:tc>
      </w:tr>
      <w:tr w:rsidR="00580A4D" w:rsidRPr="000972D1" w14:paraId="77C14316" w14:textId="52BD26C9" w:rsidTr="00580A4D">
        <w:trPr>
          <w:trHeight w:val="300"/>
          <w:jc w:val="center"/>
        </w:trPr>
        <w:tc>
          <w:tcPr>
            <w:tcW w:w="0" w:type="auto"/>
            <w:tcBorders>
              <w:right w:val="single" w:sz="12" w:space="0" w:color="auto"/>
            </w:tcBorders>
            <w:noWrap/>
          </w:tcPr>
          <w:p w14:paraId="780B4CF8" w14:textId="6146D924" w:rsidR="00580A4D" w:rsidRPr="000972D1" w:rsidRDefault="00580A4D" w:rsidP="00911D12">
            <w:pP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LNTA</w:t>
            </w:r>
          </w:p>
        </w:tc>
        <w:tc>
          <w:tcPr>
            <w:tcW w:w="0" w:type="auto"/>
            <w:tcBorders>
              <w:left w:val="single" w:sz="12" w:space="0" w:color="auto"/>
            </w:tcBorders>
          </w:tcPr>
          <w:p w14:paraId="6494C4A5" w14:textId="5A290823" w:rsidR="00580A4D" w:rsidRPr="000972D1" w:rsidRDefault="006C7C36"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0.572</w:t>
            </w:r>
            <w:r w:rsidR="00580A4D" w:rsidRPr="000972D1">
              <w:rPr>
                <w:rFonts w:ascii="Times New Roman" w:eastAsia="Times New Roman" w:hAnsi="Times New Roman" w:cs="Times New Roman"/>
                <w:sz w:val="17"/>
                <w:szCs w:val="17"/>
                <w:shd w:val="clear" w:color="auto" w:fill="FFFFFF"/>
                <w:lang w:val="en-US"/>
              </w:rPr>
              <w:t>***</w:t>
            </w:r>
          </w:p>
          <w:p w14:paraId="3A48E634" w14:textId="77777777" w:rsidR="00580A4D" w:rsidRPr="000972D1" w:rsidRDefault="00580A4D"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(0.000)</w:t>
            </w:r>
          </w:p>
        </w:tc>
        <w:tc>
          <w:tcPr>
            <w:tcW w:w="0" w:type="auto"/>
            <w:noWrap/>
          </w:tcPr>
          <w:p w14:paraId="19B420D3" w14:textId="07641E4E" w:rsidR="00580A4D" w:rsidRPr="000972D1" w:rsidRDefault="006C7C36"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0.554</w:t>
            </w:r>
            <w:r w:rsidR="00580A4D" w:rsidRPr="000972D1">
              <w:rPr>
                <w:rFonts w:ascii="Times New Roman" w:eastAsia="Times New Roman" w:hAnsi="Times New Roman" w:cs="Times New Roman"/>
                <w:sz w:val="17"/>
                <w:szCs w:val="17"/>
                <w:shd w:val="clear" w:color="auto" w:fill="FFFFFF"/>
                <w:lang w:val="en-US"/>
              </w:rPr>
              <w:t>***</w:t>
            </w:r>
          </w:p>
          <w:p w14:paraId="2E5C0084" w14:textId="77777777" w:rsidR="00580A4D" w:rsidRPr="000972D1" w:rsidRDefault="00580A4D"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(0.000)</w:t>
            </w:r>
          </w:p>
        </w:tc>
        <w:tc>
          <w:tcPr>
            <w:tcW w:w="0" w:type="auto"/>
            <w:noWrap/>
          </w:tcPr>
          <w:p w14:paraId="1A8C94D5" w14:textId="4015967A" w:rsidR="00580A4D" w:rsidRPr="000972D1" w:rsidRDefault="00CA4BE3"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0.556</w:t>
            </w:r>
            <w:r w:rsidR="00580A4D" w:rsidRPr="000972D1">
              <w:rPr>
                <w:rFonts w:ascii="Times New Roman" w:eastAsia="Times New Roman" w:hAnsi="Times New Roman" w:cs="Times New Roman"/>
                <w:sz w:val="17"/>
                <w:szCs w:val="17"/>
                <w:shd w:val="clear" w:color="auto" w:fill="FFFFFF"/>
                <w:lang w:val="en-US"/>
              </w:rPr>
              <w:t>***</w:t>
            </w:r>
          </w:p>
          <w:p w14:paraId="1E3670CB" w14:textId="77777777" w:rsidR="00580A4D" w:rsidRPr="000972D1" w:rsidRDefault="00580A4D"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(0.000)</w:t>
            </w:r>
          </w:p>
        </w:tc>
        <w:tc>
          <w:tcPr>
            <w:tcW w:w="0" w:type="auto"/>
          </w:tcPr>
          <w:p w14:paraId="2991E52D" w14:textId="11260B25" w:rsidR="00580A4D" w:rsidRPr="000972D1" w:rsidRDefault="009933B6"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0.574</w:t>
            </w:r>
            <w:r w:rsidR="00580A4D" w:rsidRPr="000972D1">
              <w:rPr>
                <w:rFonts w:ascii="Times New Roman" w:eastAsia="Times New Roman" w:hAnsi="Times New Roman" w:cs="Times New Roman"/>
                <w:sz w:val="17"/>
                <w:szCs w:val="17"/>
                <w:shd w:val="clear" w:color="auto" w:fill="FFFFFF"/>
                <w:lang w:val="en-US"/>
              </w:rPr>
              <w:t>***</w:t>
            </w:r>
          </w:p>
          <w:p w14:paraId="5D11C97C" w14:textId="77777777" w:rsidR="00580A4D" w:rsidRPr="000972D1" w:rsidRDefault="00580A4D"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(0.000)</w:t>
            </w:r>
          </w:p>
        </w:tc>
        <w:tc>
          <w:tcPr>
            <w:tcW w:w="0" w:type="auto"/>
          </w:tcPr>
          <w:p w14:paraId="5E7FC66C" w14:textId="77777777" w:rsidR="00580A4D" w:rsidRPr="000972D1" w:rsidRDefault="008477A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0.576***</w:t>
            </w:r>
          </w:p>
          <w:p w14:paraId="4DBAC58A" w14:textId="074CB03D" w:rsidR="008477AE" w:rsidRPr="000972D1" w:rsidRDefault="008477A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(0.000)</w:t>
            </w:r>
          </w:p>
        </w:tc>
        <w:tc>
          <w:tcPr>
            <w:tcW w:w="0" w:type="auto"/>
          </w:tcPr>
          <w:p w14:paraId="1C43E133" w14:textId="77777777" w:rsidR="00580A4D" w:rsidRPr="000972D1" w:rsidRDefault="00CA15A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0.559***</w:t>
            </w:r>
          </w:p>
          <w:p w14:paraId="11393021" w14:textId="274DB1FB" w:rsidR="00CA15AE" w:rsidRPr="000972D1" w:rsidRDefault="00CA15A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(0.000)</w:t>
            </w:r>
          </w:p>
        </w:tc>
        <w:tc>
          <w:tcPr>
            <w:tcW w:w="0" w:type="auto"/>
          </w:tcPr>
          <w:p w14:paraId="0D54212E" w14:textId="77777777" w:rsidR="00580A4D" w:rsidRPr="000972D1" w:rsidRDefault="001973FB"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0.570***</w:t>
            </w:r>
          </w:p>
          <w:p w14:paraId="59F8122A" w14:textId="0F21221A" w:rsidR="001973FB" w:rsidRPr="000972D1" w:rsidRDefault="001973FB"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(0.000)</w:t>
            </w:r>
          </w:p>
        </w:tc>
        <w:tc>
          <w:tcPr>
            <w:tcW w:w="0" w:type="auto"/>
          </w:tcPr>
          <w:p w14:paraId="0E6B8798" w14:textId="1AB1D7BF" w:rsidR="00580A4D" w:rsidRPr="000972D1" w:rsidRDefault="002864E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0.357</w:t>
            </w:r>
            <w:r w:rsidR="00580A4D" w:rsidRPr="000972D1">
              <w:rPr>
                <w:rFonts w:ascii="Times New Roman" w:eastAsia="Times New Roman" w:hAnsi="Times New Roman" w:cs="Times New Roman"/>
                <w:sz w:val="17"/>
                <w:szCs w:val="17"/>
                <w:shd w:val="clear" w:color="auto" w:fill="FFFFFF"/>
                <w:lang w:val="en-US"/>
              </w:rPr>
              <w:t>***</w:t>
            </w:r>
          </w:p>
          <w:p w14:paraId="4E3D9B20" w14:textId="77777777" w:rsidR="00580A4D" w:rsidRPr="000972D1" w:rsidRDefault="00580A4D"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(0.000)</w:t>
            </w:r>
          </w:p>
        </w:tc>
        <w:tc>
          <w:tcPr>
            <w:tcW w:w="0" w:type="auto"/>
          </w:tcPr>
          <w:p w14:paraId="2C74EA5A" w14:textId="4F02C285" w:rsidR="00580A4D" w:rsidRPr="000972D1" w:rsidRDefault="00580A4D"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0.3</w:t>
            </w:r>
            <w:r w:rsidR="005A1142" w:rsidRPr="000972D1">
              <w:rPr>
                <w:rFonts w:ascii="Times New Roman" w:eastAsia="Times New Roman" w:hAnsi="Times New Roman" w:cs="Times New Roman"/>
                <w:sz w:val="17"/>
                <w:szCs w:val="17"/>
                <w:shd w:val="clear" w:color="auto" w:fill="FFFFFF"/>
                <w:lang w:val="en-US"/>
              </w:rPr>
              <w:t>17</w:t>
            </w:r>
            <w:r w:rsidRPr="000972D1">
              <w:rPr>
                <w:rFonts w:ascii="Times New Roman" w:eastAsia="Times New Roman" w:hAnsi="Times New Roman" w:cs="Times New Roman"/>
                <w:sz w:val="17"/>
                <w:szCs w:val="17"/>
                <w:shd w:val="clear" w:color="auto" w:fill="FFFFFF"/>
                <w:lang w:val="en-US"/>
              </w:rPr>
              <w:t>***</w:t>
            </w:r>
          </w:p>
          <w:p w14:paraId="1C4F3C5D" w14:textId="77777777" w:rsidR="00580A4D" w:rsidRPr="000972D1" w:rsidRDefault="00580A4D"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(0.000)</w:t>
            </w:r>
          </w:p>
        </w:tc>
        <w:tc>
          <w:tcPr>
            <w:tcW w:w="0" w:type="auto"/>
          </w:tcPr>
          <w:p w14:paraId="26CB8212" w14:textId="30C4B844" w:rsidR="00580A4D" w:rsidRPr="000972D1" w:rsidRDefault="00AA537C"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0.312</w:t>
            </w:r>
            <w:r w:rsidR="00580A4D" w:rsidRPr="000972D1">
              <w:rPr>
                <w:rFonts w:ascii="Times New Roman" w:eastAsia="Times New Roman" w:hAnsi="Times New Roman" w:cs="Times New Roman"/>
                <w:sz w:val="17"/>
                <w:szCs w:val="17"/>
                <w:shd w:val="clear" w:color="auto" w:fill="FFFFFF"/>
                <w:lang w:val="en-US"/>
              </w:rPr>
              <w:t>***</w:t>
            </w:r>
          </w:p>
          <w:p w14:paraId="6849AE8C" w14:textId="77777777" w:rsidR="00580A4D" w:rsidRPr="000972D1" w:rsidRDefault="00580A4D"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(0.000)</w:t>
            </w:r>
          </w:p>
        </w:tc>
        <w:tc>
          <w:tcPr>
            <w:tcW w:w="0" w:type="auto"/>
          </w:tcPr>
          <w:p w14:paraId="6DBA3209" w14:textId="3249FDFD" w:rsidR="00580A4D" w:rsidRPr="000972D1" w:rsidRDefault="00F21781"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0.343</w:t>
            </w:r>
            <w:r w:rsidR="00580A4D" w:rsidRPr="000972D1">
              <w:rPr>
                <w:rFonts w:ascii="Times New Roman" w:eastAsia="Times New Roman" w:hAnsi="Times New Roman" w:cs="Times New Roman"/>
                <w:sz w:val="17"/>
                <w:szCs w:val="17"/>
                <w:shd w:val="clear" w:color="auto" w:fill="FFFFFF"/>
                <w:lang w:val="en-US"/>
              </w:rPr>
              <w:t>***</w:t>
            </w:r>
          </w:p>
          <w:p w14:paraId="1B1E62CE" w14:textId="77777777" w:rsidR="00580A4D" w:rsidRPr="000972D1" w:rsidRDefault="00580A4D"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(0.000)</w:t>
            </w:r>
          </w:p>
        </w:tc>
        <w:tc>
          <w:tcPr>
            <w:tcW w:w="0" w:type="auto"/>
          </w:tcPr>
          <w:p w14:paraId="5A1B4606" w14:textId="77777777" w:rsidR="00580A4D" w:rsidRPr="000972D1" w:rsidRDefault="00015D44"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0.363***</w:t>
            </w:r>
          </w:p>
          <w:p w14:paraId="3D85CF67" w14:textId="157EE92C" w:rsidR="00015D44" w:rsidRPr="000972D1" w:rsidRDefault="00015D44"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(0.000)</w:t>
            </w:r>
          </w:p>
        </w:tc>
        <w:tc>
          <w:tcPr>
            <w:tcW w:w="0" w:type="auto"/>
          </w:tcPr>
          <w:p w14:paraId="409139BA" w14:textId="77777777" w:rsidR="00580A4D" w:rsidRPr="000972D1" w:rsidRDefault="00BF5D41"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0.315***</w:t>
            </w:r>
          </w:p>
          <w:p w14:paraId="517268DA" w14:textId="73C08C17" w:rsidR="00BF5D41" w:rsidRPr="000972D1" w:rsidRDefault="00BF5D41"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(0.000)</w:t>
            </w:r>
          </w:p>
        </w:tc>
        <w:tc>
          <w:tcPr>
            <w:tcW w:w="0" w:type="auto"/>
          </w:tcPr>
          <w:p w14:paraId="137D255D" w14:textId="77777777" w:rsidR="00580A4D" w:rsidRPr="000972D1" w:rsidRDefault="002864E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0.329***</w:t>
            </w:r>
          </w:p>
          <w:p w14:paraId="2D2D4325" w14:textId="358BD460" w:rsidR="002864EE" w:rsidRPr="000972D1" w:rsidRDefault="002864E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(0.000)</w:t>
            </w:r>
          </w:p>
        </w:tc>
      </w:tr>
      <w:tr w:rsidR="00580A4D" w:rsidRPr="000972D1" w14:paraId="074876B4" w14:textId="3C75B503" w:rsidTr="00580A4D">
        <w:trPr>
          <w:trHeight w:val="300"/>
          <w:jc w:val="center"/>
        </w:trPr>
        <w:tc>
          <w:tcPr>
            <w:tcW w:w="0" w:type="auto"/>
            <w:tcBorders>
              <w:right w:val="single" w:sz="12" w:space="0" w:color="auto"/>
            </w:tcBorders>
            <w:noWrap/>
          </w:tcPr>
          <w:p w14:paraId="4C37A36B" w14:textId="1E60699E" w:rsidR="00580A4D" w:rsidRPr="000972D1" w:rsidRDefault="00580A4D" w:rsidP="00911D12">
            <w:pP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BUSY</w:t>
            </w:r>
          </w:p>
        </w:tc>
        <w:tc>
          <w:tcPr>
            <w:tcW w:w="0" w:type="auto"/>
            <w:tcBorders>
              <w:left w:val="single" w:sz="12" w:space="0" w:color="auto"/>
            </w:tcBorders>
          </w:tcPr>
          <w:p w14:paraId="0D85269A" w14:textId="77777777" w:rsidR="00580A4D" w:rsidRPr="000972D1" w:rsidRDefault="00580A4D"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noWrap/>
          </w:tcPr>
          <w:p w14:paraId="4826968B" w14:textId="77777777" w:rsidR="00580A4D" w:rsidRPr="000972D1" w:rsidRDefault="00580A4D"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noWrap/>
          </w:tcPr>
          <w:p w14:paraId="0B6A3FF8" w14:textId="77777777" w:rsidR="00580A4D" w:rsidRPr="000972D1" w:rsidRDefault="00580A4D"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Pr>
          <w:p w14:paraId="0624CF09" w14:textId="77777777" w:rsidR="00580A4D" w:rsidRPr="000972D1" w:rsidRDefault="00580A4D"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Pr>
          <w:p w14:paraId="04250F1F" w14:textId="2411D1C1" w:rsidR="00580A4D" w:rsidRPr="000972D1" w:rsidRDefault="008477A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Pr>
          <w:p w14:paraId="1CC1D601" w14:textId="6AB1B2A3" w:rsidR="00580A4D" w:rsidRPr="000972D1" w:rsidRDefault="00CA15A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Pr>
          <w:p w14:paraId="533BB19D" w14:textId="0525E8E2" w:rsidR="00580A4D" w:rsidRPr="000972D1" w:rsidRDefault="001973FB"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Pr>
          <w:p w14:paraId="4D2739C0" w14:textId="462C83C9" w:rsidR="00580A4D" w:rsidRPr="000972D1" w:rsidRDefault="002864E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0.486</w:t>
            </w:r>
            <w:r w:rsidR="00580A4D" w:rsidRPr="000972D1">
              <w:rPr>
                <w:rFonts w:ascii="Times New Roman" w:eastAsia="Times New Roman" w:hAnsi="Times New Roman" w:cs="Times New Roman"/>
                <w:sz w:val="17"/>
                <w:szCs w:val="17"/>
                <w:shd w:val="clear" w:color="auto" w:fill="FFFFFF"/>
                <w:lang w:val="en-US"/>
              </w:rPr>
              <w:t>***</w:t>
            </w:r>
          </w:p>
          <w:p w14:paraId="74DF5E67" w14:textId="77777777" w:rsidR="00580A4D" w:rsidRPr="000972D1" w:rsidRDefault="00580A4D"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(0.000)</w:t>
            </w:r>
          </w:p>
        </w:tc>
        <w:tc>
          <w:tcPr>
            <w:tcW w:w="0" w:type="auto"/>
          </w:tcPr>
          <w:p w14:paraId="38358596" w14:textId="2457A6F9" w:rsidR="00580A4D" w:rsidRPr="000972D1" w:rsidRDefault="005A1142"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0.561</w:t>
            </w:r>
            <w:r w:rsidR="00580A4D" w:rsidRPr="000972D1">
              <w:rPr>
                <w:rFonts w:ascii="Times New Roman" w:eastAsia="Times New Roman" w:hAnsi="Times New Roman" w:cs="Times New Roman"/>
                <w:sz w:val="17"/>
                <w:szCs w:val="17"/>
                <w:shd w:val="clear" w:color="auto" w:fill="FFFFFF"/>
                <w:lang w:val="en-US"/>
              </w:rPr>
              <w:t>***</w:t>
            </w:r>
          </w:p>
          <w:p w14:paraId="7852A22E" w14:textId="77777777" w:rsidR="00580A4D" w:rsidRPr="000972D1" w:rsidRDefault="00580A4D"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(0.000)</w:t>
            </w:r>
          </w:p>
        </w:tc>
        <w:tc>
          <w:tcPr>
            <w:tcW w:w="0" w:type="auto"/>
          </w:tcPr>
          <w:p w14:paraId="1524C4FC" w14:textId="2A90F3F5" w:rsidR="00580A4D" w:rsidRPr="000972D1" w:rsidRDefault="00AA537C"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0.432</w:t>
            </w:r>
            <w:r w:rsidR="00580A4D" w:rsidRPr="000972D1">
              <w:rPr>
                <w:rFonts w:ascii="Times New Roman" w:eastAsia="Times New Roman" w:hAnsi="Times New Roman" w:cs="Times New Roman"/>
                <w:sz w:val="17"/>
                <w:szCs w:val="17"/>
                <w:shd w:val="clear" w:color="auto" w:fill="FFFFFF"/>
                <w:lang w:val="en-US"/>
              </w:rPr>
              <w:t>***</w:t>
            </w:r>
          </w:p>
          <w:p w14:paraId="3EA5BE34" w14:textId="77777777" w:rsidR="00580A4D" w:rsidRPr="000972D1" w:rsidRDefault="00580A4D"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(0.000)</w:t>
            </w:r>
          </w:p>
        </w:tc>
        <w:tc>
          <w:tcPr>
            <w:tcW w:w="0" w:type="auto"/>
          </w:tcPr>
          <w:p w14:paraId="777EB5BE" w14:textId="62E904E1" w:rsidR="00580A4D" w:rsidRPr="000972D1" w:rsidRDefault="00F21781"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0.500</w:t>
            </w:r>
            <w:r w:rsidR="00580A4D" w:rsidRPr="000972D1">
              <w:rPr>
                <w:rFonts w:ascii="Times New Roman" w:eastAsia="Times New Roman" w:hAnsi="Times New Roman" w:cs="Times New Roman"/>
                <w:sz w:val="17"/>
                <w:szCs w:val="17"/>
                <w:shd w:val="clear" w:color="auto" w:fill="FFFFFF"/>
                <w:lang w:val="en-US"/>
              </w:rPr>
              <w:t>***</w:t>
            </w:r>
          </w:p>
          <w:p w14:paraId="530F2698" w14:textId="77777777" w:rsidR="00580A4D" w:rsidRPr="000972D1" w:rsidRDefault="00580A4D"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(0.000)</w:t>
            </w:r>
          </w:p>
        </w:tc>
        <w:tc>
          <w:tcPr>
            <w:tcW w:w="0" w:type="auto"/>
          </w:tcPr>
          <w:p w14:paraId="40C3FF39" w14:textId="77777777" w:rsidR="00580A4D" w:rsidRPr="000972D1" w:rsidRDefault="00015D44"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0.487***</w:t>
            </w:r>
          </w:p>
          <w:p w14:paraId="0AAE1460" w14:textId="6A6CF3FB" w:rsidR="00015D44" w:rsidRPr="000972D1" w:rsidRDefault="00015D44"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(0.000)</w:t>
            </w:r>
          </w:p>
        </w:tc>
        <w:tc>
          <w:tcPr>
            <w:tcW w:w="0" w:type="auto"/>
          </w:tcPr>
          <w:p w14:paraId="6AE7B9AC" w14:textId="77777777" w:rsidR="00580A4D" w:rsidRPr="000972D1" w:rsidRDefault="00BF5D41"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0.383***</w:t>
            </w:r>
          </w:p>
          <w:p w14:paraId="53506A03" w14:textId="439C66E4" w:rsidR="00BF5D41" w:rsidRPr="000972D1" w:rsidRDefault="00BF5D41"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(0.000)</w:t>
            </w:r>
          </w:p>
        </w:tc>
        <w:tc>
          <w:tcPr>
            <w:tcW w:w="0" w:type="auto"/>
          </w:tcPr>
          <w:p w14:paraId="505F26A3" w14:textId="77777777" w:rsidR="00580A4D" w:rsidRPr="000972D1" w:rsidRDefault="002864E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0.451***</w:t>
            </w:r>
          </w:p>
          <w:p w14:paraId="4EFFC556" w14:textId="3736859C" w:rsidR="002864EE" w:rsidRPr="000972D1" w:rsidRDefault="002864E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(0.000)</w:t>
            </w:r>
          </w:p>
        </w:tc>
      </w:tr>
      <w:tr w:rsidR="00580A4D" w:rsidRPr="000972D1" w14:paraId="6E6518EE" w14:textId="454262B0" w:rsidTr="00580A4D">
        <w:trPr>
          <w:trHeight w:val="300"/>
          <w:jc w:val="center"/>
        </w:trPr>
        <w:tc>
          <w:tcPr>
            <w:tcW w:w="0" w:type="auto"/>
            <w:tcBorders>
              <w:right w:val="single" w:sz="12" w:space="0" w:color="auto"/>
            </w:tcBorders>
            <w:noWrap/>
          </w:tcPr>
          <w:p w14:paraId="01FE96EF" w14:textId="56CAF817" w:rsidR="00580A4D" w:rsidRPr="000972D1" w:rsidRDefault="00580A4D" w:rsidP="00911D12">
            <w:pP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QUIK</w:t>
            </w:r>
          </w:p>
        </w:tc>
        <w:tc>
          <w:tcPr>
            <w:tcW w:w="0" w:type="auto"/>
            <w:tcBorders>
              <w:left w:val="single" w:sz="12" w:space="0" w:color="auto"/>
            </w:tcBorders>
          </w:tcPr>
          <w:p w14:paraId="1EF10380" w14:textId="39659909" w:rsidR="00580A4D" w:rsidRPr="000972D1" w:rsidRDefault="006C7C36"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0.311***</w:t>
            </w:r>
          </w:p>
          <w:p w14:paraId="1F201394" w14:textId="091D056B" w:rsidR="00580A4D" w:rsidRPr="000972D1" w:rsidRDefault="006C7C36"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(0.004</w:t>
            </w:r>
            <w:r w:rsidR="00580A4D" w:rsidRPr="000972D1">
              <w:rPr>
                <w:rFonts w:ascii="Times New Roman" w:eastAsia="Times New Roman" w:hAnsi="Times New Roman" w:cs="Times New Roman"/>
                <w:sz w:val="17"/>
                <w:szCs w:val="17"/>
                <w:shd w:val="clear" w:color="auto" w:fill="FFFFFF"/>
                <w:lang w:val="en-US"/>
              </w:rPr>
              <w:t>)</w:t>
            </w:r>
          </w:p>
        </w:tc>
        <w:tc>
          <w:tcPr>
            <w:tcW w:w="0" w:type="auto"/>
            <w:noWrap/>
          </w:tcPr>
          <w:p w14:paraId="2C9BE996" w14:textId="0888A6F8" w:rsidR="00580A4D" w:rsidRPr="000972D1" w:rsidRDefault="006C7C36"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w:t>
            </w:r>
            <w:r w:rsidR="00625A5F" w:rsidRPr="000972D1">
              <w:rPr>
                <w:rFonts w:ascii="Times New Roman" w:eastAsia="Times New Roman" w:hAnsi="Times New Roman" w:cs="Times New Roman"/>
                <w:sz w:val="17"/>
                <w:szCs w:val="17"/>
                <w:shd w:val="clear" w:color="auto" w:fill="FFFFFF"/>
                <w:lang w:val="en-US"/>
              </w:rPr>
              <w:t>247</w:t>
            </w:r>
            <w:r w:rsidR="00E61436" w:rsidRPr="000972D1">
              <w:rPr>
                <w:rFonts w:ascii="Times New Roman" w:eastAsia="Times New Roman" w:hAnsi="Times New Roman" w:cs="Times New Roman"/>
                <w:sz w:val="17"/>
                <w:szCs w:val="17"/>
                <w:shd w:val="clear" w:color="auto" w:fill="FFFFFF"/>
                <w:lang w:val="en-US"/>
              </w:rPr>
              <w:t>**</w:t>
            </w:r>
          </w:p>
          <w:p w14:paraId="745CEAA4" w14:textId="066000B1" w:rsidR="00580A4D" w:rsidRPr="000972D1" w:rsidRDefault="006C7C36"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w:t>
            </w:r>
            <w:r w:rsidR="00625A5F" w:rsidRPr="000972D1">
              <w:rPr>
                <w:rFonts w:ascii="Times New Roman" w:eastAsia="Times New Roman" w:hAnsi="Times New Roman" w:cs="Times New Roman"/>
                <w:sz w:val="17"/>
                <w:szCs w:val="17"/>
                <w:shd w:val="clear" w:color="auto" w:fill="FFFFFF"/>
                <w:lang w:val="en-US"/>
              </w:rPr>
              <w:t>031</w:t>
            </w:r>
            <w:r w:rsidR="00580A4D" w:rsidRPr="000972D1">
              <w:rPr>
                <w:rFonts w:ascii="Times New Roman" w:eastAsia="Times New Roman" w:hAnsi="Times New Roman" w:cs="Times New Roman"/>
                <w:sz w:val="17"/>
                <w:szCs w:val="17"/>
                <w:shd w:val="clear" w:color="auto" w:fill="FFFFFF"/>
                <w:lang w:val="en-US"/>
              </w:rPr>
              <w:t>)</w:t>
            </w:r>
          </w:p>
        </w:tc>
        <w:tc>
          <w:tcPr>
            <w:tcW w:w="0" w:type="auto"/>
            <w:noWrap/>
          </w:tcPr>
          <w:p w14:paraId="2BA29CE6" w14:textId="4132DEA4" w:rsidR="00580A4D" w:rsidRPr="000972D1" w:rsidRDefault="00CA4BE3"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0.252**</w:t>
            </w:r>
          </w:p>
          <w:p w14:paraId="1869FF32" w14:textId="676359E9" w:rsidR="00580A4D" w:rsidRPr="000972D1" w:rsidRDefault="00CA4BE3"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(0.027</w:t>
            </w:r>
            <w:r w:rsidR="00580A4D" w:rsidRPr="000972D1">
              <w:rPr>
                <w:rFonts w:ascii="Times New Roman" w:eastAsia="Times New Roman" w:hAnsi="Times New Roman" w:cs="Times New Roman"/>
                <w:sz w:val="17"/>
                <w:szCs w:val="17"/>
                <w:shd w:val="clear" w:color="auto" w:fill="FFFFFF"/>
                <w:lang w:val="en-US"/>
              </w:rPr>
              <w:t>)</w:t>
            </w:r>
          </w:p>
        </w:tc>
        <w:tc>
          <w:tcPr>
            <w:tcW w:w="0" w:type="auto"/>
          </w:tcPr>
          <w:p w14:paraId="356FDA43" w14:textId="45B03BE3" w:rsidR="00580A4D" w:rsidRPr="000972D1" w:rsidRDefault="009933B6"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0.242**</w:t>
            </w:r>
          </w:p>
          <w:p w14:paraId="1F14FF8E" w14:textId="7E134E50" w:rsidR="00580A4D" w:rsidRPr="000972D1" w:rsidRDefault="009933B6"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(0.033</w:t>
            </w:r>
            <w:r w:rsidR="00580A4D" w:rsidRPr="000972D1">
              <w:rPr>
                <w:rFonts w:ascii="Times New Roman" w:eastAsia="Times New Roman" w:hAnsi="Times New Roman" w:cs="Times New Roman"/>
                <w:sz w:val="17"/>
                <w:szCs w:val="17"/>
                <w:shd w:val="clear" w:color="auto" w:fill="FFFFFF"/>
                <w:lang w:val="en-US"/>
              </w:rPr>
              <w:t>)</w:t>
            </w:r>
          </w:p>
        </w:tc>
        <w:tc>
          <w:tcPr>
            <w:tcW w:w="0" w:type="auto"/>
          </w:tcPr>
          <w:p w14:paraId="5AA8986D" w14:textId="77777777" w:rsidR="00580A4D" w:rsidRPr="000972D1" w:rsidRDefault="008477A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0.271**</w:t>
            </w:r>
          </w:p>
          <w:p w14:paraId="59BFCA12" w14:textId="5B14C528" w:rsidR="008477AE" w:rsidRPr="000972D1" w:rsidRDefault="008477A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(0.016)</w:t>
            </w:r>
          </w:p>
        </w:tc>
        <w:tc>
          <w:tcPr>
            <w:tcW w:w="0" w:type="auto"/>
          </w:tcPr>
          <w:p w14:paraId="3E1F09DB" w14:textId="77777777" w:rsidR="00580A4D" w:rsidRPr="000972D1" w:rsidRDefault="00CA15A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0.270**</w:t>
            </w:r>
          </w:p>
          <w:p w14:paraId="2DB7F08D" w14:textId="289410AD" w:rsidR="00CA15AE" w:rsidRPr="000972D1" w:rsidRDefault="00CA15A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(0.017)</w:t>
            </w:r>
          </w:p>
        </w:tc>
        <w:tc>
          <w:tcPr>
            <w:tcW w:w="0" w:type="auto"/>
          </w:tcPr>
          <w:p w14:paraId="1A63EABD" w14:textId="77777777" w:rsidR="00580A4D" w:rsidRPr="000972D1" w:rsidRDefault="001973FB"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0.225**</w:t>
            </w:r>
          </w:p>
          <w:p w14:paraId="04942D2A" w14:textId="24455F0A" w:rsidR="001973FB" w:rsidRPr="000972D1" w:rsidRDefault="001973FB"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(0.049)</w:t>
            </w:r>
          </w:p>
        </w:tc>
        <w:tc>
          <w:tcPr>
            <w:tcW w:w="0" w:type="auto"/>
          </w:tcPr>
          <w:p w14:paraId="039C9B71" w14:textId="255FA962" w:rsidR="00580A4D" w:rsidRPr="000972D1" w:rsidRDefault="002864E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w:t>
            </w:r>
            <w:r w:rsidR="00A347B3" w:rsidRPr="000972D1">
              <w:rPr>
                <w:rFonts w:ascii="Times New Roman" w:eastAsia="Times New Roman" w:hAnsi="Times New Roman" w:cs="Times New Roman"/>
                <w:sz w:val="17"/>
                <w:szCs w:val="17"/>
                <w:shd w:val="clear" w:color="auto" w:fill="FFFFFF"/>
                <w:lang w:val="en-US"/>
              </w:rPr>
              <w:t>0</w:t>
            </w:r>
            <w:r w:rsidR="0056574F" w:rsidRPr="000972D1">
              <w:rPr>
                <w:rFonts w:ascii="Times New Roman" w:eastAsia="Times New Roman" w:hAnsi="Times New Roman" w:cs="Times New Roman"/>
                <w:sz w:val="17"/>
                <w:szCs w:val="17"/>
                <w:shd w:val="clear" w:color="auto" w:fill="FFFFFF"/>
                <w:lang w:val="en-US"/>
              </w:rPr>
              <w:t>16</w:t>
            </w:r>
          </w:p>
          <w:p w14:paraId="2A040203" w14:textId="16A91581" w:rsidR="00580A4D" w:rsidRPr="000972D1" w:rsidRDefault="0056574F" w:rsidP="00911D12">
            <w:pPr>
              <w:tabs>
                <w:tab w:val="left" w:pos="220"/>
                <w:tab w:val="center" w:pos="459"/>
              </w:tabs>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(0.659</w:t>
            </w:r>
            <w:r w:rsidR="00580A4D" w:rsidRPr="000972D1">
              <w:rPr>
                <w:rFonts w:ascii="Times New Roman" w:eastAsia="Times New Roman" w:hAnsi="Times New Roman" w:cs="Times New Roman"/>
                <w:sz w:val="17"/>
                <w:szCs w:val="17"/>
                <w:shd w:val="clear" w:color="auto" w:fill="FFFFFF"/>
                <w:lang w:val="en-US"/>
              </w:rPr>
              <w:t>)</w:t>
            </w:r>
          </w:p>
        </w:tc>
        <w:tc>
          <w:tcPr>
            <w:tcW w:w="0" w:type="auto"/>
          </w:tcPr>
          <w:p w14:paraId="76CDFD43" w14:textId="02EA9B74" w:rsidR="00580A4D" w:rsidRPr="000972D1" w:rsidRDefault="005A1142" w:rsidP="00911D12">
            <w:pPr>
              <w:tabs>
                <w:tab w:val="left" w:pos="220"/>
                <w:tab w:val="center" w:pos="459"/>
              </w:tabs>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0.018</w:t>
            </w:r>
          </w:p>
          <w:p w14:paraId="5779DAD1" w14:textId="11C41CB4" w:rsidR="00580A4D" w:rsidRPr="000972D1" w:rsidRDefault="005A1142"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(0.549</w:t>
            </w:r>
            <w:r w:rsidR="00580A4D" w:rsidRPr="000972D1">
              <w:rPr>
                <w:rFonts w:ascii="Times New Roman" w:eastAsia="Times New Roman" w:hAnsi="Times New Roman" w:cs="Times New Roman"/>
                <w:sz w:val="17"/>
                <w:szCs w:val="17"/>
                <w:shd w:val="clear" w:color="auto" w:fill="FFFFFF"/>
                <w:lang w:val="en-US"/>
              </w:rPr>
              <w:t>)</w:t>
            </w:r>
          </w:p>
        </w:tc>
        <w:tc>
          <w:tcPr>
            <w:tcW w:w="0" w:type="auto"/>
          </w:tcPr>
          <w:p w14:paraId="78CC57EB" w14:textId="1074514C" w:rsidR="00580A4D" w:rsidRPr="000972D1" w:rsidRDefault="00AA537C"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0.008</w:t>
            </w:r>
          </w:p>
          <w:p w14:paraId="5255C3F6" w14:textId="3E80C701" w:rsidR="00580A4D" w:rsidRPr="000972D1" w:rsidRDefault="00AA537C"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(0.769</w:t>
            </w:r>
            <w:r w:rsidR="00580A4D" w:rsidRPr="000972D1">
              <w:rPr>
                <w:rFonts w:ascii="Times New Roman" w:eastAsia="Times New Roman" w:hAnsi="Times New Roman" w:cs="Times New Roman"/>
                <w:sz w:val="17"/>
                <w:szCs w:val="17"/>
                <w:shd w:val="clear" w:color="auto" w:fill="FFFFFF"/>
                <w:lang w:val="en-US"/>
              </w:rPr>
              <w:t>)</w:t>
            </w:r>
          </w:p>
        </w:tc>
        <w:tc>
          <w:tcPr>
            <w:tcW w:w="0" w:type="auto"/>
          </w:tcPr>
          <w:p w14:paraId="3F4B9C4B" w14:textId="144D4FFB" w:rsidR="00580A4D" w:rsidRPr="000972D1" w:rsidRDefault="00F21781"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0.026</w:t>
            </w:r>
          </w:p>
          <w:p w14:paraId="52B7C09D" w14:textId="69789A62" w:rsidR="00580A4D" w:rsidRPr="000972D1" w:rsidRDefault="00F21781"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(0.371</w:t>
            </w:r>
            <w:r w:rsidR="00580A4D" w:rsidRPr="000972D1">
              <w:rPr>
                <w:rFonts w:ascii="Times New Roman" w:eastAsia="Times New Roman" w:hAnsi="Times New Roman" w:cs="Times New Roman"/>
                <w:sz w:val="17"/>
                <w:szCs w:val="17"/>
                <w:shd w:val="clear" w:color="auto" w:fill="FFFFFF"/>
                <w:lang w:val="en-US"/>
              </w:rPr>
              <w:t>)</w:t>
            </w:r>
          </w:p>
        </w:tc>
        <w:tc>
          <w:tcPr>
            <w:tcW w:w="0" w:type="auto"/>
          </w:tcPr>
          <w:p w14:paraId="70D8D5D9" w14:textId="77777777" w:rsidR="00580A4D" w:rsidRPr="000972D1" w:rsidRDefault="00015D44"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0.034</w:t>
            </w:r>
          </w:p>
          <w:p w14:paraId="1ED0C9BD" w14:textId="543DB6D1" w:rsidR="00015D44" w:rsidRPr="000972D1" w:rsidRDefault="00015D44"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(0.235)</w:t>
            </w:r>
          </w:p>
        </w:tc>
        <w:tc>
          <w:tcPr>
            <w:tcW w:w="0" w:type="auto"/>
          </w:tcPr>
          <w:p w14:paraId="62241F2E" w14:textId="77777777" w:rsidR="00580A4D" w:rsidRPr="000972D1" w:rsidRDefault="00BF5D41"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0.004</w:t>
            </w:r>
          </w:p>
          <w:p w14:paraId="4AD81C4B" w14:textId="3A7387E1" w:rsidR="00BF5D41" w:rsidRPr="000972D1" w:rsidRDefault="00BF5D41"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(0.894)</w:t>
            </w:r>
          </w:p>
        </w:tc>
        <w:tc>
          <w:tcPr>
            <w:tcW w:w="0" w:type="auto"/>
          </w:tcPr>
          <w:p w14:paraId="41B070B0" w14:textId="77777777" w:rsidR="00580A4D" w:rsidRPr="000972D1" w:rsidRDefault="002864E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0.005</w:t>
            </w:r>
          </w:p>
          <w:p w14:paraId="5FC251C5" w14:textId="2FB6B8E0" w:rsidR="002864EE" w:rsidRPr="000972D1" w:rsidRDefault="002864E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(0.851)</w:t>
            </w:r>
          </w:p>
        </w:tc>
      </w:tr>
      <w:tr w:rsidR="00580A4D" w:rsidRPr="000972D1" w14:paraId="358CFE62" w14:textId="3CC7DB51" w:rsidTr="00580A4D">
        <w:trPr>
          <w:trHeight w:val="300"/>
          <w:jc w:val="center"/>
        </w:trPr>
        <w:tc>
          <w:tcPr>
            <w:tcW w:w="0" w:type="auto"/>
            <w:tcBorders>
              <w:right w:val="single" w:sz="12" w:space="0" w:color="auto"/>
            </w:tcBorders>
            <w:noWrap/>
          </w:tcPr>
          <w:p w14:paraId="377A50C2" w14:textId="1ECD0633" w:rsidR="00580A4D" w:rsidRPr="000972D1" w:rsidRDefault="00580A4D" w:rsidP="00911D12">
            <w:pP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LOS</w:t>
            </w:r>
          </w:p>
        </w:tc>
        <w:tc>
          <w:tcPr>
            <w:tcW w:w="0" w:type="auto"/>
            <w:tcBorders>
              <w:left w:val="single" w:sz="12" w:space="0" w:color="auto"/>
            </w:tcBorders>
          </w:tcPr>
          <w:p w14:paraId="6A78E456" w14:textId="11BEC0ED" w:rsidR="00580A4D" w:rsidRPr="000972D1" w:rsidRDefault="00580A4D"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w:t>
            </w:r>
            <w:r w:rsidR="006C7C36" w:rsidRPr="000972D1">
              <w:rPr>
                <w:rFonts w:ascii="Times New Roman" w:eastAsia="Times New Roman" w:hAnsi="Times New Roman" w:cs="Times New Roman"/>
                <w:sz w:val="17"/>
                <w:szCs w:val="17"/>
                <w:shd w:val="clear" w:color="auto" w:fill="FFFFFF"/>
                <w:lang w:val="en-US"/>
              </w:rPr>
              <w:t>83</w:t>
            </w:r>
          </w:p>
          <w:p w14:paraId="3ADCAA7C" w14:textId="257B1DE8" w:rsidR="00580A4D" w:rsidRPr="000972D1" w:rsidRDefault="006C7C36"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(0.796</w:t>
            </w:r>
            <w:r w:rsidR="00580A4D" w:rsidRPr="000972D1">
              <w:rPr>
                <w:rFonts w:ascii="Times New Roman" w:eastAsia="Times New Roman" w:hAnsi="Times New Roman" w:cs="Times New Roman"/>
                <w:sz w:val="17"/>
                <w:szCs w:val="17"/>
                <w:shd w:val="clear" w:color="auto" w:fill="FFFFFF"/>
                <w:lang w:val="en-US"/>
              </w:rPr>
              <w:t>)</w:t>
            </w:r>
          </w:p>
        </w:tc>
        <w:tc>
          <w:tcPr>
            <w:tcW w:w="0" w:type="auto"/>
            <w:noWrap/>
          </w:tcPr>
          <w:p w14:paraId="3E851876" w14:textId="2FB9961E" w:rsidR="00580A4D" w:rsidRPr="000972D1" w:rsidRDefault="006C7C36"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0.137</w:t>
            </w:r>
          </w:p>
          <w:p w14:paraId="1308304D" w14:textId="694E6A17" w:rsidR="00580A4D" w:rsidRPr="000972D1" w:rsidRDefault="006C7C36"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(0.673</w:t>
            </w:r>
            <w:r w:rsidR="00580A4D" w:rsidRPr="000972D1">
              <w:rPr>
                <w:rFonts w:ascii="Times New Roman" w:eastAsia="Times New Roman" w:hAnsi="Times New Roman" w:cs="Times New Roman"/>
                <w:sz w:val="17"/>
                <w:szCs w:val="17"/>
                <w:shd w:val="clear" w:color="auto" w:fill="FFFFFF"/>
                <w:lang w:val="en-US"/>
              </w:rPr>
              <w:t>)</w:t>
            </w:r>
          </w:p>
        </w:tc>
        <w:tc>
          <w:tcPr>
            <w:tcW w:w="0" w:type="auto"/>
            <w:noWrap/>
          </w:tcPr>
          <w:p w14:paraId="3C31ADC0" w14:textId="3CFFEE8C" w:rsidR="00580A4D" w:rsidRPr="000972D1" w:rsidRDefault="00CA4BE3"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w:t>
            </w:r>
            <w:r w:rsidR="00580A4D" w:rsidRPr="000972D1">
              <w:rPr>
                <w:rFonts w:ascii="Times New Roman" w:eastAsia="Times New Roman" w:hAnsi="Times New Roman" w:cs="Times New Roman"/>
                <w:sz w:val="17"/>
                <w:szCs w:val="17"/>
                <w:shd w:val="clear" w:color="auto" w:fill="FFFFFF"/>
                <w:lang w:val="en-US"/>
              </w:rPr>
              <w:t>9</w:t>
            </w:r>
            <w:r w:rsidRPr="000972D1">
              <w:rPr>
                <w:rFonts w:ascii="Times New Roman" w:eastAsia="Times New Roman" w:hAnsi="Times New Roman" w:cs="Times New Roman"/>
                <w:sz w:val="17"/>
                <w:szCs w:val="17"/>
                <w:shd w:val="clear" w:color="auto" w:fill="FFFFFF"/>
                <w:lang w:val="en-US"/>
              </w:rPr>
              <w:t>6</w:t>
            </w:r>
          </w:p>
          <w:p w14:paraId="58E365EE" w14:textId="63A31CF1" w:rsidR="00580A4D" w:rsidRPr="000972D1" w:rsidRDefault="00CA4BE3"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(0.765</w:t>
            </w:r>
            <w:r w:rsidR="00580A4D" w:rsidRPr="000972D1">
              <w:rPr>
                <w:rFonts w:ascii="Times New Roman" w:eastAsia="Times New Roman" w:hAnsi="Times New Roman" w:cs="Times New Roman"/>
                <w:sz w:val="17"/>
                <w:szCs w:val="17"/>
                <w:shd w:val="clear" w:color="auto" w:fill="FFFFFF"/>
                <w:lang w:val="en-US"/>
              </w:rPr>
              <w:t>)</w:t>
            </w:r>
          </w:p>
        </w:tc>
        <w:tc>
          <w:tcPr>
            <w:tcW w:w="0" w:type="auto"/>
          </w:tcPr>
          <w:p w14:paraId="26CA4ABB" w14:textId="2DFCA68F" w:rsidR="00580A4D" w:rsidRPr="000972D1" w:rsidRDefault="009933B6"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0.084</w:t>
            </w:r>
          </w:p>
          <w:p w14:paraId="39A1B7A8" w14:textId="04F64785" w:rsidR="00580A4D" w:rsidRPr="000972D1" w:rsidRDefault="009933B6"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(0.793</w:t>
            </w:r>
            <w:r w:rsidR="00580A4D" w:rsidRPr="000972D1">
              <w:rPr>
                <w:rFonts w:ascii="Times New Roman" w:eastAsia="Times New Roman" w:hAnsi="Times New Roman" w:cs="Times New Roman"/>
                <w:sz w:val="17"/>
                <w:szCs w:val="17"/>
                <w:shd w:val="clear" w:color="auto" w:fill="FFFFFF"/>
                <w:lang w:val="en-US"/>
              </w:rPr>
              <w:t>)</w:t>
            </w:r>
          </w:p>
        </w:tc>
        <w:tc>
          <w:tcPr>
            <w:tcW w:w="0" w:type="auto"/>
          </w:tcPr>
          <w:p w14:paraId="46DC7296" w14:textId="77777777" w:rsidR="00580A4D" w:rsidRPr="000972D1" w:rsidRDefault="008477A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0.089</w:t>
            </w:r>
          </w:p>
          <w:p w14:paraId="5298C160" w14:textId="27644C04" w:rsidR="008477AE" w:rsidRPr="000972D1" w:rsidRDefault="008477A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(0.781)</w:t>
            </w:r>
          </w:p>
        </w:tc>
        <w:tc>
          <w:tcPr>
            <w:tcW w:w="0" w:type="auto"/>
          </w:tcPr>
          <w:p w14:paraId="535093FD" w14:textId="77777777" w:rsidR="00580A4D" w:rsidRPr="000972D1" w:rsidRDefault="00CA15A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0.077</w:t>
            </w:r>
          </w:p>
          <w:p w14:paraId="493F5897" w14:textId="1AC3E900" w:rsidR="00CA15AE" w:rsidRPr="000972D1" w:rsidRDefault="00CA15A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(0.810)</w:t>
            </w:r>
          </w:p>
        </w:tc>
        <w:tc>
          <w:tcPr>
            <w:tcW w:w="0" w:type="auto"/>
          </w:tcPr>
          <w:p w14:paraId="145BD9ED" w14:textId="77777777" w:rsidR="00580A4D" w:rsidRPr="000972D1" w:rsidRDefault="001973FB"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0.093</w:t>
            </w:r>
          </w:p>
          <w:p w14:paraId="1E367518" w14:textId="59A6EC98" w:rsidR="001973FB" w:rsidRPr="000972D1" w:rsidRDefault="001973FB"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(0.771)</w:t>
            </w:r>
          </w:p>
        </w:tc>
        <w:tc>
          <w:tcPr>
            <w:tcW w:w="0" w:type="auto"/>
          </w:tcPr>
          <w:p w14:paraId="0C0F8C10" w14:textId="6FB4C515" w:rsidR="00580A4D" w:rsidRPr="000972D1" w:rsidRDefault="002864E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w:t>
            </w:r>
            <w:r w:rsidR="00580A4D" w:rsidRPr="000972D1">
              <w:rPr>
                <w:rFonts w:ascii="Times New Roman" w:eastAsia="Times New Roman" w:hAnsi="Times New Roman" w:cs="Times New Roman"/>
                <w:sz w:val="17"/>
                <w:szCs w:val="17"/>
                <w:shd w:val="clear" w:color="auto" w:fill="FFFFFF"/>
                <w:lang w:val="en-US"/>
              </w:rPr>
              <w:t>1</w:t>
            </w:r>
            <w:r w:rsidRPr="000972D1">
              <w:rPr>
                <w:rFonts w:ascii="Times New Roman" w:eastAsia="Times New Roman" w:hAnsi="Times New Roman" w:cs="Times New Roman"/>
                <w:sz w:val="17"/>
                <w:szCs w:val="17"/>
                <w:shd w:val="clear" w:color="auto" w:fill="FFFFFF"/>
                <w:lang w:val="en-US"/>
              </w:rPr>
              <w:t>3</w:t>
            </w:r>
          </w:p>
          <w:p w14:paraId="4B7D0818" w14:textId="7655EFAF" w:rsidR="00580A4D" w:rsidRPr="000972D1" w:rsidRDefault="002864E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(0.884</w:t>
            </w:r>
            <w:r w:rsidR="00580A4D" w:rsidRPr="000972D1">
              <w:rPr>
                <w:rFonts w:ascii="Times New Roman" w:eastAsia="Times New Roman" w:hAnsi="Times New Roman" w:cs="Times New Roman"/>
                <w:sz w:val="17"/>
                <w:szCs w:val="17"/>
                <w:shd w:val="clear" w:color="auto" w:fill="FFFFFF"/>
                <w:lang w:val="en-US"/>
              </w:rPr>
              <w:t>)</w:t>
            </w:r>
          </w:p>
        </w:tc>
        <w:tc>
          <w:tcPr>
            <w:tcW w:w="0" w:type="auto"/>
          </w:tcPr>
          <w:p w14:paraId="16AC6919" w14:textId="7BCB4E0F" w:rsidR="00580A4D" w:rsidRPr="000972D1" w:rsidRDefault="005A1142"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0.074</w:t>
            </w:r>
          </w:p>
          <w:p w14:paraId="6F489887" w14:textId="2EF2886B" w:rsidR="00580A4D" w:rsidRPr="000972D1" w:rsidRDefault="005A1142"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(0.364</w:t>
            </w:r>
            <w:r w:rsidR="00580A4D" w:rsidRPr="000972D1">
              <w:rPr>
                <w:rFonts w:ascii="Times New Roman" w:eastAsia="Times New Roman" w:hAnsi="Times New Roman" w:cs="Times New Roman"/>
                <w:sz w:val="17"/>
                <w:szCs w:val="17"/>
                <w:shd w:val="clear" w:color="auto" w:fill="FFFFFF"/>
                <w:lang w:val="en-US"/>
              </w:rPr>
              <w:t>)</w:t>
            </w:r>
          </w:p>
        </w:tc>
        <w:tc>
          <w:tcPr>
            <w:tcW w:w="0" w:type="auto"/>
          </w:tcPr>
          <w:p w14:paraId="4F1078F0" w14:textId="7A2E4E92" w:rsidR="00580A4D" w:rsidRPr="000972D1" w:rsidRDefault="00AA537C"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0.053</w:t>
            </w:r>
          </w:p>
          <w:p w14:paraId="45FC7FCE" w14:textId="72D725C0" w:rsidR="00580A4D" w:rsidRPr="000972D1" w:rsidRDefault="00AA537C"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(0.500</w:t>
            </w:r>
            <w:r w:rsidR="00580A4D" w:rsidRPr="000972D1">
              <w:rPr>
                <w:rFonts w:ascii="Times New Roman" w:eastAsia="Times New Roman" w:hAnsi="Times New Roman" w:cs="Times New Roman"/>
                <w:sz w:val="17"/>
                <w:szCs w:val="17"/>
                <w:shd w:val="clear" w:color="auto" w:fill="FFFFFF"/>
                <w:lang w:val="en-US"/>
              </w:rPr>
              <w:t>)</w:t>
            </w:r>
          </w:p>
        </w:tc>
        <w:tc>
          <w:tcPr>
            <w:tcW w:w="0" w:type="auto"/>
          </w:tcPr>
          <w:p w14:paraId="02BFDBE7" w14:textId="4D414868" w:rsidR="00580A4D" w:rsidRPr="000972D1" w:rsidRDefault="00F21781"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0.039</w:t>
            </w:r>
          </w:p>
          <w:p w14:paraId="1563ED22" w14:textId="41452A73" w:rsidR="00580A4D" w:rsidRPr="000972D1" w:rsidRDefault="00F21781"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(0.624</w:t>
            </w:r>
            <w:r w:rsidR="00580A4D" w:rsidRPr="000972D1">
              <w:rPr>
                <w:rFonts w:ascii="Times New Roman" w:eastAsia="Times New Roman" w:hAnsi="Times New Roman" w:cs="Times New Roman"/>
                <w:sz w:val="17"/>
                <w:szCs w:val="17"/>
                <w:shd w:val="clear" w:color="auto" w:fill="FFFFFF"/>
                <w:lang w:val="en-US"/>
              </w:rPr>
              <w:t>)</w:t>
            </w:r>
          </w:p>
        </w:tc>
        <w:tc>
          <w:tcPr>
            <w:tcW w:w="0" w:type="auto"/>
          </w:tcPr>
          <w:p w14:paraId="5E9B4232" w14:textId="77777777" w:rsidR="00580A4D" w:rsidRPr="000972D1" w:rsidRDefault="00015D44"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0.046</w:t>
            </w:r>
          </w:p>
          <w:p w14:paraId="5A3589B7" w14:textId="1EAB64CF" w:rsidR="00015D44" w:rsidRPr="000972D1" w:rsidRDefault="00015D44"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(0.567)</w:t>
            </w:r>
          </w:p>
        </w:tc>
        <w:tc>
          <w:tcPr>
            <w:tcW w:w="0" w:type="auto"/>
          </w:tcPr>
          <w:p w14:paraId="7D3082CC" w14:textId="77777777" w:rsidR="00580A4D" w:rsidRPr="000972D1" w:rsidRDefault="00BF5D41"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0.026</w:t>
            </w:r>
          </w:p>
          <w:p w14:paraId="52F122C5" w14:textId="0C6676D8" w:rsidR="00BF5D41" w:rsidRPr="000972D1" w:rsidRDefault="00BF5D41"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(0.731)</w:t>
            </w:r>
          </w:p>
        </w:tc>
        <w:tc>
          <w:tcPr>
            <w:tcW w:w="0" w:type="auto"/>
          </w:tcPr>
          <w:p w14:paraId="0FDF2492" w14:textId="77777777" w:rsidR="00580A4D" w:rsidRPr="000972D1" w:rsidRDefault="002864E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0.049</w:t>
            </w:r>
          </w:p>
          <w:p w14:paraId="07CFD1FC" w14:textId="2B49C0C7" w:rsidR="002864EE" w:rsidRPr="000972D1" w:rsidRDefault="002864E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(0.529)</w:t>
            </w:r>
          </w:p>
        </w:tc>
      </w:tr>
      <w:tr w:rsidR="00580A4D" w:rsidRPr="000972D1" w14:paraId="43BDA15C" w14:textId="4AB77209" w:rsidTr="00580A4D">
        <w:trPr>
          <w:trHeight w:val="300"/>
          <w:jc w:val="center"/>
        </w:trPr>
        <w:tc>
          <w:tcPr>
            <w:tcW w:w="0" w:type="auto"/>
            <w:tcBorders>
              <w:right w:val="single" w:sz="12" w:space="0" w:color="auto"/>
            </w:tcBorders>
            <w:noWrap/>
          </w:tcPr>
          <w:p w14:paraId="7D07B596" w14:textId="4916D7ED" w:rsidR="00580A4D" w:rsidRPr="000972D1" w:rsidRDefault="00580A4D" w:rsidP="00911D12">
            <w:pP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LV</w:t>
            </w:r>
          </w:p>
        </w:tc>
        <w:tc>
          <w:tcPr>
            <w:tcW w:w="0" w:type="auto"/>
            <w:tcBorders>
              <w:left w:val="single" w:sz="12" w:space="0" w:color="auto"/>
            </w:tcBorders>
          </w:tcPr>
          <w:p w14:paraId="2BCE4057" w14:textId="4BCE79BC" w:rsidR="00580A4D" w:rsidRPr="000972D1" w:rsidRDefault="006C7C36"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3.780</w:t>
            </w:r>
            <w:r w:rsidR="00580A4D" w:rsidRPr="000972D1">
              <w:rPr>
                <w:rFonts w:ascii="Times New Roman" w:eastAsia="Times New Roman" w:hAnsi="Times New Roman" w:cs="Times New Roman"/>
                <w:sz w:val="17"/>
                <w:szCs w:val="17"/>
                <w:shd w:val="clear" w:color="auto" w:fill="FFFFFF"/>
                <w:lang w:val="en-US"/>
              </w:rPr>
              <w:t>***</w:t>
            </w:r>
          </w:p>
          <w:p w14:paraId="22872565" w14:textId="77777777" w:rsidR="00580A4D" w:rsidRPr="000972D1" w:rsidRDefault="00580A4D"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(0.000)</w:t>
            </w:r>
          </w:p>
        </w:tc>
        <w:tc>
          <w:tcPr>
            <w:tcW w:w="0" w:type="auto"/>
            <w:noWrap/>
          </w:tcPr>
          <w:p w14:paraId="35B25AB9" w14:textId="069F08DF" w:rsidR="00580A4D" w:rsidRPr="000972D1" w:rsidRDefault="006C7C36"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3.141</w:t>
            </w:r>
            <w:r w:rsidR="00580A4D" w:rsidRPr="000972D1">
              <w:rPr>
                <w:rFonts w:ascii="Times New Roman" w:eastAsia="Times New Roman" w:hAnsi="Times New Roman" w:cs="Times New Roman"/>
                <w:sz w:val="17"/>
                <w:szCs w:val="17"/>
                <w:shd w:val="clear" w:color="auto" w:fill="FFFFFF"/>
                <w:lang w:val="en-US"/>
              </w:rPr>
              <w:t>***</w:t>
            </w:r>
          </w:p>
          <w:p w14:paraId="164F4C8B" w14:textId="66AC8E5E" w:rsidR="00580A4D" w:rsidRPr="000972D1" w:rsidRDefault="00580A4D"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(0.00</w:t>
            </w:r>
            <w:r w:rsidR="006C7C36" w:rsidRPr="000972D1">
              <w:rPr>
                <w:rFonts w:ascii="Times New Roman" w:eastAsia="Times New Roman" w:hAnsi="Times New Roman" w:cs="Times New Roman"/>
                <w:sz w:val="17"/>
                <w:szCs w:val="17"/>
                <w:shd w:val="clear" w:color="auto" w:fill="FFFFFF"/>
                <w:lang w:val="en-US"/>
              </w:rPr>
              <w:t>1</w:t>
            </w:r>
            <w:r w:rsidRPr="000972D1">
              <w:rPr>
                <w:rFonts w:ascii="Times New Roman" w:eastAsia="Times New Roman" w:hAnsi="Times New Roman" w:cs="Times New Roman"/>
                <w:sz w:val="17"/>
                <w:szCs w:val="17"/>
                <w:shd w:val="clear" w:color="auto" w:fill="FFFFFF"/>
                <w:lang w:val="en-US"/>
              </w:rPr>
              <w:t>)</w:t>
            </w:r>
          </w:p>
        </w:tc>
        <w:tc>
          <w:tcPr>
            <w:tcW w:w="0" w:type="auto"/>
            <w:noWrap/>
          </w:tcPr>
          <w:p w14:paraId="7B382218" w14:textId="570D9C5E" w:rsidR="00580A4D" w:rsidRPr="000972D1" w:rsidRDefault="00CA4BE3"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3.498</w:t>
            </w:r>
            <w:r w:rsidR="00580A4D" w:rsidRPr="000972D1">
              <w:rPr>
                <w:rFonts w:ascii="Times New Roman" w:eastAsia="Times New Roman" w:hAnsi="Times New Roman" w:cs="Times New Roman"/>
                <w:sz w:val="17"/>
                <w:szCs w:val="17"/>
                <w:shd w:val="clear" w:color="auto" w:fill="FFFFFF"/>
                <w:lang w:val="en-US"/>
              </w:rPr>
              <w:t>***</w:t>
            </w:r>
          </w:p>
          <w:p w14:paraId="3380FC5D" w14:textId="3D70A929" w:rsidR="00580A4D" w:rsidRPr="000972D1" w:rsidRDefault="00CA4BE3"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(0.000</w:t>
            </w:r>
            <w:r w:rsidR="00580A4D" w:rsidRPr="000972D1">
              <w:rPr>
                <w:rFonts w:ascii="Times New Roman" w:eastAsia="Times New Roman" w:hAnsi="Times New Roman" w:cs="Times New Roman"/>
                <w:sz w:val="17"/>
                <w:szCs w:val="17"/>
                <w:shd w:val="clear" w:color="auto" w:fill="FFFFFF"/>
                <w:lang w:val="en-US"/>
              </w:rPr>
              <w:t>)</w:t>
            </w:r>
          </w:p>
        </w:tc>
        <w:tc>
          <w:tcPr>
            <w:tcW w:w="0" w:type="auto"/>
          </w:tcPr>
          <w:p w14:paraId="765E492F" w14:textId="1E67029E" w:rsidR="00580A4D" w:rsidRPr="000972D1" w:rsidRDefault="009933B6"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3</w:t>
            </w:r>
            <w:r w:rsidR="00580A4D" w:rsidRPr="000972D1">
              <w:rPr>
                <w:rFonts w:ascii="Times New Roman" w:eastAsia="Times New Roman" w:hAnsi="Times New Roman" w:cs="Times New Roman"/>
                <w:sz w:val="17"/>
                <w:szCs w:val="17"/>
                <w:shd w:val="clear" w:color="auto" w:fill="FFFFFF"/>
                <w:lang w:val="en-US"/>
              </w:rPr>
              <w:t>.</w:t>
            </w:r>
            <w:r w:rsidRPr="000972D1">
              <w:rPr>
                <w:rFonts w:ascii="Times New Roman" w:eastAsia="Times New Roman" w:hAnsi="Times New Roman" w:cs="Times New Roman"/>
                <w:sz w:val="17"/>
                <w:szCs w:val="17"/>
                <w:shd w:val="clear" w:color="auto" w:fill="FFFFFF"/>
                <w:lang w:val="en-US"/>
              </w:rPr>
              <w:t>422</w:t>
            </w:r>
            <w:r w:rsidR="00580A4D" w:rsidRPr="000972D1">
              <w:rPr>
                <w:rFonts w:ascii="Times New Roman" w:eastAsia="Times New Roman" w:hAnsi="Times New Roman" w:cs="Times New Roman"/>
                <w:sz w:val="17"/>
                <w:szCs w:val="17"/>
                <w:shd w:val="clear" w:color="auto" w:fill="FFFFFF"/>
                <w:lang w:val="en-US"/>
              </w:rPr>
              <w:t>***</w:t>
            </w:r>
          </w:p>
          <w:p w14:paraId="1A2A8244" w14:textId="46C377C3" w:rsidR="00580A4D" w:rsidRPr="000972D1" w:rsidRDefault="00580A4D"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(0.00</w:t>
            </w:r>
            <w:r w:rsidR="009933B6" w:rsidRPr="000972D1">
              <w:rPr>
                <w:rFonts w:ascii="Times New Roman" w:eastAsia="Times New Roman" w:hAnsi="Times New Roman" w:cs="Times New Roman"/>
                <w:sz w:val="17"/>
                <w:szCs w:val="17"/>
                <w:shd w:val="clear" w:color="auto" w:fill="FFFFFF"/>
                <w:lang w:val="en-US"/>
              </w:rPr>
              <w:t>0</w:t>
            </w:r>
            <w:r w:rsidRPr="000972D1">
              <w:rPr>
                <w:rFonts w:ascii="Times New Roman" w:eastAsia="Times New Roman" w:hAnsi="Times New Roman" w:cs="Times New Roman"/>
                <w:sz w:val="17"/>
                <w:szCs w:val="17"/>
                <w:shd w:val="clear" w:color="auto" w:fill="FFFFFF"/>
                <w:lang w:val="en-US"/>
              </w:rPr>
              <w:t>)</w:t>
            </w:r>
          </w:p>
        </w:tc>
        <w:tc>
          <w:tcPr>
            <w:tcW w:w="0" w:type="auto"/>
          </w:tcPr>
          <w:p w14:paraId="4DC50B65" w14:textId="77777777" w:rsidR="00580A4D" w:rsidRPr="000972D1" w:rsidRDefault="008477A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3.551***</w:t>
            </w:r>
          </w:p>
          <w:p w14:paraId="16DD4123" w14:textId="4249D585" w:rsidR="008477AE" w:rsidRPr="000972D1" w:rsidRDefault="008477A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(0.000)</w:t>
            </w:r>
          </w:p>
        </w:tc>
        <w:tc>
          <w:tcPr>
            <w:tcW w:w="0" w:type="auto"/>
          </w:tcPr>
          <w:p w14:paraId="68CE65BC" w14:textId="77777777" w:rsidR="00580A4D" w:rsidRPr="000972D1" w:rsidRDefault="00CA15A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3.579***</w:t>
            </w:r>
          </w:p>
          <w:p w14:paraId="41188F91" w14:textId="1ADF4D50" w:rsidR="00CA15AE" w:rsidRPr="000972D1" w:rsidRDefault="00CA15A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(0.000)</w:t>
            </w:r>
          </w:p>
        </w:tc>
        <w:tc>
          <w:tcPr>
            <w:tcW w:w="0" w:type="auto"/>
          </w:tcPr>
          <w:p w14:paraId="73CF6B11" w14:textId="77777777" w:rsidR="00580A4D" w:rsidRPr="000972D1" w:rsidRDefault="001973FB"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3.347***</w:t>
            </w:r>
          </w:p>
          <w:p w14:paraId="66487BD3" w14:textId="21F90A48" w:rsidR="001973FB" w:rsidRPr="000972D1" w:rsidRDefault="001973FB"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(0.000)</w:t>
            </w:r>
          </w:p>
        </w:tc>
        <w:tc>
          <w:tcPr>
            <w:tcW w:w="0" w:type="auto"/>
          </w:tcPr>
          <w:p w14:paraId="6BD43DA5" w14:textId="768D1934" w:rsidR="00580A4D" w:rsidRPr="000972D1" w:rsidRDefault="002864E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0.034</w:t>
            </w:r>
          </w:p>
          <w:p w14:paraId="484DE611" w14:textId="6D3A7ED8" w:rsidR="00580A4D" w:rsidRPr="000972D1" w:rsidRDefault="002864E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(0.882</w:t>
            </w:r>
            <w:r w:rsidR="00580A4D" w:rsidRPr="000972D1">
              <w:rPr>
                <w:rFonts w:ascii="Times New Roman" w:eastAsia="Times New Roman" w:hAnsi="Times New Roman" w:cs="Times New Roman"/>
                <w:sz w:val="17"/>
                <w:szCs w:val="17"/>
                <w:shd w:val="clear" w:color="auto" w:fill="FFFFFF"/>
                <w:lang w:val="en-US"/>
              </w:rPr>
              <w:t>)</w:t>
            </w:r>
          </w:p>
        </w:tc>
        <w:tc>
          <w:tcPr>
            <w:tcW w:w="0" w:type="auto"/>
          </w:tcPr>
          <w:p w14:paraId="6F7FEF38" w14:textId="39AD6670" w:rsidR="00580A4D" w:rsidRPr="000972D1" w:rsidRDefault="005A1142"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-0.280</w:t>
            </w:r>
          </w:p>
          <w:p w14:paraId="1A091768" w14:textId="4189868B" w:rsidR="00580A4D" w:rsidRPr="000972D1" w:rsidRDefault="005A1142"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(0.197</w:t>
            </w:r>
            <w:r w:rsidR="00580A4D" w:rsidRPr="000972D1">
              <w:rPr>
                <w:rFonts w:ascii="Times New Roman" w:eastAsia="Times New Roman" w:hAnsi="Times New Roman" w:cs="Times New Roman"/>
                <w:sz w:val="17"/>
                <w:szCs w:val="17"/>
                <w:shd w:val="clear" w:color="auto" w:fill="FFFFFF"/>
                <w:lang w:val="en-US"/>
              </w:rPr>
              <w:t>)</w:t>
            </w:r>
          </w:p>
        </w:tc>
        <w:tc>
          <w:tcPr>
            <w:tcW w:w="0" w:type="auto"/>
          </w:tcPr>
          <w:p w14:paraId="69D39F29" w14:textId="4A011324" w:rsidR="00580A4D" w:rsidRPr="000972D1" w:rsidRDefault="00AA537C"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-0.328</w:t>
            </w:r>
          </w:p>
          <w:p w14:paraId="768DD271" w14:textId="3A8A0708" w:rsidR="00580A4D" w:rsidRPr="000972D1" w:rsidRDefault="00AA537C"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(0.116</w:t>
            </w:r>
            <w:r w:rsidR="00580A4D" w:rsidRPr="000972D1">
              <w:rPr>
                <w:rFonts w:ascii="Times New Roman" w:eastAsia="Times New Roman" w:hAnsi="Times New Roman" w:cs="Times New Roman"/>
                <w:sz w:val="17"/>
                <w:szCs w:val="17"/>
                <w:shd w:val="clear" w:color="auto" w:fill="FFFFFF"/>
                <w:lang w:val="en-US"/>
              </w:rPr>
              <w:t>)</w:t>
            </w:r>
          </w:p>
        </w:tc>
        <w:tc>
          <w:tcPr>
            <w:tcW w:w="0" w:type="auto"/>
          </w:tcPr>
          <w:p w14:paraId="39CF1E21" w14:textId="2BF3153D" w:rsidR="00580A4D" w:rsidRPr="000972D1" w:rsidRDefault="00F21781"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-0.274</w:t>
            </w:r>
          </w:p>
          <w:p w14:paraId="59C3B32D" w14:textId="5540A108" w:rsidR="00580A4D" w:rsidRPr="000972D1" w:rsidRDefault="00F21781"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(0.201</w:t>
            </w:r>
            <w:r w:rsidR="00580A4D" w:rsidRPr="000972D1">
              <w:rPr>
                <w:rFonts w:ascii="Times New Roman" w:eastAsia="Times New Roman" w:hAnsi="Times New Roman" w:cs="Times New Roman"/>
                <w:sz w:val="17"/>
                <w:szCs w:val="17"/>
                <w:shd w:val="clear" w:color="auto" w:fill="FFFFFF"/>
                <w:lang w:val="en-US"/>
              </w:rPr>
              <w:t>)</w:t>
            </w:r>
          </w:p>
        </w:tc>
        <w:tc>
          <w:tcPr>
            <w:tcW w:w="0" w:type="auto"/>
          </w:tcPr>
          <w:p w14:paraId="304727F3" w14:textId="77777777" w:rsidR="00580A4D" w:rsidRPr="000972D1" w:rsidRDefault="00015D44"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-0.270</w:t>
            </w:r>
          </w:p>
          <w:p w14:paraId="7A9E93AA" w14:textId="542AC9E8" w:rsidR="00015D44" w:rsidRPr="000972D1" w:rsidRDefault="00015D44"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(0.209)</w:t>
            </w:r>
          </w:p>
        </w:tc>
        <w:tc>
          <w:tcPr>
            <w:tcW w:w="0" w:type="auto"/>
          </w:tcPr>
          <w:p w14:paraId="51E9E47B" w14:textId="77777777" w:rsidR="00580A4D" w:rsidRPr="000972D1" w:rsidRDefault="00BF5D41"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-0.359*</w:t>
            </w:r>
          </w:p>
          <w:p w14:paraId="3093DD24" w14:textId="3420529C" w:rsidR="00BF5D41" w:rsidRPr="000972D1" w:rsidRDefault="00BF5D41"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(0.081)</w:t>
            </w:r>
          </w:p>
        </w:tc>
        <w:tc>
          <w:tcPr>
            <w:tcW w:w="0" w:type="auto"/>
          </w:tcPr>
          <w:p w14:paraId="477560BE" w14:textId="77777777" w:rsidR="00580A4D" w:rsidRPr="000972D1" w:rsidRDefault="002864E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-0.351*</w:t>
            </w:r>
          </w:p>
          <w:p w14:paraId="339775A3" w14:textId="7F6AAE2F" w:rsidR="002864EE" w:rsidRPr="000972D1" w:rsidRDefault="002864E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(0.093)</w:t>
            </w:r>
          </w:p>
        </w:tc>
      </w:tr>
      <w:tr w:rsidR="00580A4D" w:rsidRPr="000972D1" w14:paraId="49F98AC2" w14:textId="5488B399" w:rsidTr="00580A4D">
        <w:trPr>
          <w:trHeight w:val="300"/>
          <w:jc w:val="center"/>
        </w:trPr>
        <w:tc>
          <w:tcPr>
            <w:tcW w:w="0" w:type="auto"/>
            <w:tcBorders>
              <w:right w:val="single" w:sz="12" w:space="0" w:color="auto"/>
            </w:tcBorders>
            <w:noWrap/>
          </w:tcPr>
          <w:p w14:paraId="5CE4225C" w14:textId="14EF1C60" w:rsidR="00580A4D" w:rsidRPr="000972D1" w:rsidRDefault="00580A4D" w:rsidP="00911D12">
            <w:pP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SGR</w:t>
            </w:r>
          </w:p>
        </w:tc>
        <w:tc>
          <w:tcPr>
            <w:tcW w:w="0" w:type="auto"/>
            <w:tcBorders>
              <w:left w:val="single" w:sz="12" w:space="0" w:color="auto"/>
            </w:tcBorders>
          </w:tcPr>
          <w:p w14:paraId="3706F864" w14:textId="49389771" w:rsidR="00580A4D" w:rsidRPr="000972D1" w:rsidRDefault="00580A4D"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w:t>
            </w:r>
            <w:r w:rsidR="006C7C36" w:rsidRPr="000972D1">
              <w:rPr>
                <w:rFonts w:ascii="Times New Roman" w:eastAsia="Times New Roman" w:hAnsi="Times New Roman" w:cs="Times New Roman"/>
                <w:sz w:val="17"/>
                <w:szCs w:val="17"/>
                <w:shd w:val="clear" w:color="auto" w:fill="FFFFFF"/>
                <w:lang w:val="en-US"/>
              </w:rPr>
              <w:t>01</w:t>
            </w:r>
          </w:p>
          <w:p w14:paraId="2173ED6C" w14:textId="4E6C3592" w:rsidR="00580A4D" w:rsidRPr="000972D1" w:rsidRDefault="006C7C36"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(0.998</w:t>
            </w:r>
            <w:r w:rsidR="00580A4D" w:rsidRPr="000972D1">
              <w:rPr>
                <w:rFonts w:ascii="Times New Roman" w:eastAsia="Times New Roman" w:hAnsi="Times New Roman" w:cs="Times New Roman"/>
                <w:sz w:val="17"/>
                <w:szCs w:val="17"/>
                <w:shd w:val="clear" w:color="auto" w:fill="FFFFFF"/>
                <w:lang w:val="en-US"/>
              </w:rPr>
              <w:t>)</w:t>
            </w:r>
          </w:p>
        </w:tc>
        <w:tc>
          <w:tcPr>
            <w:tcW w:w="0" w:type="auto"/>
            <w:noWrap/>
          </w:tcPr>
          <w:p w14:paraId="7767FA95" w14:textId="69C82575" w:rsidR="00580A4D" w:rsidRPr="000972D1" w:rsidRDefault="006C7C36"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0.061</w:t>
            </w:r>
          </w:p>
          <w:p w14:paraId="6B0528BA" w14:textId="684D38CA" w:rsidR="00580A4D" w:rsidRPr="000972D1" w:rsidRDefault="006C7C36"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(0.814</w:t>
            </w:r>
            <w:r w:rsidR="00580A4D" w:rsidRPr="000972D1">
              <w:rPr>
                <w:rFonts w:ascii="Times New Roman" w:eastAsia="Times New Roman" w:hAnsi="Times New Roman" w:cs="Times New Roman"/>
                <w:sz w:val="17"/>
                <w:szCs w:val="17"/>
                <w:shd w:val="clear" w:color="auto" w:fill="FFFFFF"/>
                <w:lang w:val="en-US"/>
              </w:rPr>
              <w:t>)</w:t>
            </w:r>
          </w:p>
        </w:tc>
        <w:tc>
          <w:tcPr>
            <w:tcW w:w="0" w:type="auto"/>
            <w:noWrap/>
          </w:tcPr>
          <w:p w14:paraId="3FF8587D" w14:textId="4FF90A33" w:rsidR="00580A4D" w:rsidRPr="000972D1" w:rsidRDefault="00580A4D"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w:t>
            </w:r>
            <w:r w:rsidR="00CA4BE3" w:rsidRPr="000972D1">
              <w:rPr>
                <w:rFonts w:ascii="Times New Roman" w:eastAsia="Times New Roman" w:hAnsi="Times New Roman" w:cs="Times New Roman"/>
                <w:sz w:val="17"/>
                <w:szCs w:val="17"/>
                <w:shd w:val="clear" w:color="auto" w:fill="FFFFFF"/>
                <w:lang w:val="en-US"/>
              </w:rPr>
              <w:t>35</w:t>
            </w:r>
          </w:p>
          <w:p w14:paraId="3567830F" w14:textId="17907A51" w:rsidR="00580A4D" w:rsidRPr="000972D1" w:rsidRDefault="00CA4BE3"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(0.893</w:t>
            </w:r>
            <w:r w:rsidR="00580A4D" w:rsidRPr="000972D1">
              <w:rPr>
                <w:rFonts w:ascii="Times New Roman" w:eastAsia="Times New Roman" w:hAnsi="Times New Roman" w:cs="Times New Roman"/>
                <w:sz w:val="17"/>
                <w:szCs w:val="17"/>
                <w:shd w:val="clear" w:color="auto" w:fill="FFFFFF"/>
                <w:lang w:val="en-US"/>
              </w:rPr>
              <w:t>)</w:t>
            </w:r>
          </w:p>
        </w:tc>
        <w:tc>
          <w:tcPr>
            <w:tcW w:w="0" w:type="auto"/>
          </w:tcPr>
          <w:p w14:paraId="5F1BB382" w14:textId="60D90D96" w:rsidR="00580A4D" w:rsidRPr="000972D1" w:rsidRDefault="009933B6"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0.042</w:t>
            </w:r>
          </w:p>
          <w:p w14:paraId="44C272FE" w14:textId="3406298C" w:rsidR="00580A4D" w:rsidRPr="000972D1" w:rsidRDefault="009933B6"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(0.871</w:t>
            </w:r>
            <w:r w:rsidR="00580A4D" w:rsidRPr="000972D1">
              <w:rPr>
                <w:rFonts w:ascii="Times New Roman" w:eastAsia="Times New Roman" w:hAnsi="Times New Roman" w:cs="Times New Roman"/>
                <w:sz w:val="17"/>
                <w:szCs w:val="17"/>
                <w:shd w:val="clear" w:color="auto" w:fill="FFFFFF"/>
                <w:lang w:val="en-US"/>
              </w:rPr>
              <w:t>)</w:t>
            </w:r>
          </w:p>
        </w:tc>
        <w:tc>
          <w:tcPr>
            <w:tcW w:w="0" w:type="auto"/>
          </w:tcPr>
          <w:p w14:paraId="259138BE" w14:textId="77777777" w:rsidR="00580A4D" w:rsidRPr="000972D1" w:rsidRDefault="008477A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0.026</w:t>
            </w:r>
          </w:p>
          <w:p w14:paraId="2D66E093" w14:textId="163E6E8A" w:rsidR="008477AE" w:rsidRPr="000972D1" w:rsidRDefault="008477A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(0.919)</w:t>
            </w:r>
          </w:p>
        </w:tc>
        <w:tc>
          <w:tcPr>
            <w:tcW w:w="0" w:type="auto"/>
          </w:tcPr>
          <w:p w14:paraId="03A5B9E0" w14:textId="77777777" w:rsidR="00580A4D" w:rsidRPr="000972D1" w:rsidRDefault="00CA15A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0.030</w:t>
            </w:r>
          </w:p>
          <w:p w14:paraId="5EC2218C" w14:textId="18FDB865" w:rsidR="00CA15AE" w:rsidRPr="000972D1" w:rsidRDefault="00CA15A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(0.908)</w:t>
            </w:r>
          </w:p>
        </w:tc>
        <w:tc>
          <w:tcPr>
            <w:tcW w:w="0" w:type="auto"/>
          </w:tcPr>
          <w:p w14:paraId="7236ECB4" w14:textId="77777777" w:rsidR="00580A4D" w:rsidRPr="000972D1" w:rsidRDefault="001973FB"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0.059</w:t>
            </w:r>
          </w:p>
          <w:p w14:paraId="588DCFE6" w14:textId="358FD33E" w:rsidR="001973FB" w:rsidRPr="000972D1" w:rsidRDefault="001973FB"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(0.820)</w:t>
            </w:r>
          </w:p>
        </w:tc>
        <w:tc>
          <w:tcPr>
            <w:tcW w:w="0" w:type="auto"/>
          </w:tcPr>
          <w:p w14:paraId="72C26245" w14:textId="2608002B" w:rsidR="00580A4D" w:rsidRPr="000972D1" w:rsidRDefault="002864E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0.015</w:t>
            </w:r>
          </w:p>
          <w:p w14:paraId="2640F5C4" w14:textId="0F43654E" w:rsidR="00580A4D" w:rsidRPr="000972D1" w:rsidRDefault="002864E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(0.822</w:t>
            </w:r>
            <w:r w:rsidR="00580A4D" w:rsidRPr="000972D1">
              <w:rPr>
                <w:rFonts w:ascii="Times New Roman" w:eastAsia="Times New Roman" w:hAnsi="Times New Roman" w:cs="Times New Roman"/>
                <w:sz w:val="17"/>
                <w:szCs w:val="17"/>
                <w:shd w:val="clear" w:color="auto" w:fill="FFFFFF"/>
                <w:lang w:val="en-US"/>
              </w:rPr>
              <w:t>)</w:t>
            </w:r>
          </w:p>
        </w:tc>
        <w:tc>
          <w:tcPr>
            <w:tcW w:w="0" w:type="auto"/>
          </w:tcPr>
          <w:p w14:paraId="25212E0E" w14:textId="6DF256D3" w:rsidR="00580A4D" w:rsidRPr="000972D1" w:rsidRDefault="005A1142"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-0.013</w:t>
            </w:r>
          </w:p>
          <w:p w14:paraId="04F09E5D" w14:textId="7E5BA92B" w:rsidR="00580A4D" w:rsidRPr="000972D1" w:rsidRDefault="005A1142"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(0.841</w:t>
            </w:r>
            <w:r w:rsidR="00580A4D" w:rsidRPr="000972D1">
              <w:rPr>
                <w:rFonts w:ascii="Times New Roman" w:eastAsia="Times New Roman" w:hAnsi="Times New Roman" w:cs="Times New Roman"/>
                <w:sz w:val="17"/>
                <w:szCs w:val="17"/>
                <w:shd w:val="clear" w:color="auto" w:fill="FFFFFF"/>
                <w:lang w:val="en-US"/>
              </w:rPr>
              <w:t>)</w:t>
            </w:r>
          </w:p>
        </w:tc>
        <w:tc>
          <w:tcPr>
            <w:tcW w:w="0" w:type="auto"/>
          </w:tcPr>
          <w:p w14:paraId="1DF81002" w14:textId="71B87BCB" w:rsidR="00580A4D" w:rsidRPr="000972D1" w:rsidRDefault="00AA537C"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0.006</w:t>
            </w:r>
          </w:p>
          <w:p w14:paraId="508AD55F" w14:textId="2BAF02FA" w:rsidR="00580A4D" w:rsidRPr="000972D1" w:rsidRDefault="00AA537C"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(0.915</w:t>
            </w:r>
            <w:r w:rsidR="00580A4D" w:rsidRPr="000972D1">
              <w:rPr>
                <w:rFonts w:ascii="Times New Roman" w:eastAsia="Times New Roman" w:hAnsi="Times New Roman" w:cs="Times New Roman"/>
                <w:sz w:val="17"/>
                <w:szCs w:val="17"/>
                <w:shd w:val="clear" w:color="auto" w:fill="FFFFFF"/>
                <w:lang w:val="en-US"/>
              </w:rPr>
              <w:t>)</w:t>
            </w:r>
          </w:p>
        </w:tc>
        <w:tc>
          <w:tcPr>
            <w:tcW w:w="0" w:type="auto"/>
          </w:tcPr>
          <w:p w14:paraId="792883A3" w14:textId="49B2E10D" w:rsidR="00580A4D" w:rsidRPr="000972D1" w:rsidRDefault="00F21781"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0.021</w:t>
            </w:r>
          </w:p>
          <w:p w14:paraId="224EF429" w14:textId="6F098318" w:rsidR="00580A4D" w:rsidRPr="000972D1" w:rsidRDefault="00F21781"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(0.741</w:t>
            </w:r>
            <w:r w:rsidR="00580A4D" w:rsidRPr="000972D1">
              <w:rPr>
                <w:rFonts w:ascii="Times New Roman" w:eastAsia="Times New Roman" w:hAnsi="Times New Roman" w:cs="Times New Roman"/>
                <w:sz w:val="17"/>
                <w:szCs w:val="17"/>
                <w:shd w:val="clear" w:color="auto" w:fill="FFFFFF"/>
                <w:lang w:val="en-US"/>
              </w:rPr>
              <w:t>)</w:t>
            </w:r>
          </w:p>
        </w:tc>
        <w:tc>
          <w:tcPr>
            <w:tcW w:w="0" w:type="auto"/>
          </w:tcPr>
          <w:p w14:paraId="0890ACCA" w14:textId="77777777" w:rsidR="00580A4D" w:rsidRPr="000972D1" w:rsidRDefault="00015D44"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0.028</w:t>
            </w:r>
          </w:p>
          <w:p w14:paraId="1B5ED611" w14:textId="10720D5E" w:rsidR="00015D44" w:rsidRPr="000972D1" w:rsidRDefault="00015D44"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(0.653)</w:t>
            </w:r>
          </w:p>
        </w:tc>
        <w:tc>
          <w:tcPr>
            <w:tcW w:w="0" w:type="auto"/>
          </w:tcPr>
          <w:p w14:paraId="570E0C4D" w14:textId="77777777" w:rsidR="00580A4D" w:rsidRPr="000972D1" w:rsidRDefault="00BF5D41"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0.029</w:t>
            </w:r>
          </w:p>
          <w:p w14:paraId="204709B8" w14:textId="4282D35C" w:rsidR="00BF5D41" w:rsidRPr="000972D1" w:rsidRDefault="00BF5D41"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(0.628)</w:t>
            </w:r>
          </w:p>
        </w:tc>
        <w:tc>
          <w:tcPr>
            <w:tcW w:w="0" w:type="auto"/>
          </w:tcPr>
          <w:p w14:paraId="3AA94985" w14:textId="77777777" w:rsidR="00580A4D" w:rsidRPr="000972D1" w:rsidRDefault="002864E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0.019</w:t>
            </w:r>
          </w:p>
          <w:p w14:paraId="604C8C84" w14:textId="53279876" w:rsidR="002864EE" w:rsidRPr="000972D1" w:rsidRDefault="002864E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(0.759)</w:t>
            </w:r>
          </w:p>
        </w:tc>
      </w:tr>
      <w:tr w:rsidR="00580A4D" w:rsidRPr="000972D1" w14:paraId="578734C2" w14:textId="73B79864" w:rsidTr="00580A4D">
        <w:trPr>
          <w:trHeight w:val="300"/>
          <w:jc w:val="center"/>
        </w:trPr>
        <w:tc>
          <w:tcPr>
            <w:tcW w:w="0" w:type="auto"/>
            <w:tcBorders>
              <w:right w:val="single" w:sz="12" w:space="0" w:color="auto"/>
            </w:tcBorders>
            <w:noWrap/>
          </w:tcPr>
          <w:p w14:paraId="054D015B" w14:textId="50FAD9D0" w:rsidR="00580A4D" w:rsidRPr="000972D1" w:rsidRDefault="00580A4D" w:rsidP="00911D12">
            <w:pP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ROA</w:t>
            </w:r>
          </w:p>
        </w:tc>
        <w:tc>
          <w:tcPr>
            <w:tcW w:w="0" w:type="auto"/>
            <w:tcBorders>
              <w:left w:val="single" w:sz="12" w:space="0" w:color="auto"/>
            </w:tcBorders>
          </w:tcPr>
          <w:p w14:paraId="7639C178" w14:textId="1DCF8BD0" w:rsidR="00580A4D" w:rsidRPr="000972D1" w:rsidRDefault="006C7C36"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4.462</w:t>
            </w:r>
            <w:r w:rsidR="00580A4D" w:rsidRPr="000972D1">
              <w:rPr>
                <w:rFonts w:ascii="Times New Roman" w:eastAsia="Times New Roman" w:hAnsi="Times New Roman" w:cs="Times New Roman"/>
                <w:sz w:val="17"/>
                <w:szCs w:val="17"/>
                <w:shd w:val="clear" w:color="auto" w:fill="FFFFFF"/>
                <w:lang w:val="en-US"/>
              </w:rPr>
              <w:t>***</w:t>
            </w:r>
          </w:p>
          <w:p w14:paraId="20C00864" w14:textId="5440F094" w:rsidR="00580A4D" w:rsidRPr="000972D1" w:rsidRDefault="00580A4D"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(0.00</w:t>
            </w:r>
            <w:r w:rsidR="006C7C36" w:rsidRPr="000972D1">
              <w:rPr>
                <w:rFonts w:ascii="Times New Roman" w:eastAsia="Times New Roman" w:hAnsi="Times New Roman" w:cs="Times New Roman"/>
                <w:sz w:val="17"/>
                <w:szCs w:val="17"/>
                <w:shd w:val="clear" w:color="auto" w:fill="FFFFFF"/>
                <w:lang w:val="en-US"/>
              </w:rPr>
              <w:t>5</w:t>
            </w:r>
            <w:r w:rsidRPr="000972D1">
              <w:rPr>
                <w:rFonts w:ascii="Times New Roman" w:eastAsia="Times New Roman" w:hAnsi="Times New Roman" w:cs="Times New Roman"/>
                <w:sz w:val="17"/>
                <w:szCs w:val="17"/>
                <w:shd w:val="clear" w:color="auto" w:fill="FFFFFF"/>
                <w:lang w:val="en-US"/>
              </w:rPr>
              <w:t>)</w:t>
            </w:r>
          </w:p>
        </w:tc>
        <w:tc>
          <w:tcPr>
            <w:tcW w:w="0" w:type="auto"/>
            <w:noWrap/>
          </w:tcPr>
          <w:p w14:paraId="020E981C" w14:textId="6ACAB8C4" w:rsidR="00580A4D" w:rsidRPr="000972D1" w:rsidRDefault="006C7C36"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4.481*</w:t>
            </w:r>
            <w:r w:rsidR="00580A4D" w:rsidRPr="000972D1">
              <w:rPr>
                <w:rFonts w:ascii="Times New Roman" w:eastAsia="Times New Roman" w:hAnsi="Times New Roman" w:cs="Times New Roman"/>
                <w:sz w:val="17"/>
                <w:szCs w:val="17"/>
                <w:shd w:val="clear" w:color="auto" w:fill="FFFFFF"/>
                <w:lang w:val="en-US"/>
              </w:rPr>
              <w:t>**</w:t>
            </w:r>
          </w:p>
          <w:p w14:paraId="04EE0AFF" w14:textId="0EF0BEB5" w:rsidR="00580A4D" w:rsidRPr="000972D1" w:rsidRDefault="006C7C36"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(0.005</w:t>
            </w:r>
            <w:r w:rsidR="00580A4D" w:rsidRPr="000972D1">
              <w:rPr>
                <w:rFonts w:ascii="Times New Roman" w:eastAsia="Times New Roman" w:hAnsi="Times New Roman" w:cs="Times New Roman"/>
                <w:sz w:val="17"/>
                <w:szCs w:val="17"/>
                <w:shd w:val="clear" w:color="auto" w:fill="FFFFFF"/>
                <w:lang w:val="en-US"/>
              </w:rPr>
              <w:t>)</w:t>
            </w:r>
          </w:p>
        </w:tc>
        <w:tc>
          <w:tcPr>
            <w:tcW w:w="0" w:type="auto"/>
            <w:noWrap/>
          </w:tcPr>
          <w:p w14:paraId="3B287B2E" w14:textId="557D8071" w:rsidR="00580A4D" w:rsidRPr="000972D1" w:rsidRDefault="00CA4BE3"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4.665*</w:t>
            </w:r>
            <w:r w:rsidR="00580A4D" w:rsidRPr="000972D1">
              <w:rPr>
                <w:rFonts w:ascii="Times New Roman" w:eastAsia="Times New Roman" w:hAnsi="Times New Roman" w:cs="Times New Roman"/>
                <w:sz w:val="17"/>
                <w:szCs w:val="17"/>
                <w:shd w:val="clear" w:color="auto" w:fill="FFFFFF"/>
                <w:lang w:val="en-US"/>
              </w:rPr>
              <w:t>**</w:t>
            </w:r>
          </w:p>
          <w:p w14:paraId="1B0A7A6E" w14:textId="26589469" w:rsidR="00580A4D" w:rsidRPr="000972D1" w:rsidRDefault="00CA4BE3"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(0.004</w:t>
            </w:r>
            <w:r w:rsidR="00580A4D" w:rsidRPr="000972D1">
              <w:rPr>
                <w:rFonts w:ascii="Times New Roman" w:eastAsia="Times New Roman" w:hAnsi="Times New Roman" w:cs="Times New Roman"/>
                <w:sz w:val="17"/>
                <w:szCs w:val="17"/>
                <w:shd w:val="clear" w:color="auto" w:fill="FFFFFF"/>
                <w:lang w:val="en-US"/>
              </w:rPr>
              <w:t>)</w:t>
            </w:r>
          </w:p>
        </w:tc>
        <w:tc>
          <w:tcPr>
            <w:tcW w:w="0" w:type="auto"/>
          </w:tcPr>
          <w:p w14:paraId="7C0799A3" w14:textId="7866AC4D" w:rsidR="00580A4D" w:rsidRPr="000972D1" w:rsidRDefault="009933B6"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4.345</w:t>
            </w:r>
            <w:r w:rsidR="00580A4D" w:rsidRPr="000972D1">
              <w:rPr>
                <w:rFonts w:ascii="Times New Roman" w:eastAsia="Times New Roman" w:hAnsi="Times New Roman" w:cs="Times New Roman"/>
                <w:sz w:val="17"/>
                <w:szCs w:val="17"/>
                <w:shd w:val="clear" w:color="auto" w:fill="FFFFFF"/>
                <w:lang w:val="en-US"/>
              </w:rPr>
              <w:t>***</w:t>
            </w:r>
          </w:p>
          <w:p w14:paraId="4A9DED96" w14:textId="41A8375F" w:rsidR="00580A4D" w:rsidRPr="000972D1" w:rsidRDefault="00580A4D"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(0.00</w:t>
            </w:r>
            <w:r w:rsidR="009933B6" w:rsidRPr="000972D1">
              <w:rPr>
                <w:rFonts w:ascii="Times New Roman" w:eastAsia="Times New Roman" w:hAnsi="Times New Roman" w:cs="Times New Roman"/>
                <w:sz w:val="17"/>
                <w:szCs w:val="17"/>
                <w:shd w:val="clear" w:color="auto" w:fill="FFFFFF"/>
                <w:lang w:val="en-US"/>
              </w:rPr>
              <w:t>7</w:t>
            </w:r>
            <w:r w:rsidRPr="000972D1">
              <w:rPr>
                <w:rFonts w:ascii="Times New Roman" w:eastAsia="Times New Roman" w:hAnsi="Times New Roman" w:cs="Times New Roman"/>
                <w:sz w:val="17"/>
                <w:szCs w:val="17"/>
                <w:shd w:val="clear" w:color="auto" w:fill="FFFFFF"/>
                <w:lang w:val="en-US"/>
              </w:rPr>
              <w:t>)</w:t>
            </w:r>
          </w:p>
        </w:tc>
        <w:tc>
          <w:tcPr>
            <w:tcW w:w="0" w:type="auto"/>
          </w:tcPr>
          <w:p w14:paraId="7423738E" w14:textId="77777777" w:rsidR="00580A4D" w:rsidRPr="000972D1" w:rsidRDefault="008477A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4.327***</w:t>
            </w:r>
          </w:p>
          <w:p w14:paraId="2DF26C0B" w14:textId="333ECBA7" w:rsidR="008477AE" w:rsidRPr="000972D1" w:rsidRDefault="008477A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(0.007)</w:t>
            </w:r>
          </w:p>
        </w:tc>
        <w:tc>
          <w:tcPr>
            <w:tcW w:w="0" w:type="auto"/>
          </w:tcPr>
          <w:p w14:paraId="5897A77F" w14:textId="77777777" w:rsidR="00580A4D" w:rsidRPr="000972D1" w:rsidRDefault="00CA15A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4.591***</w:t>
            </w:r>
          </w:p>
          <w:p w14:paraId="4827A73B" w14:textId="531C3B5E" w:rsidR="00CA15AE" w:rsidRPr="000972D1" w:rsidRDefault="00CA15A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(0.004)</w:t>
            </w:r>
          </w:p>
        </w:tc>
        <w:tc>
          <w:tcPr>
            <w:tcW w:w="0" w:type="auto"/>
          </w:tcPr>
          <w:p w14:paraId="304522E0" w14:textId="77777777" w:rsidR="00580A4D" w:rsidRPr="000972D1" w:rsidRDefault="0045535C"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4.532***</w:t>
            </w:r>
          </w:p>
          <w:p w14:paraId="344755FB" w14:textId="2C8088CD" w:rsidR="0045535C" w:rsidRPr="000972D1" w:rsidRDefault="0045535C"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(0.005)</w:t>
            </w:r>
          </w:p>
        </w:tc>
        <w:tc>
          <w:tcPr>
            <w:tcW w:w="0" w:type="auto"/>
          </w:tcPr>
          <w:p w14:paraId="27B07892" w14:textId="2C4069B3" w:rsidR="00580A4D" w:rsidRPr="000972D1" w:rsidRDefault="002864E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-1.271</w:t>
            </w:r>
            <w:r w:rsidR="00580A4D" w:rsidRPr="000972D1">
              <w:rPr>
                <w:rFonts w:ascii="Times New Roman" w:eastAsia="Times New Roman" w:hAnsi="Times New Roman" w:cs="Times New Roman"/>
                <w:sz w:val="17"/>
                <w:szCs w:val="17"/>
                <w:shd w:val="clear" w:color="auto" w:fill="FFFFFF"/>
                <w:lang w:val="en-US"/>
              </w:rPr>
              <w:t>***</w:t>
            </w:r>
          </w:p>
          <w:p w14:paraId="380E5427" w14:textId="7BFB2890" w:rsidR="00580A4D" w:rsidRPr="000972D1" w:rsidRDefault="00580A4D"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(0.00</w:t>
            </w:r>
            <w:r w:rsidR="002864EE" w:rsidRPr="000972D1">
              <w:rPr>
                <w:rFonts w:ascii="Times New Roman" w:eastAsia="Times New Roman" w:hAnsi="Times New Roman" w:cs="Times New Roman"/>
                <w:sz w:val="17"/>
                <w:szCs w:val="17"/>
                <w:shd w:val="clear" w:color="auto" w:fill="FFFFFF"/>
                <w:lang w:val="en-US"/>
              </w:rPr>
              <w:t>4</w:t>
            </w:r>
            <w:r w:rsidRPr="000972D1">
              <w:rPr>
                <w:rFonts w:ascii="Times New Roman" w:eastAsia="Times New Roman" w:hAnsi="Times New Roman" w:cs="Times New Roman"/>
                <w:sz w:val="17"/>
                <w:szCs w:val="17"/>
                <w:shd w:val="clear" w:color="auto" w:fill="FFFFFF"/>
                <w:lang w:val="en-US"/>
              </w:rPr>
              <w:t>)</w:t>
            </w:r>
          </w:p>
        </w:tc>
        <w:tc>
          <w:tcPr>
            <w:tcW w:w="0" w:type="auto"/>
          </w:tcPr>
          <w:p w14:paraId="18BF3137" w14:textId="4AC2655D" w:rsidR="00580A4D" w:rsidRPr="000972D1" w:rsidRDefault="00580A4D"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r w:rsidR="005A1142" w:rsidRPr="000972D1">
              <w:rPr>
                <w:rFonts w:ascii="Times New Roman" w:eastAsia="Times New Roman" w:hAnsi="Times New Roman" w:cs="Times New Roman"/>
                <w:sz w:val="17"/>
                <w:szCs w:val="17"/>
                <w:shd w:val="clear" w:color="auto" w:fill="FFFFFF"/>
                <w:lang w:val="en-US"/>
              </w:rPr>
              <w:t>1.427</w:t>
            </w:r>
            <w:r w:rsidRPr="000972D1">
              <w:rPr>
                <w:rFonts w:ascii="Times New Roman" w:eastAsia="Times New Roman" w:hAnsi="Times New Roman" w:cs="Times New Roman"/>
                <w:sz w:val="17"/>
                <w:szCs w:val="17"/>
                <w:shd w:val="clear" w:color="auto" w:fill="FFFFFF"/>
                <w:lang w:val="en-US"/>
              </w:rPr>
              <w:t>***</w:t>
            </w:r>
          </w:p>
          <w:p w14:paraId="79CFC4AC" w14:textId="77777777" w:rsidR="00580A4D" w:rsidRPr="000972D1" w:rsidRDefault="00580A4D"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(0.000)</w:t>
            </w:r>
          </w:p>
        </w:tc>
        <w:tc>
          <w:tcPr>
            <w:tcW w:w="0" w:type="auto"/>
          </w:tcPr>
          <w:p w14:paraId="32B8F571" w14:textId="1F39287F" w:rsidR="00580A4D" w:rsidRPr="000972D1" w:rsidRDefault="00AA537C"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-0.962</w:t>
            </w:r>
            <w:r w:rsidR="00580A4D" w:rsidRPr="000972D1">
              <w:rPr>
                <w:rFonts w:ascii="Times New Roman" w:eastAsia="Times New Roman" w:hAnsi="Times New Roman" w:cs="Times New Roman"/>
                <w:sz w:val="17"/>
                <w:szCs w:val="17"/>
                <w:shd w:val="clear" w:color="auto" w:fill="FFFFFF"/>
                <w:lang w:val="en-US"/>
              </w:rPr>
              <w:t>**</w:t>
            </w:r>
          </w:p>
          <w:p w14:paraId="7CACCCBC" w14:textId="16054346" w:rsidR="00580A4D" w:rsidRPr="000972D1" w:rsidRDefault="00AA537C"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(0.015</w:t>
            </w:r>
            <w:r w:rsidR="00580A4D" w:rsidRPr="000972D1">
              <w:rPr>
                <w:rFonts w:ascii="Times New Roman" w:eastAsia="Times New Roman" w:hAnsi="Times New Roman" w:cs="Times New Roman"/>
                <w:sz w:val="17"/>
                <w:szCs w:val="17"/>
                <w:shd w:val="clear" w:color="auto" w:fill="FFFFFF"/>
                <w:lang w:val="en-US"/>
              </w:rPr>
              <w:t>)</w:t>
            </w:r>
          </w:p>
        </w:tc>
        <w:tc>
          <w:tcPr>
            <w:tcW w:w="0" w:type="auto"/>
          </w:tcPr>
          <w:p w14:paraId="0C373C97" w14:textId="54BA67BA" w:rsidR="00580A4D" w:rsidRPr="000972D1" w:rsidRDefault="00580A4D"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r w:rsidR="00F21781" w:rsidRPr="000972D1">
              <w:rPr>
                <w:rFonts w:ascii="Times New Roman" w:eastAsia="Times New Roman" w:hAnsi="Times New Roman" w:cs="Times New Roman"/>
                <w:sz w:val="17"/>
                <w:szCs w:val="17"/>
                <w:shd w:val="clear" w:color="auto" w:fill="FFFFFF"/>
                <w:lang w:val="en-US"/>
              </w:rPr>
              <w:t>1.501</w:t>
            </w:r>
            <w:r w:rsidRPr="000972D1">
              <w:rPr>
                <w:rFonts w:ascii="Times New Roman" w:eastAsia="Times New Roman" w:hAnsi="Times New Roman" w:cs="Times New Roman"/>
                <w:sz w:val="17"/>
                <w:szCs w:val="17"/>
                <w:shd w:val="clear" w:color="auto" w:fill="FFFFFF"/>
                <w:lang w:val="en-US"/>
              </w:rPr>
              <w:t>***</w:t>
            </w:r>
          </w:p>
          <w:p w14:paraId="3E1C1CBC" w14:textId="77777777" w:rsidR="00580A4D" w:rsidRPr="000972D1" w:rsidRDefault="00580A4D"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(0.000)</w:t>
            </w:r>
          </w:p>
        </w:tc>
        <w:tc>
          <w:tcPr>
            <w:tcW w:w="0" w:type="auto"/>
          </w:tcPr>
          <w:p w14:paraId="02777A9C" w14:textId="77777777" w:rsidR="00580A4D" w:rsidRPr="000972D1" w:rsidRDefault="00015D44"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-1.570***</w:t>
            </w:r>
          </w:p>
          <w:p w14:paraId="655E1881" w14:textId="7F0BFA32" w:rsidR="00015D44" w:rsidRPr="000972D1" w:rsidRDefault="00015D44"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(0.000)</w:t>
            </w:r>
          </w:p>
        </w:tc>
        <w:tc>
          <w:tcPr>
            <w:tcW w:w="0" w:type="auto"/>
          </w:tcPr>
          <w:p w14:paraId="2FF33F3F" w14:textId="77777777" w:rsidR="00580A4D" w:rsidRPr="000972D1" w:rsidRDefault="00BF5D41"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-0.874**</w:t>
            </w:r>
          </w:p>
          <w:p w14:paraId="65DF0785" w14:textId="7E3B848C" w:rsidR="00BF5D41" w:rsidRPr="000972D1" w:rsidRDefault="00BF5D41"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(0.025)</w:t>
            </w:r>
          </w:p>
        </w:tc>
        <w:tc>
          <w:tcPr>
            <w:tcW w:w="0" w:type="auto"/>
          </w:tcPr>
          <w:p w14:paraId="3110DA2F" w14:textId="77777777" w:rsidR="00580A4D" w:rsidRPr="000972D1" w:rsidRDefault="002864E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-1.207***</w:t>
            </w:r>
          </w:p>
          <w:p w14:paraId="3830606B" w14:textId="7FD11ECF" w:rsidR="002864EE" w:rsidRPr="000972D1" w:rsidRDefault="002864E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(0.002)</w:t>
            </w:r>
          </w:p>
        </w:tc>
      </w:tr>
      <w:tr w:rsidR="007831D2" w:rsidRPr="000972D1" w14:paraId="584F4C2E" w14:textId="1B0E937A" w:rsidTr="00580A4D">
        <w:trPr>
          <w:trHeight w:val="86"/>
          <w:jc w:val="center"/>
        </w:trPr>
        <w:tc>
          <w:tcPr>
            <w:tcW w:w="0" w:type="auto"/>
            <w:tcBorders>
              <w:top w:val="single" w:sz="4" w:space="0" w:color="auto"/>
              <w:right w:val="single" w:sz="12" w:space="0" w:color="auto"/>
            </w:tcBorders>
            <w:noWrap/>
          </w:tcPr>
          <w:p w14:paraId="1CB4FC8E" w14:textId="21CE3106" w:rsidR="007831D2" w:rsidRPr="000972D1" w:rsidRDefault="007831D2" w:rsidP="00911D12">
            <w:pPr>
              <w:jc w:val="lowKashida"/>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 xml:space="preserve">YDU </w:t>
            </w:r>
          </w:p>
        </w:tc>
        <w:tc>
          <w:tcPr>
            <w:tcW w:w="0" w:type="auto"/>
            <w:tcBorders>
              <w:top w:val="single" w:sz="4" w:space="0" w:color="auto"/>
              <w:left w:val="single" w:sz="12" w:space="0" w:color="auto"/>
            </w:tcBorders>
          </w:tcPr>
          <w:p w14:paraId="6649942C" w14:textId="77777777" w:rsidR="007831D2" w:rsidRPr="000972D1" w:rsidRDefault="007831D2"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Included</w:t>
            </w:r>
          </w:p>
        </w:tc>
        <w:tc>
          <w:tcPr>
            <w:tcW w:w="0" w:type="auto"/>
            <w:tcBorders>
              <w:top w:val="single" w:sz="4" w:space="0" w:color="auto"/>
            </w:tcBorders>
            <w:noWrap/>
          </w:tcPr>
          <w:p w14:paraId="2FC64BDB" w14:textId="77777777" w:rsidR="007831D2" w:rsidRPr="000972D1" w:rsidRDefault="007831D2"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Included</w:t>
            </w:r>
          </w:p>
        </w:tc>
        <w:tc>
          <w:tcPr>
            <w:tcW w:w="0" w:type="auto"/>
            <w:tcBorders>
              <w:top w:val="single" w:sz="4" w:space="0" w:color="auto"/>
            </w:tcBorders>
            <w:noWrap/>
          </w:tcPr>
          <w:p w14:paraId="6558CB4D" w14:textId="77777777" w:rsidR="007831D2" w:rsidRPr="000972D1" w:rsidRDefault="007831D2"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Included</w:t>
            </w:r>
          </w:p>
        </w:tc>
        <w:tc>
          <w:tcPr>
            <w:tcW w:w="0" w:type="auto"/>
            <w:tcBorders>
              <w:top w:val="single" w:sz="4" w:space="0" w:color="auto"/>
            </w:tcBorders>
          </w:tcPr>
          <w:p w14:paraId="1A7C3266" w14:textId="77777777" w:rsidR="007831D2" w:rsidRPr="000972D1" w:rsidRDefault="007831D2"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Included</w:t>
            </w:r>
          </w:p>
        </w:tc>
        <w:tc>
          <w:tcPr>
            <w:tcW w:w="0" w:type="auto"/>
            <w:tcBorders>
              <w:top w:val="single" w:sz="4" w:space="0" w:color="auto"/>
            </w:tcBorders>
          </w:tcPr>
          <w:p w14:paraId="1752DE1C" w14:textId="3B195021" w:rsidR="007831D2" w:rsidRPr="000972D1" w:rsidRDefault="007831D2"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Included</w:t>
            </w:r>
          </w:p>
        </w:tc>
        <w:tc>
          <w:tcPr>
            <w:tcW w:w="0" w:type="auto"/>
            <w:tcBorders>
              <w:top w:val="single" w:sz="4" w:space="0" w:color="auto"/>
            </w:tcBorders>
          </w:tcPr>
          <w:p w14:paraId="611F9B9B" w14:textId="5523D874" w:rsidR="007831D2" w:rsidRPr="000972D1" w:rsidRDefault="007831D2"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Included</w:t>
            </w:r>
          </w:p>
        </w:tc>
        <w:tc>
          <w:tcPr>
            <w:tcW w:w="0" w:type="auto"/>
            <w:tcBorders>
              <w:top w:val="single" w:sz="4" w:space="0" w:color="auto"/>
            </w:tcBorders>
          </w:tcPr>
          <w:p w14:paraId="14A1756F" w14:textId="5B33CB81" w:rsidR="007831D2" w:rsidRPr="000972D1" w:rsidRDefault="007831D2"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Included</w:t>
            </w:r>
          </w:p>
        </w:tc>
        <w:tc>
          <w:tcPr>
            <w:tcW w:w="0" w:type="auto"/>
            <w:tcBorders>
              <w:top w:val="single" w:sz="4" w:space="0" w:color="auto"/>
            </w:tcBorders>
          </w:tcPr>
          <w:p w14:paraId="29A63C56" w14:textId="6735D5AB" w:rsidR="007831D2" w:rsidRPr="000972D1" w:rsidRDefault="007831D2"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Included</w:t>
            </w:r>
          </w:p>
        </w:tc>
        <w:tc>
          <w:tcPr>
            <w:tcW w:w="0" w:type="auto"/>
            <w:tcBorders>
              <w:top w:val="single" w:sz="4" w:space="0" w:color="auto"/>
            </w:tcBorders>
          </w:tcPr>
          <w:p w14:paraId="69657B71" w14:textId="77777777" w:rsidR="007831D2" w:rsidRPr="000972D1" w:rsidRDefault="007831D2"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Included</w:t>
            </w:r>
          </w:p>
        </w:tc>
        <w:tc>
          <w:tcPr>
            <w:tcW w:w="0" w:type="auto"/>
            <w:tcBorders>
              <w:top w:val="single" w:sz="4" w:space="0" w:color="auto"/>
            </w:tcBorders>
          </w:tcPr>
          <w:p w14:paraId="753D93D6" w14:textId="77777777" w:rsidR="007831D2" w:rsidRPr="000972D1" w:rsidRDefault="007831D2"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Included</w:t>
            </w:r>
          </w:p>
        </w:tc>
        <w:tc>
          <w:tcPr>
            <w:tcW w:w="0" w:type="auto"/>
            <w:tcBorders>
              <w:top w:val="single" w:sz="4" w:space="0" w:color="auto"/>
            </w:tcBorders>
          </w:tcPr>
          <w:p w14:paraId="565D6743" w14:textId="77777777" w:rsidR="007831D2" w:rsidRPr="000972D1" w:rsidRDefault="007831D2"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Included</w:t>
            </w:r>
          </w:p>
        </w:tc>
        <w:tc>
          <w:tcPr>
            <w:tcW w:w="0" w:type="auto"/>
            <w:tcBorders>
              <w:top w:val="single" w:sz="4" w:space="0" w:color="auto"/>
            </w:tcBorders>
          </w:tcPr>
          <w:p w14:paraId="193C827E" w14:textId="76FCAFF9" w:rsidR="007831D2" w:rsidRPr="000972D1" w:rsidRDefault="007831D2"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Included</w:t>
            </w:r>
          </w:p>
        </w:tc>
        <w:tc>
          <w:tcPr>
            <w:tcW w:w="0" w:type="auto"/>
            <w:tcBorders>
              <w:top w:val="single" w:sz="4" w:space="0" w:color="auto"/>
            </w:tcBorders>
          </w:tcPr>
          <w:p w14:paraId="4166E714" w14:textId="56F7CA8F" w:rsidR="007831D2" w:rsidRPr="000972D1" w:rsidRDefault="007831D2"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Included</w:t>
            </w:r>
          </w:p>
        </w:tc>
        <w:tc>
          <w:tcPr>
            <w:tcW w:w="0" w:type="auto"/>
            <w:tcBorders>
              <w:top w:val="single" w:sz="4" w:space="0" w:color="auto"/>
            </w:tcBorders>
          </w:tcPr>
          <w:p w14:paraId="23BBB2CC" w14:textId="7B22A763" w:rsidR="007831D2" w:rsidRPr="000972D1" w:rsidRDefault="007831D2"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Included</w:t>
            </w:r>
          </w:p>
        </w:tc>
      </w:tr>
      <w:tr w:rsidR="007831D2" w:rsidRPr="000972D1" w14:paraId="31283685" w14:textId="72C70F5A" w:rsidTr="00580A4D">
        <w:trPr>
          <w:trHeight w:val="47"/>
          <w:jc w:val="center"/>
        </w:trPr>
        <w:tc>
          <w:tcPr>
            <w:tcW w:w="0" w:type="auto"/>
            <w:tcBorders>
              <w:bottom w:val="single" w:sz="12" w:space="0" w:color="auto"/>
              <w:right w:val="single" w:sz="12" w:space="0" w:color="auto"/>
            </w:tcBorders>
            <w:noWrap/>
          </w:tcPr>
          <w:p w14:paraId="752A6E8E" w14:textId="77777777" w:rsidR="007831D2" w:rsidRPr="000972D1" w:rsidRDefault="007831D2" w:rsidP="00911D12">
            <w:pPr>
              <w:jc w:val="lowKashida"/>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IRY</w:t>
            </w:r>
          </w:p>
        </w:tc>
        <w:tc>
          <w:tcPr>
            <w:tcW w:w="0" w:type="auto"/>
            <w:tcBorders>
              <w:left w:val="single" w:sz="12" w:space="0" w:color="auto"/>
              <w:bottom w:val="single" w:sz="12" w:space="0" w:color="auto"/>
            </w:tcBorders>
          </w:tcPr>
          <w:p w14:paraId="77E0225D" w14:textId="77777777" w:rsidR="007831D2" w:rsidRPr="000972D1" w:rsidRDefault="007831D2"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Included</w:t>
            </w:r>
          </w:p>
        </w:tc>
        <w:tc>
          <w:tcPr>
            <w:tcW w:w="0" w:type="auto"/>
            <w:tcBorders>
              <w:bottom w:val="single" w:sz="12" w:space="0" w:color="auto"/>
            </w:tcBorders>
            <w:noWrap/>
          </w:tcPr>
          <w:p w14:paraId="6C932F76" w14:textId="77777777" w:rsidR="007831D2" w:rsidRPr="000972D1" w:rsidRDefault="007831D2"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Included</w:t>
            </w:r>
          </w:p>
        </w:tc>
        <w:tc>
          <w:tcPr>
            <w:tcW w:w="0" w:type="auto"/>
            <w:tcBorders>
              <w:bottom w:val="single" w:sz="12" w:space="0" w:color="auto"/>
            </w:tcBorders>
            <w:noWrap/>
          </w:tcPr>
          <w:p w14:paraId="6590AE70" w14:textId="77777777" w:rsidR="007831D2" w:rsidRPr="000972D1" w:rsidRDefault="007831D2"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Included</w:t>
            </w:r>
          </w:p>
        </w:tc>
        <w:tc>
          <w:tcPr>
            <w:tcW w:w="0" w:type="auto"/>
            <w:tcBorders>
              <w:bottom w:val="single" w:sz="12" w:space="0" w:color="auto"/>
            </w:tcBorders>
          </w:tcPr>
          <w:p w14:paraId="7A80E02A" w14:textId="77777777" w:rsidR="007831D2" w:rsidRPr="000972D1" w:rsidRDefault="007831D2"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Included</w:t>
            </w:r>
          </w:p>
        </w:tc>
        <w:tc>
          <w:tcPr>
            <w:tcW w:w="0" w:type="auto"/>
            <w:tcBorders>
              <w:bottom w:val="single" w:sz="12" w:space="0" w:color="auto"/>
            </w:tcBorders>
          </w:tcPr>
          <w:p w14:paraId="01356109" w14:textId="6D130D3F" w:rsidR="007831D2" w:rsidRPr="000972D1" w:rsidRDefault="007831D2"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Included</w:t>
            </w:r>
          </w:p>
        </w:tc>
        <w:tc>
          <w:tcPr>
            <w:tcW w:w="0" w:type="auto"/>
            <w:tcBorders>
              <w:bottom w:val="single" w:sz="12" w:space="0" w:color="auto"/>
            </w:tcBorders>
          </w:tcPr>
          <w:p w14:paraId="77D84CD0" w14:textId="0EF00D9F" w:rsidR="007831D2" w:rsidRPr="000972D1" w:rsidRDefault="007831D2"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Included</w:t>
            </w:r>
          </w:p>
        </w:tc>
        <w:tc>
          <w:tcPr>
            <w:tcW w:w="0" w:type="auto"/>
            <w:tcBorders>
              <w:bottom w:val="single" w:sz="12" w:space="0" w:color="auto"/>
            </w:tcBorders>
          </w:tcPr>
          <w:p w14:paraId="4007D0C2" w14:textId="2A47373F" w:rsidR="007831D2" w:rsidRPr="000972D1" w:rsidRDefault="007831D2"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Included</w:t>
            </w:r>
          </w:p>
        </w:tc>
        <w:tc>
          <w:tcPr>
            <w:tcW w:w="0" w:type="auto"/>
            <w:tcBorders>
              <w:bottom w:val="single" w:sz="12" w:space="0" w:color="auto"/>
            </w:tcBorders>
          </w:tcPr>
          <w:p w14:paraId="3D24B786" w14:textId="1122DAED" w:rsidR="007831D2" w:rsidRPr="000972D1" w:rsidRDefault="007831D2"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Included</w:t>
            </w:r>
          </w:p>
        </w:tc>
        <w:tc>
          <w:tcPr>
            <w:tcW w:w="0" w:type="auto"/>
            <w:tcBorders>
              <w:bottom w:val="single" w:sz="12" w:space="0" w:color="auto"/>
            </w:tcBorders>
          </w:tcPr>
          <w:p w14:paraId="44A16AB8" w14:textId="77777777" w:rsidR="007831D2" w:rsidRPr="000972D1" w:rsidRDefault="007831D2"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Included</w:t>
            </w:r>
          </w:p>
        </w:tc>
        <w:tc>
          <w:tcPr>
            <w:tcW w:w="0" w:type="auto"/>
            <w:tcBorders>
              <w:bottom w:val="single" w:sz="12" w:space="0" w:color="auto"/>
            </w:tcBorders>
          </w:tcPr>
          <w:p w14:paraId="7F87E2EA" w14:textId="77777777" w:rsidR="007831D2" w:rsidRPr="000972D1" w:rsidRDefault="007831D2"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Included</w:t>
            </w:r>
          </w:p>
        </w:tc>
        <w:tc>
          <w:tcPr>
            <w:tcW w:w="0" w:type="auto"/>
            <w:tcBorders>
              <w:bottom w:val="single" w:sz="12" w:space="0" w:color="auto"/>
            </w:tcBorders>
          </w:tcPr>
          <w:p w14:paraId="1B19358E" w14:textId="77777777" w:rsidR="007831D2" w:rsidRPr="000972D1" w:rsidRDefault="007831D2"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Included</w:t>
            </w:r>
          </w:p>
        </w:tc>
        <w:tc>
          <w:tcPr>
            <w:tcW w:w="0" w:type="auto"/>
            <w:tcBorders>
              <w:bottom w:val="single" w:sz="12" w:space="0" w:color="auto"/>
            </w:tcBorders>
          </w:tcPr>
          <w:p w14:paraId="59A4E854" w14:textId="7B7C8031" w:rsidR="007831D2" w:rsidRPr="000972D1" w:rsidRDefault="007831D2"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Included</w:t>
            </w:r>
          </w:p>
        </w:tc>
        <w:tc>
          <w:tcPr>
            <w:tcW w:w="0" w:type="auto"/>
            <w:tcBorders>
              <w:bottom w:val="single" w:sz="12" w:space="0" w:color="auto"/>
            </w:tcBorders>
          </w:tcPr>
          <w:p w14:paraId="2671C971" w14:textId="724EC21F" w:rsidR="007831D2" w:rsidRPr="000972D1" w:rsidRDefault="007831D2"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Included</w:t>
            </w:r>
          </w:p>
        </w:tc>
        <w:tc>
          <w:tcPr>
            <w:tcW w:w="0" w:type="auto"/>
            <w:tcBorders>
              <w:bottom w:val="single" w:sz="12" w:space="0" w:color="auto"/>
            </w:tcBorders>
          </w:tcPr>
          <w:p w14:paraId="7649AF3E" w14:textId="527A15DF" w:rsidR="007831D2" w:rsidRPr="000972D1" w:rsidRDefault="007831D2"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Included</w:t>
            </w:r>
          </w:p>
        </w:tc>
      </w:tr>
      <w:tr w:rsidR="00580A4D" w:rsidRPr="000972D1" w14:paraId="46DF0FDE" w14:textId="03D4CA66" w:rsidTr="00580A4D">
        <w:trPr>
          <w:trHeight w:val="120"/>
          <w:jc w:val="center"/>
        </w:trPr>
        <w:tc>
          <w:tcPr>
            <w:tcW w:w="0" w:type="auto"/>
            <w:tcBorders>
              <w:top w:val="single" w:sz="12" w:space="0" w:color="auto"/>
              <w:right w:val="single" w:sz="12" w:space="0" w:color="auto"/>
            </w:tcBorders>
            <w:noWrap/>
          </w:tcPr>
          <w:p w14:paraId="6EC04D0D" w14:textId="77777777" w:rsidR="00580A4D" w:rsidRPr="000972D1" w:rsidRDefault="00580A4D" w:rsidP="00911D12">
            <w:pPr>
              <w:jc w:val="lowKashida"/>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 xml:space="preserve">Constant </w:t>
            </w:r>
          </w:p>
        </w:tc>
        <w:tc>
          <w:tcPr>
            <w:tcW w:w="0" w:type="auto"/>
            <w:tcBorders>
              <w:top w:val="single" w:sz="12" w:space="0" w:color="auto"/>
              <w:left w:val="single" w:sz="12" w:space="0" w:color="auto"/>
            </w:tcBorders>
          </w:tcPr>
          <w:p w14:paraId="6258E987" w14:textId="095FB2B9" w:rsidR="00580A4D" w:rsidRPr="000972D1" w:rsidRDefault="00D54339"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-8.831***</w:t>
            </w:r>
          </w:p>
        </w:tc>
        <w:tc>
          <w:tcPr>
            <w:tcW w:w="0" w:type="auto"/>
            <w:tcBorders>
              <w:top w:val="single" w:sz="12" w:space="0" w:color="auto"/>
            </w:tcBorders>
            <w:noWrap/>
          </w:tcPr>
          <w:p w14:paraId="0803B8FD" w14:textId="2B5BC7C9" w:rsidR="00580A4D" w:rsidRPr="000972D1" w:rsidRDefault="00D54339"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-8.598***</w:t>
            </w:r>
          </w:p>
        </w:tc>
        <w:tc>
          <w:tcPr>
            <w:tcW w:w="0" w:type="auto"/>
            <w:tcBorders>
              <w:top w:val="single" w:sz="12" w:space="0" w:color="auto"/>
            </w:tcBorders>
            <w:noWrap/>
          </w:tcPr>
          <w:p w14:paraId="11DC6654" w14:textId="76D543FE" w:rsidR="00580A4D" w:rsidRPr="000972D1" w:rsidRDefault="00D54339"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-8.891***</w:t>
            </w:r>
          </w:p>
        </w:tc>
        <w:tc>
          <w:tcPr>
            <w:tcW w:w="0" w:type="auto"/>
            <w:tcBorders>
              <w:top w:val="single" w:sz="12" w:space="0" w:color="auto"/>
            </w:tcBorders>
          </w:tcPr>
          <w:p w14:paraId="4F4E62A1" w14:textId="20A5E291" w:rsidR="00580A4D" w:rsidRPr="000972D1" w:rsidRDefault="00D54339"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-9.359***</w:t>
            </w:r>
          </w:p>
        </w:tc>
        <w:tc>
          <w:tcPr>
            <w:tcW w:w="0" w:type="auto"/>
            <w:tcBorders>
              <w:top w:val="single" w:sz="12" w:space="0" w:color="auto"/>
            </w:tcBorders>
          </w:tcPr>
          <w:p w14:paraId="6C674899" w14:textId="2257E6BA" w:rsidR="00580A4D" w:rsidRPr="000972D1" w:rsidRDefault="00D54339"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-9.406***</w:t>
            </w:r>
          </w:p>
        </w:tc>
        <w:tc>
          <w:tcPr>
            <w:tcW w:w="0" w:type="auto"/>
            <w:tcBorders>
              <w:top w:val="single" w:sz="12" w:space="0" w:color="auto"/>
            </w:tcBorders>
          </w:tcPr>
          <w:p w14:paraId="5158F7D0" w14:textId="3CCB881C" w:rsidR="00580A4D" w:rsidRPr="000972D1" w:rsidRDefault="00D54339"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-8.867***</w:t>
            </w:r>
          </w:p>
        </w:tc>
        <w:tc>
          <w:tcPr>
            <w:tcW w:w="0" w:type="auto"/>
            <w:tcBorders>
              <w:top w:val="single" w:sz="12" w:space="0" w:color="auto"/>
            </w:tcBorders>
          </w:tcPr>
          <w:p w14:paraId="5D27C57F" w14:textId="7EB70214" w:rsidR="00580A4D" w:rsidRPr="000972D1" w:rsidRDefault="00D54339"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-9.276***</w:t>
            </w:r>
          </w:p>
        </w:tc>
        <w:tc>
          <w:tcPr>
            <w:tcW w:w="0" w:type="auto"/>
            <w:tcBorders>
              <w:top w:val="single" w:sz="12" w:space="0" w:color="auto"/>
            </w:tcBorders>
          </w:tcPr>
          <w:p w14:paraId="0D2AAA96" w14:textId="371106A5" w:rsidR="00580A4D" w:rsidRPr="000972D1" w:rsidRDefault="00D85004"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4.597</w:t>
            </w:r>
            <w:r w:rsidR="00580A4D" w:rsidRPr="000972D1">
              <w:rPr>
                <w:rFonts w:ascii="Times New Roman" w:eastAsia="Times New Roman" w:hAnsi="Times New Roman" w:cs="Times New Roman"/>
                <w:sz w:val="17"/>
                <w:szCs w:val="17"/>
                <w:shd w:val="clear" w:color="auto" w:fill="FFFFFF"/>
                <w:lang w:val="en-US"/>
              </w:rPr>
              <w:t>***</w:t>
            </w:r>
          </w:p>
        </w:tc>
        <w:tc>
          <w:tcPr>
            <w:tcW w:w="0" w:type="auto"/>
            <w:tcBorders>
              <w:top w:val="single" w:sz="12" w:space="0" w:color="auto"/>
            </w:tcBorders>
          </w:tcPr>
          <w:p w14:paraId="38DEE5C7" w14:textId="0201A59E" w:rsidR="00580A4D" w:rsidRPr="000972D1" w:rsidRDefault="005A1142"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5.805</w:t>
            </w:r>
            <w:r w:rsidR="00580A4D" w:rsidRPr="000972D1">
              <w:rPr>
                <w:rFonts w:ascii="Times New Roman" w:eastAsia="Times New Roman" w:hAnsi="Times New Roman" w:cs="Times New Roman"/>
                <w:sz w:val="17"/>
                <w:szCs w:val="17"/>
                <w:shd w:val="clear" w:color="auto" w:fill="FFFFFF"/>
                <w:lang w:val="en-US"/>
              </w:rPr>
              <w:t>***</w:t>
            </w:r>
          </w:p>
        </w:tc>
        <w:tc>
          <w:tcPr>
            <w:tcW w:w="0" w:type="auto"/>
            <w:tcBorders>
              <w:top w:val="single" w:sz="12" w:space="0" w:color="auto"/>
            </w:tcBorders>
          </w:tcPr>
          <w:p w14:paraId="5A21E05A" w14:textId="5F9D9372" w:rsidR="00580A4D" w:rsidRPr="000972D1" w:rsidRDefault="00F21781"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5.461</w:t>
            </w:r>
            <w:r w:rsidR="00580A4D" w:rsidRPr="000972D1">
              <w:rPr>
                <w:rFonts w:ascii="Times New Roman" w:eastAsia="Times New Roman" w:hAnsi="Times New Roman" w:cs="Times New Roman"/>
                <w:sz w:val="17"/>
                <w:szCs w:val="17"/>
                <w:shd w:val="clear" w:color="auto" w:fill="FFFFFF"/>
                <w:lang w:val="en-US"/>
              </w:rPr>
              <w:t>***</w:t>
            </w:r>
          </w:p>
        </w:tc>
        <w:tc>
          <w:tcPr>
            <w:tcW w:w="0" w:type="auto"/>
            <w:tcBorders>
              <w:top w:val="single" w:sz="12" w:space="0" w:color="auto"/>
            </w:tcBorders>
          </w:tcPr>
          <w:p w14:paraId="60A8CD76" w14:textId="0261BAB5" w:rsidR="00580A4D" w:rsidRPr="000972D1" w:rsidRDefault="00F21781"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4.817</w:t>
            </w:r>
            <w:r w:rsidR="00580A4D" w:rsidRPr="000972D1">
              <w:rPr>
                <w:rFonts w:ascii="Times New Roman" w:eastAsia="Times New Roman" w:hAnsi="Times New Roman" w:cs="Times New Roman"/>
                <w:sz w:val="17"/>
                <w:szCs w:val="17"/>
                <w:shd w:val="clear" w:color="auto" w:fill="FFFFFF"/>
                <w:lang w:val="en-US"/>
              </w:rPr>
              <w:t>***</w:t>
            </w:r>
          </w:p>
        </w:tc>
        <w:tc>
          <w:tcPr>
            <w:tcW w:w="0" w:type="auto"/>
            <w:tcBorders>
              <w:top w:val="single" w:sz="12" w:space="0" w:color="auto"/>
            </w:tcBorders>
          </w:tcPr>
          <w:p w14:paraId="15655BB0" w14:textId="098A5A09" w:rsidR="00580A4D" w:rsidRPr="000972D1" w:rsidRDefault="00015D44"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4.278***</w:t>
            </w:r>
          </w:p>
        </w:tc>
        <w:tc>
          <w:tcPr>
            <w:tcW w:w="0" w:type="auto"/>
            <w:tcBorders>
              <w:top w:val="single" w:sz="12" w:space="0" w:color="auto"/>
            </w:tcBorders>
          </w:tcPr>
          <w:p w14:paraId="6C7B1DFD" w14:textId="4C58F91A" w:rsidR="00580A4D" w:rsidRPr="000972D1" w:rsidRDefault="00BF5D41"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5.271***</w:t>
            </w:r>
          </w:p>
        </w:tc>
        <w:tc>
          <w:tcPr>
            <w:tcW w:w="0" w:type="auto"/>
            <w:tcBorders>
              <w:top w:val="single" w:sz="12" w:space="0" w:color="auto"/>
            </w:tcBorders>
          </w:tcPr>
          <w:p w14:paraId="4A3A75CF" w14:textId="1497EC27" w:rsidR="00580A4D" w:rsidRPr="000972D1" w:rsidRDefault="002864E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5.111***</w:t>
            </w:r>
          </w:p>
        </w:tc>
      </w:tr>
      <w:tr w:rsidR="00580A4D" w:rsidRPr="000972D1" w14:paraId="7878C22C" w14:textId="51BA12DA" w:rsidTr="00580A4D">
        <w:trPr>
          <w:trHeight w:val="154"/>
          <w:jc w:val="center"/>
        </w:trPr>
        <w:tc>
          <w:tcPr>
            <w:tcW w:w="0" w:type="auto"/>
            <w:tcBorders>
              <w:right w:val="single" w:sz="12" w:space="0" w:color="auto"/>
            </w:tcBorders>
            <w:noWrap/>
          </w:tcPr>
          <w:p w14:paraId="68E34611" w14:textId="77777777" w:rsidR="00580A4D" w:rsidRPr="000972D1" w:rsidRDefault="00580A4D" w:rsidP="00911D12">
            <w:pPr>
              <w:jc w:val="lowKashida"/>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F-value</w:t>
            </w:r>
          </w:p>
        </w:tc>
        <w:tc>
          <w:tcPr>
            <w:tcW w:w="0" w:type="auto"/>
            <w:tcBorders>
              <w:left w:val="single" w:sz="12" w:space="0" w:color="auto"/>
            </w:tcBorders>
          </w:tcPr>
          <w:p w14:paraId="7203F967" w14:textId="77777777" w:rsidR="00580A4D" w:rsidRPr="000972D1" w:rsidRDefault="00580A4D"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noWrap/>
          </w:tcPr>
          <w:p w14:paraId="1D83CE98" w14:textId="77777777" w:rsidR="00580A4D" w:rsidRPr="000972D1" w:rsidRDefault="00580A4D"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noWrap/>
          </w:tcPr>
          <w:p w14:paraId="64995F87" w14:textId="77777777" w:rsidR="00580A4D" w:rsidRPr="000972D1" w:rsidRDefault="00580A4D"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Pr>
          <w:p w14:paraId="6AF2B4BA" w14:textId="77777777" w:rsidR="00580A4D" w:rsidRPr="000972D1" w:rsidRDefault="00580A4D"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Pr>
          <w:p w14:paraId="4C116CAD" w14:textId="7EBE6CBA" w:rsidR="00580A4D" w:rsidRPr="000972D1" w:rsidRDefault="008477A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Pr>
          <w:p w14:paraId="538317AA" w14:textId="665C844A" w:rsidR="00580A4D" w:rsidRPr="000972D1" w:rsidRDefault="00CA15A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Pr>
          <w:p w14:paraId="672FC765" w14:textId="16428C76" w:rsidR="00580A4D" w:rsidRPr="000972D1" w:rsidRDefault="0045535C"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Pr>
          <w:p w14:paraId="7C0C38FB" w14:textId="1FF057E6" w:rsidR="00580A4D" w:rsidRPr="000972D1" w:rsidRDefault="00D85004"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39.00</w:t>
            </w:r>
            <w:r w:rsidR="00580A4D" w:rsidRPr="000972D1">
              <w:rPr>
                <w:rFonts w:ascii="Times New Roman" w:eastAsia="Times New Roman" w:hAnsi="Times New Roman" w:cs="Times New Roman"/>
                <w:sz w:val="17"/>
                <w:szCs w:val="17"/>
                <w:shd w:val="clear" w:color="auto" w:fill="FFFFFF"/>
                <w:lang w:val="en-US"/>
              </w:rPr>
              <w:t>***</w:t>
            </w:r>
          </w:p>
        </w:tc>
        <w:tc>
          <w:tcPr>
            <w:tcW w:w="0" w:type="auto"/>
          </w:tcPr>
          <w:p w14:paraId="7BF2E74C" w14:textId="422E36A5" w:rsidR="00580A4D" w:rsidRPr="000972D1" w:rsidRDefault="005A1142"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47.61</w:t>
            </w:r>
            <w:r w:rsidR="00580A4D" w:rsidRPr="000972D1">
              <w:rPr>
                <w:rFonts w:ascii="Times New Roman" w:eastAsia="Times New Roman" w:hAnsi="Times New Roman" w:cs="Times New Roman"/>
                <w:sz w:val="17"/>
                <w:szCs w:val="17"/>
                <w:shd w:val="clear" w:color="auto" w:fill="FFFFFF"/>
                <w:lang w:val="en-US"/>
              </w:rPr>
              <w:t>***</w:t>
            </w:r>
          </w:p>
        </w:tc>
        <w:tc>
          <w:tcPr>
            <w:tcW w:w="0" w:type="auto"/>
          </w:tcPr>
          <w:p w14:paraId="30A04107" w14:textId="7DCC34F8" w:rsidR="00580A4D" w:rsidRPr="000972D1" w:rsidRDefault="00F21781"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52.94</w:t>
            </w:r>
            <w:r w:rsidR="00580A4D" w:rsidRPr="000972D1">
              <w:rPr>
                <w:rFonts w:ascii="Times New Roman" w:eastAsia="Times New Roman" w:hAnsi="Times New Roman" w:cs="Times New Roman"/>
                <w:sz w:val="17"/>
                <w:szCs w:val="17"/>
                <w:shd w:val="clear" w:color="auto" w:fill="FFFFFF"/>
                <w:lang w:val="en-US"/>
              </w:rPr>
              <w:t>***</w:t>
            </w:r>
          </w:p>
        </w:tc>
        <w:tc>
          <w:tcPr>
            <w:tcW w:w="0" w:type="auto"/>
          </w:tcPr>
          <w:p w14:paraId="0EEB6B1C" w14:textId="2D6234CF" w:rsidR="00580A4D" w:rsidRPr="000972D1" w:rsidRDefault="00F21781"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49.08</w:t>
            </w:r>
            <w:r w:rsidR="00580A4D" w:rsidRPr="000972D1">
              <w:rPr>
                <w:rFonts w:ascii="Times New Roman" w:eastAsia="Times New Roman" w:hAnsi="Times New Roman" w:cs="Times New Roman"/>
                <w:sz w:val="17"/>
                <w:szCs w:val="17"/>
                <w:shd w:val="clear" w:color="auto" w:fill="FFFFFF"/>
                <w:lang w:val="en-US"/>
              </w:rPr>
              <w:t>***</w:t>
            </w:r>
          </w:p>
        </w:tc>
        <w:tc>
          <w:tcPr>
            <w:tcW w:w="0" w:type="auto"/>
          </w:tcPr>
          <w:p w14:paraId="6A721E8B" w14:textId="4E606893" w:rsidR="00580A4D" w:rsidRPr="000972D1" w:rsidRDefault="00015D44"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48.74***</w:t>
            </w:r>
          </w:p>
        </w:tc>
        <w:tc>
          <w:tcPr>
            <w:tcW w:w="0" w:type="auto"/>
          </w:tcPr>
          <w:p w14:paraId="370AA32C" w14:textId="0C59393C" w:rsidR="00580A4D" w:rsidRPr="000972D1" w:rsidRDefault="00BF5D41"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55.34***</w:t>
            </w:r>
          </w:p>
        </w:tc>
        <w:tc>
          <w:tcPr>
            <w:tcW w:w="0" w:type="auto"/>
          </w:tcPr>
          <w:p w14:paraId="2E229F4F" w14:textId="234B5EE0" w:rsidR="00580A4D" w:rsidRPr="000972D1" w:rsidRDefault="002864E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53.08***</w:t>
            </w:r>
          </w:p>
        </w:tc>
      </w:tr>
      <w:tr w:rsidR="00580A4D" w:rsidRPr="000972D1" w14:paraId="288A346D" w14:textId="014668C1" w:rsidTr="00580A4D">
        <w:trPr>
          <w:trHeight w:val="154"/>
          <w:jc w:val="center"/>
        </w:trPr>
        <w:tc>
          <w:tcPr>
            <w:tcW w:w="0" w:type="auto"/>
            <w:tcBorders>
              <w:right w:val="single" w:sz="12" w:space="0" w:color="auto"/>
            </w:tcBorders>
            <w:noWrap/>
          </w:tcPr>
          <w:p w14:paraId="4BBE0A3E" w14:textId="77777777" w:rsidR="00580A4D" w:rsidRPr="000972D1" w:rsidRDefault="00580A4D" w:rsidP="00911D12">
            <w:pPr>
              <w:jc w:val="lowKashida"/>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Chi-square</w:t>
            </w:r>
          </w:p>
        </w:tc>
        <w:tc>
          <w:tcPr>
            <w:tcW w:w="0" w:type="auto"/>
            <w:tcBorders>
              <w:left w:val="single" w:sz="12" w:space="0" w:color="auto"/>
            </w:tcBorders>
          </w:tcPr>
          <w:p w14:paraId="549BDAE4" w14:textId="558AF365" w:rsidR="00580A4D" w:rsidRPr="000972D1" w:rsidRDefault="006C7C36"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250.03</w:t>
            </w:r>
            <w:r w:rsidR="00580A4D" w:rsidRPr="000972D1">
              <w:rPr>
                <w:rFonts w:ascii="Times New Roman" w:eastAsia="Times New Roman" w:hAnsi="Times New Roman" w:cs="Times New Roman"/>
                <w:sz w:val="17"/>
                <w:szCs w:val="17"/>
                <w:shd w:val="clear" w:color="auto" w:fill="FFFFFF"/>
                <w:lang w:val="en-US"/>
              </w:rPr>
              <w:t>***</w:t>
            </w:r>
          </w:p>
        </w:tc>
        <w:tc>
          <w:tcPr>
            <w:tcW w:w="0" w:type="auto"/>
            <w:noWrap/>
          </w:tcPr>
          <w:p w14:paraId="7A294C05" w14:textId="548484C6" w:rsidR="00580A4D" w:rsidRPr="000972D1" w:rsidRDefault="006C7C36"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263.66</w:t>
            </w:r>
            <w:r w:rsidR="00580A4D" w:rsidRPr="000972D1">
              <w:rPr>
                <w:rFonts w:ascii="Times New Roman" w:eastAsia="Times New Roman" w:hAnsi="Times New Roman" w:cs="Times New Roman"/>
                <w:sz w:val="17"/>
                <w:szCs w:val="17"/>
                <w:shd w:val="clear" w:color="auto" w:fill="FFFFFF"/>
                <w:lang w:val="en-US"/>
              </w:rPr>
              <w:t>***</w:t>
            </w:r>
          </w:p>
        </w:tc>
        <w:tc>
          <w:tcPr>
            <w:tcW w:w="0" w:type="auto"/>
            <w:noWrap/>
          </w:tcPr>
          <w:p w14:paraId="1D564AF0" w14:textId="4E8DBA97" w:rsidR="00580A4D" w:rsidRPr="000972D1" w:rsidRDefault="00CA4BE3"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252.86</w:t>
            </w:r>
            <w:r w:rsidR="00580A4D" w:rsidRPr="000972D1">
              <w:rPr>
                <w:rFonts w:ascii="Times New Roman" w:eastAsia="Times New Roman" w:hAnsi="Times New Roman" w:cs="Times New Roman"/>
                <w:sz w:val="17"/>
                <w:szCs w:val="17"/>
                <w:shd w:val="clear" w:color="auto" w:fill="FFFFFF"/>
                <w:lang w:val="en-US"/>
              </w:rPr>
              <w:t>***</w:t>
            </w:r>
          </w:p>
        </w:tc>
        <w:tc>
          <w:tcPr>
            <w:tcW w:w="0" w:type="auto"/>
          </w:tcPr>
          <w:p w14:paraId="12859B0D" w14:textId="1553070B" w:rsidR="00580A4D" w:rsidRPr="000972D1" w:rsidRDefault="009933B6"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253.94</w:t>
            </w:r>
            <w:r w:rsidR="00580A4D" w:rsidRPr="000972D1">
              <w:rPr>
                <w:rFonts w:ascii="Times New Roman" w:eastAsia="Times New Roman" w:hAnsi="Times New Roman" w:cs="Times New Roman"/>
                <w:sz w:val="17"/>
                <w:szCs w:val="17"/>
                <w:shd w:val="clear" w:color="auto" w:fill="FFFFFF"/>
                <w:lang w:val="en-US"/>
              </w:rPr>
              <w:t>***</w:t>
            </w:r>
          </w:p>
        </w:tc>
        <w:tc>
          <w:tcPr>
            <w:tcW w:w="0" w:type="auto"/>
          </w:tcPr>
          <w:p w14:paraId="645D81CF" w14:textId="6A5E2776" w:rsidR="00580A4D" w:rsidRPr="000972D1" w:rsidRDefault="008477A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251.67***</w:t>
            </w:r>
          </w:p>
        </w:tc>
        <w:tc>
          <w:tcPr>
            <w:tcW w:w="0" w:type="auto"/>
          </w:tcPr>
          <w:p w14:paraId="7249DFB4" w14:textId="064BEC71" w:rsidR="00580A4D" w:rsidRPr="000972D1" w:rsidRDefault="00CA15A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251.41***</w:t>
            </w:r>
          </w:p>
        </w:tc>
        <w:tc>
          <w:tcPr>
            <w:tcW w:w="0" w:type="auto"/>
          </w:tcPr>
          <w:p w14:paraId="1717DFC0" w14:textId="12135739" w:rsidR="00580A4D" w:rsidRPr="000972D1" w:rsidRDefault="0045535C"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255.31***</w:t>
            </w:r>
          </w:p>
        </w:tc>
        <w:tc>
          <w:tcPr>
            <w:tcW w:w="0" w:type="auto"/>
          </w:tcPr>
          <w:p w14:paraId="2A9A0E9A" w14:textId="2F016A73" w:rsidR="00580A4D" w:rsidRPr="000972D1" w:rsidRDefault="00580A4D"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Pr>
          <w:p w14:paraId="732EEB5B" w14:textId="77777777" w:rsidR="00580A4D" w:rsidRPr="000972D1" w:rsidRDefault="00580A4D"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Pr>
          <w:p w14:paraId="6A07F1D9" w14:textId="77777777" w:rsidR="00580A4D" w:rsidRPr="000972D1" w:rsidRDefault="00580A4D"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Pr>
          <w:p w14:paraId="4DD61255" w14:textId="77777777" w:rsidR="00580A4D" w:rsidRPr="000972D1" w:rsidRDefault="00580A4D"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Pr>
          <w:p w14:paraId="052D596E" w14:textId="6398A797" w:rsidR="00580A4D" w:rsidRPr="000972D1" w:rsidRDefault="00015D44"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Pr>
          <w:p w14:paraId="37CC95F9" w14:textId="55F55DA8" w:rsidR="00580A4D" w:rsidRPr="000972D1" w:rsidRDefault="00BF5D41"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Pr>
          <w:p w14:paraId="3EA23B98" w14:textId="1D836E86" w:rsidR="00580A4D" w:rsidRPr="000972D1" w:rsidRDefault="002864E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r>
      <w:tr w:rsidR="00580A4D" w:rsidRPr="000972D1" w14:paraId="506E8F13" w14:textId="70D51167" w:rsidTr="00580A4D">
        <w:trPr>
          <w:trHeight w:val="113"/>
          <w:jc w:val="center"/>
        </w:trPr>
        <w:tc>
          <w:tcPr>
            <w:tcW w:w="0" w:type="auto"/>
            <w:tcBorders>
              <w:right w:val="single" w:sz="12" w:space="0" w:color="auto"/>
            </w:tcBorders>
            <w:noWrap/>
          </w:tcPr>
          <w:p w14:paraId="590A0280" w14:textId="77777777" w:rsidR="00580A4D" w:rsidRPr="000972D1" w:rsidRDefault="00580A4D" w:rsidP="00911D12">
            <w:pPr>
              <w:jc w:val="lowKashida"/>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Adjusted R</w:t>
            </w:r>
            <w:r w:rsidRPr="000972D1">
              <w:rPr>
                <w:rFonts w:ascii="Times New Roman" w:eastAsia="Times New Roman" w:hAnsi="Times New Roman" w:cs="Times New Roman"/>
                <w:sz w:val="17"/>
                <w:szCs w:val="17"/>
                <w:shd w:val="clear" w:color="auto" w:fill="FFFFFF"/>
                <w:vertAlign w:val="superscript"/>
                <w:lang w:val="en-US"/>
              </w:rPr>
              <w:t>2</w:t>
            </w:r>
          </w:p>
        </w:tc>
        <w:tc>
          <w:tcPr>
            <w:tcW w:w="0" w:type="auto"/>
            <w:tcBorders>
              <w:left w:val="single" w:sz="12" w:space="0" w:color="auto"/>
            </w:tcBorders>
          </w:tcPr>
          <w:p w14:paraId="700EDE96" w14:textId="77777777" w:rsidR="00580A4D" w:rsidRPr="000972D1" w:rsidRDefault="00580A4D"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noWrap/>
          </w:tcPr>
          <w:p w14:paraId="057E0486" w14:textId="77777777" w:rsidR="00580A4D" w:rsidRPr="000972D1" w:rsidRDefault="00580A4D"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noWrap/>
          </w:tcPr>
          <w:p w14:paraId="4E804F09" w14:textId="77777777" w:rsidR="00580A4D" w:rsidRPr="000972D1" w:rsidRDefault="00580A4D"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Pr>
          <w:p w14:paraId="2B64FB9D" w14:textId="77777777" w:rsidR="00580A4D" w:rsidRPr="000972D1" w:rsidRDefault="00580A4D"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Pr>
          <w:p w14:paraId="42AE980E" w14:textId="391CB881" w:rsidR="00580A4D" w:rsidRPr="000972D1" w:rsidRDefault="008477A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Pr>
          <w:p w14:paraId="3F0C2049" w14:textId="29BA718F" w:rsidR="00580A4D" w:rsidRPr="000972D1" w:rsidRDefault="00CA15A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Pr>
          <w:p w14:paraId="4F3F6A22" w14:textId="0B05DCB5" w:rsidR="00580A4D" w:rsidRPr="000972D1" w:rsidRDefault="0045535C"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Pr>
          <w:p w14:paraId="5C158CBA" w14:textId="1EF2C78F" w:rsidR="00580A4D" w:rsidRPr="000972D1" w:rsidRDefault="00D85004"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62</w:t>
            </w:r>
            <w:r w:rsidR="00580A4D" w:rsidRPr="000972D1">
              <w:rPr>
                <w:rFonts w:ascii="Times New Roman" w:eastAsia="Times New Roman" w:hAnsi="Times New Roman" w:cs="Times New Roman"/>
                <w:sz w:val="17"/>
                <w:szCs w:val="17"/>
                <w:shd w:val="clear" w:color="auto" w:fill="FFFFFF"/>
                <w:lang w:val="en-US"/>
              </w:rPr>
              <w:t>.</w:t>
            </w:r>
            <w:r w:rsidRPr="000972D1">
              <w:rPr>
                <w:rFonts w:ascii="Times New Roman" w:eastAsia="Times New Roman" w:hAnsi="Times New Roman" w:cs="Times New Roman"/>
                <w:sz w:val="17"/>
                <w:szCs w:val="17"/>
                <w:shd w:val="clear" w:color="auto" w:fill="FFFFFF"/>
                <w:lang w:val="en-US"/>
              </w:rPr>
              <w:t>99</w:t>
            </w:r>
            <w:r w:rsidR="00580A4D" w:rsidRPr="000972D1">
              <w:rPr>
                <w:rFonts w:ascii="Times New Roman" w:eastAsia="Times New Roman" w:hAnsi="Times New Roman" w:cs="Times New Roman"/>
                <w:sz w:val="17"/>
                <w:szCs w:val="17"/>
                <w:shd w:val="clear" w:color="auto" w:fill="FFFFFF"/>
                <w:lang w:val="en-US"/>
              </w:rPr>
              <w:t>%</w:t>
            </w:r>
          </w:p>
        </w:tc>
        <w:tc>
          <w:tcPr>
            <w:tcW w:w="0" w:type="auto"/>
          </w:tcPr>
          <w:p w14:paraId="41C49B7B" w14:textId="1B195B31" w:rsidR="00580A4D" w:rsidRPr="000972D1" w:rsidRDefault="005A1142"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67.61</w:t>
            </w:r>
            <w:r w:rsidR="00580A4D" w:rsidRPr="000972D1">
              <w:rPr>
                <w:rFonts w:ascii="Times New Roman" w:eastAsia="Times New Roman" w:hAnsi="Times New Roman" w:cs="Times New Roman"/>
                <w:sz w:val="17"/>
                <w:szCs w:val="17"/>
                <w:shd w:val="clear" w:color="auto" w:fill="FFFFFF"/>
                <w:lang w:val="en-US"/>
              </w:rPr>
              <w:t>%</w:t>
            </w:r>
          </w:p>
        </w:tc>
        <w:tc>
          <w:tcPr>
            <w:tcW w:w="0" w:type="auto"/>
          </w:tcPr>
          <w:p w14:paraId="2E8D8458" w14:textId="41159911" w:rsidR="00580A4D" w:rsidRPr="000972D1" w:rsidRDefault="00F21781"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69.93</w:t>
            </w:r>
            <w:r w:rsidR="00580A4D" w:rsidRPr="000972D1">
              <w:rPr>
                <w:rFonts w:ascii="Times New Roman" w:eastAsia="Times New Roman" w:hAnsi="Times New Roman" w:cs="Times New Roman"/>
                <w:sz w:val="17"/>
                <w:szCs w:val="17"/>
                <w:shd w:val="clear" w:color="auto" w:fill="FFFFFF"/>
                <w:lang w:val="en-US"/>
              </w:rPr>
              <w:t>%</w:t>
            </w:r>
          </w:p>
        </w:tc>
        <w:tc>
          <w:tcPr>
            <w:tcW w:w="0" w:type="auto"/>
          </w:tcPr>
          <w:p w14:paraId="061AE276" w14:textId="66E59E5C" w:rsidR="00580A4D" w:rsidRPr="000972D1" w:rsidRDefault="00F21781"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68.28</w:t>
            </w:r>
            <w:r w:rsidR="00580A4D" w:rsidRPr="000972D1">
              <w:rPr>
                <w:rFonts w:ascii="Times New Roman" w:eastAsia="Times New Roman" w:hAnsi="Times New Roman" w:cs="Times New Roman"/>
                <w:sz w:val="17"/>
                <w:szCs w:val="17"/>
                <w:shd w:val="clear" w:color="auto" w:fill="FFFFFF"/>
                <w:lang w:val="en-US"/>
              </w:rPr>
              <w:t>%</w:t>
            </w:r>
          </w:p>
        </w:tc>
        <w:tc>
          <w:tcPr>
            <w:tcW w:w="0" w:type="auto"/>
          </w:tcPr>
          <w:p w14:paraId="39099ECB" w14:textId="1008D268" w:rsidR="00580A4D" w:rsidRPr="000972D1" w:rsidRDefault="0073390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68.13</w:t>
            </w:r>
          </w:p>
        </w:tc>
        <w:tc>
          <w:tcPr>
            <w:tcW w:w="0" w:type="auto"/>
          </w:tcPr>
          <w:p w14:paraId="411DADAF" w14:textId="4116CBF9" w:rsidR="00580A4D" w:rsidRPr="000972D1" w:rsidRDefault="00BF5D41"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70.87%</w:t>
            </w:r>
          </w:p>
        </w:tc>
        <w:tc>
          <w:tcPr>
            <w:tcW w:w="0" w:type="auto"/>
          </w:tcPr>
          <w:p w14:paraId="2A9CE78B" w14:textId="5633D887" w:rsidR="00580A4D" w:rsidRPr="000972D1" w:rsidRDefault="002864E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69.99%</w:t>
            </w:r>
          </w:p>
        </w:tc>
      </w:tr>
      <w:tr w:rsidR="00580A4D" w:rsidRPr="000972D1" w14:paraId="3E60BE77" w14:textId="606B9896" w:rsidTr="00580A4D">
        <w:trPr>
          <w:trHeight w:val="113"/>
          <w:jc w:val="center"/>
        </w:trPr>
        <w:tc>
          <w:tcPr>
            <w:tcW w:w="0" w:type="auto"/>
            <w:tcBorders>
              <w:right w:val="single" w:sz="12" w:space="0" w:color="auto"/>
            </w:tcBorders>
            <w:noWrap/>
          </w:tcPr>
          <w:p w14:paraId="3C73AD4F" w14:textId="77777777" w:rsidR="00580A4D" w:rsidRPr="000972D1" w:rsidRDefault="00580A4D" w:rsidP="00911D12">
            <w:pPr>
              <w:jc w:val="lowKashida"/>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 xml:space="preserve">Pseudo R2  </w:t>
            </w:r>
          </w:p>
        </w:tc>
        <w:tc>
          <w:tcPr>
            <w:tcW w:w="0" w:type="auto"/>
            <w:tcBorders>
              <w:left w:val="single" w:sz="12" w:space="0" w:color="auto"/>
            </w:tcBorders>
          </w:tcPr>
          <w:p w14:paraId="3CCC8EA2" w14:textId="2C5B1A3B" w:rsidR="00580A4D" w:rsidRPr="000972D1" w:rsidRDefault="006C7C36"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30.76</w:t>
            </w:r>
            <w:r w:rsidR="00580A4D" w:rsidRPr="000972D1">
              <w:rPr>
                <w:rFonts w:ascii="Times New Roman" w:eastAsia="Times New Roman" w:hAnsi="Times New Roman" w:cs="Times New Roman"/>
                <w:sz w:val="17"/>
                <w:szCs w:val="17"/>
                <w:shd w:val="clear" w:color="auto" w:fill="FFFFFF"/>
                <w:lang w:val="en-US"/>
              </w:rPr>
              <w:t>%</w:t>
            </w:r>
          </w:p>
        </w:tc>
        <w:tc>
          <w:tcPr>
            <w:tcW w:w="0" w:type="auto"/>
            <w:noWrap/>
          </w:tcPr>
          <w:p w14:paraId="0E88BC04" w14:textId="79C5AA9C" w:rsidR="00580A4D" w:rsidRPr="000972D1" w:rsidRDefault="006C7C36"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32.43</w:t>
            </w:r>
            <w:r w:rsidR="00580A4D" w:rsidRPr="000972D1">
              <w:rPr>
                <w:rFonts w:ascii="Times New Roman" w:eastAsia="Times New Roman" w:hAnsi="Times New Roman" w:cs="Times New Roman"/>
                <w:sz w:val="17"/>
                <w:szCs w:val="17"/>
                <w:shd w:val="clear" w:color="auto" w:fill="FFFFFF"/>
                <w:lang w:val="en-US"/>
              </w:rPr>
              <w:t>%</w:t>
            </w:r>
          </w:p>
        </w:tc>
        <w:tc>
          <w:tcPr>
            <w:tcW w:w="0" w:type="auto"/>
            <w:noWrap/>
          </w:tcPr>
          <w:p w14:paraId="2EA18CCB" w14:textId="51C56E91" w:rsidR="00580A4D" w:rsidRPr="000972D1" w:rsidRDefault="00CA4BE3"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31.10</w:t>
            </w:r>
            <w:r w:rsidR="00580A4D" w:rsidRPr="000972D1">
              <w:rPr>
                <w:rFonts w:ascii="Times New Roman" w:eastAsia="Times New Roman" w:hAnsi="Times New Roman" w:cs="Times New Roman"/>
                <w:sz w:val="17"/>
                <w:szCs w:val="17"/>
                <w:shd w:val="clear" w:color="auto" w:fill="FFFFFF"/>
                <w:lang w:val="en-US"/>
              </w:rPr>
              <w:t>%</w:t>
            </w:r>
          </w:p>
        </w:tc>
        <w:tc>
          <w:tcPr>
            <w:tcW w:w="0" w:type="auto"/>
          </w:tcPr>
          <w:p w14:paraId="06A30916" w14:textId="5459C274" w:rsidR="00580A4D" w:rsidRPr="000972D1" w:rsidRDefault="009933B6"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31.24</w:t>
            </w:r>
            <w:r w:rsidR="00580A4D" w:rsidRPr="000972D1">
              <w:rPr>
                <w:rFonts w:ascii="Times New Roman" w:eastAsia="Times New Roman" w:hAnsi="Times New Roman" w:cs="Times New Roman"/>
                <w:sz w:val="17"/>
                <w:szCs w:val="17"/>
                <w:shd w:val="clear" w:color="auto" w:fill="FFFFFF"/>
                <w:lang w:val="en-US"/>
              </w:rPr>
              <w:t>%</w:t>
            </w:r>
          </w:p>
        </w:tc>
        <w:tc>
          <w:tcPr>
            <w:tcW w:w="0" w:type="auto"/>
          </w:tcPr>
          <w:p w14:paraId="3BF5BD70" w14:textId="1DDEF027" w:rsidR="00580A4D" w:rsidRPr="000972D1" w:rsidRDefault="008477A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30.96%</w:t>
            </w:r>
          </w:p>
        </w:tc>
        <w:tc>
          <w:tcPr>
            <w:tcW w:w="0" w:type="auto"/>
          </w:tcPr>
          <w:p w14:paraId="5D713ECA" w14:textId="70A351DD" w:rsidR="00580A4D" w:rsidRPr="000972D1" w:rsidRDefault="00CA15A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30.93%</w:t>
            </w:r>
          </w:p>
        </w:tc>
        <w:tc>
          <w:tcPr>
            <w:tcW w:w="0" w:type="auto"/>
          </w:tcPr>
          <w:p w14:paraId="5C82A1B3" w14:textId="7AF0CBAA" w:rsidR="00580A4D" w:rsidRPr="000972D1" w:rsidRDefault="0045535C"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31.40%</w:t>
            </w:r>
          </w:p>
        </w:tc>
        <w:tc>
          <w:tcPr>
            <w:tcW w:w="0" w:type="auto"/>
          </w:tcPr>
          <w:p w14:paraId="37A05374" w14:textId="4ED77D7B" w:rsidR="00580A4D" w:rsidRPr="000972D1" w:rsidRDefault="00580A4D"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Pr>
          <w:p w14:paraId="1CAE6767" w14:textId="77777777" w:rsidR="00580A4D" w:rsidRPr="000972D1" w:rsidRDefault="00580A4D"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Pr>
          <w:p w14:paraId="69C1A139" w14:textId="77777777" w:rsidR="00580A4D" w:rsidRPr="000972D1" w:rsidRDefault="00580A4D"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Pr>
          <w:p w14:paraId="4452FA7F" w14:textId="77777777" w:rsidR="00580A4D" w:rsidRPr="000972D1" w:rsidRDefault="00580A4D"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Pr>
          <w:p w14:paraId="1AC98B36" w14:textId="3D7C9581" w:rsidR="00580A4D" w:rsidRPr="000972D1" w:rsidRDefault="0073390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Pr>
          <w:p w14:paraId="40EE4C7E" w14:textId="229BF669" w:rsidR="00580A4D" w:rsidRPr="000972D1" w:rsidRDefault="00BF5D41"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c>
          <w:tcPr>
            <w:tcW w:w="0" w:type="auto"/>
          </w:tcPr>
          <w:p w14:paraId="10F94841" w14:textId="1E06A8AF" w:rsidR="00580A4D" w:rsidRPr="000972D1" w:rsidRDefault="002864E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w:t>
            </w:r>
          </w:p>
        </w:tc>
      </w:tr>
      <w:tr w:rsidR="00580A4D" w:rsidRPr="000972D1" w14:paraId="02CE96D0" w14:textId="4655AE38" w:rsidTr="00580A4D">
        <w:trPr>
          <w:trHeight w:val="59"/>
          <w:jc w:val="center"/>
        </w:trPr>
        <w:tc>
          <w:tcPr>
            <w:tcW w:w="0" w:type="auto"/>
            <w:tcBorders>
              <w:bottom w:val="single" w:sz="12" w:space="0" w:color="auto"/>
              <w:right w:val="single" w:sz="12" w:space="0" w:color="auto"/>
            </w:tcBorders>
            <w:noWrap/>
          </w:tcPr>
          <w:p w14:paraId="2077BD64" w14:textId="77777777" w:rsidR="00580A4D" w:rsidRPr="000972D1" w:rsidRDefault="00580A4D" w:rsidP="00911D12">
            <w:pPr>
              <w:jc w:val="lowKashida"/>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No. of obs.</w:t>
            </w:r>
          </w:p>
        </w:tc>
        <w:tc>
          <w:tcPr>
            <w:tcW w:w="0" w:type="auto"/>
            <w:tcBorders>
              <w:left w:val="single" w:sz="12" w:space="0" w:color="auto"/>
              <w:bottom w:val="single" w:sz="12" w:space="0" w:color="auto"/>
            </w:tcBorders>
          </w:tcPr>
          <w:p w14:paraId="2CA956DB" w14:textId="77777777" w:rsidR="00580A4D" w:rsidRPr="000972D1" w:rsidRDefault="00580A4D"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600</w:t>
            </w:r>
          </w:p>
        </w:tc>
        <w:tc>
          <w:tcPr>
            <w:tcW w:w="0" w:type="auto"/>
            <w:tcBorders>
              <w:bottom w:val="single" w:sz="12" w:space="0" w:color="auto"/>
            </w:tcBorders>
            <w:noWrap/>
          </w:tcPr>
          <w:p w14:paraId="7775EBDE" w14:textId="77777777" w:rsidR="00580A4D" w:rsidRPr="000972D1" w:rsidRDefault="00580A4D"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600</w:t>
            </w:r>
          </w:p>
        </w:tc>
        <w:tc>
          <w:tcPr>
            <w:tcW w:w="0" w:type="auto"/>
            <w:tcBorders>
              <w:bottom w:val="single" w:sz="12" w:space="0" w:color="auto"/>
            </w:tcBorders>
            <w:noWrap/>
          </w:tcPr>
          <w:p w14:paraId="01E69B77" w14:textId="77777777" w:rsidR="00580A4D" w:rsidRPr="000972D1" w:rsidRDefault="00580A4D"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600</w:t>
            </w:r>
          </w:p>
        </w:tc>
        <w:tc>
          <w:tcPr>
            <w:tcW w:w="0" w:type="auto"/>
            <w:tcBorders>
              <w:bottom w:val="single" w:sz="12" w:space="0" w:color="auto"/>
            </w:tcBorders>
          </w:tcPr>
          <w:p w14:paraId="06E6C26E" w14:textId="77777777" w:rsidR="00580A4D" w:rsidRPr="000972D1" w:rsidRDefault="00580A4D"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600</w:t>
            </w:r>
          </w:p>
        </w:tc>
        <w:tc>
          <w:tcPr>
            <w:tcW w:w="0" w:type="auto"/>
            <w:tcBorders>
              <w:bottom w:val="single" w:sz="12" w:space="0" w:color="auto"/>
            </w:tcBorders>
          </w:tcPr>
          <w:p w14:paraId="0FFCEAC5" w14:textId="0CAFBFFE" w:rsidR="00580A4D" w:rsidRPr="000972D1" w:rsidRDefault="008477A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600</w:t>
            </w:r>
          </w:p>
        </w:tc>
        <w:tc>
          <w:tcPr>
            <w:tcW w:w="0" w:type="auto"/>
            <w:tcBorders>
              <w:bottom w:val="single" w:sz="12" w:space="0" w:color="auto"/>
            </w:tcBorders>
          </w:tcPr>
          <w:p w14:paraId="74C7442E" w14:textId="44888019" w:rsidR="00580A4D" w:rsidRPr="000972D1" w:rsidRDefault="00CA15A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600</w:t>
            </w:r>
          </w:p>
        </w:tc>
        <w:tc>
          <w:tcPr>
            <w:tcW w:w="0" w:type="auto"/>
            <w:tcBorders>
              <w:bottom w:val="single" w:sz="12" w:space="0" w:color="auto"/>
            </w:tcBorders>
          </w:tcPr>
          <w:p w14:paraId="1B8F96E5" w14:textId="02C236A4" w:rsidR="00580A4D" w:rsidRPr="000972D1" w:rsidRDefault="0045535C"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600</w:t>
            </w:r>
          </w:p>
        </w:tc>
        <w:tc>
          <w:tcPr>
            <w:tcW w:w="0" w:type="auto"/>
            <w:tcBorders>
              <w:bottom w:val="single" w:sz="12" w:space="0" w:color="auto"/>
            </w:tcBorders>
          </w:tcPr>
          <w:p w14:paraId="5DBDB128" w14:textId="1A823376" w:rsidR="00580A4D" w:rsidRPr="000972D1" w:rsidRDefault="00580A4D"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470</w:t>
            </w:r>
          </w:p>
        </w:tc>
        <w:tc>
          <w:tcPr>
            <w:tcW w:w="0" w:type="auto"/>
            <w:tcBorders>
              <w:bottom w:val="single" w:sz="12" w:space="0" w:color="auto"/>
            </w:tcBorders>
          </w:tcPr>
          <w:p w14:paraId="51422908" w14:textId="77777777" w:rsidR="00580A4D" w:rsidRPr="000972D1" w:rsidRDefault="00580A4D"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470</w:t>
            </w:r>
          </w:p>
        </w:tc>
        <w:tc>
          <w:tcPr>
            <w:tcW w:w="0" w:type="auto"/>
            <w:tcBorders>
              <w:bottom w:val="single" w:sz="12" w:space="0" w:color="auto"/>
            </w:tcBorders>
          </w:tcPr>
          <w:p w14:paraId="722CFCD5" w14:textId="77777777" w:rsidR="00580A4D" w:rsidRPr="000972D1" w:rsidRDefault="00580A4D"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470</w:t>
            </w:r>
          </w:p>
        </w:tc>
        <w:tc>
          <w:tcPr>
            <w:tcW w:w="0" w:type="auto"/>
            <w:tcBorders>
              <w:bottom w:val="single" w:sz="12" w:space="0" w:color="auto"/>
            </w:tcBorders>
          </w:tcPr>
          <w:p w14:paraId="42EC6AEB" w14:textId="77777777" w:rsidR="00580A4D" w:rsidRPr="000972D1" w:rsidRDefault="00580A4D"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470</w:t>
            </w:r>
          </w:p>
        </w:tc>
        <w:tc>
          <w:tcPr>
            <w:tcW w:w="0" w:type="auto"/>
            <w:tcBorders>
              <w:bottom w:val="single" w:sz="12" w:space="0" w:color="auto"/>
            </w:tcBorders>
          </w:tcPr>
          <w:p w14:paraId="6009748E" w14:textId="6F8058C4" w:rsidR="00580A4D" w:rsidRPr="000972D1" w:rsidRDefault="0073390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470</w:t>
            </w:r>
          </w:p>
        </w:tc>
        <w:tc>
          <w:tcPr>
            <w:tcW w:w="0" w:type="auto"/>
            <w:tcBorders>
              <w:bottom w:val="single" w:sz="12" w:space="0" w:color="auto"/>
            </w:tcBorders>
          </w:tcPr>
          <w:p w14:paraId="65C96019" w14:textId="5448E3A6" w:rsidR="00580A4D" w:rsidRPr="000972D1" w:rsidRDefault="00BF5D41"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470</w:t>
            </w:r>
          </w:p>
        </w:tc>
        <w:tc>
          <w:tcPr>
            <w:tcW w:w="0" w:type="auto"/>
            <w:tcBorders>
              <w:bottom w:val="single" w:sz="12" w:space="0" w:color="auto"/>
            </w:tcBorders>
          </w:tcPr>
          <w:p w14:paraId="79788A3A" w14:textId="0081FBCC" w:rsidR="00580A4D" w:rsidRPr="000972D1" w:rsidRDefault="002864EE" w:rsidP="00911D12">
            <w:pPr>
              <w:jc w:val="center"/>
              <w:rPr>
                <w:rFonts w:ascii="Times New Roman" w:eastAsia="Times New Roman" w:hAnsi="Times New Roman" w:cs="Times New Roman"/>
                <w:sz w:val="17"/>
                <w:szCs w:val="17"/>
                <w:shd w:val="clear" w:color="auto" w:fill="FFFFFF"/>
                <w:lang w:val="en-US"/>
              </w:rPr>
            </w:pPr>
            <w:r w:rsidRPr="000972D1">
              <w:rPr>
                <w:rFonts w:ascii="Times New Roman" w:eastAsia="Times New Roman" w:hAnsi="Times New Roman" w:cs="Times New Roman"/>
                <w:sz w:val="17"/>
                <w:szCs w:val="17"/>
                <w:shd w:val="clear" w:color="auto" w:fill="FFFFFF"/>
                <w:lang w:val="en-US"/>
              </w:rPr>
              <w:t>470</w:t>
            </w:r>
          </w:p>
        </w:tc>
      </w:tr>
    </w:tbl>
    <w:p w14:paraId="4A7C4A15" w14:textId="77777777" w:rsidR="0050514B" w:rsidRPr="00352FB3" w:rsidRDefault="0050514B" w:rsidP="0017000A">
      <w:pPr>
        <w:spacing w:after="0" w:line="240" w:lineRule="auto"/>
        <w:ind w:left="142" w:firstLine="142"/>
        <w:jc w:val="lowKashida"/>
        <w:rPr>
          <w:rFonts w:ascii="Times New Roman" w:eastAsia="Times New Roman" w:hAnsi="Times New Roman" w:cs="Times New Roman"/>
          <w:bCs/>
          <w:iCs/>
          <w:sz w:val="20"/>
          <w:szCs w:val="20"/>
          <w:shd w:val="clear" w:color="auto" w:fill="FFFFFF"/>
          <w:lang w:val="en-US"/>
        </w:rPr>
      </w:pPr>
      <w:r w:rsidRPr="00352FB3">
        <w:rPr>
          <w:rFonts w:ascii="Times New Roman" w:eastAsia="Times New Roman" w:hAnsi="Times New Roman" w:cs="Times New Roman"/>
          <w:bCs/>
          <w:iCs/>
          <w:sz w:val="20"/>
          <w:szCs w:val="20"/>
          <w:shd w:val="clear" w:color="auto" w:fill="FFFFFF"/>
          <w:lang w:val="en-US"/>
        </w:rPr>
        <w:t>See Table 1 for variables’ definitions.</w:t>
      </w:r>
    </w:p>
    <w:p w14:paraId="1D32DB07" w14:textId="77777777" w:rsidR="0050514B" w:rsidRPr="00352FB3" w:rsidRDefault="0050514B" w:rsidP="0017000A">
      <w:pPr>
        <w:spacing w:after="0" w:line="240" w:lineRule="auto"/>
        <w:ind w:left="142" w:right="-427" w:firstLine="142"/>
        <w:jc w:val="lowKashida"/>
        <w:rPr>
          <w:rFonts w:ascii="Times New Roman" w:eastAsia="Calibri" w:hAnsi="Times New Roman" w:cs="Times New Roman"/>
          <w:sz w:val="19"/>
          <w:szCs w:val="19"/>
          <w:lang w:eastAsia="en-US"/>
        </w:rPr>
      </w:pPr>
      <w:r w:rsidRPr="00352FB3">
        <w:rPr>
          <w:rFonts w:ascii="Times New Roman" w:eastAsia="Times New Roman" w:hAnsi="Times New Roman" w:cs="Times New Roman"/>
          <w:bCs/>
          <w:iCs/>
          <w:sz w:val="20"/>
          <w:szCs w:val="20"/>
          <w:shd w:val="clear" w:color="auto" w:fill="FFFFFF"/>
        </w:rPr>
        <w:t>Ordinary least squares coefficients, logit regression coefficients and two-tailed p-values are shown. ***, **, and * denote significance at the 1%, 5%, and 10% levels, respectively.</w:t>
      </w:r>
    </w:p>
    <w:p w14:paraId="6D37E62D" w14:textId="77777777" w:rsidR="00182A9D" w:rsidRPr="00352FB3" w:rsidRDefault="00182A9D" w:rsidP="00066AC0">
      <w:pPr>
        <w:spacing w:after="0" w:line="240" w:lineRule="auto"/>
        <w:ind w:left="1134" w:right="1103"/>
        <w:jc w:val="both"/>
        <w:rPr>
          <w:rFonts w:ascii="Times New Roman" w:eastAsia="Times New Roman" w:hAnsi="Times New Roman" w:cs="Times New Roman"/>
          <w:b/>
          <w:sz w:val="20"/>
          <w:szCs w:val="20"/>
          <w:shd w:val="clear" w:color="auto" w:fill="FFFFFF"/>
          <w:lang w:val="en-US"/>
        </w:rPr>
        <w:sectPr w:rsidR="00182A9D" w:rsidRPr="00352FB3" w:rsidSect="007547D0">
          <w:pgSz w:w="16838" w:h="11906" w:orient="landscape"/>
          <w:pgMar w:top="1134" w:right="1134" w:bottom="1134" w:left="1134" w:header="709" w:footer="709" w:gutter="0"/>
          <w:cols w:space="708"/>
          <w:docGrid w:linePitch="360"/>
        </w:sectPr>
      </w:pPr>
    </w:p>
    <w:p w14:paraId="2743A79E" w14:textId="15F7322B" w:rsidR="00B544B4" w:rsidRPr="00352FB3" w:rsidRDefault="00B544B4" w:rsidP="00C46A88">
      <w:pPr>
        <w:spacing w:after="0" w:line="240" w:lineRule="auto"/>
        <w:ind w:left="142" w:right="1103"/>
        <w:jc w:val="both"/>
        <w:rPr>
          <w:rFonts w:ascii="Times New Roman" w:eastAsia="Times New Roman" w:hAnsi="Times New Roman" w:cs="Times New Roman"/>
          <w:sz w:val="20"/>
          <w:szCs w:val="20"/>
          <w:shd w:val="clear" w:color="auto" w:fill="FFFFFF"/>
          <w:lang w:val="en-US"/>
        </w:rPr>
      </w:pPr>
      <w:r w:rsidRPr="00352FB3">
        <w:rPr>
          <w:rFonts w:ascii="Times New Roman" w:eastAsia="Times New Roman" w:hAnsi="Times New Roman" w:cs="Times New Roman"/>
          <w:b/>
          <w:sz w:val="20"/>
          <w:szCs w:val="20"/>
          <w:shd w:val="clear" w:color="auto" w:fill="FFFFFF"/>
          <w:lang w:val="en-US"/>
        </w:rPr>
        <w:lastRenderedPageBreak/>
        <w:t xml:space="preserve">Table </w:t>
      </w:r>
      <w:r w:rsidR="00697AC9" w:rsidRPr="00352FB3">
        <w:rPr>
          <w:rFonts w:ascii="Times New Roman" w:eastAsia="Times New Roman" w:hAnsi="Times New Roman" w:cs="Times New Roman"/>
          <w:b/>
          <w:sz w:val="20"/>
          <w:szCs w:val="20"/>
          <w:shd w:val="clear" w:color="auto" w:fill="FFFFFF"/>
          <w:lang w:val="en-US"/>
        </w:rPr>
        <w:t>6</w:t>
      </w:r>
      <w:r w:rsidRPr="00352FB3">
        <w:rPr>
          <w:rFonts w:ascii="Times New Roman" w:eastAsia="Times New Roman" w:hAnsi="Times New Roman" w:cs="Times New Roman"/>
          <w:b/>
          <w:sz w:val="20"/>
          <w:szCs w:val="20"/>
          <w:shd w:val="clear" w:color="auto" w:fill="FFFFFF"/>
          <w:lang w:val="en-US"/>
        </w:rPr>
        <w:t xml:space="preserve">. </w:t>
      </w:r>
      <w:r w:rsidRPr="00352FB3">
        <w:rPr>
          <w:rFonts w:ascii="Times New Roman" w:eastAsia="Times New Roman" w:hAnsi="Times New Roman" w:cs="Times New Roman"/>
          <w:sz w:val="20"/>
          <w:szCs w:val="20"/>
          <w:shd w:val="clear" w:color="auto" w:fill="FFFFFF"/>
          <w:lang w:val="en-US"/>
        </w:rPr>
        <w:t xml:space="preserve">Sensitivity analyses </w:t>
      </w:r>
      <w:r w:rsidR="001317BF" w:rsidRPr="00352FB3">
        <w:rPr>
          <w:rFonts w:ascii="Times New Roman" w:eastAsia="Times New Roman" w:hAnsi="Times New Roman" w:cs="Times New Roman"/>
          <w:sz w:val="20"/>
          <w:szCs w:val="20"/>
          <w:shd w:val="clear" w:color="auto" w:fill="FFFFFF"/>
          <w:lang w:val="en-US"/>
        </w:rPr>
        <w:t>(PART1)</w:t>
      </w:r>
    </w:p>
    <w:tbl>
      <w:tblPr>
        <w:tblStyle w:val="TableGrid31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1"/>
        <w:gridCol w:w="896"/>
        <w:gridCol w:w="896"/>
        <w:gridCol w:w="1328"/>
        <w:gridCol w:w="816"/>
        <w:gridCol w:w="1159"/>
        <w:gridCol w:w="1061"/>
        <w:gridCol w:w="950"/>
        <w:gridCol w:w="870"/>
      </w:tblGrid>
      <w:tr w:rsidR="00352FB3" w:rsidRPr="000972D1" w14:paraId="18FCFA7D" w14:textId="75C1F45D" w:rsidTr="005D57D0">
        <w:trPr>
          <w:trHeight w:val="164"/>
          <w:jc w:val="center"/>
        </w:trPr>
        <w:tc>
          <w:tcPr>
            <w:tcW w:w="0" w:type="auto"/>
            <w:tcBorders>
              <w:top w:val="single" w:sz="12" w:space="0" w:color="auto"/>
              <w:right w:val="single" w:sz="12" w:space="0" w:color="auto"/>
            </w:tcBorders>
            <w:noWrap/>
          </w:tcPr>
          <w:p w14:paraId="69822B58" w14:textId="77777777" w:rsidR="00E07B24" w:rsidRPr="00352FB3" w:rsidRDefault="00E07B24" w:rsidP="00786764">
            <w:pPr>
              <w:ind w:left="-63"/>
              <w:jc w:val="center"/>
              <w:rPr>
                <w:rFonts w:ascii="Times New Roman" w:eastAsia="Times New Roman" w:hAnsi="Times New Roman" w:cs="Times New Roman"/>
                <w:b/>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 xml:space="preserve"> </w:t>
            </w:r>
          </w:p>
        </w:tc>
        <w:tc>
          <w:tcPr>
            <w:tcW w:w="0" w:type="auto"/>
            <w:gridSpan w:val="2"/>
            <w:tcBorders>
              <w:top w:val="single" w:sz="12" w:space="0" w:color="auto"/>
            </w:tcBorders>
          </w:tcPr>
          <w:p w14:paraId="76661A9D" w14:textId="586E3B83" w:rsidR="00E07B24" w:rsidRPr="000972D1" w:rsidRDefault="00E07B24" w:rsidP="00786764">
            <w:pPr>
              <w:jc w:val="center"/>
              <w:rPr>
                <w:rFonts w:ascii="Times New Roman" w:eastAsia="Times New Roman" w:hAnsi="Times New Roman" w:cs="Times New Roman"/>
                <w:b/>
                <w:sz w:val="16"/>
                <w:szCs w:val="16"/>
                <w:shd w:val="clear" w:color="auto" w:fill="FFFFFF"/>
              </w:rPr>
            </w:pPr>
            <w:r w:rsidRPr="000972D1">
              <w:rPr>
                <w:rFonts w:ascii="Times New Roman" w:eastAsia="Times New Roman" w:hAnsi="Times New Roman" w:cs="Times New Roman"/>
                <w:b/>
                <w:sz w:val="16"/>
                <w:szCs w:val="16"/>
                <w:shd w:val="clear" w:color="auto" w:fill="FFFFFF"/>
              </w:rPr>
              <w:t>Interaction variables</w:t>
            </w:r>
          </w:p>
        </w:tc>
        <w:tc>
          <w:tcPr>
            <w:tcW w:w="1328" w:type="dxa"/>
            <w:tcBorders>
              <w:top w:val="single" w:sz="12" w:space="0" w:color="auto"/>
            </w:tcBorders>
          </w:tcPr>
          <w:p w14:paraId="2B2468DC" w14:textId="09862CD3" w:rsidR="00E07B24" w:rsidRPr="000972D1" w:rsidRDefault="00E07B24" w:rsidP="00786764">
            <w:pPr>
              <w:jc w:val="center"/>
              <w:rPr>
                <w:rFonts w:ascii="Times New Roman" w:eastAsia="Times New Roman" w:hAnsi="Times New Roman" w:cs="Times New Roman"/>
                <w:b/>
                <w:sz w:val="16"/>
                <w:szCs w:val="16"/>
                <w:shd w:val="clear" w:color="auto" w:fill="FFFFFF"/>
              </w:rPr>
            </w:pPr>
            <w:r w:rsidRPr="000972D1">
              <w:rPr>
                <w:rFonts w:ascii="Times New Roman" w:eastAsia="Times New Roman" w:hAnsi="Times New Roman" w:cs="Times New Roman"/>
                <w:b/>
                <w:sz w:val="16"/>
                <w:szCs w:val="16"/>
                <w:shd w:val="clear" w:color="auto" w:fill="FFFFFF"/>
              </w:rPr>
              <w:t>Audit report lag</w:t>
            </w:r>
          </w:p>
        </w:tc>
        <w:tc>
          <w:tcPr>
            <w:tcW w:w="816" w:type="dxa"/>
            <w:tcBorders>
              <w:top w:val="single" w:sz="12" w:space="0" w:color="auto"/>
              <w:right w:val="nil"/>
            </w:tcBorders>
          </w:tcPr>
          <w:p w14:paraId="7045229D" w14:textId="36F43C2B" w:rsidR="00E07B24" w:rsidRPr="000972D1" w:rsidRDefault="00E07B24" w:rsidP="00E07B24">
            <w:pPr>
              <w:rPr>
                <w:rFonts w:ascii="Times New Roman" w:eastAsia="Times New Roman" w:hAnsi="Times New Roman" w:cs="Times New Roman"/>
                <w:b/>
                <w:sz w:val="16"/>
                <w:szCs w:val="16"/>
                <w:shd w:val="clear" w:color="auto" w:fill="FFFFFF"/>
              </w:rPr>
            </w:pPr>
            <w:r w:rsidRPr="000972D1">
              <w:rPr>
                <w:rFonts w:ascii="Times New Roman" w:eastAsia="Times New Roman" w:hAnsi="Times New Roman" w:cs="Times New Roman"/>
                <w:b/>
                <w:sz w:val="16"/>
                <w:szCs w:val="16"/>
                <w:shd w:val="clear" w:color="auto" w:fill="FFFFFF"/>
              </w:rPr>
              <w:t>AF/TA</w:t>
            </w:r>
          </w:p>
        </w:tc>
        <w:tc>
          <w:tcPr>
            <w:tcW w:w="0" w:type="auto"/>
            <w:gridSpan w:val="2"/>
            <w:tcBorders>
              <w:top w:val="single" w:sz="12" w:space="0" w:color="auto"/>
              <w:left w:val="nil"/>
            </w:tcBorders>
            <w:noWrap/>
          </w:tcPr>
          <w:p w14:paraId="41C5ABBB" w14:textId="4D5E52EA" w:rsidR="00E07B24" w:rsidRPr="000972D1" w:rsidRDefault="00033DB0" w:rsidP="00786764">
            <w:pPr>
              <w:jc w:val="center"/>
              <w:rPr>
                <w:rFonts w:ascii="Times New Roman" w:eastAsia="Times New Roman" w:hAnsi="Times New Roman" w:cs="Times New Roman"/>
                <w:b/>
                <w:sz w:val="16"/>
                <w:szCs w:val="16"/>
                <w:shd w:val="clear" w:color="auto" w:fill="FFFFFF"/>
              </w:rPr>
            </w:pPr>
            <w:r w:rsidRPr="000972D1">
              <w:rPr>
                <w:rFonts w:ascii="Times New Roman" w:eastAsia="Times New Roman" w:hAnsi="Times New Roman" w:cs="Times New Roman"/>
                <w:b/>
                <w:sz w:val="16"/>
                <w:szCs w:val="16"/>
                <w:shd w:val="clear" w:color="auto" w:fill="FFFFFF"/>
              </w:rPr>
              <w:t xml:space="preserve">Alternative control  </w:t>
            </w:r>
            <w:r w:rsidR="00E07B24" w:rsidRPr="000972D1">
              <w:rPr>
                <w:rFonts w:ascii="Times New Roman" w:eastAsia="Times New Roman" w:hAnsi="Times New Roman" w:cs="Times New Roman"/>
                <w:b/>
                <w:sz w:val="16"/>
                <w:szCs w:val="16"/>
                <w:shd w:val="clear" w:color="auto" w:fill="FFFFFF"/>
              </w:rPr>
              <w:t>variables</w:t>
            </w:r>
          </w:p>
        </w:tc>
        <w:tc>
          <w:tcPr>
            <w:tcW w:w="0" w:type="auto"/>
            <w:gridSpan w:val="2"/>
            <w:tcBorders>
              <w:top w:val="single" w:sz="12" w:space="0" w:color="auto"/>
            </w:tcBorders>
          </w:tcPr>
          <w:p w14:paraId="33B98D57" w14:textId="228A51A3" w:rsidR="00E07B24" w:rsidRPr="000972D1" w:rsidRDefault="00E07B24" w:rsidP="00786764">
            <w:pPr>
              <w:jc w:val="center"/>
              <w:rPr>
                <w:rFonts w:ascii="Times New Roman" w:eastAsia="Times New Roman" w:hAnsi="Times New Roman" w:cs="Times New Roman"/>
                <w:b/>
                <w:sz w:val="16"/>
                <w:szCs w:val="16"/>
                <w:shd w:val="clear" w:color="auto" w:fill="FFFFFF"/>
                <w:lang w:val="en-US"/>
              </w:rPr>
            </w:pPr>
            <w:r w:rsidRPr="000972D1">
              <w:rPr>
                <w:rFonts w:ascii="Times New Roman" w:eastAsia="Times New Roman" w:hAnsi="Times New Roman" w:cs="Times New Roman"/>
                <w:b/>
                <w:sz w:val="16"/>
                <w:szCs w:val="16"/>
                <w:shd w:val="clear" w:color="auto" w:fill="FFFFFF"/>
                <w:lang w:val="en-US"/>
              </w:rPr>
              <w:t>Linearity</w:t>
            </w:r>
          </w:p>
        </w:tc>
      </w:tr>
      <w:tr w:rsidR="00352FB3" w:rsidRPr="000972D1" w14:paraId="5AF80C4B" w14:textId="26B11959" w:rsidTr="005D57D0">
        <w:trPr>
          <w:trHeight w:val="164"/>
          <w:jc w:val="center"/>
        </w:trPr>
        <w:tc>
          <w:tcPr>
            <w:tcW w:w="0" w:type="auto"/>
            <w:tcBorders>
              <w:right w:val="single" w:sz="12" w:space="0" w:color="auto"/>
            </w:tcBorders>
            <w:noWrap/>
          </w:tcPr>
          <w:p w14:paraId="3C223F63" w14:textId="7E0A2823" w:rsidR="00E07B24" w:rsidRPr="000972D1" w:rsidRDefault="00E07B24" w:rsidP="00900805">
            <w:pPr>
              <w:ind w:left="-78" w:firstLine="15"/>
              <w:jc w:val="center"/>
              <w:rPr>
                <w:rFonts w:ascii="Times New Roman" w:eastAsia="Times New Roman" w:hAnsi="Times New Roman" w:cs="Times New Roman"/>
                <w:b/>
                <w:sz w:val="16"/>
                <w:szCs w:val="16"/>
                <w:shd w:val="clear" w:color="auto" w:fill="FFFFFF"/>
                <w:lang w:val="en-US"/>
              </w:rPr>
            </w:pPr>
          </w:p>
        </w:tc>
        <w:tc>
          <w:tcPr>
            <w:tcW w:w="0" w:type="auto"/>
            <w:tcBorders>
              <w:left w:val="single" w:sz="12" w:space="0" w:color="auto"/>
            </w:tcBorders>
          </w:tcPr>
          <w:p w14:paraId="3A73B2FD" w14:textId="752E4AF5" w:rsidR="00E07B24" w:rsidRPr="000972D1" w:rsidRDefault="00E07B24" w:rsidP="00900805">
            <w:pPr>
              <w:jc w:val="center"/>
              <w:rPr>
                <w:rFonts w:ascii="Times New Roman" w:eastAsia="Times New Roman" w:hAnsi="Times New Roman" w:cs="Times New Roman"/>
                <w:b/>
                <w:sz w:val="16"/>
                <w:szCs w:val="16"/>
                <w:shd w:val="clear" w:color="auto" w:fill="FFFFFF"/>
              </w:rPr>
            </w:pPr>
            <w:r w:rsidRPr="000972D1">
              <w:rPr>
                <w:rFonts w:ascii="Times New Roman" w:eastAsia="Times New Roman" w:hAnsi="Times New Roman" w:cs="Times New Roman"/>
                <w:b/>
                <w:sz w:val="16"/>
                <w:szCs w:val="16"/>
                <w:shd w:val="clear" w:color="auto" w:fill="FFFFFF"/>
              </w:rPr>
              <w:t xml:space="preserve">Big4 </w:t>
            </w:r>
          </w:p>
        </w:tc>
        <w:tc>
          <w:tcPr>
            <w:tcW w:w="0" w:type="auto"/>
          </w:tcPr>
          <w:p w14:paraId="2031B160" w14:textId="0BFE84C1" w:rsidR="00E07B24" w:rsidRPr="000972D1" w:rsidRDefault="00E07B24" w:rsidP="00900805">
            <w:pPr>
              <w:jc w:val="center"/>
              <w:rPr>
                <w:rFonts w:ascii="Times New Roman" w:eastAsia="Times New Roman" w:hAnsi="Times New Roman" w:cs="Times New Roman"/>
                <w:b/>
                <w:sz w:val="16"/>
                <w:szCs w:val="16"/>
                <w:shd w:val="clear" w:color="auto" w:fill="FFFFFF"/>
              </w:rPr>
            </w:pPr>
            <w:r w:rsidRPr="000972D1">
              <w:rPr>
                <w:rFonts w:ascii="Times New Roman" w:eastAsia="Times New Roman" w:hAnsi="Times New Roman" w:cs="Times New Roman"/>
                <w:b/>
                <w:sz w:val="16"/>
                <w:szCs w:val="16"/>
                <w:shd w:val="clear" w:color="auto" w:fill="FFFFFF"/>
              </w:rPr>
              <w:t>LNFE</w:t>
            </w:r>
          </w:p>
        </w:tc>
        <w:tc>
          <w:tcPr>
            <w:tcW w:w="1328" w:type="dxa"/>
          </w:tcPr>
          <w:p w14:paraId="2040FEDE" w14:textId="351DBCCE" w:rsidR="00E07B24" w:rsidRPr="000972D1" w:rsidRDefault="00E07B24" w:rsidP="00900805">
            <w:pPr>
              <w:jc w:val="center"/>
              <w:rPr>
                <w:rFonts w:ascii="Times New Roman" w:eastAsia="Times New Roman" w:hAnsi="Times New Roman" w:cs="Times New Roman"/>
                <w:b/>
                <w:sz w:val="16"/>
                <w:szCs w:val="16"/>
                <w:shd w:val="clear" w:color="auto" w:fill="FFFFFF"/>
              </w:rPr>
            </w:pPr>
            <w:r w:rsidRPr="000972D1">
              <w:rPr>
                <w:rFonts w:ascii="Times New Roman" w:eastAsia="Times New Roman" w:hAnsi="Times New Roman" w:cs="Times New Roman"/>
                <w:b/>
                <w:sz w:val="16"/>
                <w:szCs w:val="16"/>
                <w:shd w:val="clear" w:color="auto" w:fill="FFFFFF"/>
              </w:rPr>
              <w:t>ARLAG</w:t>
            </w:r>
          </w:p>
        </w:tc>
        <w:tc>
          <w:tcPr>
            <w:tcW w:w="816" w:type="dxa"/>
            <w:tcBorders>
              <w:right w:val="nil"/>
            </w:tcBorders>
          </w:tcPr>
          <w:p w14:paraId="7134196D" w14:textId="77777777" w:rsidR="00E07B24" w:rsidRPr="000972D1" w:rsidRDefault="00E07B24" w:rsidP="00900805">
            <w:pPr>
              <w:jc w:val="center"/>
              <w:rPr>
                <w:rFonts w:ascii="Times New Roman" w:eastAsia="Times New Roman" w:hAnsi="Times New Roman" w:cs="Times New Roman"/>
                <w:b/>
                <w:sz w:val="16"/>
                <w:szCs w:val="16"/>
                <w:shd w:val="clear" w:color="auto" w:fill="FFFFFF"/>
              </w:rPr>
            </w:pPr>
          </w:p>
        </w:tc>
        <w:tc>
          <w:tcPr>
            <w:tcW w:w="0" w:type="auto"/>
            <w:tcBorders>
              <w:left w:val="nil"/>
            </w:tcBorders>
            <w:noWrap/>
          </w:tcPr>
          <w:p w14:paraId="08E698BA" w14:textId="274DDD6B" w:rsidR="00E07B24" w:rsidRPr="000972D1" w:rsidRDefault="00E07B24" w:rsidP="00900805">
            <w:pPr>
              <w:jc w:val="center"/>
              <w:rPr>
                <w:rFonts w:ascii="Times New Roman" w:eastAsia="Times New Roman" w:hAnsi="Times New Roman" w:cs="Times New Roman"/>
                <w:b/>
                <w:sz w:val="16"/>
                <w:szCs w:val="16"/>
                <w:shd w:val="clear" w:color="auto" w:fill="FFFFFF"/>
                <w:lang w:val="en-US"/>
              </w:rPr>
            </w:pPr>
            <w:r w:rsidRPr="000972D1">
              <w:rPr>
                <w:rFonts w:ascii="Times New Roman" w:eastAsia="Times New Roman" w:hAnsi="Times New Roman" w:cs="Times New Roman"/>
                <w:b/>
                <w:sz w:val="16"/>
                <w:szCs w:val="16"/>
                <w:shd w:val="clear" w:color="auto" w:fill="FFFFFF"/>
              </w:rPr>
              <w:t xml:space="preserve">Big4 </w:t>
            </w:r>
          </w:p>
        </w:tc>
        <w:tc>
          <w:tcPr>
            <w:tcW w:w="0" w:type="auto"/>
            <w:noWrap/>
          </w:tcPr>
          <w:p w14:paraId="117DD04B" w14:textId="10CD883F" w:rsidR="00E07B24" w:rsidRPr="000972D1" w:rsidRDefault="00E07B24" w:rsidP="00900805">
            <w:pPr>
              <w:jc w:val="center"/>
              <w:rPr>
                <w:rFonts w:ascii="Times New Roman" w:eastAsia="Times New Roman" w:hAnsi="Times New Roman" w:cs="Times New Roman"/>
                <w:b/>
                <w:sz w:val="16"/>
                <w:szCs w:val="16"/>
                <w:shd w:val="clear" w:color="auto" w:fill="FFFFFF"/>
                <w:lang w:val="en-US"/>
              </w:rPr>
            </w:pPr>
            <w:r w:rsidRPr="000972D1">
              <w:rPr>
                <w:rFonts w:ascii="Times New Roman" w:eastAsia="Times New Roman" w:hAnsi="Times New Roman" w:cs="Times New Roman"/>
                <w:b/>
                <w:sz w:val="16"/>
                <w:szCs w:val="16"/>
                <w:shd w:val="clear" w:color="auto" w:fill="FFFFFF"/>
              </w:rPr>
              <w:t>LNFE</w:t>
            </w:r>
          </w:p>
        </w:tc>
        <w:tc>
          <w:tcPr>
            <w:tcW w:w="0" w:type="auto"/>
          </w:tcPr>
          <w:p w14:paraId="18592F14" w14:textId="299BE501" w:rsidR="00E07B24" w:rsidRPr="000972D1" w:rsidRDefault="00E07B24" w:rsidP="00900805">
            <w:pPr>
              <w:jc w:val="center"/>
              <w:rPr>
                <w:rFonts w:ascii="Times New Roman" w:eastAsia="Times New Roman" w:hAnsi="Times New Roman" w:cs="Times New Roman"/>
                <w:b/>
                <w:sz w:val="16"/>
                <w:szCs w:val="16"/>
                <w:shd w:val="clear" w:color="auto" w:fill="FFFFFF"/>
              </w:rPr>
            </w:pPr>
            <w:r w:rsidRPr="000972D1">
              <w:rPr>
                <w:rFonts w:ascii="Times New Roman" w:eastAsia="Times New Roman" w:hAnsi="Times New Roman" w:cs="Times New Roman"/>
                <w:b/>
                <w:sz w:val="16"/>
                <w:szCs w:val="16"/>
                <w:shd w:val="clear" w:color="auto" w:fill="FFFFFF"/>
              </w:rPr>
              <w:t>Big4</w:t>
            </w:r>
          </w:p>
        </w:tc>
        <w:tc>
          <w:tcPr>
            <w:tcW w:w="0" w:type="auto"/>
          </w:tcPr>
          <w:p w14:paraId="306FDF12" w14:textId="3E3FE4DC" w:rsidR="00E07B24" w:rsidRPr="000972D1" w:rsidRDefault="00E07B24" w:rsidP="00900805">
            <w:pPr>
              <w:jc w:val="center"/>
              <w:rPr>
                <w:rFonts w:ascii="Times New Roman" w:eastAsia="Times New Roman" w:hAnsi="Times New Roman" w:cs="Times New Roman"/>
                <w:b/>
                <w:sz w:val="16"/>
                <w:szCs w:val="16"/>
                <w:shd w:val="clear" w:color="auto" w:fill="FFFFFF"/>
              </w:rPr>
            </w:pPr>
            <w:r w:rsidRPr="000972D1">
              <w:rPr>
                <w:rFonts w:ascii="Times New Roman" w:eastAsia="Times New Roman" w:hAnsi="Times New Roman" w:cs="Times New Roman"/>
                <w:b/>
                <w:sz w:val="16"/>
                <w:szCs w:val="16"/>
                <w:shd w:val="clear" w:color="auto" w:fill="FFFFFF"/>
              </w:rPr>
              <w:t>LNFE</w:t>
            </w:r>
          </w:p>
        </w:tc>
      </w:tr>
      <w:tr w:rsidR="00352FB3" w:rsidRPr="000972D1" w14:paraId="1F4B6BB8" w14:textId="1AF9C009" w:rsidTr="005D57D0">
        <w:trPr>
          <w:trHeight w:val="154"/>
          <w:jc w:val="center"/>
        </w:trPr>
        <w:tc>
          <w:tcPr>
            <w:tcW w:w="0" w:type="auto"/>
            <w:tcBorders>
              <w:bottom w:val="single" w:sz="12" w:space="0" w:color="auto"/>
              <w:right w:val="single" w:sz="12" w:space="0" w:color="auto"/>
            </w:tcBorders>
            <w:noWrap/>
          </w:tcPr>
          <w:p w14:paraId="78FC7BA0" w14:textId="62824E4D" w:rsidR="00E07B24" w:rsidRPr="000972D1" w:rsidRDefault="00E07B24" w:rsidP="00900805">
            <w:pPr>
              <w:ind w:left="-78" w:firstLine="15"/>
              <w:rPr>
                <w:rFonts w:ascii="Times New Roman" w:eastAsia="Times New Roman" w:hAnsi="Times New Roman" w:cs="Times New Roman"/>
                <w:b/>
                <w:sz w:val="16"/>
                <w:szCs w:val="16"/>
                <w:shd w:val="clear" w:color="auto" w:fill="FFFFFF"/>
                <w:lang w:val="en-US"/>
              </w:rPr>
            </w:pPr>
            <w:r w:rsidRPr="000972D1">
              <w:rPr>
                <w:rFonts w:ascii="Times New Roman" w:eastAsia="Times New Roman" w:hAnsi="Times New Roman" w:cs="Times New Roman"/>
                <w:b/>
                <w:sz w:val="16"/>
                <w:szCs w:val="16"/>
                <w:shd w:val="clear" w:color="auto" w:fill="FFFFFF"/>
                <w:lang w:val="en-US"/>
              </w:rPr>
              <w:t>Ind. var./</w:t>
            </w:r>
            <w:r w:rsidRPr="000972D1" w:rsidDel="00327998">
              <w:rPr>
                <w:rFonts w:ascii="Times New Roman" w:eastAsia="Times New Roman" w:hAnsi="Times New Roman" w:cs="Times New Roman"/>
                <w:b/>
                <w:sz w:val="16"/>
                <w:szCs w:val="16"/>
                <w:shd w:val="clear" w:color="auto" w:fill="FFFFFF"/>
                <w:lang w:val="en-US"/>
              </w:rPr>
              <w:t xml:space="preserve"> </w:t>
            </w:r>
            <w:r w:rsidRPr="000972D1">
              <w:rPr>
                <w:rFonts w:ascii="Times New Roman" w:eastAsia="Times New Roman" w:hAnsi="Times New Roman" w:cs="Times New Roman"/>
                <w:b/>
                <w:sz w:val="16"/>
                <w:szCs w:val="16"/>
                <w:shd w:val="clear" w:color="auto" w:fill="FFFFFF"/>
                <w:lang w:val="en-US"/>
              </w:rPr>
              <w:t>Model</w:t>
            </w:r>
          </w:p>
        </w:tc>
        <w:tc>
          <w:tcPr>
            <w:tcW w:w="0" w:type="auto"/>
            <w:tcBorders>
              <w:left w:val="single" w:sz="12" w:space="0" w:color="auto"/>
              <w:bottom w:val="single" w:sz="12" w:space="0" w:color="auto"/>
            </w:tcBorders>
          </w:tcPr>
          <w:p w14:paraId="21F59A20" w14:textId="3E379B62" w:rsidR="00E07B24" w:rsidRPr="000972D1" w:rsidRDefault="00E07B24" w:rsidP="00900805">
            <w:pPr>
              <w:jc w:val="center"/>
              <w:rPr>
                <w:rFonts w:ascii="Times New Roman" w:eastAsia="Times New Roman" w:hAnsi="Times New Roman" w:cs="Times New Roman"/>
                <w:b/>
                <w:sz w:val="16"/>
                <w:szCs w:val="16"/>
                <w:shd w:val="clear" w:color="auto" w:fill="FFFFFF"/>
                <w:lang w:val="en-US"/>
              </w:rPr>
            </w:pPr>
            <w:r w:rsidRPr="000972D1">
              <w:rPr>
                <w:rFonts w:ascii="Times New Roman" w:eastAsia="Times New Roman" w:hAnsi="Times New Roman" w:cs="Times New Roman"/>
                <w:b/>
                <w:sz w:val="16"/>
                <w:szCs w:val="16"/>
                <w:shd w:val="clear" w:color="auto" w:fill="FFFFFF"/>
                <w:lang w:val="en-US"/>
              </w:rPr>
              <w:t>1</w:t>
            </w:r>
          </w:p>
        </w:tc>
        <w:tc>
          <w:tcPr>
            <w:tcW w:w="0" w:type="auto"/>
            <w:tcBorders>
              <w:bottom w:val="single" w:sz="12" w:space="0" w:color="auto"/>
            </w:tcBorders>
          </w:tcPr>
          <w:p w14:paraId="0202818C" w14:textId="7650CC13" w:rsidR="00E07B24" w:rsidRPr="000972D1" w:rsidRDefault="00E07B24" w:rsidP="00900805">
            <w:pPr>
              <w:jc w:val="center"/>
              <w:rPr>
                <w:rFonts w:ascii="Times New Roman" w:eastAsia="Times New Roman" w:hAnsi="Times New Roman" w:cs="Times New Roman"/>
                <w:b/>
                <w:sz w:val="16"/>
                <w:szCs w:val="16"/>
                <w:shd w:val="clear" w:color="auto" w:fill="FFFFFF"/>
                <w:lang w:val="en-US"/>
              </w:rPr>
            </w:pPr>
            <w:r w:rsidRPr="000972D1">
              <w:rPr>
                <w:rFonts w:ascii="Times New Roman" w:eastAsia="Times New Roman" w:hAnsi="Times New Roman" w:cs="Times New Roman"/>
                <w:b/>
                <w:sz w:val="16"/>
                <w:szCs w:val="16"/>
                <w:shd w:val="clear" w:color="auto" w:fill="FFFFFF"/>
                <w:lang w:val="en-US"/>
              </w:rPr>
              <w:t>2</w:t>
            </w:r>
          </w:p>
        </w:tc>
        <w:tc>
          <w:tcPr>
            <w:tcW w:w="1328" w:type="dxa"/>
            <w:tcBorders>
              <w:bottom w:val="single" w:sz="12" w:space="0" w:color="auto"/>
            </w:tcBorders>
          </w:tcPr>
          <w:p w14:paraId="20BA256D" w14:textId="14BFCEAE" w:rsidR="00E07B24" w:rsidRPr="000972D1" w:rsidRDefault="00E07B24" w:rsidP="00900805">
            <w:pPr>
              <w:jc w:val="center"/>
              <w:rPr>
                <w:rFonts w:ascii="Times New Roman" w:eastAsia="Times New Roman" w:hAnsi="Times New Roman" w:cs="Times New Roman"/>
                <w:b/>
                <w:sz w:val="16"/>
                <w:szCs w:val="16"/>
                <w:shd w:val="clear" w:color="auto" w:fill="FFFFFF"/>
                <w:lang w:val="en-US"/>
              </w:rPr>
            </w:pPr>
            <w:r w:rsidRPr="000972D1">
              <w:rPr>
                <w:rFonts w:ascii="Times New Roman" w:eastAsia="Times New Roman" w:hAnsi="Times New Roman" w:cs="Times New Roman"/>
                <w:b/>
                <w:sz w:val="16"/>
                <w:szCs w:val="16"/>
                <w:shd w:val="clear" w:color="auto" w:fill="FFFFFF"/>
                <w:lang w:val="en-US"/>
              </w:rPr>
              <w:t>3</w:t>
            </w:r>
          </w:p>
        </w:tc>
        <w:tc>
          <w:tcPr>
            <w:tcW w:w="816" w:type="dxa"/>
            <w:tcBorders>
              <w:bottom w:val="single" w:sz="12" w:space="0" w:color="auto"/>
              <w:right w:val="nil"/>
            </w:tcBorders>
          </w:tcPr>
          <w:p w14:paraId="4BBD4F9A" w14:textId="572D2E54" w:rsidR="00E07B24" w:rsidRPr="000972D1" w:rsidRDefault="00735E5E" w:rsidP="00900805">
            <w:pPr>
              <w:jc w:val="center"/>
              <w:rPr>
                <w:rFonts w:ascii="Times New Roman" w:eastAsia="Times New Roman" w:hAnsi="Times New Roman" w:cs="Times New Roman"/>
                <w:b/>
                <w:sz w:val="16"/>
                <w:szCs w:val="16"/>
                <w:shd w:val="clear" w:color="auto" w:fill="FFFFFF"/>
                <w:lang w:val="en-US"/>
              </w:rPr>
            </w:pPr>
            <w:r w:rsidRPr="000972D1">
              <w:rPr>
                <w:rFonts w:ascii="Times New Roman" w:eastAsia="Times New Roman" w:hAnsi="Times New Roman" w:cs="Times New Roman"/>
                <w:b/>
                <w:sz w:val="16"/>
                <w:szCs w:val="16"/>
                <w:shd w:val="clear" w:color="auto" w:fill="FFFFFF"/>
                <w:lang w:val="en-US"/>
              </w:rPr>
              <w:t>4</w:t>
            </w:r>
          </w:p>
        </w:tc>
        <w:tc>
          <w:tcPr>
            <w:tcW w:w="0" w:type="auto"/>
            <w:tcBorders>
              <w:left w:val="nil"/>
              <w:bottom w:val="single" w:sz="12" w:space="0" w:color="auto"/>
            </w:tcBorders>
            <w:noWrap/>
          </w:tcPr>
          <w:p w14:paraId="091F95ED" w14:textId="5D91B2C0" w:rsidR="00E07B24" w:rsidRPr="000972D1" w:rsidRDefault="00735E5E" w:rsidP="00900805">
            <w:pPr>
              <w:jc w:val="center"/>
              <w:rPr>
                <w:rFonts w:ascii="Times New Roman" w:eastAsia="Times New Roman" w:hAnsi="Times New Roman" w:cs="Times New Roman"/>
                <w:b/>
                <w:sz w:val="16"/>
                <w:szCs w:val="16"/>
                <w:shd w:val="clear" w:color="auto" w:fill="FFFFFF"/>
                <w:lang w:val="en-US"/>
              </w:rPr>
            </w:pPr>
            <w:r w:rsidRPr="000972D1">
              <w:rPr>
                <w:rFonts w:ascii="Times New Roman" w:eastAsia="Times New Roman" w:hAnsi="Times New Roman" w:cs="Times New Roman"/>
                <w:b/>
                <w:sz w:val="16"/>
                <w:szCs w:val="16"/>
                <w:shd w:val="clear" w:color="auto" w:fill="FFFFFF"/>
                <w:lang w:val="en-US"/>
              </w:rPr>
              <w:t>5</w:t>
            </w:r>
          </w:p>
        </w:tc>
        <w:tc>
          <w:tcPr>
            <w:tcW w:w="0" w:type="auto"/>
            <w:tcBorders>
              <w:bottom w:val="single" w:sz="12" w:space="0" w:color="auto"/>
            </w:tcBorders>
            <w:noWrap/>
          </w:tcPr>
          <w:p w14:paraId="1BC74EAF" w14:textId="7D742E79" w:rsidR="00E07B24" w:rsidRPr="000972D1" w:rsidRDefault="00735E5E" w:rsidP="00900805">
            <w:pPr>
              <w:jc w:val="center"/>
              <w:rPr>
                <w:rFonts w:ascii="Times New Roman" w:eastAsia="Times New Roman" w:hAnsi="Times New Roman" w:cs="Times New Roman"/>
                <w:b/>
                <w:sz w:val="16"/>
                <w:szCs w:val="16"/>
                <w:shd w:val="clear" w:color="auto" w:fill="FFFFFF"/>
                <w:lang w:val="en-US"/>
              </w:rPr>
            </w:pPr>
            <w:r w:rsidRPr="000972D1">
              <w:rPr>
                <w:rFonts w:ascii="Times New Roman" w:eastAsia="Times New Roman" w:hAnsi="Times New Roman" w:cs="Times New Roman"/>
                <w:b/>
                <w:sz w:val="16"/>
                <w:szCs w:val="16"/>
                <w:shd w:val="clear" w:color="auto" w:fill="FFFFFF"/>
                <w:lang w:val="en-US"/>
              </w:rPr>
              <w:t>6</w:t>
            </w:r>
          </w:p>
        </w:tc>
        <w:tc>
          <w:tcPr>
            <w:tcW w:w="0" w:type="auto"/>
            <w:tcBorders>
              <w:bottom w:val="single" w:sz="12" w:space="0" w:color="auto"/>
            </w:tcBorders>
          </w:tcPr>
          <w:p w14:paraId="3A4DE419" w14:textId="298E91D2" w:rsidR="00E07B24" w:rsidRPr="000972D1" w:rsidRDefault="00735E5E" w:rsidP="00900805">
            <w:pPr>
              <w:jc w:val="center"/>
              <w:rPr>
                <w:rFonts w:ascii="Times New Roman" w:eastAsia="Times New Roman" w:hAnsi="Times New Roman" w:cs="Times New Roman"/>
                <w:b/>
                <w:sz w:val="16"/>
                <w:szCs w:val="16"/>
                <w:shd w:val="clear" w:color="auto" w:fill="FFFFFF"/>
                <w:lang w:val="en-US"/>
              </w:rPr>
            </w:pPr>
            <w:r w:rsidRPr="000972D1">
              <w:rPr>
                <w:rFonts w:ascii="Times New Roman" w:eastAsia="Times New Roman" w:hAnsi="Times New Roman" w:cs="Times New Roman"/>
                <w:b/>
                <w:sz w:val="16"/>
                <w:szCs w:val="16"/>
                <w:shd w:val="clear" w:color="auto" w:fill="FFFFFF"/>
                <w:lang w:val="en-US"/>
              </w:rPr>
              <w:t>7</w:t>
            </w:r>
          </w:p>
        </w:tc>
        <w:tc>
          <w:tcPr>
            <w:tcW w:w="0" w:type="auto"/>
            <w:tcBorders>
              <w:bottom w:val="single" w:sz="12" w:space="0" w:color="auto"/>
            </w:tcBorders>
          </w:tcPr>
          <w:p w14:paraId="59346CD8" w14:textId="1BD38F03" w:rsidR="00E07B24" w:rsidRPr="000972D1" w:rsidRDefault="00735E5E" w:rsidP="00900805">
            <w:pPr>
              <w:jc w:val="center"/>
              <w:rPr>
                <w:rFonts w:ascii="Times New Roman" w:eastAsia="Times New Roman" w:hAnsi="Times New Roman" w:cs="Times New Roman"/>
                <w:b/>
                <w:sz w:val="16"/>
                <w:szCs w:val="16"/>
                <w:shd w:val="clear" w:color="auto" w:fill="FFFFFF"/>
                <w:lang w:val="en-US"/>
              </w:rPr>
            </w:pPr>
            <w:r w:rsidRPr="000972D1">
              <w:rPr>
                <w:rFonts w:ascii="Times New Roman" w:eastAsia="Times New Roman" w:hAnsi="Times New Roman" w:cs="Times New Roman"/>
                <w:b/>
                <w:sz w:val="16"/>
                <w:szCs w:val="16"/>
                <w:shd w:val="clear" w:color="auto" w:fill="FFFFFF"/>
                <w:lang w:val="en-US"/>
              </w:rPr>
              <w:t>8</w:t>
            </w:r>
          </w:p>
        </w:tc>
      </w:tr>
      <w:tr w:rsidR="00352FB3" w:rsidRPr="000972D1" w14:paraId="4A8CB1AF" w14:textId="56174ABB" w:rsidTr="005D57D0">
        <w:trPr>
          <w:trHeight w:val="225"/>
          <w:jc w:val="center"/>
        </w:trPr>
        <w:tc>
          <w:tcPr>
            <w:tcW w:w="0" w:type="auto"/>
            <w:tcBorders>
              <w:top w:val="single" w:sz="12" w:space="0" w:color="auto"/>
              <w:right w:val="single" w:sz="12" w:space="0" w:color="auto"/>
            </w:tcBorders>
            <w:noWrap/>
            <w:hideMark/>
          </w:tcPr>
          <w:p w14:paraId="2B703DE6" w14:textId="4C10FFCC" w:rsidR="00E07B24" w:rsidRPr="000972D1" w:rsidRDefault="00E07B24" w:rsidP="00786764">
            <w:pPr>
              <w:ind w:left="-63"/>
              <w:jc w:val="both"/>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BRDS</w:t>
            </w:r>
          </w:p>
        </w:tc>
        <w:tc>
          <w:tcPr>
            <w:tcW w:w="0" w:type="auto"/>
            <w:tcBorders>
              <w:top w:val="single" w:sz="12" w:space="0" w:color="auto"/>
            </w:tcBorders>
          </w:tcPr>
          <w:p w14:paraId="6C0FE124" w14:textId="7777777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p>
        </w:tc>
        <w:tc>
          <w:tcPr>
            <w:tcW w:w="0" w:type="auto"/>
            <w:tcBorders>
              <w:top w:val="single" w:sz="12" w:space="0" w:color="auto"/>
            </w:tcBorders>
          </w:tcPr>
          <w:p w14:paraId="23B44487" w14:textId="7777777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p>
        </w:tc>
        <w:tc>
          <w:tcPr>
            <w:tcW w:w="1328" w:type="dxa"/>
            <w:tcBorders>
              <w:top w:val="single" w:sz="12" w:space="0" w:color="auto"/>
            </w:tcBorders>
          </w:tcPr>
          <w:p w14:paraId="47703A56" w14:textId="7777777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0.236***</w:t>
            </w:r>
          </w:p>
          <w:p w14:paraId="7F6CB0EE" w14:textId="7C367802"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(0.001)</w:t>
            </w:r>
          </w:p>
        </w:tc>
        <w:tc>
          <w:tcPr>
            <w:tcW w:w="816" w:type="dxa"/>
            <w:tcBorders>
              <w:top w:val="single" w:sz="12" w:space="0" w:color="auto"/>
              <w:right w:val="nil"/>
            </w:tcBorders>
          </w:tcPr>
          <w:p w14:paraId="1B0A2910" w14:textId="542DD75D" w:rsidR="00E07B24" w:rsidRPr="000972D1" w:rsidRDefault="004B4FC5"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w:t>
            </w:r>
            <w:r w:rsidR="005D57D0" w:rsidRPr="000972D1">
              <w:rPr>
                <w:rFonts w:ascii="Times New Roman" w:eastAsia="Times New Roman" w:hAnsi="Times New Roman" w:cs="Times New Roman"/>
                <w:sz w:val="16"/>
                <w:szCs w:val="16"/>
                <w:shd w:val="clear" w:color="auto" w:fill="FFFFFF"/>
                <w:lang w:val="en-US"/>
              </w:rPr>
              <w:t>.310**</w:t>
            </w:r>
          </w:p>
          <w:p w14:paraId="7684A5E6" w14:textId="21B16FB1" w:rsidR="005D57D0" w:rsidRPr="000972D1" w:rsidRDefault="005D57D0"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(0.046)</w:t>
            </w:r>
          </w:p>
        </w:tc>
        <w:tc>
          <w:tcPr>
            <w:tcW w:w="0" w:type="auto"/>
            <w:tcBorders>
              <w:top w:val="single" w:sz="12" w:space="0" w:color="auto"/>
              <w:left w:val="nil"/>
            </w:tcBorders>
            <w:noWrap/>
          </w:tcPr>
          <w:p w14:paraId="0C03620C" w14:textId="38A3947F"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w:t>
            </w:r>
            <w:r w:rsidRPr="000972D1">
              <w:rPr>
                <w:rFonts w:ascii="Times New Roman" w:eastAsia="Times New Roman" w:hAnsi="Times New Roman" w:cs="Times New Roman"/>
                <w:sz w:val="16"/>
                <w:szCs w:val="16"/>
                <w:shd w:val="clear" w:color="auto" w:fill="FFFFFF"/>
              </w:rPr>
              <w:t xml:space="preserve"> </w:t>
            </w:r>
            <w:r w:rsidRPr="000972D1">
              <w:rPr>
                <w:rFonts w:ascii="Times New Roman" w:eastAsia="Times New Roman" w:hAnsi="Times New Roman" w:cs="Times New Roman"/>
                <w:sz w:val="16"/>
                <w:szCs w:val="16"/>
                <w:shd w:val="clear" w:color="auto" w:fill="FFFFFF"/>
                <w:lang w:val="en-US"/>
              </w:rPr>
              <w:t>267</w:t>
            </w:r>
          </w:p>
          <w:p w14:paraId="78D51064" w14:textId="3B2C9D9D"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(0.586)</w:t>
            </w:r>
          </w:p>
        </w:tc>
        <w:tc>
          <w:tcPr>
            <w:tcW w:w="0" w:type="auto"/>
            <w:tcBorders>
              <w:top w:val="single" w:sz="12" w:space="0" w:color="auto"/>
            </w:tcBorders>
            <w:noWrap/>
          </w:tcPr>
          <w:p w14:paraId="20E2C8B6" w14:textId="0754904D"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0.622***</w:t>
            </w:r>
          </w:p>
          <w:p w14:paraId="373AB5AD" w14:textId="7777777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(0.000)</w:t>
            </w:r>
          </w:p>
        </w:tc>
        <w:tc>
          <w:tcPr>
            <w:tcW w:w="0" w:type="auto"/>
            <w:tcBorders>
              <w:top w:val="single" w:sz="12" w:space="0" w:color="auto"/>
            </w:tcBorders>
          </w:tcPr>
          <w:p w14:paraId="0635E449" w14:textId="04F96FFE"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c>
          <w:tcPr>
            <w:tcW w:w="0" w:type="auto"/>
            <w:tcBorders>
              <w:top w:val="single" w:sz="12" w:space="0" w:color="auto"/>
            </w:tcBorders>
          </w:tcPr>
          <w:p w14:paraId="60F4A80D" w14:textId="0BB18DB8" w:rsidR="00E07B24" w:rsidRPr="000972D1" w:rsidRDefault="00E07B24" w:rsidP="00CE1D3F">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p w14:paraId="5C836C01" w14:textId="704A1134" w:rsidR="00E07B24" w:rsidRPr="000972D1" w:rsidRDefault="00E07B24" w:rsidP="00786764">
            <w:pPr>
              <w:jc w:val="center"/>
              <w:rPr>
                <w:rFonts w:ascii="Times New Roman" w:eastAsia="Times New Roman" w:hAnsi="Times New Roman" w:cs="Times New Roman"/>
                <w:sz w:val="16"/>
                <w:szCs w:val="16"/>
                <w:shd w:val="clear" w:color="auto" w:fill="FFFFFF"/>
                <w:lang w:val="en-US"/>
              </w:rPr>
            </w:pPr>
          </w:p>
        </w:tc>
      </w:tr>
      <w:tr w:rsidR="00352FB3" w:rsidRPr="000972D1" w14:paraId="403A6660" w14:textId="0A5916FC" w:rsidTr="005D57D0">
        <w:trPr>
          <w:trHeight w:val="225"/>
          <w:jc w:val="center"/>
        </w:trPr>
        <w:tc>
          <w:tcPr>
            <w:tcW w:w="0" w:type="auto"/>
            <w:tcBorders>
              <w:right w:val="single" w:sz="12" w:space="0" w:color="auto"/>
            </w:tcBorders>
            <w:noWrap/>
          </w:tcPr>
          <w:p w14:paraId="128959F9" w14:textId="20C431A6" w:rsidR="00E07B24" w:rsidRPr="000972D1" w:rsidRDefault="00E07B24" w:rsidP="00786764">
            <w:pPr>
              <w:ind w:left="-63"/>
              <w:jc w:val="both"/>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BRDS</w:t>
            </w:r>
            <w:r w:rsidRPr="000972D1">
              <w:rPr>
                <w:rFonts w:ascii="Times New Roman" w:eastAsia="Times New Roman" w:hAnsi="Times New Roman" w:cs="Times New Roman"/>
                <w:sz w:val="16"/>
                <w:szCs w:val="16"/>
                <w:shd w:val="clear" w:color="auto" w:fill="FFFFFF"/>
                <w:vertAlign w:val="superscript"/>
                <w:lang w:val="en-US"/>
              </w:rPr>
              <w:t>2</w:t>
            </w:r>
          </w:p>
        </w:tc>
        <w:tc>
          <w:tcPr>
            <w:tcW w:w="0" w:type="auto"/>
          </w:tcPr>
          <w:p w14:paraId="1992F5C6" w14:textId="7777777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p>
        </w:tc>
        <w:tc>
          <w:tcPr>
            <w:tcW w:w="0" w:type="auto"/>
          </w:tcPr>
          <w:p w14:paraId="38C8E4B5" w14:textId="7777777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p>
        </w:tc>
        <w:tc>
          <w:tcPr>
            <w:tcW w:w="1328" w:type="dxa"/>
          </w:tcPr>
          <w:p w14:paraId="512DA84B" w14:textId="7777777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p>
        </w:tc>
        <w:tc>
          <w:tcPr>
            <w:tcW w:w="816" w:type="dxa"/>
            <w:tcBorders>
              <w:right w:val="nil"/>
            </w:tcBorders>
          </w:tcPr>
          <w:p w14:paraId="1BC4065A" w14:textId="2055BD62" w:rsidR="00E07B24" w:rsidRPr="000972D1" w:rsidRDefault="005D57D0"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c>
          <w:tcPr>
            <w:tcW w:w="0" w:type="auto"/>
            <w:tcBorders>
              <w:left w:val="nil"/>
            </w:tcBorders>
            <w:noWrap/>
          </w:tcPr>
          <w:p w14:paraId="3A4D5F4D" w14:textId="59DD599F"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c>
          <w:tcPr>
            <w:tcW w:w="0" w:type="auto"/>
            <w:noWrap/>
          </w:tcPr>
          <w:p w14:paraId="454DEF81" w14:textId="655DA440"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c>
          <w:tcPr>
            <w:tcW w:w="0" w:type="auto"/>
          </w:tcPr>
          <w:p w14:paraId="3EA77369" w14:textId="2DBAA623"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-0.007</w:t>
            </w:r>
          </w:p>
          <w:p w14:paraId="1EE3D896" w14:textId="2BC72522"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(0.951)</w:t>
            </w:r>
          </w:p>
        </w:tc>
        <w:tc>
          <w:tcPr>
            <w:tcW w:w="0" w:type="auto"/>
          </w:tcPr>
          <w:p w14:paraId="4F1917FB" w14:textId="79B8F41E"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0.077***</w:t>
            </w:r>
          </w:p>
          <w:p w14:paraId="25F8AB24" w14:textId="31234AE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(0.001)</w:t>
            </w:r>
          </w:p>
        </w:tc>
      </w:tr>
      <w:tr w:rsidR="00352FB3" w:rsidRPr="000972D1" w14:paraId="0F607F63" w14:textId="49207A25" w:rsidTr="005D57D0">
        <w:trPr>
          <w:trHeight w:val="300"/>
          <w:jc w:val="center"/>
        </w:trPr>
        <w:tc>
          <w:tcPr>
            <w:tcW w:w="0" w:type="auto"/>
            <w:tcBorders>
              <w:right w:val="single" w:sz="12" w:space="0" w:color="auto"/>
            </w:tcBorders>
            <w:noWrap/>
            <w:hideMark/>
          </w:tcPr>
          <w:p w14:paraId="1B763BA8" w14:textId="17E8E838" w:rsidR="00E07B24" w:rsidRPr="000972D1" w:rsidRDefault="00E07B24" w:rsidP="00786764">
            <w:pPr>
              <w:ind w:left="-63"/>
              <w:jc w:val="both"/>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IND</w:t>
            </w:r>
          </w:p>
        </w:tc>
        <w:tc>
          <w:tcPr>
            <w:tcW w:w="0" w:type="auto"/>
          </w:tcPr>
          <w:p w14:paraId="24DDC4ED" w14:textId="7777777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p>
        </w:tc>
        <w:tc>
          <w:tcPr>
            <w:tcW w:w="0" w:type="auto"/>
          </w:tcPr>
          <w:p w14:paraId="682163BC" w14:textId="7777777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p>
        </w:tc>
        <w:tc>
          <w:tcPr>
            <w:tcW w:w="1328" w:type="dxa"/>
          </w:tcPr>
          <w:p w14:paraId="50A6CCF3" w14:textId="7777777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-0.319**</w:t>
            </w:r>
          </w:p>
          <w:p w14:paraId="5348DC10" w14:textId="7B728499"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(0.048)</w:t>
            </w:r>
          </w:p>
        </w:tc>
        <w:tc>
          <w:tcPr>
            <w:tcW w:w="816" w:type="dxa"/>
            <w:tcBorders>
              <w:right w:val="nil"/>
            </w:tcBorders>
          </w:tcPr>
          <w:p w14:paraId="2F16B098" w14:textId="6BFA4AB6" w:rsidR="00E07B24" w:rsidRPr="000972D1" w:rsidRDefault="005D57D0"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-0.458</w:t>
            </w:r>
          </w:p>
          <w:p w14:paraId="554CF852" w14:textId="476AB7DB" w:rsidR="005D57D0" w:rsidRPr="000972D1" w:rsidRDefault="005D57D0"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(0.219)</w:t>
            </w:r>
          </w:p>
        </w:tc>
        <w:tc>
          <w:tcPr>
            <w:tcW w:w="0" w:type="auto"/>
            <w:tcBorders>
              <w:left w:val="nil"/>
            </w:tcBorders>
            <w:noWrap/>
          </w:tcPr>
          <w:p w14:paraId="21DB5A26" w14:textId="4A34592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4.762***</w:t>
            </w:r>
          </w:p>
          <w:p w14:paraId="771E2D88" w14:textId="7777777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(0.000)</w:t>
            </w:r>
          </w:p>
        </w:tc>
        <w:tc>
          <w:tcPr>
            <w:tcW w:w="0" w:type="auto"/>
            <w:noWrap/>
          </w:tcPr>
          <w:p w14:paraId="5BC5B06B" w14:textId="295F3816"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0.183</w:t>
            </w:r>
          </w:p>
          <w:p w14:paraId="4A0DD602" w14:textId="62A96852"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(0.473)</w:t>
            </w:r>
          </w:p>
        </w:tc>
        <w:tc>
          <w:tcPr>
            <w:tcW w:w="0" w:type="auto"/>
          </w:tcPr>
          <w:p w14:paraId="231E9409" w14:textId="1A12AD68"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3.731***</w:t>
            </w:r>
          </w:p>
          <w:p w14:paraId="1D997F0D" w14:textId="00C91F49" w:rsidR="00E07B24" w:rsidRPr="000972D1" w:rsidRDefault="00E07B24" w:rsidP="00CE1D3F">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(0.001)</w:t>
            </w:r>
          </w:p>
        </w:tc>
        <w:tc>
          <w:tcPr>
            <w:tcW w:w="0" w:type="auto"/>
          </w:tcPr>
          <w:p w14:paraId="0246DFC5" w14:textId="77777777" w:rsidR="00E07B24" w:rsidRPr="000972D1" w:rsidRDefault="00E07B24" w:rsidP="004B5C4C">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0.299</w:t>
            </w:r>
          </w:p>
          <w:p w14:paraId="24ABD770" w14:textId="722F5EE5" w:rsidR="00E07B24" w:rsidRPr="000972D1" w:rsidRDefault="00E07B24" w:rsidP="004B5C4C">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(0.187)</w:t>
            </w:r>
          </w:p>
        </w:tc>
      </w:tr>
      <w:tr w:rsidR="00352FB3" w:rsidRPr="000972D1" w14:paraId="261A1208" w14:textId="16B212B1" w:rsidTr="005D57D0">
        <w:trPr>
          <w:trHeight w:val="300"/>
          <w:jc w:val="center"/>
        </w:trPr>
        <w:tc>
          <w:tcPr>
            <w:tcW w:w="0" w:type="auto"/>
            <w:tcBorders>
              <w:right w:val="single" w:sz="12" w:space="0" w:color="auto"/>
            </w:tcBorders>
            <w:noWrap/>
            <w:hideMark/>
          </w:tcPr>
          <w:p w14:paraId="0403A7A6" w14:textId="14818226" w:rsidR="00E07B24" w:rsidRPr="000972D1" w:rsidRDefault="00E07B24" w:rsidP="004A1E0D">
            <w:pPr>
              <w:ind w:left="-63"/>
              <w:jc w:val="both"/>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bCs/>
                <w:sz w:val="16"/>
                <w:szCs w:val="16"/>
                <w:shd w:val="clear" w:color="auto" w:fill="FFFFFF"/>
              </w:rPr>
              <w:t>UBL</w:t>
            </w:r>
          </w:p>
        </w:tc>
        <w:tc>
          <w:tcPr>
            <w:tcW w:w="0" w:type="auto"/>
          </w:tcPr>
          <w:p w14:paraId="0D6703C6" w14:textId="7777777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p>
        </w:tc>
        <w:tc>
          <w:tcPr>
            <w:tcW w:w="0" w:type="auto"/>
          </w:tcPr>
          <w:p w14:paraId="59D6C396" w14:textId="7777777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p>
        </w:tc>
        <w:tc>
          <w:tcPr>
            <w:tcW w:w="1328" w:type="dxa"/>
          </w:tcPr>
          <w:p w14:paraId="7355CD40" w14:textId="7777777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0.166***</w:t>
            </w:r>
          </w:p>
          <w:p w14:paraId="090BB06B" w14:textId="2690C299"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(0.005)</w:t>
            </w:r>
          </w:p>
        </w:tc>
        <w:tc>
          <w:tcPr>
            <w:tcW w:w="816" w:type="dxa"/>
            <w:tcBorders>
              <w:right w:val="nil"/>
            </w:tcBorders>
          </w:tcPr>
          <w:p w14:paraId="3484BA2B" w14:textId="77777777" w:rsidR="00E07B24" w:rsidRPr="000972D1" w:rsidRDefault="005D57D0"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-0.232*</w:t>
            </w:r>
          </w:p>
          <w:p w14:paraId="041074E1" w14:textId="4A836F4D" w:rsidR="005D57D0" w:rsidRPr="000972D1" w:rsidRDefault="005D57D0"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(0.065)</w:t>
            </w:r>
          </w:p>
        </w:tc>
        <w:tc>
          <w:tcPr>
            <w:tcW w:w="0" w:type="auto"/>
            <w:tcBorders>
              <w:left w:val="nil"/>
            </w:tcBorders>
            <w:noWrap/>
          </w:tcPr>
          <w:p w14:paraId="1B434501" w14:textId="04DF42C0"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-0.509</w:t>
            </w:r>
          </w:p>
          <w:p w14:paraId="7EBAE597" w14:textId="2097EAA9" w:rsidR="00E07B24" w:rsidRPr="000972D1" w:rsidRDefault="00E07B24" w:rsidP="001E4506">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(0.170)</w:t>
            </w:r>
          </w:p>
        </w:tc>
        <w:tc>
          <w:tcPr>
            <w:tcW w:w="0" w:type="auto"/>
            <w:noWrap/>
          </w:tcPr>
          <w:p w14:paraId="6306D4D4" w14:textId="51E1130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-0.083</w:t>
            </w:r>
          </w:p>
          <w:p w14:paraId="181FB657" w14:textId="20CE9CFE"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(0.334)</w:t>
            </w:r>
          </w:p>
        </w:tc>
        <w:tc>
          <w:tcPr>
            <w:tcW w:w="0" w:type="auto"/>
          </w:tcPr>
          <w:p w14:paraId="3C1D2565" w14:textId="2EB3A2BA"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-0.285</w:t>
            </w:r>
          </w:p>
          <w:p w14:paraId="688FC424" w14:textId="29B4AF54"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(0.439)</w:t>
            </w:r>
          </w:p>
        </w:tc>
        <w:tc>
          <w:tcPr>
            <w:tcW w:w="0" w:type="auto"/>
          </w:tcPr>
          <w:p w14:paraId="6F9318CE" w14:textId="3EE13DCB"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0.033</w:t>
            </w:r>
          </w:p>
          <w:p w14:paraId="6E648832" w14:textId="0F68FFC8"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(0.672)</w:t>
            </w:r>
          </w:p>
        </w:tc>
      </w:tr>
      <w:tr w:rsidR="00352FB3" w:rsidRPr="000972D1" w14:paraId="405CD3EE" w14:textId="77777777" w:rsidTr="005D57D0">
        <w:trPr>
          <w:trHeight w:val="300"/>
          <w:jc w:val="center"/>
        </w:trPr>
        <w:tc>
          <w:tcPr>
            <w:tcW w:w="0" w:type="auto"/>
            <w:tcBorders>
              <w:right w:val="single" w:sz="12" w:space="0" w:color="auto"/>
            </w:tcBorders>
            <w:noWrap/>
          </w:tcPr>
          <w:p w14:paraId="51AA66E6" w14:textId="62E6C794" w:rsidR="00E07B24" w:rsidRPr="000972D1" w:rsidRDefault="00E07B24" w:rsidP="004A1E0D">
            <w:pPr>
              <w:ind w:left="-63"/>
              <w:jc w:val="both"/>
              <w:rPr>
                <w:rFonts w:ascii="Times New Roman" w:eastAsia="Times New Roman" w:hAnsi="Times New Roman" w:cs="Times New Roman"/>
                <w:bCs/>
                <w:sz w:val="16"/>
                <w:szCs w:val="16"/>
                <w:shd w:val="clear" w:color="auto" w:fill="FFFFFF"/>
              </w:rPr>
            </w:pPr>
            <w:r w:rsidRPr="000972D1">
              <w:rPr>
                <w:rFonts w:ascii="Times New Roman" w:eastAsia="Times New Roman" w:hAnsi="Times New Roman" w:cs="Times New Roman"/>
                <w:bCs/>
                <w:sz w:val="16"/>
                <w:szCs w:val="16"/>
                <w:shd w:val="clear" w:color="auto" w:fill="FFFFFF"/>
              </w:rPr>
              <w:t>BRDGI</w:t>
            </w:r>
          </w:p>
        </w:tc>
        <w:tc>
          <w:tcPr>
            <w:tcW w:w="0" w:type="auto"/>
          </w:tcPr>
          <w:p w14:paraId="24C9A5A8" w14:textId="7777777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4.349***</w:t>
            </w:r>
          </w:p>
          <w:p w14:paraId="113A66D1" w14:textId="783FA09B"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(0.000)</w:t>
            </w:r>
          </w:p>
        </w:tc>
        <w:tc>
          <w:tcPr>
            <w:tcW w:w="0" w:type="auto"/>
          </w:tcPr>
          <w:p w14:paraId="1B7780C6" w14:textId="7777777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0.145</w:t>
            </w:r>
          </w:p>
          <w:p w14:paraId="08870A90" w14:textId="1260B73E"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(0.489)</w:t>
            </w:r>
          </w:p>
        </w:tc>
        <w:tc>
          <w:tcPr>
            <w:tcW w:w="1328" w:type="dxa"/>
          </w:tcPr>
          <w:p w14:paraId="3FACF75A" w14:textId="7777777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p>
        </w:tc>
        <w:tc>
          <w:tcPr>
            <w:tcW w:w="816" w:type="dxa"/>
            <w:tcBorders>
              <w:right w:val="nil"/>
            </w:tcBorders>
          </w:tcPr>
          <w:p w14:paraId="4023F102" w14:textId="48B9F0BF" w:rsidR="00E07B24" w:rsidRPr="000972D1" w:rsidRDefault="005D57D0"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c>
          <w:tcPr>
            <w:tcW w:w="0" w:type="auto"/>
            <w:tcBorders>
              <w:left w:val="nil"/>
            </w:tcBorders>
            <w:noWrap/>
          </w:tcPr>
          <w:p w14:paraId="699A04A5" w14:textId="066086E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p>
        </w:tc>
        <w:tc>
          <w:tcPr>
            <w:tcW w:w="0" w:type="auto"/>
            <w:noWrap/>
          </w:tcPr>
          <w:p w14:paraId="54B11CAF" w14:textId="7777777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p>
        </w:tc>
        <w:tc>
          <w:tcPr>
            <w:tcW w:w="0" w:type="auto"/>
          </w:tcPr>
          <w:p w14:paraId="2DBA0B14" w14:textId="13B703BB"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c>
          <w:tcPr>
            <w:tcW w:w="0" w:type="auto"/>
          </w:tcPr>
          <w:p w14:paraId="5547D901" w14:textId="4A2965AF"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r>
      <w:tr w:rsidR="00352FB3" w:rsidRPr="000972D1" w14:paraId="51BE5746" w14:textId="052AD63D" w:rsidTr="005D57D0">
        <w:trPr>
          <w:trHeight w:val="300"/>
          <w:jc w:val="center"/>
        </w:trPr>
        <w:tc>
          <w:tcPr>
            <w:tcW w:w="0" w:type="auto"/>
            <w:tcBorders>
              <w:right w:val="single" w:sz="12" w:space="0" w:color="auto"/>
            </w:tcBorders>
            <w:noWrap/>
          </w:tcPr>
          <w:p w14:paraId="513275A0" w14:textId="5293FD14" w:rsidR="00E07B24" w:rsidRPr="000972D1" w:rsidRDefault="00E07B24" w:rsidP="00786764">
            <w:pPr>
              <w:ind w:left="-63"/>
              <w:jc w:val="both"/>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GOSH</w:t>
            </w:r>
          </w:p>
        </w:tc>
        <w:tc>
          <w:tcPr>
            <w:tcW w:w="0" w:type="auto"/>
          </w:tcPr>
          <w:p w14:paraId="146B3D2E" w14:textId="7777777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p>
        </w:tc>
        <w:tc>
          <w:tcPr>
            <w:tcW w:w="0" w:type="auto"/>
          </w:tcPr>
          <w:p w14:paraId="4BB7D9A2" w14:textId="7777777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p>
        </w:tc>
        <w:tc>
          <w:tcPr>
            <w:tcW w:w="1328" w:type="dxa"/>
          </w:tcPr>
          <w:p w14:paraId="1A861EBB" w14:textId="7777777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0.439***</w:t>
            </w:r>
          </w:p>
          <w:p w14:paraId="4192DAE5" w14:textId="41C5234B"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(0.000)</w:t>
            </w:r>
          </w:p>
        </w:tc>
        <w:tc>
          <w:tcPr>
            <w:tcW w:w="816" w:type="dxa"/>
            <w:tcBorders>
              <w:right w:val="nil"/>
            </w:tcBorders>
          </w:tcPr>
          <w:p w14:paraId="2F51C473" w14:textId="77777777" w:rsidR="00E07B24" w:rsidRPr="000972D1" w:rsidRDefault="005D57D0"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-0.083</w:t>
            </w:r>
          </w:p>
          <w:p w14:paraId="1631392C" w14:textId="2C33EE4A" w:rsidR="005D57D0" w:rsidRPr="000972D1" w:rsidRDefault="005D57D0"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(0.717)</w:t>
            </w:r>
          </w:p>
        </w:tc>
        <w:tc>
          <w:tcPr>
            <w:tcW w:w="0" w:type="auto"/>
            <w:tcBorders>
              <w:left w:val="nil"/>
            </w:tcBorders>
            <w:noWrap/>
          </w:tcPr>
          <w:p w14:paraId="17D76839" w14:textId="3DE1B032"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-0.667</w:t>
            </w:r>
          </w:p>
          <w:p w14:paraId="3DC6182B" w14:textId="4BD21994"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(0.315)</w:t>
            </w:r>
          </w:p>
        </w:tc>
        <w:tc>
          <w:tcPr>
            <w:tcW w:w="0" w:type="auto"/>
            <w:noWrap/>
          </w:tcPr>
          <w:p w14:paraId="7399EBB4" w14:textId="77E7F3A5"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0.173</w:t>
            </w:r>
          </w:p>
          <w:p w14:paraId="72F46088" w14:textId="640D93B2"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(0.254)</w:t>
            </w:r>
          </w:p>
        </w:tc>
        <w:tc>
          <w:tcPr>
            <w:tcW w:w="0" w:type="auto"/>
          </w:tcPr>
          <w:p w14:paraId="18344D9F" w14:textId="5D456FC6"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p w14:paraId="55FCBF7C" w14:textId="4BDDF58A" w:rsidR="00E07B24" w:rsidRPr="000972D1" w:rsidRDefault="00E07B24" w:rsidP="00786764">
            <w:pPr>
              <w:jc w:val="center"/>
              <w:rPr>
                <w:rFonts w:ascii="Times New Roman" w:eastAsia="Times New Roman" w:hAnsi="Times New Roman" w:cs="Times New Roman"/>
                <w:sz w:val="16"/>
                <w:szCs w:val="16"/>
                <w:shd w:val="clear" w:color="auto" w:fill="FFFFFF"/>
                <w:lang w:val="en-US"/>
              </w:rPr>
            </w:pPr>
          </w:p>
        </w:tc>
        <w:tc>
          <w:tcPr>
            <w:tcW w:w="0" w:type="auto"/>
          </w:tcPr>
          <w:p w14:paraId="5C4ACB84" w14:textId="2D29A18C"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r>
      <w:tr w:rsidR="00352FB3" w:rsidRPr="000972D1" w14:paraId="51B55B74" w14:textId="0B618013" w:rsidTr="005D57D0">
        <w:trPr>
          <w:trHeight w:val="300"/>
          <w:jc w:val="center"/>
        </w:trPr>
        <w:tc>
          <w:tcPr>
            <w:tcW w:w="0" w:type="auto"/>
            <w:tcBorders>
              <w:right w:val="single" w:sz="12" w:space="0" w:color="auto"/>
            </w:tcBorders>
            <w:noWrap/>
          </w:tcPr>
          <w:p w14:paraId="0E26FB7D" w14:textId="6EEA43B2" w:rsidR="00E07B24" w:rsidRPr="000972D1" w:rsidRDefault="00E07B24" w:rsidP="00786764">
            <w:pPr>
              <w:ind w:left="-63"/>
              <w:jc w:val="both"/>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GOSH</w:t>
            </w:r>
            <w:r w:rsidRPr="000972D1">
              <w:rPr>
                <w:rFonts w:ascii="Times New Roman" w:eastAsia="Times New Roman" w:hAnsi="Times New Roman" w:cs="Times New Roman"/>
                <w:sz w:val="16"/>
                <w:szCs w:val="16"/>
                <w:shd w:val="clear" w:color="auto" w:fill="FFFFFF"/>
                <w:vertAlign w:val="superscript"/>
                <w:lang w:val="en-US"/>
              </w:rPr>
              <w:t>2</w:t>
            </w:r>
          </w:p>
        </w:tc>
        <w:tc>
          <w:tcPr>
            <w:tcW w:w="0" w:type="auto"/>
          </w:tcPr>
          <w:p w14:paraId="11A4D89D" w14:textId="7777777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p>
        </w:tc>
        <w:tc>
          <w:tcPr>
            <w:tcW w:w="0" w:type="auto"/>
          </w:tcPr>
          <w:p w14:paraId="1281BB7D" w14:textId="7777777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p>
        </w:tc>
        <w:tc>
          <w:tcPr>
            <w:tcW w:w="1328" w:type="dxa"/>
          </w:tcPr>
          <w:p w14:paraId="08D4AD74" w14:textId="7777777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p>
        </w:tc>
        <w:tc>
          <w:tcPr>
            <w:tcW w:w="816" w:type="dxa"/>
            <w:tcBorders>
              <w:right w:val="nil"/>
            </w:tcBorders>
          </w:tcPr>
          <w:p w14:paraId="17F7EC4F" w14:textId="6942F4E5" w:rsidR="00E07B24" w:rsidRPr="000972D1" w:rsidRDefault="005D57D0"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c>
          <w:tcPr>
            <w:tcW w:w="0" w:type="auto"/>
            <w:tcBorders>
              <w:left w:val="nil"/>
            </w:tcBorders>
            <w:noWrap/>
          </w:tcPr>
          <w:p w14:paraId="088AA2D6" w14:textId="796AF9A3"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c>
          <w:tcPr>
            <w:tcW w:w="0" w:type="auto"/>
            <w:noWrap/>
          </w:tcPr>
          <w:p w14:paraId="4995969A" w14:textId="2F11E501"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c>
          <w:tcPr>
            <w:tcW w:w="0" w:type="auto"/>
          </w:tcPr>
          <w:p w14:paraId="4563C61F" w14:textId="7BB3AD4F"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-2.060**</w:t>
            </w:r>
          </w:p>
          <w:p w14:paraId="7383C665" w14:textId="7E518D13" w:rsidR="00E07B24" w:rsidRPr="000972D1" w:rsidRDefault="00E07B24" w:rsidP="00CE1D3F">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(0.033)</w:t>
            </w:r>
          </w:p>
        </w:tc>
        <w:tc>
          <w:tcPr>
            <w:tcW w:w="0" w:type="auto"/>
          </w:tcPr>
          <w:p w14:paraId="6668C006" w14:textId="4C8750EC"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-0.549***</w:t>
            </w:r>
          </w:p>
          <w:p w14:paraId="215F0BCD" w14:textId="52188D50" w:rsidR="00E07B24" w:rsidRPr="000972D1" w:rsidRDefault="00E07B24" w:rsidP="004B5C4C">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(0.002)</w:t>
            </w:r>
          </w:p>
        </w:tc>
      </w:tr>
      <w:tr w:rsidR="00352FB3" w:rsidRPr="000972D1" w14:paraId="77361F6D" w14:textId="2CD291AA" w:rsidTr="005D57D0">
        <w:trPr>
          <w:trHeight w:val="300"/>
          <w:jc w:val="center"/>
        </w:trPr>
        <w:tc>
          <w:tcPr>
            <w:tcW w:w="0" w:type="auto"/>
            <w:tcBorders>
              <w:right w:val="single" w:sz="12" w:space="0" w:color="auto"/>
            </w:tcBorders>
            <w:noWrap/>
            <w:hideMark/>
          </w:tcPr>
          <w:p w14:paraId="3582589E" w14:textId="329E43E7" w:rsidR="00E07B24" w:rsidRPr="000972D1" w:rsidRDefault="00E07B24" w:rsidP="00786764">
            <w:pPr>
              <w:ind w:left="-63"/>
              <w:jc w:val="both"/>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DISH</w:t>
            </w:r>
          </w:p>
        </w:tc>
        <w:tc>
          <w:tcPr>
            <w:tcW w:w="0" w:type="auto"/>
          </w:tcPr>
          <w:p w14:paraId="0C66AD4D" w14:textId="7777777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p>
        </w:tc>
        <w:tc>
          <w:tcPr>
            <w:tcW w:w="0" w:type="auto"/>
          </w:tcPr>
          <w:p w14:paraId="76B2BE49" w14:textId="7777777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p>
        </w:tc>
        <w:tc>
          <w:tcPr>
            <w:tcW w:w="1328" w:type="dxa"/>
          </w:tcPr>
          <w:p w14:paraId="42E7D4D4" w14:textId="7777777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-0.082</w:t>
            </w:r>
          </w:p>
          <w:p w14:paraId="71359CF5" w14:textId="7626D44E"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(0.346)</w:t>
            </w:r>
          </w:p>
        </w:tc>
        <w:tc>
          <w:tcPr>
            <w:tcW w:w="816" w:type="dxa"/>
            <w:tcBorders>
              <w:right w:val="nil"/>
            </w:tcBorders>
          </w:tcPr>
          <w:p w14:paraId="5F4952A4" w14:textId="77777777" w:rsidR="00E07B24" w:rsidRPr="000972D1" w:rsidRDefault="005D57D0"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-0.179</w:t>
            </w:r>
          </w:p>
          <w:p w14:paraId="0AC4CB54" w14:textId="269CEE6F" w:rsidR="005D57D0" w:rsidRPr="000972D1" w:rsidRDefault="005D57D0"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(0.383)</w:t>
            </w:r>
          </w:p>
        </w:tc>
        <w:tc>
          <w:tcPr>
            <w:tcW w:w="0" w:type="auto"/>
            <w:tcBorders>
              <w:left w:val="nil"/>
            </w:tcBorders>
            <w:noWrap/>
          </w:tcPr>
          <w:p w14:paraId="648E7951" w14:textId="1D31638D"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-0.228</w:t>
            </w:r>
          </w:p>
          <w:p w14:paraId="48D1030C" w14:textId="75FFAC60"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(0.700)</w:t>
            </w:r>
          </w:p>
        </w:tc>
        <w:tc>
          <w:tcPr>
            <w:tcW w:w="0" w:type="auto"/>
            <w:noWrap/>
          </w:tcPr>
          <w:p w14:paraId="156ECF69" w14:textId="40132F32"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0.228</w:t>
            </w:r>
          </w:p>
          <w:p w14:paraId="57179FC6" w14:textId="7D611845"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(0.106)</w:t>
            </w:r>
          </w:p>
        </w:tc>
        <w:tc>
          <w:tcPr>
            <w:tcW w:w="0" w:type="auto"/>
          </w:tcPr>
          <w:p w14:paraId="78B3242A" w14:textId="3366580D"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p w14:paraId="021BA0FC" w14:textId="784CB353" w:rsidR="00E07B24" w:rsidRPr="000972D1" w:rsidRDefault="00E07B24" w:rsidP="00786764">
            <w:pPr>
              <w:jc w:val="center"/>
              <w:rPr>
                <w:rFonts w:ascii="Times New Roman" w:eastAsia="Times New Roman" w:hAnsi="Times New Roman" w:cs="Times New Roman"/>
                <w:sz w:val="16"/>
                <w:szCs w:val="16"/>
                <w:shd w:val="clear" w:color="auto" w:fill="FFFFFF"/>
                <w:lang w:val="en-US"/>
              </w:rPr>
            </w:pPr>
          </w:p>
        </w:tc>
        <w:tc>
          <w:tcPr>
            <w:tcW w:w="0" w:type="auto"/>
          </w:tcPr>
          <w:p w14:paraId="300DE896" w14:textId="4013C76F"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p w14:paraId="78FB942C" w14:textId="34429CCE" w:rsidR="00E07B24" w:rsidRPr="000972D1" w:rsidRDefault="00E07B24" w:rsidP="00786764">
            <w:pPr>
              <w:jc w:val="center"/>
              <w:rPr>
                <w:rFonts w:ascii="Times New Roman" w:eastAsia="Times New Roman" w:hAnsi="Times New Roman" w:cs="Times New Roman"/>
                <w:sz w:val="16"/>
                <w:szCs w:val="16"/>
                <w:shd w:val="clear" w:color="auto" w:fill="FFFFFF"/>
                <w:lang w:val="en-US"/>
              </w:rPr>
            </w:pPr>
          </w:p>
        </w:tc>
      </w:tr>
      <w:tr w:rsidR="00352FB3" w:rsidRPr="000972D1" w14:paraId="46FC565D" w14:textId="7E0D7BE3" w:rsidTr="005D57D0">
        <w:trPr>
          <w:trHeight w:val="300"/>
          <w:jc w:val="center"/>
        </w:trPr>
        <w:tc>
          <w:tcPr>
            <w:tcW w:w="0" w:type="auto"/>
            <w:tcBorders>
              <w:right w:val="single" w:sz="12" w:space="0" w:color="auto"/>
            </w:tcBorders>
            <w:noWrap/>
          </w:tcPr>
          <w:p w14:paraId="72608B9C" w14:textId="1AF43B8A" w:rsidR="00E07B24" w:rsidRPr="000972D1" w:rsidRDefault="00E07B24" w:rsidP="00786764">
            <w:pPr>
              <w:ind w:left="-63"/>
              <w:jc w:val="both"/>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DISH</w:t>
            </w:r>
            <w:r w:rsidRPr="000972D1">
              <w:rPr>
                <w:rFonts w:ascii="Times New Roman" w:eastAsia="Times New Roman" w:hAnsi="Times New Roman" w:cs="Times New Roman"/>
                <w:sz w:val="16"/>
                <w:szCs w:val="16"/>
                <w:shd w:val="clear" w:color="auto" w:fill="FFFFFF"/>
                <w:vertAlign w:val="superscript"/>
                <w:lang w:val="en-US"/>
              </w:rPr>
              <w:t xml:space="preserve"> 2</w:t>
            </w:r>
          </w:p>
        </w:tc>
        <w:tc>
          <w:tcPr>
            <w:tcW w:w="0" w:type="auto"/>
          </w:tcPr>
          <w:p w14:paraId="2B1CF6C2" w14:textId="7777777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p>
        </w:tc>
        <w:tc>
          <w:tcPr>
            <w:tcW w:w="0" w:type="auto"/>
          </w:tcPr>
          <w:p w14:paraId="6962FC9C" w14:textId="7777777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p>
        </w:tc>
        <w:tc>
          <w:tcPr>
            <w:tcW w:w="1328" w:type="dxa"/>
          </w:tcPr>
          <w:p w14:paraId="35EE3851" w14:textId="7777777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p>
        </w:tc>
        <w:tc>
          <w:tcPr>
            <w:tcW w:w="816" w:type="dxa"/>
            <w:tcBorders>
              <w:right w:val="nil"/>
            </w:tcBorders>
          </w:tcPr>
          <w:p w14:paraId="66E891F6" w14:textId="2906143B" w:rsidR="00E07B24" w:rsidRPr="000972D1" w:rsidRDefault="005D57D0"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c>
          <w:tcPr>
            <w:tcW w:w="0" w:type="auto"/>
            <w:tcBorders>
              <w:left w:val="nil"/>
            </w:tcBorders>
            <w:noWrap/>
          </w:tcPr>
          <w:p w14:paraId="7CD8D8FA" w14:textId="3AB90459"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c>
          <w:tcPr>
            <w:tcW w:w="0" w:type="auto"/>
            <w:noWrap/>
          </w:tcPr>
          <w:p w14:paraId="2608F206" w14:textId="5E9E2FC8"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c>
          <w:tcPr>
            <w:tcW w:w="0" w:type="auto"/>
          </w:tcPr>
          <w:p w14:paraId="47E010FF" w14:textId="5B660F15"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-1.424**</w:t>
            </w:r>
          </w:p>
          <w:p w14:paraId="7EE3EDD0" w14:textId="1F953965"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(0.018)</w:t>
            </w:r>
          </w:p>
        </w:tc>
        <w:tc>
          <w:tcPr>
            <w:tcW w:w="0" w:type="auto"/>
          </w:tcPr>
          <w:p w14:paraId="5D01CBE5" w14:textId="2B1C0091"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0.268**</w:t>
            </w:r>
          </w:p>
          <w:p w14:paraId="09274F2F" w14:textId="14FECCF2"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(0.031)</w:t>
            </w:r>
          </w:p>
        </w:tc>
      </w:tr>
      <w:tr w:rsidR="00352FB3" w:rsidRPr="000972D1" w14:paraId="2A3107E5" w14:textId="2856EBF0" w:rsidTr="005D57D0">
        <w:trPr>
          <w:trHeight w:val="300"/>
          <w:jc w:val="center"/>
        </w:trPr>
        <w:tc>
          <w:tcPr>
            <w:tcW w:w="0" w:type="auto"/>
            <w:tcBorders>
              <w:right w:val="single" w:sz="12" w:space="0" w:color="auto"/>
            </w:tcBorders>
            <w:noWrap/>
          </w:tcPr>
          <w:p w14:paraId="5989F856" w14:textId="2B3E4E90" w:rsidR="00E07B24" w:rsidRPr="000972D1" w:rsidRDefault="00E07B24" w:rsidP="00786764">
            <w:pPr>
              <w:ind w:left="-63"/>
              <w:jc w:val="both"/>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FLSH</w:t>
            </w:r>
          </w:p>
        </w:tc>
        <w:tc>
          <w:tcPr>
            <w:tcW w:w="0" w:type="auto"/>
          </w:tcPr>
          <w:p w14:paraId="7691A449" w14:textId="7777777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p>
        </w:tc>
        <w:tc>
          <w:tcPr>
            <w:tcW w:w="0" w:type="auto"/>
          </w:tcPr>
          <w:p w14:paraId="31866049" w14:textId="7777777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p>
        </w:tc>
        <w:tc>
          <w:tcPr>
            <w:tcW w:w="1328" w:type="dxa"/>
          </w:tcPr>
          <w:p w14:paraId="263B2CB2" w14:textId="7777777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-0.040</w:t>
            </w:r>
          </w:p>
          <w:p w14:paraId="2970F3FD" w14:textId="472E6A14"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(0.656)</w:t>
            </w:r>
          </w:p>
        </w:tc>
        <w:tc>
          <w:tcPr>
            <w:tcW w:w="816" w:type="dxa"/>
            <w:tcBorders>
              <w:right w:val="nil"/>
            </w:tcBorders>
          </w:tcPr>
          <w:p w14:paraId="6D73CEDF" w14:textId="77777777" w:rsidR="00E07B24" w:rsidRPr="000972D1" w:rsidRDefault="005D57D0"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-0.380*</w:t>
            </w:r>
          </w:p>
          <w:p w14:paraId="0FAF6BFE" w14:textId="7B6FDF6B" w:rsidR="005D57D0" w:rsidRPr="000972D1" w:rsidRDefault="005D57D0"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(0.073)</w:t>
            </w:r>
          </w:p>
        </w:tc>
        <w:tc>
          <w:tcPr>
            <w:tcW w:w="0" w:type="auto"/>
            <w:tcBorders>
              <w:left w:val="nil"/>
            </w:tcBorders>
            <w:noWrap/>
          </w:tcPr>
          <w:p w14:paraId="1D08F12F" w14:textId="03347D16"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-1.465**</w:t>
            </w:r>
          </w:p>
          <w:p w14:paraId="7B1947CD" w14:textId="66D0AC5F" w:rsidR="00E07B24" w:rsidRPr="000972D1" w:rsidRDefault="00E07B24" w:rsidP="001E4506">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(0.014)</w:t>
            </w:r>
          </w:p>
        </w:tc>
        <w:tc>
          <w:tcPr>
            <w:tcW w:w="0" w:type="auto"/>
            <w:noWrap/>
          </w:tcPr>
          <w:p w14:paraId="13E4785D" w14:textId="05E69621"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-0.352**</w:t>
            </w:r>
          </w:p>
          <w:p w14:paraId="3EEA490C" w14:textId="5B0BD67E"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(0.016)</w:t>
            </w:r>
          </w:p>
        </w:tc>
        <w:tc>
          <w:tcPr>
            <w:tcW w:w="0" w:type="auto"/>
          </w:tcPr>
          <w:p w14:paraId="05EB7D50" w14:textId="3F15CACC" w:rsidR="00E07B24" w:rsidRPr="000972D1" w:rsidRDefault="00E07B24" w:rsidP="00CE1D3F">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c>
          <w:tcPr>
            <w:tcW w:w="0" w:type="auto"/>
          </w:tcPr>
          <w:p w14:paraId="71602AF4" w14:textId="0E091FFB"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p w14:paraId="36331365" w14:textId="0F1C9F4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p>
        </w:tc>
      </w:tr>
      <w:tr w:rsidR="00352FB3" w:rsidRPr="000972D1" w14:paraId="4910A4CB" w14:textId="6443141B" w:rsidTr="005D57D0">
        <w:trPr>
          <w:trHeight w:val="300"/>
          <w:jc w:val="center"/>
        </w:trPr>
        <w:tc>
          <w:tcPr>
            <w:tcW w:w="0" w:type="auto"/>
            <w:tcBorders>
              <w:right w:val="single" w:sz="12" w:space="0" w:color="auto"/>
            </w:tcBorders>
            <w:noWrap/>
          </w:tcPr>
          <w:p w14:paraId="36089B48" w14:textId="0ED423D8" w:rsidR="00E07B24" w:rsidRPr="000972D1" w:rsidRDefault="00E07B24" w:rsidP="00786764">
            <w:pPr>
              <w:ind w:left="-63"/>
              <w:jc w:val="both"/>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FLSH</w:t>
            </w:r>
            <w:r w:rsidRPr="000972D1">
              <w:rPr>
                <w:rFonts w:ascii="Times New Roman" w:eastAsia="Times New Roman" w:hAnsi="Times New Roman" w:cs="Times New Roman"/>
                <w:sz w:val="16"/>
                <w:szCs w:val="16"/>
                <w:shd w:val="clear" w:color="auto" w:fill="FFFFFF"/>
                <w:vertAlign w:val="superscript"/>
                <w:lang w:val="en-US"/>
              </w:rPr>
              <w:t>2</w:t>
            </w:r>
          </w:p>
        </w:tc>
        <w:tc>
          <w:tcPr>
            <w:tcW w:w="0" w:type="auto"/>
          </w:tcPr>
          <w:p w14:paraId="7A980292" w14:textId="7777777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p>
        </w:tc>
        <w:tc>
          <w:tcPr>
            <w:tcW w:w="0" w:type="auto"/>
          </w:tcPr>
          <w:p w14:paraId="2FC957DE" w14:textId="7777777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p>
        </w:tc>
        <w:tc>
          <w:tcPr>
            <w:tcW w:w="1328" w:type="dxa"/>
          </w:tcPr>
          <w:p w14:paraId="3B104E0F" w14:textId="7777777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p>
        </w:tc>
        <w:tc>
          <w:tcPr>
            <w:tcW w:w="816" w:type="dxa"/>
            <w:tcBorders>
              <w:right w:val="nil"/>
            </w:tcBorders>
          </w:tcPr>
          <w:p w14:paraId="2F23B2F5" w14:textId="0DDB16CB" w:rsidR="00E07B24" w:rsidRPr="000972D1" w:rsidRDefault="005D57D0"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c>
          <w:tcPr>
            <w:tcW w:w="0" w:type="auto"/>
            <w:tcBorders>
              <w:left w:val="nil"/>
            </w:tcBorders>
            <w:noWrap/>
          </w:tcPr>
          <w:p w14:paraId="0339F0C0" w14:textId="57CEAF30"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c>
          <w:tcPr>
            <w:tcW w:w="0" w:type="auto"/>
            <w:noWrap/>
          </w:tcPr>
          <w:p w14:paraId="60D5B630" w14:textId="1230A570"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c>
          <w:tcPr>
            <w:tcW w:w="0" w:type="auto"/>
          </w:tcPr>
          <w:p w14:paraId="2DB32104" w14:textId="1C43A804"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-2.309***</w:t>
            </w:r>
          </w:p>
          <w:p w14:paraId="0B369132" w14:textId="658DB375"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(0.000)</w:t>
            </w:r>
          </w:p>
        </w:tc>
        <w:tc>
          <w:tcPr>
            <w:tcW w:w="0" w:type="auto"/>
          </w:tcPr>
          <w:p w14:paraId="2A9686E2" w14:textId="730946F5"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-0.353***</w:t>
            </w:r>
          </w:p>
          <w:p w14:paraId="476CDAAB" w14:textId="74D693E2" w:rsidR="00E07B24" w:rsidRPr="000972D1" w:rsidRDefault="00E07B24" w:rsidP="004B5C4C">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(0.004)</w:t>
            </w:r>
          </w:p>
        </w:tc>
      </w:tr>
      <w:tr w:rsidR="00352FB3" w:rsidRPr="000972D1" w14:paraId="797ED299" w14:textId="77777777" w:rsidTr="005D57D0">
        <w:trPr>
          <w:trHeight w:val="300"/>
          <w:jc w:val="center"/>
        </w:trPr>
        <w:tc>
          <w:tcPr>
            <w:tcW w:w="0" w:type="auto"/>
            <w:tcBorders>
              <w:right w:val="single" w:sz="12" w:space="0" w:color="auto"/>
            </w:tcBorders>
            <w:noWrap/>
          </w:tcPr>
          <w:p w14:paraId="04AFC1C4" w14:textId="34D458FB" w:rsidR="00E07B24" w:rsidRPr="000972D1" w:rsidRDefault="00E07B24" w:rsidP="00786764">
            <w:pPr>
              <w:ind w:left="-63"/>
              <w:jc w:val="both"/>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SHRGI</w:t>
            </w:r>
          </w:p>
        </w:tc>
        <w:tc>
          <w:tcPr>
            <w:tcW w:w="0" w:type="auto"/>
          </w:tcPr>
          <w:p w14:paraId="3C014382" w14:textId="7777777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0.017</w:t>
            </w:r>
          </w:p>
          <w:p w14:paraId="65A92410" w14:textId="4B03584C"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(0.964)</w:t>
            </w:r>
          </w:p>
        </w:tc>
        <w:tc>
          <w:tcPr>
            <w:tcW w:w="0" w:type="auto"/>
          </w:tcPr>
          <w:p w14:paraId="23628A3C" w14:textId="7777777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0.357***</w:t>
            </w:r>
          </w:p>
          <w:p w14:paraId="24D96BEE" w14:textId="2BBDB0BA"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(0.000)</w:t>
            </w:r>
          </w:p>
        </w:tc>
        <w:tc>
          <w:tcPr>
            <w:tcW w:w="1328" w:type="dxa"/>
          </w:tcPr>
          <w:p w14:paraId="440E5570" w14:textId="7777777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p>
        </w:tc>
        <w:tc>
          <w:tcPr>
            <w:tcW w:w="816" w:type="dxa"/>
            <w:tcBorders>
              <w:right w:val="nil"/>
            </w:tcBorders>
          </w:tcPr>
          <w:p w14:paraId="02896772" w14:textId="144F24F5" w:rsidR="00E07B24" w:rsidRPr="000972D1" w:rsidRDefault="005D57D0"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c>
          <w:tcPr>
            <w:tcW w:w="0" w:type="auto"/>
            <w:tcBorders>
              <w:left w:val="nil"/>
            </w:tcBorders>
            <w:noWrap/>
          </w:tcPr>
          <w:p w14:paraId="74F08A91" w14:textId="079537C6"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c>
          <w:tcPr>
            <w:tcW w:w="0" w:type="auto"/>
            <w:noWrap/>
          </w:tcPr>
          <w:p w14:paraId="4B00D78F" w14:textId="7030749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c>
          <w:tcPr>
            <w:tcW w:w="0" w:type="auto"/>
          </w:tcPr>
          <w:p w14:paraId="290A15C0" w14:textId="082A7B08"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c>
          <w:tcPr>
            <w:tcW w:w="0" w:type="auto"/>
          </w:tcPr>
          <w:p w14:paraId="02F12E03" w14:textId="66F42A1A"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r>
      <w:tr w:rsidR="00352FB3" w:rsidRPr="000972D1" w14:paraId="4AC5D017" w14:textId="77777777" w:rsidTr="005D57D0">
        <w:trPr>
          <w:trHeight w:val="300"/>
          <w:jc w:val="center"/>
        </w:trPr>
        <w:tc>
          <w:tcPr>
            <w:tcW w:w="0" w:type="auto"/>
            <w:tcBorders>
              <w:right w:val="single" w:sz="12" w:space="0" w:color="auto"/>
            </w:tcBorders>
            <w:noWrap/>
          </w:tcPr>
          <w:p w14:paraId="0324AAFC" w14:textId="165DE8EE" w:rsidR="00E07B24" w:rsidRPr="000972D1" w:rsidRDefault="00E07B24" w:rsidP="00786764">
            <w:pPr>
              <w:ind w:left="-63"/>
              <w:jc w:val="both"/>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NGI</w:t>
            </w:r>
          </w:p>
        </w:tc>
        <w:tc>
          <w:tcPr>
            <w:tcW w:w="0" w:type="auto"/>
          </w:tcPr>
          <w:p w14:paraId="5A5F29E8" w14:textId="7777777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-0.150</w:t>
            </w:r>
          </w:p>
          <w:p w14:paraId="30C02C96" w14:textId="5E7CB801"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(0.884)</w:t>
            </w:r>
          </w:p>
        </w:tc>
        <w:tc>
          <w:tcPr>
            <w:tcW w:w="0" w:type="auto"/>
          </w:tcPr>
          <w:p w14:paraId="249453E9" w14:textId="7777777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2.255***</w:t>
            </w:r>
          </w:p>
          <w:p w14:paraId="577B4252" w14:textId="37177F32"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(0.000)</w:t>
            </w:r>
          </w:p>
        </w:tc>
        <w:tc>
          <w:tcPr>
            <w:tcW w:w="1328" w:type="dxa"/>
          </w:tcPr>
          <w:p w14:paraId="792F6E04" w14:textId="49A542BB"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0.307</w:t>
            </w:r>
          </w:p>
          <w:p w14:paraId="2EAC2DBD" w14:textId="575742A9" w:rsidR="00E07B24" w:rsidRPr="000972D1" w:rsidRDefault="004B4FC5"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w:t>
            </w:r>
            <w:r w:rsidR="00E07B24" w:rsidRPr="000972D1">
              <w:rPr>
                <w:rFonts w:ascii="Times New Roman" w:eastAsia="Times New Roman" w:hAnsi="Times New Roman" w:cs="Times New Roman"/>
                <w:sz w:val="16"/>
                <w:szCs w:val="16"/>
                <w:shd w:val="clear" w:color="auto" w:fill="FFFFFF"/>
                <w:lang w:val="en-US"/>
              </w:rPr>
              <w:t>75</w:t>
            </w:r>
            <w:r w:rsidRPr="000972D1">
              <w:rPr>
                <w:rFonts w:ascii="Times New Roman" w:eastAsia="Times New Roman" w:hAnsi="Times New Roman" w:cs="Times New Roman"/>
                <w:sz w:val="16"/>
                <w:szCs w:val="16"/>
                <w:shd w:val="clear" w:color="auto" w:fill="FFFFFF"/>
                <w:lang w:val="en-US"/>
              </w:rPr>
              <w:t>0</w:t>
            </w:r>
            <w:r w:rsidR="00E07B24" w:rsidRPr="000972D1">
              <w:rPr>
                <w:rFonts w:ascii="Times New Roman" w:eastAsia="Times New Roman" w:hAnsi="Times New Roman" w:cs="Times New Roman"/>
                <w:sz w:val="16"/>
                <w:szCs w:val="16"/>
                <w:shd w:val="clear" w:color="auto" w:fill="FFFFFF"/>
                <w:lang w:val="en-US"/>
              </w:rPr>
              <w:t>)</w:t>
            </w:r>
          </w:p>
        </w:tc>
        <w:tc>
          <w:tcPr>
            <w:tcW w:w="816" w:type="dxa"/>
            <w:tcBorders>
              <w:right w:val="nil"/>
            </w:tcBorders>
          </w:tcPr>
          <w:p w14:paraId="0E0D2048" w14:textId="63760003" w:rsidR="00E07B24" w:rsidRPr="000972D1" w:rsidRDefault="004B4FC5"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w:t>
            </w:r>
            <w:r w:rsidR="005D57D0" w:rsidRPr="000972D1">
              <w:rPr>
                <w:rFonts w:ascii="Times New Roman" w:eastAsia="Times New Roman" w:hAnsi="Times New Roman" w:cs="Times New Roman"/>
                <w:sz w:val="16"/>
                <w:szCs w:val="16"/>
                <w:shd w:val="clear" w:color="auto" w:fill="FFFFFF"/>
                <w:lang w:val="en-US"/>
              </w:rPr>
              <w:t>.227</w:t>
            </w:r>
            <w:r w:rsidRPr="000972D1">
              <w:rPr>
                <w:rFonts w:ascii="Times New Roman" w:eastAsia="Times New Roman" w:hAnsi="Times New Roman" w:cs="Times New Roman"/>
                <w:sz w:val="16"/>
                <w:szCs w:val="16"/>
                <w:shd w:val="clear" w:color="auto" w:fill="FFFFFF"/>
                <w:lang w:val="en-US"/>
              </w:rPr>
              <w:t>*</w:t>
            </w:r>
          </w:p>
          <w:p w14:paraId="2ADF4982" w14:textId="55AB31AB" w:rsidR="005D57D0" w:rsidRPr="000972D1" w:rsidRDefault="005D57D0" w:rsidP="004B4FC5">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w:t>
            </w:r>
            <w:r w:rsidR="004B4FC5" w:rsidRPr="000972D1">
              <w:rPr>
                <w:rFonts w:ascii="Times New Roman" w:eastAsia="Times New Roman" w:hAnsi="Times New Roman" w:cs="Times New Roman"/>
                <w:sz w:val="16"/>
                <w:szCs w:val="16"/>
                <w:shd w:val="clear" w:color="auto" w:fill="FFFFFF"/>
                <w:lang w:val="en-US"/>
              </w:rPr>
              <w:t>0</w:t>
            </w:r>
            <w:r w:rsidRPr="000972D1">
              <w:rPr>
                <w:rFonts w:ascii="Times New Roman" w:eastAsia="Times New Roman" w:hAnsi="Times New Roman" w:cs="Times New Roman"/>
                <w:sz w:val="16"/>
                <w:szCs w:val="16"/>
                <w:shd w:val="clear" w:color="auto" w:fill="FFFFFF"/>
                <w:lang w:val="en-US"/>
              </w:rPr>
              <w:t>57)</w:t>
            </w:r>
          </w:p>
        </w:tc>
        <w:tc>
          <w:tcPr>
            <w:tcW w:w="0" w:type="auto"/>
            <w:tcBorders>
              <w:left w:val="nil"/>
            </w:tcBorders>
            <w:noWrap/>
          </w:tcPr>
          <w:p w14:paraId="6E71A155" w14:textId="6C5242F3"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-0.848</w:t>
            </w:r>
          </w:p>
          <w:p w14:paraId="1E637F5C" w14:textId="0035A1D3"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(0.487)</w:t>
            </w:r>
          </w:p>
        </w:tc>
        <w:tc>
          <w:tcPr>
            <w:tcW w:w="0" w:type="auto"/>
            <w:noWrap/>
          </w:tcPr>
          <w:p w14:paraId="0DF5B660" w14:textId="7777777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3.275***</w:t>
            </w:r>
          </w:p>
          <w:p w14:paraId="6A199BC6" w14:textId="219325F4"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(0.000)</w:t>
            </w:r>
          </w:p>
        </w:tc>
        <w:tc>
          <w:tcPr>
            <w:tcW w:w="0" w:type="auto"/>
          </w:tcPr>
          <w:p w14:paraId="60BE881E" w14:textId="7777777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-1.042</w:t>
            </w:r>
          </w:p>
          <w:p w14:paraId="7379F356" w14:textId="1F2FFA2D"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(0.391)</w:t>
            </w:r>
          </w:p>
        </w:tc>
        <w:tc>
          <w:tcPr>
            <w:tcW w:w="0" w:type="auto"/>
          </w:tcPr>
          <w:p w14:paraId="400021F4" w14:textId="7777777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2.702***</w:t>
            </w:r>
          </w:p>
          <w:p w14:paraId="2879267A" w14:textId="492BCC85"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(0.000)</w:t>
            </w:r>
          </w:p>
        </w:tc>
      </w:tr>
      <w:tr w:rsidR="00352FB3" w:rsidRPr="000972D1" w14:paraId="7C83B22F" w14:textId="77777777" w:rsidTr="005D57D0">
        <w:trPr>
          <w:trHeight w:val="300"/>
          <w:jc w:val="center"/>
        </w:trPr>
        <w:tc>
          <w:tcPr>
            <w:tcW w:w="0" w:type="auto"/>
            <w:tcBorders>
              <w:right w:val="single" w:sz="12" w:space="0" w:color="auto"/>
            </w:tcBorders>
            <w:noWrap/>
          </w:tcPr>
          <w:p w14:paraId="55661538" w14:textId="289C1B50" w:rsidR="00E07B24" w:rsidRPr="000972D1" w:rsidRDefault="00E07B24" w:rsidP="00705481">
            <w:pPr>
              <w:ind w:left="-63"/>
              <w:jc w:val="both"/>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bCs/>
                <w:sz w:val="16"/>
                <w:szCs w:val="16"/>
                <w:shd w:val="clear" w:color="auto" w:fill="FFFFFF"/>
              </w:rPr>
              <w:t>BRDGI*NGI</w:t>
            </w:r>
          </w:p>
        </w:tc>
        <w:tc>
          <w:tcPr>
            <w:tcW w:w="0" w:type="auto"/>
          </w:tcPr>
          <w:p w14:paraId="71ABDF9E" w14:textId="77777777" w:rsidR="00E07B24" w:rsidRPr="000972D1" w:rsidRDefault="00E07B24" w:rsidP="00705481">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8.156</w:t>
            </w:r>
          </w:p>
          <w:p w14:paraId="4848E806" w14:textId="6C66A4F3" w:rsidR="00E07B24" w:rsidRPr="000972D1" w:rsidRDefault="00E07B24" w:rsidP="00705481">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(0.255)</w:t>
            </w:r>
          </w:p>
        </w:tc>
        <w:tc>
          <w:tcPr>
            <w:tcW w:w="0" w:type="auto"/>
          </w:tcPr>
          <w:p w14:paraId="2731A73D" w14:textId="3586EABD" w:rsidR="00E07B24" w:rsidRPr="000972D1" w:rsidRDefault="00E07B24" w:rsidP="00705481">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r w:rsidR="00611763" w:rsidRPr="000972D1">
              <w:rPr>
                <w:rFonts w:ascii="Times New Roman" w:eastAsia="Times New Roman" w:hAnsi="Times New Roman" w:cs="Times New Roman"/>
                <w:sz w:val="16"/>
                <w:szCs w:val="16"/>
                <w:shd w:val="clear" w:color="auto" w:fill="FFFFFF"/>
                <w:lang w:val="en-US"/>
              </w:rPr>
              <w:t>1</w:t>
            </w:r>
            <w:r w:rsidRPr="000972D1">
              <w:rPr>
                <w:rFonts w:ascii="Times New Roman" w:eastAsia="Times New Roman" w:hAnsi="Times New Roman" w:cs="Times New Roman"/>
                <w:sz w:val="16"/>
                <w:szCs w:val="16"/>
                <w:shd w:val="clear" w:color="auto" w:fill="FFFFFF"/>
                <w:lang w:val="en-US"/>
              </w:rPr>
              <w:t>.</w:t>
            </w:r>
            <w:r w:rsidR="00611763" w:rsidRPr="000972D1">
              <w:rPr>
                <w:rFonts w:ascii="Times New Roman" w:eastAsia="Times New Roman" w:hAnsi="Times New Roman" w:cs="Times New Roman"/>
                <w:sz w:val="16"/>
                <w:szCs w:val="16"/>
                <w:shd w:val="clear" w:color="auto" w:fill="FFFFFF"/>
                <w:lang w:val="en-US"/>
              </w:rPr>
              <w:t>975</w:t>
            </w:r>
          </w:p>
          <w:p w14:paraId="2FFA107D" w14:textId="3715D5AA" w:rsidR="00E07B24" w:rsidRPr="000972D1" w:rsidRDefault="00E07B24" w:rsidP="00611763">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w:t>
            </w:r>
            <w:r w:rsidR="00611763" w:rsidRPr="000972D1">
              <w:rPr>
                <w:rFonts w:ascii="Times New Roman" w:eastAsia="Times New Roman" w:hAnsi="Times New Roman" w:cs="Times New Roman"/>
                <w:sz w:val="16"/>
                <w:szCs w:val="16"/>
                <w:shd w:val="clear" w:color="auto" w:fill="FFFFFF"/>
                <w:lang w:val="en-US"/>
              </w:rPr>
              <w:t>196</w:t>
            </w:r>
            <w:r w:rsidRPr="000972D1">
              <w:rPr>
                <w:rFonts w:ascii="Times New Roman" w:eastAsia="Times New Roman" w:hAnsi="Times New Roman" w:cs="Times New Roman"/>
                <w:sz w:val="16"/>
                <w:szCs w:val="16"/>
                <w:shd w:val="clear" w:color="auto" w:fill="FFFFFF"/>
                <w:lang w:val="en-US"/>
              </w:rPr>
              <w:t>)</w:t>
            </w:r>
          </w:p>
        </w:tc>
        <w:tc>
          <w:tcPr>
            <w:tcW w:w="1328" w:type="dxa"/>
          </w:tcPr>
          <w:p w14:paraId="27574AE0" w14:textId="77777777" w:rsidR="00E07B24" w:rsidRPr="000972D1" w:rsidRDefault="00E07B24" w:rsidP="00705481">
            <w:pPr>
              <w:jc w:val="center"/>
              <w:rPr>
                <w:rFonts w:ascii="Times New Roman" w:eastAsia="Times New Roman" w:hAnsi="Times New Roman" w:cs="Times New Roman"/>
                <w:sz w:val="16"/>
                <w:szCs w:val="16"/>
                <w:shd w:val="clear" w:color="auto" w:fill="FFFFFF"/>
                <w:lang w:val="en-US"/>
              </w:rPr>
            </w:pPr>
          </w:p>
        </w:tc>
        <w:tc>
          <w:tcPr>
            <w:tcW w:w="816" w:type="dxa"/>
            <w:tcBorders>
              <w:right w:val="nil"/>
            </w:tcBorders>
          </w:tcPr>
          <w:p w14:paraId="3B9BD01B" w14:textId="659F9875" w:rsidR="00E07B24" w:rsidRPr="000972D1" w:rsidRDefault="005D57D0" w:rsidP="00705481">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c>
          <w:tcPr>
            <w:tcW w:w="0" w:type="auto"/>
            <w:tcBorders>
              <w:left w:val="nil"/>
            </w:tcBorders>
            <w:noWrap/>
          </w:tcPr>
          <w:p w14:paraId="5AE04771" w14:textId="5313D9EA" w:rsidR="00E07B24" w:rsidRPr="000972D1" w:rsidRDefault="00E07B24" w:rsidP="00705481">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c>
          <w:tcPr>
            <w:tcW w:w="0" w:type="auto"/>
            <w:noWrap/>
          </w:tcPr>
          <w:p w14:paraId="6921B29C" w14:textId="2523CF0B" w:rsidR="00E07B24" w:rsidRPr="000972D1" w:rsidRDefault="00E07B24" w:rsidP="00705481">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c>
          <w:tcPr>
            <w:tcW w:w="0" w:type="auto"/>
          </w:tcPr>
          <w:p w14:paraId="4CCDEE7A" w14:textId="0E9D42A1" w:rsidR="00E07B24" w:rsidRPr="000972D1" w:rsidRDefault="00E07B24" w:rsidP="00705481">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c>
          <w:tcPr>
            <w:tcW w:w="0" w:type="auto"/>
          </w:tcPr>
          <w:p w14:paraId="13429610" w14:textId="3051E26F" w:rsidR="00E07B24" w:rsidRPr="000972D1" w:rsidRDefault="00E07B24" w:rsidP="00705481">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r>
      <w:tr w:rsidR="00352FB3" w:rsidRPr="000972D1" w14:paraId="6C1ED60B" w14:textId="1F5ED854" w:rsidTr="005D57D0">
        <w:trPr>
          <w:trHeight w:val="300"/>
          <w:jc w:val="center"/>
        </w:trPr>
        <w:tc>
          <w:tcPr>
            <w:tcW w:w="0" w:type="auto"/>
            <w:tcBorders>
              <w:right w:val="single" w:sz="12" w:space="0" w:color="auto"/>
            </w:tcBorders>
            <w:noWrap/>
          </w:tcPr>
          <w:p w14:paraId="1E8EE247" w14:textId="36E99691" w:rsidR="00E07B24" w:rsidRPr="000972D1" w:rsidRDefault="00E07B24" w:rsidP="00705481">
            <w:pPr>
              <w:ind w:left="-63"/>
              <w:jc w:val="both"/>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SHRGI*NGI</w:t>
            </w:r>
          </w:p>
        </w:tc>
        <w:tc>
          <w:tcPr>
            <w:tcW w:w="0" w:type="auto"/>
          </w:tcPr>
          <w:p w14:paraId="38D2F890" w14:textId="77777777" w:rsidR="00E07B24" w:rsidRPr="000972D1" w:rsidRDefault="00E07B24" w:rsidP="00705481">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1.819</w:t>
            </w:r>
          </w:p>
          <w:p w14:paraId="1E00FF94" w14:textId="76697D15" w:rsidR="00E07B24" w:rsidRPr="000972D1" w:rsidRDefault="00E07B24" w:rsidP="00705481">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(0.555)</w:t>
            </w:r>
          </w:p>
        </w:tc>
        <w:tc>
          <w:tcPr>
            <w:tcW w:w="0" w:type="auto"/>
          </w:tcPr>
          <w:p w14:paraId="14657CC6" w14:textId="1F87BE61" w:rsidR="00E07B24" w:rsidRPr="000972D1" w:rsidRDefault="00E07B24" w:rsidP="00705481">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1.</w:t>
            </w:r>
            <w:r w:rsidR="00611763" w:rsidRPr="000972D1">
              <w:rPr>
                <w:rFonts w:ascii="Times New Roman" w:eastAsia="Times New Roman" w:hAnsi="Times New Roman" w:cs="Times New Roman"/>
                <w:sz w:val="16"/>
                <w:szCs w:val="16"/>
                <w:shd w:val="clear" w:color="auto" w:fill="FFFFFF"/>
                <w:lang w:val="en-US"/>
              </w:rPr>
              <w:t>694</w:t>
            </w:r>
            <w:r w:rsidR="00E0471C" w:rsidRPr="000972D1">
              <w:rPr>
                <w:rFonts w:ascii="Times New Roman" w:eastAsia="Times New Roman" w:hAnsi="Times New Roman" w:cs="Times New Roman"/>
                <w:sz w:val="16"/>
                <w:szCs w:val="16"/>
                <w:shd w:val="clear" w:color="auto" w:fill="FFFFFF"/>
                <w:lang w:val="en-US"/>
              </w:rPr>
              <w:t>**</w:t>
            </w:r>
          </w:p>
          <w:p w14:paraId="622F956C" w14:textId="5DED923D" w:rsidR="00E07B24" w:rsidRPr="000972D1" w:rsidRDefault="00E07B24" w:rsidP="00611763">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w:t>
            </w:r>
            <w:r w:rsidR="00611763" w:rsidRPr="000972D1">
              <w:rPr>
                <w:rFonts w:ascii="Times New Roman" w:eastAsia="Times New Roman" w:hAnsi="Times New Roman" w:cs="Times New Roman"/>
                <w:sz w:val="16"/>
                <w:szCs w:val="16"/>
                <w:shd w:val="clear" w:color="auto" w:fill="FFFFFF"/>
                <w:lang w:val="en-US"/>
              </w:rPr>
              <w:t>025</w:t>
            </w:r>
            <w:r w:rsidRPr="000972D1">
              <w:rPr>
                <w:rFonts w:ascii="Times New Roman" w:eastAsia="Times New Roman" w:hAnsi="Times New Roman" w:cs="Times New Roman"/>
                <w:sz w:val="16"/>
                <w:szCs w:val="16"/>
                <w:shd w:val="clear" w:color="auto" w:fill="FFFFFF"/>
                <w:lang w:val="en-US"/>
              </w:rPr>
              <w:t>)</w:t>
            </w:r>
          </w:p>
        </w:tc>
        <w:tc>
          <w:tcPr>
            <w:tcW w:w="1328" w:type="dxa"/>
          </w:tcPr>
          <w:p w14:paraId="4703CEB2" w14:textId="77777777" w:rsidR="00E07B24" w:rsidRPr="000972D1" w:rsidRDefault="00E07B24" w:rsidP="00705481">
            <w:pPr>
              <w:jc w:val="center"/>
              <w:rPr>
                <w:rFonts w:ascii="Times New Roman" w:eastAsia="Times New Roman" w:hAnsi="Times New Roman" w:cs="Times New Roman"/>
                <w:sz w:val="16"/>
                <w:szCs w:val="16"/>
                <w:shd w:val="clear" w:color="auto" w:fill="FFFFFF"/>
                <w:lang w:val="en-US"/>
              </w:rPr>
            </w:pPr>
          </w:p>
        </w:tc>
        <w:tc>
          <w:tcPr>
            <w:tcW w:w="816" w:type="dxa"/>
            <w:tcBorders>
              <w:right w:val="nil"/>
            </w:tcBorders>
          </w:tcPr>
          <w:p w14:paraId="79582586" w14:textId="36A8A97B" w:rsidR="00E07B24" w:rsidRPr="000972D1" w:rsidRDefault="005D57D0" w:rsidP="00705481">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c>
          <w:tcPr>
            <w:tcW w:w="0" w:type="auto"/>
            <w:tcBorders>
              <w:left w:val="nil"/>
            </w:tcBorders>
            <w:noWrap/>
          </w:tcPr>
          <w:p w14:paraId="6A8B9229" w14:textId="638B7D70" w:rsidR="00E07B24" w:rsidRPr="000972D1" w:rsidRDefault="00E07B24" w:rsidP="00705481">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p w14:paraId="07731CF8" w14:textId="533873AD" w:rsidR="00E07B24" w:rsidRPr="000972D1" w:rsidRDefault="00E07B24" w:rsidP="00705481">
            <w:pPr>
              <w:jc w:val="center"/>
              <w:rPr>
                <w:rFonts w:ascii="Times New Roman" w:eastAsia="Times New Roman" w:hAnsi="Times New Roman" w:cs="Times New Roman"/>
                <w:sz w:val="16"/>
                <w:szCs w:val="16"/>
                <w:shd w:val="clear" w:color="auto" w:fill="FFFFFF"/>
                <w:lang w:val="en-US"/>
              </w:rPr>
            </w:pPr>
          </w:p>
        </w:tc>
        <w:tc>
          <w:tcPr>
            <w:tcW w:w="0" w:type="auto"/>
            <w:noWrap/>
          </w:tcPr>
          <w:p w14:paraId="662B030C" w14:textId="1E22059A" w:rsidR="00E07B24" w:rsidRPr="000972D1" w:rsidRDefault="00E07B24" w:rsidP="00705481">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p w14:paraId="1B20E2F7" w14:textId="47F3F0D1" w:rsidR="00E07B24" w:rsidRPr="000972D1" w:rsidRDefault="00E07B24" w:rsidP="00705481">
            <w:pPr>
              <w:jc w:val="center"/>
              <w:rPr>
                <w:rFonts w:ascii="Times New Roman" w:eastAsia="Times New Roman" w:hAnsi="Times New Roman" w:cs="Times New Roman"/>
                <w:sz w:val="16"/>
                <w:szCs w:val="16"/>
                <w:shd w:val="clear" w:color="auto" w:fill="FFFFFF"/>
                <w:lang w:val="en-US"/>
              </w:rPr>
            </w:pPr>
          </w:p>
        </w:tc>
        <w:tc>
          <w:tcPr>
            <w:tcW w:w="0" w:type="auto"/>
          </w:tcPr>
          <w:p w14:paraId="70BC3668" w14:textId="3F67F64B" w:rsidR="00E07B24" w:rsidRPr="000972D1" w:rsidRDefault="00E07B24" w:rsidP="00705481">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p w14:paraId="4676836F" w14:textId="36C1F319" w:rsidR="00E07B24" w:rsidRPr="000972D1" w:rsidRDefault="00E07B24" w:rsidP="00705481">
            <w:pPr>
              <w:jc w:val="center"/>
              <w:rPr>
                <w:rFonts w:ascii="Times New Roman" w:eastAsia="Times New Roman" w:hAnsi="Times New Roman" w:cs="Times New Roman"/>
                <w:sz w:val="16"/>
                <w:szCs w:val="16"/>
                <w:shd w:val="clear" w:color="auto" w:fill="FFFFFF"/>
                <w:lang w:val="en-US"/>
              </w:rPr>
            </w:pPr>
          </w:p>
        </w:tc>
        <w:tc>
          <w:tcPr>
            <w:tcW w:w="0" w:type="auto"/>
          </w:tcPr>
          <w:p w14:paraId="74571C4A" w14:textId="5516B4CB" w:rsidR="00E07B24" w:rsidRPr="000972D1" w:rsidRDefault="00E07B24" w:rsidP="00705481">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p w14:paraId="4B9D1A0E" w14:textId="6322BBB7" w:rsidR="00E07B24" w:rsidRPr="000972D1" w:rsidRDefault="00E07B24" w:rsidP="00705481">
            <w:pPr>
              <w:jc w:val="center"/>
              <w:rPr>
                <w:rFonts w:ascii="Times New Roman" w:eastAsia="Times New Roman" w:hAnsi="Times New Roman" w:cs="Times New Roman"/>
                <w:sz w:val="16"/>
                <w:szCs w:val="16"/>
                <w:shd w:val="clear" w:color="auto" w:fill="FFFFFF"/>
                <w:lang w:val="en-US"/>
              </w:rPr>
            </w:pPr>
          </w:p>
        </w:tc>
      </w:tr>
      <w:tr w:rsidR="00352FB3" w:rsidRPr="000972D1" w14:paraId="6112D520" w14:textId="4A3FACB7" w:rsidTr="005D57D0">
        <w:trPr>
          <w:trHeight w:val="119"/>
          <w:jc w:val="center"/>
        </w:trPr>
        <w:tc>
          <w:tcPr>
            <w:tcW w:w="0" w:type="auto"/>
            <w:gridSpan w:val="2"/>
            <w:tcBorders>
              <w:top w:val="single" w:sz="12" w:space="0" w:color="auto"/>
              <w:bottom w:val="single" w:sz="12" w:space="0" w:color="auto"/>
            </w:tcBorders>
          </w:tcPr>
          <w:p w14:paraId="3E47ACA1" w14:textId="147076B9" w:rsidR="00E07B24" w:rsidRPr="000972D1" w:rsidRDefault="00E07B24" w:rsidP="00786764">
            <w:pPr>
              <w:ind w:left="-63"/>
              <w:jc w:val="both"/>
              <w:rPr>
                <w:rFonts w:ascii="Times New Roman" w:eastAsia="Times New Roman" w:hAnsi="Times New Roman" w:cs="Times New Roman"/>
                <w:b/>
                <w:sz w:val="16"/>
                <w:szCs w:val="16"/>
                <w:shd w:val="clear" w:color="auto" w:fill="FFFFFF"/>
                <w:lang w:val="en-US"/>
              </w:rPr>
            </w:pPr>
            <w:r w:rsidRPr="000972D1">
              <w:rPr>
                <w:rFonts w:ascii="Times New Roman" w:eastAsia="Times New Roman" w:hAnsi="Times New Roman" w:cs="Times New Roman"/>
                <w:b/>
                <w:sz w:val="16"/>
                <w:szCs w:val="16"/>
                <w:shd w:val="clear" w:color="auto" w:fill="FFFFFF"/>
                <w:lang w:val="en-US"/>
              </w:rPr>
              <w:t>Control variables</w:t>
            </w:r>
          </w:p>
        </w:tc>
        <w:tc>
          <w:tcPr>
            <w:tcW w:w="0" w:type="auto"/>
            <w:tcBorders>
              <w:top w:val="single" w:sz="12" w:space="0" w:color="auto"/>
              <w:bottom w:val="single" w:sz="12" w:space="0" w:color="auto"/>
            </w:tcBorders>
          </w:tcPr>
          <w:p w14:paraId="092BB7E0" w14:textId="77777777" w:rsidR="00E07B24" w:rsidRPr="000972D1" w:rsidRDefault="00E07B24" w:rsidP="00786764">
            <w:pPr>
              <w:ind w:left="-63"/>
              <w:jc w:val="both"/>
              <w:rPr>
                <w:rFonts w:ascii="Times New Roman" w:eastAsia="Times New Roman" w:hAnsi="Times New Roman" w:cs="Times New Roman"/>
                <w:b/>
                <w:sz w:val="16"/>
                <w:szCs w:val="16"/>
                <w:shd w:val="clear" w:color="auto" w:fill="FFFFFF"/>
                <w:lang w:val="en-US"/>
              </w:rPr>
            </w:pPr>
          </w:p>
        </w:tc>
        <w:tc>
          <w:tcPr>
            <w:tcW w:w="1328" w:type="dxa"/>
            <w:tcBorders>
              <w:top w:val="single" w:sz="12" w:space="0" w:color="auto"/>
              <w:bottom w:val="single" w:sz="12" w:space="0" w:color="auto"/>
            </w:tcBorders>
          </w:tcPr>
          <w:p w14:paraId="30AC0682" w14:textId="77777777" w:rsidR="00E07B24" w:rsidRPr="000972D1" w:rsidRDefault="00E07B24" w:rsidP="00786764">
            <w:pPr>
              <w:ind w:left="-63"/>
              <w:jc w:val="both"/>
              <w:rPr>
                <w:rFonts w:ascii="Times New Roman" w:eastAsia="Times New Roman" w:hAnsi="Times New Roman" w:cs="Times New Roman"/>
                <w:sz w:val="16"/>
                <w:szCs w:val="16"/>
                <w:shd w:val="clear" w:color="auto" w:fill="FFFFFF"/>
                <w:lang w:val="en-US"/>
              </w:rPr>
            </w:pPr>
          </w:p>
        </w:tc>
        <w:tc>
          <w:tcPr>
            <w:tcW w:w="816" w:type="dxa"/>
            <w:tcBorders>
              <w:top w:val="single" w:sz="12" w:space="0" w:color="auto"/>
              <w:bottom w:val="single" w:sz="12" w:space="0" w:color="auto"/>
              <w:right w:val="nil"/>
            </w:tcBorders>
          </w:tcPr>
          <w:p w14:paraId="52A2CD01" w14:textId="77777777" w:rsidR="00E07B24" w:rsidRPr="000972D1" w:rsidRDefault="00E07B24" w:rsidP="00786764">
            <w:pPr>
              <w:ind w:left="-63"/>
              <w:jc w:val="both"/>
              <w:rPr>
                <w:rFonts w:ascii="Times New Roman" w:eastAsia="Times New Roman" w:hAnsi="Times New Roman" w:cs="Times New Roman"/>
                <w:sz w:val="16"/>
                <w:szCs w:val="16"/>
                <w:shd w:val="clear" w:color="auto" w:fill="FFFFFF"/>
                <w:lang w:val="en-US"/>
              </w:rPr>
            </w:pPr>
          </w:p>
        </w:tc>
        <w:tc>
          <w:tcPr>
            <w:tcW w:w="0" w:type="auto"/>
            <w:gridSpan w:val="2"/>
            <w:tcBorders>
              <w:top w:val="single" w:sz="12" w:space="0" w:color="auto"/>
              <w:left w:val="nil"/>
              <w:bottom w:val="single" w:sz="12" w:space="0" w:color="auto"/>
            </w:tcBorders>
            <w:noWrap/>
          </w:tcPr>
          <w:p w14:paraId="3A15CB2F" w14:textId="45A47ED7" w:rsidR="00E07B24" w:rsidRPr="000972D1" w:rsidRDefault="00E07B24" w:rsidP="00786764">
            <w:pPr>
              <w:ind w:left="-63"/>
              <w:jc w:val="both"/>
              <w:rPr>
                <w:rFonts w:ascii="Times New Roman" w:eastAsia="Times New Roman" w:hAnsi="Times New Roman" w:cs="Times New Roman"/>
                <w:sz w:val="16"/>
                <w:szCs w:val="16"/>
                <w:shd w:val="clear" w:color="auto" w:fill="FFFFFF"/>
                <w:lang w:val="en-US"/>
              </w:rPr>
            </w:pPr>
          </w:p>
        </w:tc>
        <w:tc>
          <w:tcPr>
            <w:tcW w:w="0" w:type="auto"/>
            <w:tcBorders>
              <w:top w:val="single" w:sz="12" w:space="0" w:color="auto"/>
              <w:bottom w:val="single" w:sz="12" w:space="0" w:color="auto"/>
            </w:tcBorders>
          </w:tcPr>
          <w:p w14:paraId="6D25965A" w14:textId="6BA1FFBC" w:rsidR="00E07B24" w:rsidRPr="000972D1" w:rsidRDefault="00E07B24" w:rsidP="00786764">
            <w:pPr>
              <w:ind w:left="-63"/>
              <w:jc w:val="both"/>
              <w:rPr>
                <w:rFonts w:ascii="Times New Roman" w:eastAsia="Times New Roman" w:hAnsi="Times New Roman" w:cs="Times New Roman"/>
                <w:sz w:val="16"/>
                <w:szCs w:val="16"/>
                <w:shd w:val="clear" w:color="auto" w:fill="FFFFFF"/>
                <w:lang w:val="en-US"/>
              </w:rPr>
            </w:pPr>
          </w:p>
        </w:tc>
        <w:tc>
          <w:tcPr>
            <w:tcW w:w="0" w:type="auto"/>
            <w:tcBorders>
              <w:top w:val="single" w:sz="12" w:space="0" w:color="auto"/>
              <w:bottom w:val="single" w:sz="12" w:space="0" w:color="auto"/>
            </w:tcBorders>
          </w:tcPr>
          <w:p w14:paraId="5605F56D" w14:textId="77777777" w:rsidR="00E07B24" w:rsidRPr="000972D1" w:rsidRDefault="00E07B24" w:rsidP="00786764">
            <w:pPr>
              <w:ind w:left="-63"/>
              <w:jc w:val="both"/>
              <w:rPr>
                <w:rFonts w:ascii="Times New Roman" w:eastAsia="Times New Roman" w:hAnsi="Times New Roman" w:cs="Times New Roman"/>
                <w:sz w:val="16"/>
                <w:szCs w:val="16"/>
                <w:shd w:val="clear" w:color="auto" w:fill="FFFFFF"/>
                <w:lang w:val="en-US"/>
              </w:rPr>
            </w:pPr>
          </w:p>
        </w:tc>
      </w:tr>
      <w:tr w:rsidR="00352FB3" w:rsidRPr="000972D1" w14:paraId="100E9AEB" w14:textId="132A2BB5" w:rsidTr="005D57D0">
        <w:trPr>
          <w:trHeight w:val="300"/>
          <w:jc w:val="center"/>
        </w:trPr>
        <w:tc>
          <w:tcPr>
            <w:tcW w:w="0" w:type="auto"/>
            <w:tcBorders>
              <w:top w:val="single" w:sz="12" w:space="0" w:color="auto"/>
              <w:right w:val="single" w:sz="12" w:space="0" w:color="auto"/>
            </w:tcBorders>
            <w:noWrap/>
          </w:tcPr>
          <w:p w14:paraId="2A872543" w14:textId="77777777" w:rsidR="00E07B24" w:rsidRPr="000972D1" w:rsidRDefault="00E07B24" w:rsidP="00786764">
            <w:pPr>
              <w:ind w:left="-63"/>
              <w:jc w:val="both"/>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BIG4</w:t>
            </w:r>
          </w:p>
        </w:tc>
        <w:tc>
          <w:tcPr>
            <w:tcW w:w="0" w:type="auto"/>
            <w:tcBorders>
              <w:top w:val="single" w:sz="12" w:space="0" w:color="auto"/>
            </w:tcBorders>
          </w:tcPr>
          <w:p w14:paraId="165403CE" w14:textId="7777777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p>
        </w:tc>
        <w:tc>
          <w:tcPr>
            <w:tcW w:w="0" w:type="auto"/>
            <w:tcBorders>
              <w:top w:val="single" w:sz="12" w:space="0" w:color="auto"/>
            </w:tcBorders>
          </w:tcPr>
          <w:p w14:paraId="17851F06" w14:textId="7777777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0.262***</w:t>
            </w:r>
          </w:p>
          <w:p w14:paraId="5A59CD30" w14:textId="5531DF52"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(0.000)</w:t>
            </w:r>
          </w:p>
        </w:tc>
        <w:tc>
          <w:tcPr>
            <w:tcW w:w="1328" w:type="dxa"/>
            <w:tcBorders>
              <w:top w:val="single" w:sz="12" w:space="0" w:color="auto"/>
            </w:tcBorders>
          </w:tcPr>
          <w:p w14:paraId="4601C45C" w14:textId="7777777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0.282***</w:t>
            </w:r>
          </w:p>
          <w:p w14:paraId="71615213" w14:textId="6B405DA9"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(0.000)</w:t>
            </w:r>
          </w:p>
        </w:tc>
        <w:tc>
          <w:tcPr>
            <w:tcW w:w="816" w:type="dxa"/>
            <w:tcBorders>
              <w:top w:val="single" w:sz="12" w:space="0" w:color="auto"/>
              <w:right w:val="nil"/>
            </w:tcBorders>
          </w:tcPr>
          <w:p w14:paraId="7F7A9983" w14:textId="40EB5E8A" w:rsidR="00E07B24" w:rsidRPr="000972D1" w:rsidRDefault="004B4FC5"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w:t>
            </w:r>
            <w:r w:rsidR="005D57D0" w:rsidRPr="000972D1">
              <w:rPr>
                <w:rFonts w:ascii="Times New Roman" w:eastAsia="Times New Roman" w:hAnsi="Times New Roman" w:cs="Times New Roman"/>
                <w:sz w:val="16"/>
                <w:szCs w:val="16"/>
                <w:shd w:val="clear" w:color="auto" w:fill="FFFFFF"/>
                <w:lang w:val="en-US"/>
              </w:rPr>
              <w:t>.166*</w:t>
            </w:r>
          </w:p>
          <w:p w14:paraId="64835FD8" w14:textId="10CC485B" w:rsidR="005D57D0" w:rsidRPr="000972D1" w:rsidRDefault="005D57D0"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(0.091)</w:t>
            </w:r>
          </w:p>
        </w:tc>
        <w:tc>
          <w:tcPr>
            <w:tcW w:w="0" w:type="auto"/>
            <w:tcBorders>
              <w:top w:val="single" w:sz="12" w:space="0" w:color="auto"/>
              <w:left w:val="nil"/>
            </w:tcBorders>
            <w:noWrap/>
          </w:tcPr>
          <w:p w14:paraId="1DAD3FC0" w14:textId="4A9F8378"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p w14:paraId="1A737C5F" w14:textId="7777777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p>
        </w:tc>
        <w:tc>
          <w:tcPr>
            <w:tcW w:w="0" w:type="auto"/>
            <w:tcBorders>
              <w:top w:val="single" w:sz="12" w:space="0" w:color="auto"/>
            </w:tcBorders>
            <w:noWrap/>
          </w:tcPr>
          <w:p w14:paraId="5B771743" w14:textId="2F15C276" w:rsidR="00E07B24" w:rsidRPr="000972D1" w:rsidRDefault="00E07B24" w:rsidP="00786764">
            <w:pPr>
              <w:jc w:val="both"/>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0.234***</w:t>
            </w:r>
          </w:p>
          <w:p w14:paraId="02C43B83" w14:textId="448DA21D" w:rsidR="00E07B24" w:rsidRPr="000972D1" w:rsidRDefault="00E07B24" w:rsidP="00AA749F">
            <w:pPr>
              <w:jc w:val="both"/>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(0.001)</w:t>
            </w:r>
          </w:p>
        </w:tc>
        <w:tc>
          <w:tcPr>
            <w:tcW w:w="0" w:type="auto"/>
            <w:tcBorders>
              <w:top w:val="single" w:sz="12" w:space="0" w:color="auto"/>
            </w:tcBorders>
          </w:tcPr>
          <w:p w14:paraId="1348695D" w14:textId="6D6848D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p w14:paraId="084DE730" w14:textId="7777777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p>
        </w:tc>
        <w:tc>
          <w:tcPr>
            <w:tcW w:w="0" w:type="auto"/>
            <w:tcBorders>
              <w:top w:val="single" w:sz="12" w:space="0" w:color="auto"/>
            </w:tcBorders>
          </w:tcPr>
          <w:p w14:paraId="5BFEBD65" w14:textId="76B98B2F"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0.182***</w:t>
            </w:r>
          </w:p>
          <w:p w14:paraId="2FAAC713" w14:textId="53A7B39B"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(0.003)</w:t>
            </w:r>
          </w:p>
        </w:tc>
      </w:tr>
      <w:tr w:rsidR="00352FB3" w:rsidRPr="000972D1" w14:paraId="3E20998D" w14:textId="27663454" w:rsidTr="005D57D0">
        <w:trPr>
          <w:trHeight w:val="300"/>
          <w:jc w:val="center"/>
        </w:trPr>
        <w:tc>
          <w:tcPr>
            <w:tcW w:w="0" w:type="auto"/>
            <w:tcBorders>
              <w:right w:val="single" w:sz="12" w:space="0" w:color="auto"/>
            </w:tcBorders>
            <w:noWrap/>
          </w:tcPr>
          <w:p w14:paraId="1B59F427" w14:textId="1D6041E2" w:rsidR="00E07B24" w:rsidRPr="000972D1" w:rsidRDefault="00E07B24" w:rsidP="00786764">
            <w:pPr>
              <w:ind w:left="-63"/>
              <w:jc w:val="both"/>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LNTA</w:t>
            </w:r>
          </w:p>
        </w:tc>
        <w:tc>
          <w:tcPr>
            <w:tcW w:w="0" w:type="auto"/>
          </w:tcPr>
          <w:p w14:paraId="47F08BFC" w14:textId="7777777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0.561***</w:t>
            </w:r>
          </w:p>
          <w:p w14:paraId="40276CCF" w14:textId="46A21B23"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(0.000)</w:t>
            </w:r>
          </w:p>
        </w:tc>
        <w:tc>
          <w:tcPr>
            <w:tcW w:w="0" w:type="auto"/>
          </w:tcPr>
          <w:p w14:paraId="75513B28" w14:textId="7777777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0.3456***</w:t>
            </w:r>
          </w:p>
          <w:p w14:paraId="1B2CE5D9" w14:textId="5A8D1453"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(0.000)</w:t>
            </w:r>
          </w:p>
        </w:tc>
        <w:tc>
          <w:tcPr>
            <w:tcW w:w="1328" w:type="dxa"/>
          </w:tcPr>
          <w:p w14:paraId="1F561A0D" w14:textId="7777777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-0.042***</w:t>
            </w:r>
          </w:p>
          <w:p w14:paraId="52C3452E" w14:textId="75721595"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(0.004)</w:t>
            </w:r>
          </w:p>
        </w:tc>
        <w:tc>
          <w:tcPr>
            <w:tcW w:w="816" w:type="dxa"/>
            <w:tcBorders>
              <w:right w:val="nil"/>
            </w:tcBorders>
          </w:tcPr>
          <w:p w14:paraId="080088F4" w14:textId="209699BE" w:rsidR="00E07B24" w:rsidRPr="000972D1" w:rsidRDefault="005D57D0"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0.232***</w:t>
            </w:r>
          </w:p>
          <w:p w14:paraId="7BAE2564" w14:textId="71158A3D" w:rsidR="005D57D0" w:rsidRPr="000972D1" w:rsidRDefault="005D57D0"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(0.000)</w:t>
            </w:r>
          </w:p>
        </w:tc>
        <w:tc>
          <w:tcPr>
            <w:tcW w:w="0" w:type="auto"/>
            <w:tcBorders>
              <w:left w:val="nil"/>
            </w:tcBorders>
            <w:noWrap/>
          </w:tcPr>
          <w:p w14:paraId="64F83A48" w14:textId="1F00C5BA"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c>
          <w:tcPr>
            <w:tcW w:w="0" w:type="auto"/>
            <w:noWrap/>
          </w:tcPr>
          <w:p w14:paraId="21E0CC40" w14:textId="36539D04"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c>
          <w:tcPr>
            <w:tcW w:w="0" w:type="auto"/>
          </w:tcPr>
          <w:p w14:paraId="6DD44655" w14:textId="60E3C483"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0.621***</w:t>
            </w:r>
          </w:p>
          <w:p w14:paraId="3B92BE81" w14:textId="039B0F83"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(0.000)</w:t>
            </w:r>
          </w:p>
        </w:tc>
        <w:tc>
          <w:tcPr>
            <w:tcW w:w="0" w:type="auto"/>
          </w:tcPr>
          <w:p w14:paraId="6EAEC5F7" w14:textId="5D17F10D"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0.323***</w:t>
            </w:r>
          </w:p>
          <w:p w14:paraId="07A3233F" w14:textId="41ED8978"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(0.000)</w:t>
            </w:r>
          </w:p>
        </w:tc>
      </w:tr>
      <w:tr w:rsidR="00352FB3" w:rsidRPr="000972D1" w14:paraId="3BEB316B" w14:textId="66481F02" w:rsidTr="005D57D0">
        <w:trPr>
          <w:trHeight w:val="300"/>
          <w:jc w:val="center"/>
        </w:trPr>
        <w:tc>
          <w:tcPr>
            <w:tcW w:w="0" w:type="auto"/>
            <w:tcBorders>
              <w:right w:val="single" w:sz="12" w:space="0" w:color="auto"/>
            </w:tcBorders>
            <w:noWrap/>
          </w:tcPr>
          <w:p w14:paraId="03AF82E1" w14:textId="1792AD78" w:rsidR="00E07B24" w:rsidRPr="000972D1" w:rsidRDefault="00E07B24" w:rsidP="00786764">
            <w:pPr>
              <w:ind w:left="-63"/>
              <w:jc w:val="both"/>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BUSY</w:t>
            </w:r>
          </w:p>
        </w:tc>
        <w:tc>
          <w:tcPr>
            <w:tcW w:w="0" w:type="auto"/>
          </w:tcPr>
          <w:p w14:paraId="08CB5733" w14:textId="7777777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p>
        </w:tc>
        <w:tc>
          <w:tcPr>
            <w:tcW w:w="0" w:type="auto"/>
          </w:tcPr>
          <w:p w14:paraId="71519C4D" w14:textId="7777777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0.332***</w:t>
            </w:r>
          </w:p>
          <w:p w14:paraId="070A0EAB" w14:textId="31BC907F"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(0.003)</w:t>
            </w:r>
          </w:p>
        </w:tc>
        <w:tc>
          <w:tcPr>
            <w:tcW w:w="1328" w:type="dxa"/>
          </w:tcPr>
          <w:p w14:paraId="34B2EC44" w14:textId="7777777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0.029</w:t>
            </w:r>
          </w:p>
          <w:p w14:paraId="02FD20C8" w14:textId="699FA095"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(0.755)</w:t>
            </w:r>
          </w:p>
        </w:tc>
        <w:tc>
          <w:tcPr>
            <w:tcW w:w="816" w:type="dxa"/>
            <w:tcBorders>
              <w:right w:val="nil"/>
            </w:tcBorders>
          </w:tcPr>
          <w:p w14:paraId="62654875" w14:textId="77777777" w:rsidR="00E07B24" w:rsidRPr="000972D1" w:rsidRDefault="005D57D0"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0.437**</w:t>
            </w:r>
          </w:p>
          <w:p w14:paraId="64132853" w14:textId="36D08DDA" w:rsidR="005D57D0" w:rsidRPr="000972D1" w:rsidRDefault="005D57D0"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(0.020)</w:t>
            </w:r>
          </w:p>
        </w:tc>
        <w:tc>
          <w:tcPr>
            <w:tcW w:w="0" w:type="auto"/>
            <w:tcBorders>
              <w:left w:val="nil"/>
            </w:tcBorders>
            <w:noWrap/>
          </w:tcPr>
          <w:p w14:paraId="7F3C9E3E" w14:textId="62DD6FB4"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p w14:paraId="538FACAE" w14:textId="7777777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p>
        </w:tc>
        <w:tc>
          <w:tcPr>
            <w:tcW w:w="0" w:type="auto"/>
            <w:noWrap/>
          </w:tcPr>
          <w:p w14:paraId="49E0684D" w14:textId="410FFF7A" w:rsidR="00E07B24" w:rsidRPr="000972D1" w:rsidRDefault="00E07B24" w:rsidP="00786764">
            <w:pPr>
              <w:jc w:val="both"/>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0.462***</w:t>
            </w:r>
          </w:p>
          <w:p w14:paraId="410E2AB0" w14:textId="3926D43E" w:rsidR="00E07B24" w:rsidRPr="000972D1" w:rsidRDefault="00E07B24" w:rsidP="00AA749F">
            <w:pPr>
              <w:jc w:val="both"/>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(0.000)</w:t>
            </w:r>
          </w:p>
        </w:tc>
        <w:tc>
          <w:tcPr>
            <w:tcW w:w="0" w:type="auto"/>
          </w:tcPr>
          <w:p w14:paraId="50BF9A6F" w14:textId="6EEE0E8E"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p w14:paraId="4B1771AD" w14:textId="7777777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p>
        </w:tc>
        <w:tc>
          <w:tcPr>
            <w:tcW w:w="0" w:type="auto"/>
          </w:tcPr>
          <w:p w14:paraId="619465FF" w14:textId="3A26E593"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0.403***</w:t>
            </w:r>
          </w:p>
          <w:p w14:paraId="5D70E3DF" w14:textId="1519C10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(0.000)</w:t>
            </w:r>
          </w:p>
        </w:tc>
      </w:tr>
      <w:tr w:rsidR="00352FB3" w:rsidRPr="000972D1" w14:paraId="1837E688" w14:textId="15943D5D" w:rsidTr="005D57D0">
        <w:trPr>
          <w:trHeight w:val="300"/>
          <w:jc w:val="center"/>
        </w:trPr>
        <w:tc>
          <w:tcPr>
            <w:tcW w:w="0" w:type="auto"/>
            <w:tcBorders>
              <w:right w:val="single" w:sz="12" w:space="0" w:color="auto"/>
            </w:tcBorders>
            <w:noWrap/>
          </w:tcPr>
          <w:p w14:paraId="48D3A3DF" w14:textId="6299ABE9" w:rsidR="00E07B24" w:rsidRPr="000972D1" w:rsidRDefault="00E07B24" w:rsidP="00786764">
            <w:pPr>
              <w:ind w:left="-63"/>
              <w:jc w:val="both"/>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QUIK</w:t>
            </w:r>
          </w:p>
        </w:tc>
        <w:tc>
          <w:tcPr>
            <w:tcW w:w="0" w:type="auto"/>
          </w:tcPr>
          <w:p w14:paraId="53F7EFF2" w14:textId="7777777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0.161</w:t>
            </w:r>
          </w:p>
          <w:p w14:paraId="66661EE7" w14:textId="1A58C816"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(0.172)</w:t>
            </w:r>
          </w:p>
        </w:tc>
        <w:tc>
          <w:tcPr>
            <w:tcW w:w="0" w:type="auto"/>
          </w:tcPr>
          <w:p w14:paraId="2A002829" w14:textId="7777777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0.004</w:t>
            </w:r>
          </w:p>
          <w:p w14:paraId="0DF8E01E" w14:textId="083A7AED"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(0.885)</w:t>
            </w:r>
          </w:p>
        </w:tc>
        <w:tc>
          <w:tcPr>
            <w:tcW w:w="1328" w:type="dxa"/>
          </w:tcPr>
          <w:p w14:paraId="2BE05982" w14:textId="7777777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-0.024</w:t>
            </w:r>
          </w:p>
          <w:p w14:paraId="69615B8C" w14:textId="3CE58FC1"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(0.183)</w:t>
            </w:r>
          </w:p>
        </w:tc>
        <w:tc>
          <w:tcPr>
            <w:tcW w:w="816" w:type="dxa"/>
            <w:tcBorders>
              <w:right w:val="nil"/>
            </w:tcBorders>
          </w:tcPr>
          <w:p w14:paraId="79DEBE8E" w14:textId="77777777" w:rsidR="00E07B24" w:rsidRPr="000972D1" w:rsidRDefault="005D57D0"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0.237***</w:t>
            </w:r>
          </w:p>
          <w:p w14:paraId="48CFB523" w14:textId="71A84C3F" w:rsidR="005D57D0" w:rsidRPr="000972D1" w:rsidRDefault="005D57D0"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(0.000)</w:t>
            </w:r>
          </w:p>
        </w:tc>
        <w:tc>
          <w:tcPr>
            <w:tcW w:w="0" w:type="auto"/>
            <w:tcBorders>
              <w:left w:val="nil"/>
            </w:tcBorders>
            <w:noWrap/>
          </w:tcPr>
          <w:p w14:paraId="7A427F38" w14:textId="4DFEF37C"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c>
          <w:tcPr>
            <w:tcW w:w="0" w:type="auto"/>
            <w:noWrap/>
          </w:tcPr>
          <w:p w14:paraId="6417860C" w14:textId="71F2AE0E"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c>
          <w:tcPr>
            <w:tcW w:w="0" w:type="auto"/>
          </w:tcPr>
          <w:p w14:paraId="180EF7C5" w14:textId="3EDD1ED3"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0.120</w:t>
            </w:r>
          </w:p>
          <w:p w14:paraId="6B6D0A71" w14:textId="0DE2FB9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(0.329)</w:t>
            </w:r>
          </w:p>
        </w:tc>
        <w:tc>
          <w:tcPr>
            <w:tcW w:w="0" w:type="auto"/>
          </w:tcPr>
          <w:p w14:paraId="7A9971C3" w14:textId="5C9ABF06"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0.020</w:t>
            </w:r>
          </w:p>
          <w:p w14:paraId="513689D6" w14:textId="7C726AAD"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(0.465)</w:t>
            </w:r>
          </w:p>
        </w:tc>
      </w:tr>
      <w:tr w:rsidR="00352FB3" w:rsidRPr="000972D1" w14:paraId="16AF11E5" w14:textId="4C4384F2" w:rsidTr="005D57D0">
        <w:trPr>
          <w:trHeight w:val="300"/>
          <w:jc w:val="center"/>
        </w:trPr>
        <w:tc>
          <w:tcPr>
            <w:tcW w:w="0" w:type="auto"/>
            <w:tcBorders>
              <w:right w:val="single" w:sz="12" w:space="0" w:color="auto"/>
            </w:tcBorders>
            <w:noWrap/>
          </w:tcPr>
          <w:p w14:paraId="3393AE6C" w14:textId="71415009" w:rsidR="00E07B24" w:rsidRPr="000972D1" w:rsidRDefault="00E07B24" w:rsidP="00786764">
            <w:pPr>
              <w:ind w:left="-63"/>
              <w:jc w:val="both"/>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LOS</w:t>
            </w:r>
          </w:p>
        </w:tc>
        <w:tc>
          <w:tcPr>
            <w:tcW w:w="0" w:type="auto"/>
          </w:tcPr>
          <w:p w14:paraId="5B00B4F4" w14:textId="7777777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-0.001</w:t>
            </w:r>
          </w:p>
          <w:p w14:paraId="3878F2B2" w14:textId="1906166A"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(0.997)</w:t>
            </w:r>
          </w:p>
        </w:tc>
        <w:tc>
          <w:tcPr>
            <w:tcW w:w="0" w:type="auto"/>
          </w:tcPr>
          <w:p w14:paraId="468A7C76" w14:textId="7777777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0.044</w:t>
            </w:r>
          </w:p>
          <w:p w14:paraId="56B8DA13" w14:textId="21B6B56E"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(0.573)</w:t>
            </w:r>
          </w:p>
        </w:tc>
        <w:tc>
          <w:tcPr>
            <w:tcW w:w="1328" w:type="dxa"/>
          </w:tcPr>
          <w:p w14:paraId="4DC8C0AB" w14:textId="7777777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0.063</w:t>
            </w:r>
          </w:p>
          <w:p w14:paraId="03A220FD" w14:textId="395A8331"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(0.261)</w:t>
            </w:r>
          </w:p>
        </w:tc>
        <w:tc>
          <w:tcPr>
            <w:tcW w:w="816" w:type="dxa"/>
            <w:tcBorders>
              <w:right w:val="nil"/>
            </w:tcBorders>
          </w:tcPr>
          <w:p w14:paraId="60820B24" w14:textId="6951F8E9" w:rsidR="00E07B24" w:rsidRPr="000972D1" w:rsidRDefault="005D57D0"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r w:rsidR="004B4FC5" w:rsidRPr="000972D1">
              <w:rPr>
                <w:rFonts w:ascii="Times New Roman" w:eastAsia="Times New Roman" w:hAnsi="Times New Roman" w:cs="Times New Roman"/>
                <w:sz w:val="16"/>
                <w:szCs w:val="16"/>
                <w:shd w:val="clear" w:color="auto" w:fill="FFFFFF"/>
                <w:lang w:val="en-US"/>
              </w:rPr>
              <w:t>0</w:t>
            </w:r>
            <w:r w:rsidRPr="000972D1">
              <w:rPr>
                <w:rFonts w:ascii="Times New Roman" w:eastAsia="Times New Roman" w:hAnsi="Times New Roman" w:cs="Times New Roman"/>
                <w:sz w:val="16"/>
                <w:szCs w:val="16"/>
                <w:shd w:val="clear" w:color="auto" w:fill="FFFFFF"/>
                <w:lang w:val="en-US"/>
              </w:rPr>
              <w:t>.228*</w:t>
            </w:r>
          </w:p>
          <w:p w14:paraId="2ECFD033" w14:textId="239FEDA6" w:rsidR="005D57D0" w:rsidRPr="000972D1" w:rsidRDefault="005D57D0"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(0.066)</w:t>
            </w:r>
          </w:p>
        </w:tc>
        <w:tc>
          <w:tcPr>
            <w:tcW w:w="0" w:type="auto"/>
            <w:tcBorders>
              <w:left w:val="nil"/>
            </w:tcBorders>
            <w:noWrap/>
          </w:tcPr>
          <w:p w14:paraId="439735DB" w14:textId="6364D86E"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0.449</w:t>
            </w:r>
          </w:p>
          <w:p w14:paraId="1AF9FD7C" w14:textId="00DA5D2F"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(0.213)</w:t>
            </w:r>
          </w:p>
        </w:tc>
        <w:tc>
          <w:tcPr>
            <w:tcW w:w="0" w:type="auto"/>
            <w:noWrap/>
          </w:tcPr>
          <w:p w14:paraId="037E393F" w14:textId="6EB5698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0.027</w:t>
            </w:r>
          </w:p>
          <w:p w14:paraId="1C66C609" w14:textId="14BCFB35"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(0.750)</w:t>
            </w:r>
          </w:p>
        </w:tc>
        <w:tc>
          <w:tcPr>
            <w:tcW w:w="0" w:type="auto"/>
          </w:tcPr>
          <w:p w14:paraId="18D01997" w14:textId="4A2AF86D"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-0.119</w:t>
            </w:r>
          </w:p>
          <w:p w14:paraId="622DA2BB" w14:textId="4943C5CE"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(0.732)</w:t>
            </w:r>
          </w:p>
        </w:tc>
        <w:tc>
          <w:tcPr>
            <w:tcW w:w="0" w:type="auto"/>
          </w:tcPr>
          <w:p w14:paraId="7AACEEA2" w14:textId="055B01BF"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0.044</w:t>
            </w:r>
          </w:p>
          <w:p w14:paraId="0BC8D5CD" w14:textId="3F429ACF"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(0.558)</w:t>
            </w:r>
          </w:p>
        </w:tc>
      </w:tr>
      <w:tr w:rsidR="00352FB3" w:rsidRPr="000972D1" w14:paraId="7FB5781D" w14:textId="7A3EFC5F" w:rsidTr="005D57D0">
        <w:trPr>
          <w:trHeight w:val="300"/>
          <w:jc w:val="center"/>
        </w:trPr>
        <w:tc>
          <w:tcPr>
            <w:tcW w:w="0" w:type="auto"/>
            <w:tcBorders>
              <w:right w:val="single" w:sz="12" w:space="0" w:color="auto"/>
            </w:tcBorders>
            <w:noWrap/>
          </w:tcPr>
          <w:p w14:paraId="554E4CDD" w14:textId="77F24076" w:rsidR="00E07B24" w:rsidRPr="000972D1" w:rsidRDefault="00E07B24" w:rsidP="00786764">
            <w:pPr>
              <w:ind w:left="-63"/>
              <w:jc w:val="both"/>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LV</w:t>
            </w:r>
          </w:p>
        </w:tc>
        <w:tc>
          <w:tcPr>
            <w:tcW w:w="0" w:type="auto"/>
          </w:tcPr>
          <w:p w14:paraId="1996A572" w14:textId="7777777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2.861***</w:t>
            </w:r>
          </w:p>
          <w:p w14:paraId="02C3FBC9" w14:textId="4B6A2A42"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(0.003)</w:t>
            </w:r>
          </w:p>
        </w:tc>
        <w:tc>
          <w:tcPr>
            <w:tcW w:w="0" w:type="auto"/>
          </w:tcPr>
          <w:p w14:paraId="795AEFFC" w14:textId="7777777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-0.424**</w:t>
            </w:r>
          </w:p>
          <w:p w14:paraId="7E5D70A7" w14:textId="19518C93"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(0.039)</w:t>
            </w:r>
          </w:p>
        </w:tc>
        <w:tc>
          <w:tcPr>
            <w:tcW w:w="1328" w:type="dxa"/>
          </w:tcPr>
          <w:p w14:paraId="6067BD40" w14:textId="7777777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0.080</w:t>
            </w:r>
          </w:p>
          <w:p w14:paraId="6CF9C226" w14:textId="12FF4A43"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(0.580)</w:t>
            </w:r>
          </w:p>
        </w:tc>
        <w:tc>
          <w:tcPr>
            <w:tcW w:w="816" w:type="dxa"/>
            <w:tcBorders>
              <w:right w:val="nil"/>
            </w:tcBorders>
          </w:tcPr>
          <w:p w14:paraId="203F031A" w14:textId="77777777" w:rsidR="00E07B24" w:rsidRPr="000972D1" w:rsidRDefault="005D57D0"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0.586*</w:t>
            </w:r>
          </w:p>
          <w:p w14:paraId="57ADB855" w14:textId="7CA56950" w:rsidR="005D57D0" w:rsidRPr="000972D1" w:rsidRDefault="005D57D0"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(0.079)</w:t>
            </w:r>
          </w:p>
        </w:tc>
        <w:tc>
          <w:tcPr>
            <w:tcW w:w="0" w:type="auto"/>
            <w:tcBorders>
              <w:left w:val="nil"/>
            </w:tcBorders>
            <w:noWrap/>
          </w:tcPr>
          <w:p w14:paraId="37E7AFD9" w14:textId="7572FF01"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2.143**</w:t>
            </w:r>
          </w:p>
          <w:p w14:paraId="4E51F172" w14:textId="42FD1735"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(0.043)</w:t>
            </w:r>
          </w:p>
        </w:tc>
        <w:tc>
          <w:tcPr>
            <w:tcW w:w="0" w:type="auto"/>
            <w:noWrap/>
          </w:tcPr>
          <w:p w14:paraId="38A8858C" w14:textId="18063833"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-0.499**</w:t>
            </w:r>
          </w:p>
          <w:p w14:paraId="34180B40" w14:textId="3336827A"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(0.028)</w:t>
            </w:r>
          </w:p>
        </w:tc>
        <w:tc>
          <w:tcPr>
            <w:tcW w:w="0" w:type="auto"/>
          </w:tcPr>
          <w:p w14:paraId="0F16B0F9" w14:textId="0C9FCB95"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2.571***</w:t>
            </w:r>
          </w:p>
          <w:p w14:paraId="5B2E4A71" w14:textId="3D98090B"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(0.010)</w:t>
            </w:r>
          </w:p>
        </w:tc>
        <w:tc>
          <w:tcPr>
            <w:tcW w:w="0" w:type="auto"/>
          </w:tcPr>
          <w:p w14:paraId="5106CF93" w14:textId="0918CD73"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-0.326</w:t>
            </w:r>
          </w:p>
          <w:p w14:paraId="19EAB84E" w14:textId="4D287873"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(0.109)</w:t>
            </w:r>
          </w:p>
        </w:tc>
      </w:tr>
      <w:tr w:rsidR="00352FB3" w:rsidRPr="000972D1" w14:paraId="4D7268B5" w14:textId="7C24C0DD" w:rsidTr="005D57D0">
        <w:trPr>
          <w:trHeight w:val="300"/>
          <w:jc w:val="center"/>
        </w:trPr>
        <w:tc>
          <w:tcPr>
            <w:tcW w:w="0" w:type="auto"/>
            <w:tcBorders>
              <w:right w:val="single" w:sz="12" w:space="0" w:color="auto"/>
            </w:tcBorders>
            <w:noWrap/>
          </w:tcPr>
          <w:p w14:paraId="6FCDF980" w14:textId="2C66BE75" w:rsidR="00E07B24" w:rsidRPr="000972D1" w:rsidRDefault="00E07B24" w:rsidP="00786764">
            <w:pPr>
              <w:ind w:left="-63"/>
              <w:jc w:val="both"/>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SGR</w:t>
            </w:r>
          </w:p>
        </w:tc>
        <w:tc>
          <w:tcPr>
            <w:tcW w:w="0" w:type="auto"/>
          </w:tcPr>
          <w:p w14:paraId="3B931FD8" w14:textId="77777777" w:rsidR="00E07B24" w:rsidRPr="000972D1" w:rsidRDefault="00E07B24" w:rsidP="00705481">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0.013</w:t>
            </w:r>
          </w:p>
          <w:p w14:paraId="759BFBB9" w14:textId="35C39CCE" w:rsidR="00E07B24" w:rsidRPr="000972D1" w:rsidRDefault="00E07B24" w:rsidP="00705481">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(0.963)</w:t>
            </w:r>
          </w:p>
        </w:tc>
        <w:tc>
          <w:tcPr>
            <w:tcW w:w="0" w:type="auto"/>
          </w:tcPr>
          <w:p w14:paraId="688A9DEB" w14:textId="7777777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-0.006</w:t>
            </w:r>
          </w:p>
          <w:p w14:paraId="5E79AB92" w14:textId="30C30242"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(0.921)</w:t>
            </w:r>
          </w:p>
        </w:tc>
        <w:tc>
          <w:tcPr>
            <w:tcW w:w="1328" w:type="dxa"/>
          </w:tcPr>
          <w:p w14:paraId="66D0A7FB" w14:textId="7777777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-0.013</w:t>
            </w:r>
          </w:p>
          <w:p w14:paraId="695D9D0F" w14:textId="5B896B0D"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(0.760)</w:t>
            </w:r>
          </w:p>
        </w:tc>
        <w:tc>
          <w:tcPr>
            <w:tcW w:w="816" w:type="dxa"/>
            <w:tcBorders>
              <w:right w:val="nil"/>
            </w:tcBorders>
          </w:tcPr>
          <w:p w14:paraId="70C627F5" w14:textId="77777777" w:rsidR="00E07B24" w:rsidRPr="000972D1" w:rsidRDefault="005D57D0"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-0.058</w:t>
            </w:r>
          </w:p>
          <w:p w14:paraId="200699BE" w14:textId="4A57F7E6" w:rsidR="005D57D0" w:rsidRPr="000972D1" w:rsidRDefault="005D57D0"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(0.548)</w:t>
            </w:r>
          </w:p>
        </w:tc>
        <w:tc>
          <w:tcPr>
            <w:tcW w:w="0" w:type="auto"/>
            <w:tcBorders>
              <w:left w:val="nil"/>
            </w:tcBorders>
            <w:noWrap/>
          </w:tcPr>
          <w:p w14:paraId="4BE9A533" w14:textId="3E856F2B"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c>
          <w:tcPr>
            <w:tcW w:w="0" w:type="auto"/>
            <w:noWrap/>
          </w:tcPr>
          <w:p w14:paraId="5D737F8D" w14:textId="060C4AF2"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c>
          <w:tcPr>
            <w:tcW w:w="0" w:type="auto"/>
          </w:tcPr>
          <w:p w14:paraId="3A8CDD9C" w14:textId="02035110"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-0.039</w:t>
            </w:r>
          </w:p>
          <w:p w14:paraId="7E971851" w14:textId="2141D29F"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(0.890)</w:t>
            </w:r>
          </w:p>
        </w:tc>
        <w:tc>
          <w:tcPr>
            <w:tcW w:w="0" w:type="auto"/>
          </w:tcPr>
          <w:p w14:paraId="31BC54DE" w14:textId="694C3B0B"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-0.006</w:t>
            </w:r>
          </w:p>
          <w:p w14:paraId="058CC65A" w14:textId="4F7A4534"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(0.921)</w:t>
            </w:r>
          </w:p>
        </w:tc>
      </w:tr>
      <w:tr w:rsidR="00352FB3" w:rsidRPr="000972D1" w14:paraId="19F41E7D" w14:textId="2FA6FF4C" w:rsidTr="005D57D0">
        <w:trPr>
          <w:trHeight w:val="300"/>
          <w:jc w:val="center"/>
        </w:trPr>
        <w:tc>
          <w:tcPr>
            <w:tcW w:w="0" w:type="auto"/>
            <w:tcBorders>
              <w:right w:val="single" w:sz="12" w:space="0" w:color="auto"/>
            </w:tcBorders>
            <w:noWrap/>
          </w:tcPr>
          <w:p w14:paraId="3927C138" w14:textId="7CF7D29E" w:rsidR="00E07B24" w:rsidRPr="000972D1" w:rsidRDefault="00E07B24" w:rsidP="00786764">
            <w:pPr>
              <w:ind w:left="-63"/>
              <w:jc w:val="both"/>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ROA</w:t>
            </w:r>
          </w:p>
        </w:tc>
        <w:tc>
          <w:tcPr>
            <w:tcW w:w="0" w:type="auto"/>
          </w:tcPr>
          <w:p w14:paraId="793A33A0" w14:textId="7777777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5.259***</w:t>
            </w:r>
          </w:p>
          <w:p w14:paraId="473F0BD2" w14:textId="48DB6DB2"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(0.002)</w:t>
            </w:r>
          </w:p>
        </w:tc>
        <w:tc>
          <w:tcPr>
            <w:tcW w:w="0" w:type="auto"/>
          </w:tcPr>
          <w:p w14:paraId="443A690E" w14:textId="7777777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-1.332***</w:t>
            </w:r>
          </w:p>
          <w:p w14:paraId="34F4B57D" w14:textId="2FF17083"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(0.001)</w:t>
            </w:r>
          </w:p>
        </w:tc>
        <w:tc>
          <w:tcPr>
            <w:tcW w:w="1328" w:type="dxa"/>
          </w:tcPr>
          <w:p w14:paraId="41DCC8EF" w14:textId="7777777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-1.346***</w:t>
            </w:r>
          </w:p>
          <w:p w14:paraId="2987CD7A" w14:textId="2302B614"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(0.000)</w:t>
            </w:r>
          </w:p>
        </w:tc>
        <w:tc>
          <w:tcPr>
            <w:tcW w:w="816" w:type="dxa"/>
            <w:tcBorders>
              <w:right w:val="nil"/>
            </w:tcBorders>
          </w:tcPr>
          <w:p w14:paraId="57872992" w14:textId="77777777" w:rsidR="00E07B24" w:rsidRPr="000972D1" w:rsidRDefault="005D57D0" w:rsidP="005D57D0">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-1.373**</w:t>
            </w:r>
          </w:p>
          <w:p w14:paraId="42BA0669" w14:textId="36E376E3" w:rsidR="005D57D0" w:rsidRPr="000972D1" w:rsidRDefault="005D57D0" w:rsidP="005D57D0">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(0.030)</w:t>
            </w:r>
          </w:p>
        </w:tc>
        <w:tc>
          <w:tcPr>
            <w:tcW w:w="0" w:type="auto"/>
            <w:tcBorders>
              <w:left w:val="nil"/>
            </w:tcBorders>
            <w:noWrap/>
          </w:tcPr>
          <w:p w14:paraId="452C568A" w14:textId="3844CEB0"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c>
          <w:tcPr>
            <w:tcW w:w="0" w:type="auto"/>
            <w:noWrap/>
          </w:tcPr>
          <w:p w14:paraId="5100B3C3" w14:textId="1356D62E"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p w14:paraId="22FD328F" w14:textId="7777777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p>
        </w:tc>
        <w:tc>
          <w:tcPr>
            <w:tcW w:w="0" w:type="auto"/>
          </w:tcPr>
          <w:p w14:paraId="150B7489" w14:textId="4E3E3F19"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3.362**</w:t>
            </w:r>
          </w:p>
          <w:p w14:paraId="5B974234" w14:textId="23B768DA"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(0.050)</w:t>
            </w:r>
          </w:p>
        </w:tc>
        <w:tc>
          <w:tcPr>
            <w:tcW w:w="0" w:type="auto"/>
          </w:tcPr>
          <w:p w14:paraId="6C787AF4" w14:textId="28E61920"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-1.686***</w:t>
            </w:r>
          </w:p>
          <w:p w14:paraId="54D3BE0C" w14:textId="6511C35F"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(0.000)</w:t>
            </w:r>
          </w:p>
        </w:tc>
      </w:tr>
      <w:tr w:rsidR="00352FB3" w:rsidRPr="000972D1" w14:paraId="6B663087" w14:textId="7EC92B10" w:rsidTr="005D57D0">
        <w:trPr>
          <w:trHeight w:val="300"/>
          <w:jc w:val="center"/>
        </w:trPr>
        <w:tc>
          <w:tcPr>
            <w:tcW w:w="0" w:type="auto"/>
            <w:tcBorders>
              <w:right w:val="single" w:sz="12" w:space="0" w:color="auto"/>
            </w:tcBorders>
            <w:noWrap/>
          </w:tcPr>
          <w:p w14:paraId="454269CA" w14:textId="775299CE" w:rsidR="00E07B24" w:rsidRPr="000972D1" w:rsidRDefault="00E07B24" w:rsidP="00786764">
            <w:pPr>
              <w:ind w:left="-63"/>
              <w:jc w:val="both"/>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LNTS</w:t>
            </w:r>
          </w:p>
        </w:tc>
        <w:tc>
          <w:tcPr>
            <w:tcW w:w="0" w:type="auto"/>
          </w:tcPr>
          <w:p w14:paraId="41E18F09" w14:textId="5D0103C1"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c>
          <w:tcPr>
            <w:tcW w:w="0" w:type="auto"/>
          </w:tcPr>
          <w:p w14:paraId="6C03C2DB" w14:textId="4C4DE1A2"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c>
          <w:tcPr>
            <w:tcW w:w="1328" w:type="dxa"/>
          </w:tcPr>
          <w:p w14:paraId="6267C818" w14:textId="3A0FE4E6"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c>
          <w:tcPr>
            <w:tcW w:w="816" w:type="dxa"/>
            <w:tcBorders>
              <w:right w:val="nil"/>
            </w:tcBorders>
          </w:tcPr>
          <w:p w14:paraId="67A826C9" w14:textId="4F54B077" w:rsidR="00E07B24" w:rsidRPr="000972D1" w:rsidRDefault="005D57D0"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c>
          <w:tcPr>
            <w:tcW w:w="0" w:type="auto"/>
            <w:tcBorders>
              <w:left w:val="nil"/>
            </w:tcBorders>
            <w:noWrap/>
          </w:tcPr>
          <w:p w14:paraId="1FE1560F" w14:textId="7594C721"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0.741***</w:t>
            </w:r>
          </w:p>
          <w:p w14:paraId="22AF319A" w14:textId="7777777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(0.000)</w:t>
            </w:r>
          </w:p>
        </w:tc>
        <w:tc>
          <w:tcPr>
            <w:tcW w:w="0" w:type="auto"/>
            <w:noWrap/>
          </w:tcPr>
          <w:p w14:paraId="360EA49B" w14:textId="0293EC58"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0.231***</w:t>
            </w:r>
          </w:p>
          <w:p w14:paraId="6ACDA8F8" w14:textId="7777777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(0.000)</w:t>
            </w:r>
          </w:p>
        </w:tc>
        <w:tc>
          <w:tcPr>
            <w:tcW w:w="0" w:type="auto"/>
          </w:tcPr>
          <w:p w14:paraId="4FAA22FF" w14:textId="650255D4"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c>
          <w:tcPr>
            <w:tcW w:w="0" w:type="auto"/>
          </w:tcPr>
          <w:p w14:paraId="4D0D6202" w14:textId="39079FF1"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r>
      <w:tr w:rsidR="00352FB3" w:rsidRPr="000972D1" w14:paraId="0B8720E4" w14:textId="5C1CB769" w:rsidTr="005D57D0">
        <w:trPr>
          <w:trHeight w:val="300"/>
          <w:jc w:val="center"/>
        </w:trPr>
        <w:tc>
          <w:tcPr>
            <w:tcW w:w="0" w:type="auto"/>
            <w:tcBorders>
              <w:right w:val="single" w:sz="12" w:space="0" w:color="auto"/>
            </w:tcBorders>
            <w:noWrap/>
          </w:tcPr>
          <w:p w14:paraId="4A6096DD" w14:textId="77777777" w:rsidR="00E07B24" w:rsidRPr="000972D1" w:rsidRDefault="00E07B24" w:rsidP="00786764">
            <w:pPr>
              <w:ind w:left="-63"/>
              <w:jc w:val="both"/>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 xml:space="preserve">CURRENT </w:t>
            </w:r>
          </w:p>
        </w:tc>
        <w:tc>
          <w:tcPr>
            <w:tcW w:w="0" w:type="auto"/>
          </w:tcPr>
          <w:p w14:paraId="7CCE0DF6" w14:textId="0AF9EF3D"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c>
          <w:tcPr>
            <w:tcW w:w="0" w:type="auto"/>
          </w:tcPr>
          <w:p w14:paraId="165C3F21" w14:textId="28407825"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c>
          <w:tcPr>
            <w:tcW w:w="1328" w:type="dxa"/>
          </w:tcPr>
          <w:p w14:paraId="7F05A542" w14:textId="0ECD17E9"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c>
          <w:tcPr>
            <w:tcW w:w="816" w:type="dxa"/>
            <w:tcBorders>
              <w:right w:val="nil"/>
            </w:tcBorders>
          </w:tcPr>
          <w:p w14:paraId="3E6B180A" w14:textId="7F02A270" w:rsidR="00E07B24" w:rsidRPr="000972D1" w:rsidRDefault="005D57D0"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c>
          <w:tcPr>
            <w:tcW w:w="0" w:type="auto"/>
            <w:tcBorders>
              <w:left w:val="nil"/>
            </w:tcBorders>
            <w:noWrap/>
          </w:tcPr>
          <w:p w14:paraId="768884CF" w14:textId="38E4D924"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0.172**</w:t>
            </w:r>
          </w:p>
          <w:p w14:paraId="6E5BE1F2" w14:textId="1AD35448"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(0.038)</w:t>
            </w:r>
          </w:p>
        </w:tc>
        <w:tc>
          <w:tcPr>
            <w:tcW w:w="0" w:type="auto"/>
            <w:noWrap/>
          </w:tcPr>
          <w:p w14:paraId="55F7FEB8" w14:textId="18C8DEEA"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-0.046**</w:t>
            </w:r>
          </w:p>
          <w:p w14:paraId="25F3B1C9" w14:textId="7581707A" w:rsidR="00E07B24" w:rsidRPr="000972D1" w:rsidRDefault="00E07B24" w:rsidP="00AA749F">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(0.016)</w:t>
            </w:r>
          </w:p>
        </w:tc>
        <w:tc>
          <w:tcPr>
            <w:tcW w:w="0" w:type="auto"/>
          </w:tcPr>
          <w:p w14:paraId="62EA7B04" w14:textId="11914B01"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c>
          <w:tcPr>
            <w:tcW w:w="0" w:type="auto"/>
          </w:tcPr>
          <w:p w14:paraId="587E3912" w14:textId="0D1469FC"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r>
      <w:tr w:rsidR="00352FB3" w:rsidRPr="000972D1" w14:paraId="72BCCB11" w14:textId="451C59E5" w:rsidTr="005D57D0">
        <w:trPr>
          <w:trHeight w:val="300"/>
          <w:jc w:val="center"/>
        </w:trPr>
        <w:tc>
          <w:tcPr>
            <w:tcW w:w="0" w:type="auto"/>
            <w:tcBorders>
              <w:right w:val="single" w:sz="12" w:space="0" w:color="auto"/>
            </w:tcBorders>
            <w:noWrap/>
          </w:tcPr>
          <w:p w14:paraId="5A05947B" w14:textId="77777777" w:rsidR="00E07B24" w:rsidRPr="000972D1" w:rsidRDefault="00E07B24" w:rsidP="00786764">
            <w:pPr>
              <w:ind w:left="-63"/>
              <w:jc w:val="both"/>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MTB</w:t>
            </w:r>
          </w:p>
        </w:tc>
        <w:tc>
          <w:tcPr>
            <w:tcW w:w="0" w:type="auto"/>
          </w:tcPr>
          <w:p w14:paraId="3216404E" w14:textId="315BAEC2"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c>
          <w:tcPr>
            <w:tcW w:w="0" w:type="auto"/>
          </w:tcPr>
          <w:p w14:paraId="3CA7C45B" w14:textId="680523EF"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c>
          <w:tcPr>
            <w:tcW w:w="1328" w:type="dxa"/>
          </w:tcPr>
          <w:p w14:paraId="5A4DEDF1" w14:textId="6D1AFCA4"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c>
          <w:tcPr>
            <w:tcW w:w="816" w:type="dxa"/>
            <w:tcBorders>
              <w:right w:val="nil"/>
            </w:tcBorders>
          </w:tcPr>
          <w:p w14:paraId="0A116F60" w14:textId="231EA165" w:rsidR="00E07B24" w:rsidRPr="000972D1" w:rsidRDefault="005D57D0"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c>
          <w:tcPr>
            <w:tcW w:w="0" w:type="auto"/>
            <w:tcBorders>
              <w:left w:val="nil"/>
            </w:tcBorders>
            <w:noWrap/>
          </w:tcPr>
          <w:p w14:paraId="231E21BB" w14:textId="2D8608EE"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-0.024*</w:t>
            </w:r>
          </w:p>
          <w:p w14:paraId="5600BDC0" w14:textId="2F633E94"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(0.082)</w:t>
            </w:r>
          </w:p>
        </w:tc>
        <w:tc>
          <w:tcPr>
            <w:tcW w:w="0" w:type="auto"/>
            <w:noWrap/>
          </w:tcPr>
          <w:p w14:paraId="757C5F24" w14:textId="7777777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-0.002</w:t>
            </w:r>
          </w:p>
          <w:p w14:paraId="3F5AD39A" w14:textId="794323AB"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(0.572)</w:t>
            </w:r>
          </w:p>
        </w:tc>
        <w:tc>
          <w:tcPr>
            <w:tcW w:w="0" w:type="auto"/>
          </w:tcPr>
          <w:p w14:paraId="70C19785" w14:textId="5A4A4FBE"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c>
          <w:tcPr>
            <w:tcW w:w="0" w:type="auto"/>
          </w:tcPr>
          <w:p w14:paraId="4DDEBCC8" w14:textId="77855A39"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r>
      <w:tr w:rsidR="00352FB3" w:rsidRPr="000972D1" w14:paraId="73769F22" w14:textId="138C6474" w:rsidTr="005D57D0">
        <w:trPr>
          <w:trHeight w:val="300"/>
          <w:jc w:val="center"/>
        </w:trPr>
        <w:tc>
          <w:tcPr>
            <w:tcW w:w="0" w:type="auto"/>
            <w:tcBorders>
              <w:right w:val="single" w:sz="12" w:space="0" w:color="auto"/>
            </w:tcBorders>
            <w:noWrap/>
          </w:tcPr>
          <w:p w14:paraId="4FC73174" w14:textId="77777777" w:rsidR="00E07B24" w:rsidRPr="000972D1" w:rsidRDefault="00E07B24" w:rsidP="00786764">
            <w:pPr>
              <w:ind w:left="-63"/>
              <w:jc w:val="both"/>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 xml:space="preserve">ROE </w:t>
            </w:r>
          </w:p>
        </w:tc>
        <w:tc>
          <w:tcPr>
            <w:tcW w:w="0" w:type="auto"/>
          </w:tcPr>
          <w:p w14:paraId="188B0E03" w14:textId="254C19C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c>
          <w:tcPr>
            <w:tcW w:w="0" w:type="auto"/>
          </w:tcPr>
          <w:p w14:paraId="179DD082" w14:textId="73859DD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c>
          <w:tcPr>
            <w:tcW w:w="1328" w:type="dxa"/>
          </w:tcPr>
          <w:p w14:paraId="038F344E" w14:textId="3F5B05DB"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c>
          <w:tcPr>
            <w:tcW w:w="816" w:type="dxa"/>
            <w:tcBorders>
              <w:right w:val="nil"/>
            </w:tcBorders>
          </w:tcPr>
          <w:p w14:paraId="123163DA" w14:textId="69225929" w:rsidR="00E07B24" w:rsidRPr="000972D1" w:rsidRDefault="005D57D0"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c>
          <w:tcPr>
            <w:tcW w:w="0" w:type="auto"/>
            <w:tcBorders>
              <w:left w:val="nil"/>
            </w:tcBorders>
            <w:noWrap/>
          </w:tcPr>
          <w:p w14:paraId="27C106BC" w14:textId="59EA725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1.175</w:t>
            </w:r>
          </w:p>
          <w:p w14:paraId="332C1ABC" w14:textId="06F14642"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(0.184)</w:t>
            </w:r>
          </w:p>
        </w:tc>
        <w:tc>
          <w:tcPr>
            <w:tcW w:w="0" w:type="auto"/>
            <w:noWrap/>
          </w:tcPr>
          <w:p w14:paraId="3E0A803B" w14:textId="180D0CCB"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-1.124***</w:t>
            </w:r>
          </w:p>
          <w:p w14:paraId="33E61A6C" w14:textId="7777777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(0.000)</w:t>
            </w:r>
          </w:p>
        </w:tc>
        <w:tc>
          <w:tcPr>
            <w:tcW w:w="0" w:type="auto"/>
          </w:tcPr>
          <w:p w14:paraId="2D0385C2" w14:textId="506BD9E6"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c>
          <w:tcPr>
            <w:tcW w:w="0" w:type="auto"/>
          </w:tcPr>
          <w:p w14:paraId="7B2F3A9D" w14:textId="79337D39"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r>
      <w:tr w:rsidR="00352FB3" w:rsidRPr="000972D1" w14:paraId="134C78EA" w14:textId="06922BD5" w:rsidTr="005D57D0">
        <w:trPr>
          <w:trHeight w:val="86"/>
          <w:jc w:val="center"/>
        </w:trPr>
        <w:tc>
          <w:tcPr>
            <w:tcW w:w="0" w:type="auto"/>
            <w:tcBorders>
              <w:right w:val="single" w:sz="12" w:space="0" w:color="auto"/>
            </w:tcBorders>
            <w:noWrap/>
          </w:tcPr>
          <w:p w14:paraId="28C3C6BA" w14:textId="77777777" w:rsidR="005D57D0" w:rsidRPr="000972D1" w:rsidRDefault="005D57D0" w:rsidP="005D57D0">
            <w:pPr>
              <w:ind w:left="-63"/>
              <w:jc w:val="both"/>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 xml:space="preserve">YDU </w:t>
            </w:r>
          </w:p>
        </w:tc>
        <w:tc>
          <w:tcPr>
            <w:tcW w:w="0" w:type="auto"/>
            <w:tcBorders>
              <w:left w:val="single" w:sz="12" w:space="0" w:color="auto"/>
            </w:tcBorders>
          </w:tcPr>
          <w:p w14:paraId="46DA0CC4" w14:textId="41A26B19" w:rsidR="005D57D0" w:rsidRPr="000972D1" w:rsidRDefault="005D57D0" w:rsidP="005D57D0">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Included</w:t>
            </w:r>
          </w:p>
        </w:tc>
        <w:tc>
          <w:tcPr>
            <w:tcW w:w="0" w:type="auto"/>
          </w:tcPr>
          <w:p w14:paraId="7C01FB97" w14:textId="0EF36EC8" w:rsidR="005D57D0" w:rsidRPr="000972D1" w:rsidRDefault="005D57D0" w:rsidP="005D57D0">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Included</w:t>
            </w:r>
          </w:p>
        </w:tc>
        <w:tc>
          <w:tcPr>
            <w:tcW w:w="1328" w:type="dxa"/>
          </w:tcPr>
          <w:p w14:paraId="622C0CA1" w14:textId="2BEDBA2F" w:rsidR="005D57D0" w:rsidRPr="000972D1" w:rsidRDefault="005D57D0" w:rsidP="005D57D0">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Included</w:t>
            </w:r>
          </w:p>
        </w:tc>
        <w:tc>
          <w:tcPr>
            <w:tcW w:w="816" w:type="dxa"/>
          </w:tcPr>
          <w:p w14:paraId="530332B0" w14:textId="1A2E9A52" w:rsidR="005D57D0" w:rsidRPr="000972D1" w:rsidRDefault="005D57D0" w:rsidP="005D57D0">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Included</w:t>
            </w:r>
          </w:p>
        </w:tc>
        <w:tc>
          <w:tcPr>
            <w:tcW w:w="0" w:type="auto"/>
            <w:tcBorders>
              <w:left w:val="nil"/>
            </w:tcBorders>
            <w:noWrap/>
          </w:tcPr>
          <w:p w14:paraId="79AB8C48" w14:textId="0BD0596C" w:rsidR="005D57D0" w:rsidRPr="000972D1" w:rsidRDefault="005D57D0" w:rsidP="005D57D0">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Included</w:t>
            </w:r>
          </w:p>
        </w:tc>
        <w:tc>
          <w:tcPr>
            <w:tcW w:w="0" w:type="auto"/>
            <w:noWrap/>
          </w:tcPr>
          <w:p w14:paraId="4531A7A2" w14:textId="77777777" w:rsidR="005D57D0" w:rsidRPr="000972D1" w:rsidRDefault="005D57D0" w:rsidP="005D57D0">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Included</w:t>
            </w:r>
          </w:p>
        </w:tc>
        <w:tc>
          <w:tcPr>
            <w:tcW w:w="0" w:type="auto"/>
          </w:tcPr>
          <w:p w14:paraId="40B89A8F" w14:textId="2F599E27" w:rsidR="005D57D0" w:rsidRPr="000972D1" w:rsidRDefault="005D57D0" w:rsidP="005D57D0">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Included</w:t>
            </w:r>
          </w:p>
        </w:tc>
        <w:tc>
          <w:tcPr>
            <w:tcW w:w="0" w:type="auto"/>
          </w:tcPr>
          <w:p w14:paraId="050E2EA1" w14:textId="106699F5" w:rsidR="005D57D0" w:rsidRPr="000972D1" w:rsidRDefault="005D57D0" w:rsidP="005D57D0">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Included</w:t>
            </w:r>
          </w:p>
        </w:tc>
      </w:tr>
      <w:tr w:rsidR="00352FB3" w:rsidRPr="000972D1" w14:paraId="5A35F355" w14:textId="43D7EF85" w:rsidTr="005D57D0">
        <w:trPr>
          <w:trHeight w:val="47"/>
          <w:jc w:val="center"/>
        </w:trPr>
        <w:tc>
          <w:tcPr>
            <w:tcW w:w="0" w:type="auto"/>
            <w:tcBorders>
              <w:bottom w:val="single" w:sz="12" w:space="0" w:color="auto"/>
              <w:right w:val="single" w:sz="12" w:space="0" w:color="auto"/>
            </w:tcBorders>
            <w:noWrap/>
          </w:tcPr>
          <w:p w14:paraId="77C76C84" w14:textId="4DB65255" w:rsidR="005D57D0" w:rsidRPr="000972D1" w:rsidRDefault="005D57D0" w:rsidP="005D57D0">
            <w:pPr>
              <w:ind w:left="-63"/>
              <w:jc w:val="both"/>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IRY</w:t>
            </w:r>
          </w:p>
        </w:tc>
        <w:tc>
          <w:tcPr>
            <w:tcW w:w="0" w:type="auto"/>
            <w:tcBorders>
              <w:left w:val="single" w:sz="12" w:space="0" w:color="auto"/>
              <w:bottom w:val="single" w:sz="12" w:space="0" w:color="auto"/>
            </w:tcBorders>
          </w:tcPr>
          <w:p w14:paraId="4CB146C4" w14:textId="5A0C7A82" w:rsidR="005D57D0" w:rsidRPr="000972D1" w:rsidRDefault="005D57D0" w:rsidP="005D57D0">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Included</w:t>
            </w:r>
          </w:p>
        </w:tc>
        <w:tc>
          <w:tcPr>
            <w:tcW w:w="0" w:type="auto"/>
            <w:tcBorders>
              <w:bottom w:val="single" w:sz="12" w:space="0" w:color="auto"/>
            </w:tcBorders>
          </w:tcPr>
          <w:p w14:paraId="5AA996D9" w14:textId="2BC4BA79" w:rsidR="005D57D0" w:rsidRPr="000972D1" w:rsidRDefault="005D57D0" w:rsidP="005D57D0">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Included</w:t>
            </w:r>
          </w:p>
        </w:tc>
        <w:tc>
          <w:tcPr>
            <w:tcW w:w="1328" w:type="dxa"/>
            <w:tcBorders>
              <w:bottom w:val="single" w:sz="12" w:space="0" w:color="auto"/>
            </w:tcBorders>
          </w:tcPr>
          <w:p w14:paraId="05C47BC6" w14:textId="3532875A" w:rsidR="005D57D0" w:rsidRPr="000972D1" w:rsidRDefault="005D57D0" w:rsidP="005D57D0">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Included</w:t>
            </w:r>
          </w:p>
        </w:tc>
        <w:tc>
          <w:tcPr>
            <w:tcW w:w="816" w:type="dxa"/>
            <w:tcBorders>
              <w:bottom w:val="single" w:sz="12" w:space="0" w:color="auto"/>
            </w:tcBorders>
          </w:tcPr>
          <w:p w14:paraId="25D8F21A" w14:textId="08E2EB39" w:rsidR="005D57D0" w:rsidRPr="000972D1" w:rsidRDefault="005D57D0" w:rsidP="005D57D0">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Included</w:t>
            </w:r>
          </w:p>
        </w:tc>
        <w:tc>
          <w:tcPr>
            <w:tcW w:w="0" w:type="auto"/>
            <w:tcBorders>
              <w:left w:val="nil"/>
              <w:bottom w:val="single" w:sz="12" w:space="0" w:color="auto"/>
            </w:tcBorders>
            <w:noWrap/>
          </w:tcPr>
          <w:p w14:paraId="389AF70B" w14:textId="3CBC7B74" w:rsidR="005D57D0" w:rsidRPr="000972D1" w:rsidRDefault="005D57D0" w:rsidP="005D57D0">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Included</w:t>
            </w:r>
          </w:p>
        </w:tc>
        <w:tc>
          <w:tcPr>
            <w:tcW w:w="0" w:type="auto"/>
            <w:tcBorders>
              <w:bottom w:val="single" w:sz="12" w:space="0" w:color="auto"/>
            </w:tcBorders>
            <w:noWrap/>
          </w:tcPr>
          <w:p w14:paraId="2C043AD6" w14:textId="77777777" w:rsidR="005D57D0" w:rsidRPr="000972D1" w:rsidRDefault="005D57D0" w:rsidP="005D57D0">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Included</w:t>
            </w:r>
          </w:p>
        </w:tc>
        <w:tc>
          <w:tcPr>
            <w:tcW w:w="0" w:type="auto"/>
            <w:tcBorders>
              <w:bottom w:val="single" w:sz="12" w:space="0" w:color="auto"/>
            </w:tcBorders>
          </w:tcPr>
          <w:p w14:paraId="2F646CC5" w14:textId="6FC29C58" w:rsidR="005D57D0" w:rsidRPr="000972D1" w:rsidRDefault="005D57D0" w:rsidP="005D57D0">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Included</w:t>
            </w:r>
          </w:p>
        </w:tc>
        <w:tc>
          <w:tcPr>
            <w:tcW w:w="0" w:type="auto"/>
            <w:tcBorders>
              <w:bottom w:val="single" w:sz="12" w:space="0" w:color="auto"/>
            </w:tcBorders>
          </w:tcPr>
          <w:p w14:paraId="3AAD7E55" w14:textId="1971566D" w:rsidR="005D57D0" w:rsidRPr="000972D1" w:rsidRDefault="005D57D0" w:rsidP="005D57D0">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Included</w:t>
            </w:r>
          </w:p>
        </w:tc>
      </w:tr>
      <w:tr w:rsidR="00352FB3" w:rsidRPr="000972D1" w14:paraId="4FDB6C6F" w14:textId="557815E4" w:rsidTr="005D57D0">
        <w:trPr>
          <w:trHeight w:val="120"/>
          <w:jc w:val="center"/>
        </w:trPr>
        <w:tc>
          <w:tcPr>
            <w:tcW w:w="0" w:type="auto"/>
            <w:tcBorders>
              <w:top w:val="single" w:sz="12" w:space="0" w:color="auto"/>
              <w:right w:val="single" w:sz="12" w:space="0" w:color="auto"/>
            </w:tcBorders>
            <w:noWrap/>
          </w:tcPr>
          <w:p w14:paraId="62C4E8BB" w14:textId="77777777" w:rsidR="00E07B24" w:rsidRPr="000972D1" w:rsidRDefault="00E07B24" w:rsidP="00786764">
            <w:pPr>
              <w:ind w:left="-63"/>
              <w:jc w:val="both"/>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 xml:space="preserve">Constant </w:t>
            </w:r>
          </w:p>
        </w:tc>
        <w:tc>
          <w:tcPr>
            <w:tcW w:w="0" w:type="auto"/>
            <w:tcBorders>
              <w:top w:val="single" w:sz="12" w:space="0" w:color="auto"/>
            </w:tcBorders>
          </w:tcPr>
          <w:p w14:paraId="0DFB96B8" w14:textId="65B1FC14"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-11.956**</w:t>
            </w:r>
          </w:p>
        </w:tc>
        <w:tc>
          <w:tcPr>
            <w:tcW w:w="0" w:type="auto"/>
            <w:tcBorders>
              <w:top w:val="single" w:sz="12" w:space="0" w:color="auto"/>
            </w:tcBorders>
          </w:tcPr>
          <w:p w14:paraId="06CD5DE1" w14:textId="5C7622BC"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4.881***</w:t>
            </w:r>
          </w:p>
        </w:tc>
        <w:tc>
          <w:tcPr>
            <w:tcW w:w="1328" w:type="dxa"/>
            <w:tcBorders>
              <w:top w:val="single" w:sz="12" w:space="0" w:color="auto"/>
            </w:tcBorders>
          </w:tcPr>
          <w:p w14:paraId="1D444DC0" w14:textId="21FC7A2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3.895***</w:t>
            </w:r>
          </w:p>
        </w:tc>
        <w:tc>
          <w:tcPr>
            <w:tcW w:w="816" w:type="dxa"/>
            <w:tcBorders>
              <w:top w:val="single" w:sz="12" w:space="0" w:color="auto"/>
              <w:right w:val="nil"/>
            </w:tcBorders>
          </w:tcPr>
          <w:p w14:paraId="5706A68F" w14:textId="04669C5D" w:rsidR="00E07B24" w:rsidRPr="000972D1" w:rsidRDefault="005D57D0"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2.938***</w:t>
            </w:r>
          </w:p>
        </w:tc>
        <w:tc>
          <w:tcPr>
            <w:tcW w:w="0" w:type="auto"/>
            <w:tcBorders>
              <w:top w:val="single" w:sz="12" w:space="0" w:color="auto"/>
              <w:left w:val="nil"/>
            </w:tcBorders>
            <w:noWrap/>
          </w:tcPr>
          <w:p w14:paraId="37213A81" w14:textId="0ECC8493"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-12.451***</w:t>
            </w:r>
          </w:p>
        </w:tc>
        <w:tc>
          <w:tcPr>
            <w:tcW w:w="0" w:type="auto"/>
            <w:tcBorders>
              <w:top w:val="single" w:sz="12" w:space="0" w:color="auto"/>
            </w:tcBorders>
            <w:noWrap/>
          </w:tcPr>
          <w:p w14:paraId="10CE4846" w14:textId="589969B2"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4.484***</w:t>
            </w:r>
          </w:p>
        </w:tc>
        <w:tc>
          <w:tcPr>
            <w:tcW w:w="0" w:type="auto"/>
            <w:tcBorders>
              <w:top w:val="single" w:sz="12" w:space="0" w:color="auto"/>
            </w:tcBorders>
          </w:tcPr>
          <w:p w14:paraId="6BBEDBF3" w14:textId="4B2CBE4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-10.011***</w:t>
            </w:r>
          </w:p>
        </w:tc>
        <w:tc>
          <w:tcPr>
            <w:tcW w:w="0" w:type="auto"/>
            <w:tcBorders>
              <w:top w:val="single" w:sz="12" w:space="0" w:color="auto"/>
            </w:tcBorders>
          </w:tcPr>
          <w:p w14:paraId="1408F5F6" w14:textId="2FCB9F71"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4.502***</w:t>
            </w:r>
          </w:p>
        </w:tc>
      </w:tr>
      <w:tr w:rsidR="00352FB3" w:rsidRPr="000972D1" w14:paraId="2A9828C3" w14:textId="77777777" w:rsidTr="005D57D0">
        <w:trPr>
          <w:trHeight w:val="47"/>
          <w:jc w:val="center"/>
        </w:trPr>
        <w:tc>
          <w:tcPr>
            <w:tcW w:w="0" w:type="auto"/>
            <w:tcBorders>
              <w:right w:val="single" w:sz="12" w:space="0" w:color="auto"/>
            </w:tcBorders>
            <w:noWrap/>
          </w:tcPr>
          <w:p w14:paraId="190065B3" w14:textId="71D27BA0" w:rsidR="00E07B24" w:rsidRPr="000972D1" w:rsidRDefault="00E07B24" w:rsidP="00560289">
            <w:pPr>
              <w:ind w:left="-63"/>
              <w:jc w:val="both"/>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F-value</w:t>
            </w:r>
          </w:p>
        </w:tc>
        <w:tc>
          <w:tcPr>
            <w:tcW w:w="0" w:type="auto"/>
            <w:tcBorders>
              <w:left w:val="nil"/>
            </w:tcBorders>
          </w:tcPr>
          <w:p w14:paraId="3F4A4271" w14:textId="32DD9BD7" w:rsidR="00E07B24" w:rsidRPr="000972D1" w:rsidRDefault="00E07B24" w:rsidP="00560289">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c>
          <w:tcPr>
            <w:tcW w:w="0" w:type="auto"/>
          </w:tcPr>
          <w:p w14:paraId="1EE3CEA8" w14:textId="3B1F7BA3" w:rsidR="00E07B24" w:rsidRPr="000972D1" w:rsidRDefault="00E07B24" w:rsidP="00560289">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47.84***</w:t>
            </w:r>
          </w:p>
        </w:tc>
        <w:tc>
          <w:tcPr>
            <w:tcW w:w="1328" w:type="dxa"/>
          </w:tcPr>
          <w:p w14:paraId="247BC233" w14:textId="4EC31E3D" w:rsidR="00E07B24" w:rsidRPr="000972D1" w:rsidRDefault="00E07B24" w:rsidP="00560289">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6.06</w:t>
            </w:r>
          </w:p>
        </w:tc>
        <w:tc>
          <w:tcPr>
            <w:tcW w:w="816" w:type="dxa"/>
            <w:tcBorders>
              <w:right w:val="nil"/>
            </w:tcBorders>
          </w:tcPr>
          <w:p w14:paraId="6208396E" w14:textId="007C1CFC" w:rsidR="00E07B24" w:rsidRPr="000972D1" w:rsidRDefault="005D57D0" w:rsidP="00560289">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6.15</w:t>
            </w:r>
          </w:p>
        </w:tc>
        <w:tc>
          <w:tcPr>
            <w:tcW w:w="0" w:type="auto"/>
            <w:tcBorders>
              <w:left w:val="nil"/>
            </w:tcBorders>
            <w:noWrap/>
          </w:tcPr>
          <w:p w14:paraId="3AD5D6B9" w14:textId="034AA77E" w:rsidR="00E07B24" w:rsidRPr="000972D1" w:rsidRDefault="00E07B24" w:rsidP="00560289">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c>
          <w:tcPr>
            <w:tcW w:w="0" w:type="auto"/>
            <w:noWrap/>
          </w:tcPr>
          <w:p w14:paraId="389B59E3" w14:textId="72A56B5B" w:rsidR="00E07B24" w:rsidRPr="000972D1" w:rsidRDefault="00E07B24" w:rsidP="00F21ABD">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35.20***</w:t>
            </w:r>
          </w:p>
        </w:tc>
        <w:tc>
          <w:tcPr>
            <w:tcW w:w="0" w:type="auto"/>
          </w:tcPr>
          <w:p w14:paraId="3AD43BC5" w14:textId="1DA52FC9" w:rsidR="00E07B24" w:rsidRPr="000972D1" w:rsidRDefault="00E07B24" w:rsidP="00560289">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c>
          <w:tcPr>
            <w:tcW w:w="0" w:type="auto"/>
          </w:tcPr>
          <w:p w14:paraId="7B05DA64" w14:textId="03D5B6E5" w:rsidR="00E07B24" w:rsidRPr="000972D1" w:rsidRDefault="00E07B24" w:rsidP="00560289">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47.33***</w:t>
            </w:r>
          </w:p>
        </w:tc>
      </w:tr>
      <w:tr w:rsidR="00352FB3" w:rsidRPr="000972D1" w14:paraId="7D5DEE32" w14:textId="651211FB" w:rsidTr="005D57D0">
        <w:trPr>
          <w:trHeight w:val="47"/>
          <w:jc w:val="center"/>
        </w:trPr>
        <w:tc>
          <w:tcPr>
            <w:tcW w:w="0" w:type="auto"/>
            <w:tcBorders>
              <w:right w:val="single" w:sz="12" w:space="0" w:color="auto"/>
            </w:tcBorders>
            <w:noWrap/>
          </w:tcPr>
          <w:p w14:paraId="2FDBB46B" w14:textId="6FF6628C" w:rsidR="00E07B24" w:rsidRPr="000972D1" w:rsidRDefault="00E07B24" w:rsidP="00786764">
            <w:pPr>
              <w:ind w:left="-63"/>
              <w:jc w:val="both"/>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Chi-square</w:t>
            </w:r>
          </w:p>
        </w:tc>
        <w:tc>
          <w:tcPr>
            <w:tcW w:w="0" w:type="auto"/>
          </w:tcPr>
          <w:p w14:paraId="13518764" w14:textId="16399E10"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275.32***</w:t>
            </w:r>
          </w:p>
        </w:tc>
        <w:tc>
          <w:tcPr>
            <w:tcW w:w="0" w:type="auto"/>
          </w:tcPr>
          <w:p w14:paraId="37D4A6FB" w14:textId="6B7FAD3A"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c>
          <w:tcPr>
            <w:tcW w:w="1328" w:type="dxa"/>
          </w:tcPr>
          <w:p w14:paraId="7E984A14" w14:textId="2E6BF396"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c>
          <w:tcPr>
            <w:tcW w:w="816" w:type="dxa"/>
            <w:tcBorders>
              <w:right w:val="nil"/>
            </w:tcBorders>
          </w:tcPr>
          <w:p w14:paraId="6276B213" w14:textId="34709370" w:rsidR="00E07B24" w:rsidRPr="000972D1" w:rsidRDefault="005D57D0"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c>
          <w:tcPr>
            <w:tcW w:w="0" w:type="auto"/>
            <w:tcBorders>
              <w:left w:val="nil"/>
            </w:tcBorders>
            <w:noWrap/>
          </w:tcPr>
          <w:p w14:paraId="1AA53B66" w14:textId="709014B1"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330.22***</w:t>
            </w:r>
          </w:p>
        </w:tc>
        <w:tc>
          <w:tcPr>
            <w:tcW w:w="0" w:type="auto"/>
            <w:noWrap/>
          </w:tcPr>
          <w:p w14:paraId="4FE47951" w14:textId="5DA034C8"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c>
          <w:tcPr>
            <w:tcW w:w="0" w:type="auto"/>
          </w:tcPr>
          <w:p w14:paraId="7BE7CC95" w14:textId="186D45BE"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312.17***</w:t>
            </w:r>
          </w:p>
        </w:tc>
        <w:tc>
          <w:tcPr>
            <w:tcW w:w="0" w:type="auto"/>
          </w:tcPr>
          <w:p w14:paraId="06A0797A" w14:textId="0C89DB3F"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r>
      <w:tr w:rsidR="00352FB3" w:rsidRPr="000972D1" w14:paraId="6BC541ED" w14:textId="5AEBCA4C" w:rsidTr="005D57D0">
        <w:trPr>
          <w:trHeight w:val="47"/>
          <w:jc w:val="center"/>
        </w:trPr>
        <w:tc>
          <w:tcPr>
            <w:tcW w:w="0" w:type="auto"/>
            <w:tcBorders>
              <w:right w:val="single" w:sz="12" w:space="0" w:color="auto"/>
            </w:tcBorders>
            <w:noWrap/>
          </w:tcPr>
          <w:p w14:paraId="1787E070" w14:textId="75EE5777" w:rsidR="00E07B24" w:rsidRPr="000972D1" w:rsidRDefault="00E07B24" w:rsidP="00560289">
            <w:pPr>
              <w:ind w:left="-63"/>
              <w:jc w:val="both"/>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Adjusted R</w:t>
            </w:r>
            <w:r w:rsidRPr="000972D1">
              <w:rPr>
                <w:rFonts w:ascii="Times New Roman" w:eastAsia="Times New Roman" w:hAnsi="Times New Roman" w:cs="Times New Roman"/>
                <w:sz w:val="16"/>
                <w:szCs w:val="16"/>
                <w:shd w:val="clear" w:color="auto" w:fill="FFFFFF"/>
                <w:vertAlign w:val="superscript"/>
                <w:lang w:val="en-US"/>
              </w:rPr>
              <w:t>2</w:t>
            </w:r>
          </w:p>
        </w:tc>
        <w:tc>
          <w:tcPr>
            <w:tcW w:w="0" w:type="auto"/>
            <w:tcBorders>
              <w:left w:val="nil"/>
            </w:tcBorders>
          </w:tcPr>
          <w:p w14:paraId="24162BB1" w14:textId="539E6F88" w:rsidR="00E07B24" w:rsidRPr="000972D1" w:rsidRDefault="00E07B24" w:rsidP="00560289">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c>
          <w:tcPr>
            <w:tcW w:w="0" w:type="auto"/>
          </w:tcPr>
          <w:p w14:paraId="2577EC8C" w14:textId="1C256EB4" w:rsidR="00E07B24" w:rsidRPr="000972D1" w:rsidRDefault="00E07B24" w:rsidP="00560289">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71.40%</w:t>
            </w:r>
          </w:p>
        </w:tc>
        <w:tc>
          <w:tcPr>
            <w:tcW w:w="1328" w:type="dxa"/>
          </w:tcPr>
          <w:p w14:paraId="5B21BD26" w14:textId="7E6C8AC5" w:rsidR="00E07B24" w:rsidRPr="000972D1" w:rsidRDefault="00E07B24" w:rsidP="00560289">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18.58</w:t>
            </w:r>
          </w:p>
        </w:tc>
        <w:tc>
          <w:tcPr>
            <w:tcW w:w="816" w:type="dxa"/>
            <w:tcBorders>
              <w:right w:val="nil"/>
            </w:tcBorders>
          </w:tcPr>
          <w:p w14:paraId="0631D0AD" w14:textId="5DD509C0" w:rsidR="00E07B24" w:rsidRPr="000972D1" w:rsidRDefault="005D57D0" w:rsidP="00560289">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22.85</w:t>
            </w:r>
          </w:p>
        </w:tc>
        <w:tc>
          <w:tcPr>
            <w:tcW w:w="0" w:type="auto"/>
            <w:tcBorders>
              <w:left w:val="nil"/>
            </w:tcBorders>
            <w:noWrap/>
          </w:tcPr>
          <w:p w14:paraId="52B9EE4C" w14:textId="7E9A72C4" w:rsidR="00E07B24" w:rsidRPr="000972D1" w:rsidRDefault="00E07B24" w:rsidP="00560289">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c>
          <w:tcPr>
            <w:tcW w:w="0" w:type="auto"/>
            <w:noWrap/>
          </w:tcPr>
          <w:p w14:paraId="41F7A9A2" w14:textId="5D2FE031" w:rsidR="00E07B24" w:rsidRPr="000972D1" w:rsidRDefault="00E07B24" w:rsidP="00560289">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66.31%</w:t>
            </w:r>
          </w:p>
        </w:tc>
        <w:tc>
          <w:tcPr>
            <w:tcW w:w="0" w:type="auto"/>
          </w:tcPr>
          <w:p w14:paraId="02B7D726" w14:textId="664BCD3A" w:rsidR="00E07B24" w:rsidRPr="000972D1" w:rsidRDefault="00E07B24" w:rsidP="00560289">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c>
          <w:tcPr>
            <w:tcW w:w="0" w:type="auto"/>
          </w:tcPr>
          <w:p w14:paraId="61C577E3" w14:textId="083F3FD8" w:rsidR="00E07B24" w:rsidRPr="000972D1" w:rsidRDefault="00E07B24" w:rsidP="00560289">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72.73%</w:t>
            </w:r>
          </w:p>
        </w:tc>
      </w:tr>
      <w:tr w:rsidR="00352FB3" w:rsidRPr="000972D1" w14:paraId="3FB3FCC8" w14:textId="3D42ED9D" w:rsidTr="005D57D0">
        <w:trPr>
          <w:trHeight w:val="47"/>
          <w:jc w:val="center"/>
        </w:trPr>
        <w:tc>
          <w:tcPr>
            <w:tcW w:w="0" w:type="auto"/>
            <w:tcBorders>
              <w:right w:val="single" w:sz="12" w:space="0" w:color="auto"/>
            </w:tcBorders>
            <w:noWrap/>
          </w:tcPr>
          <w:p w14:paraId="097F19E3" w14:textId="083D6196" w:rsidR="00E07B24" w:rsidRPr="000972D1" w:rsidRDefault="00E07B24" w:rsidP="00560289">
            <w:pPr>
              <w:ind w:left="-63"/>
              <w:jc w:val="both"/>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 xml:space="preserve">Pseudo R2  </w:t>
            </w:r>
          </w:p>
        </w:tc>
        <w:tc>
          <w:tcPr>
            <w:tcW w:w="0" w:type="auto"/>
          </w:tcPr>
          <w:p w14:paraId="1690933B" w14:textId="35D56427" w:rsidR="00E07B24" w:rsidRPr="000972D1" w:rsidRDefault="00E07B24" w:rsidP="00560289">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33.87%</w:t>
            </w:r>
          </w:p>
        </w:tc>
        <w:tc>
          <w:tcPr>
            <w:tcW w:w="0" w:type="auto"/>
          </w:tcPr>
          <w:p w14:paraId="023D0C80" w14:textId="6314A0C4" w:rsidR="00E07B24" w:rsidRPr="000972D1" w:rsidRDefault="00E07B24" w:rsidP="00560289">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c>
          <w:tcPr>
            <w:tcW w:w="1328" w:type="dxa"/>
          </w:tcPr>
          <w:p w14:paraId="2BC3C185" w14:textId="25149A22" w:rsidR="00E07B24" w:rsidRPr="000972D1" w:rsidRDefault="00E07B24" w:rsidP="00560289">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c>
          <w:tcPr>
            <w:tcW w:w="816" w:type="dxa"/>
            <w:tcBorders>
              <w:right w:val="nil"/>
            </w:tcBorders>
          </w:tcPr>
          <w:p w14:paraId="09E396EE" w14:textId="50E3FCD4" w:rsidR="00E07B24" w:rsidRPr="000972D1" w:rsidRDefault="005D57D0" w:rsidP="00560289">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c>
          <w:tcPr>
            <w:tcW w:w="0" w:type="auto"/>
            <w:tcBorders>
              <w:left w:val="nil"/>
            </w:tcBorders>
            <w:noWrap/>
          </w:tcPr>
          <w:p w14:paraId="6C10C572" w14:textId="401F3FE9" w:rsidR="00E07B24" w:rsidRPr="000972D1" w:rsidRDefault="00E07B24" w:rsidP="00560289">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40.62%</w:t>
            </w:r>
          </w:p>
        </w:tc>
        <w:tc>
          <w:tcPr>
            <w:tcW w:w="0" w:type="auto"/>
            <w:noWrap/>
          </w:tcPr>
          <w:p w14:paraId="5A739827" w14:textId="1E5EFD8B" w:rsidR="00E07B24" w:rsidRPr="000972D1" w:rsidRDefault="00E07B24" w:rsidP="00560289">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c>
          <w:tcPr>
            <w:tcW w:w="0" w:type="auto"/>
          </w:tcPr>
          <w:p w14:paraId="488530A7" w14:textId="6AEEA272" w:rsidR="00E07B24" w:rsidRPr="000972D1" w:rsidRDefault="00E07B24" w:rsidP="00560289">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38.40%</w:t>
            </w:r>
          </w:p>
        </w:tc>
        <w:tc>
          <w:tcPr>
            <w:tcW w:w="0" w:type="auto"/>
          </w:tcPr>
          <w:p w14:paraId="38A85E98" w14:textId="316DDC97" w:rsidR="00E07B24" w:rsidRPr="000972D1" w:rsidRDefault="00E07B24" w:rsidP="00560289">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r>
      <w:tr w:rsidR="00352FB3" w:rsidRPr="00352FB3" w14:paraId="56CF66E1" w14:textId="147068F2" w:rsidTr="005D57D0">
        <w:trPr>
          <w:trHeight w:val="59"/>
          <w:jc w:val="center"/>
        </w:trPr>
        <w:tc>
          <w:tcPr>
            <w:tcW w:w="0" w:type="auto"/>
            <w:tcBorders>
              <w:bottom w:val="single" w:sz="12" w:space="0" w:color="auto"/>
              <w:right w:val="single" w:sz="12" w:space="0" w:color="auto"/>
            </w:tcBorders>
            <w:noWrap/>
          </w:tcPr>
          <w:p w14:paraId="06594AF1" w14:textId="69EA2D02" w:rsidR="00E07B24" w:rsidRPr="000972D1" w:rsidRDefault="00E07B24" w:rsidP="00786764">
            <w:pPr>
              <w:ind w:left="-63"/>
              <w:jc w:val="both"/>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No. of observations</w:t>
            </w:r>
          </w:p>
        </w:tc>
        <w:tc>
          <w:tcPr>
            <w:tcW w:w="0" w:type="auto"/>
            <w:tcBorders>
              <w:bottom w:val="single" w:sz="12" w:space="0" w:color="auto"/>
            </w:tcBorders>
          </w:tcPr>
          <w:p w14:paraId="6219509E" w14:textId="0E8E7024"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600</w:t>
            </w:r>
          </w:p>
        </w:tc>
        <w:tc>
          <w:tcPr>
            <w:tcW w:w="0" w:type="auto"/>
            <w:tcBorders>
              <w:bottom w:val="single" w:sz="12" w:space="0" w:color="auto"/>
            </w:tcBorders>
          </w:tcPr>
          <w:p w14:paraId="4737F315" w14:textId="296873F1"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470</w:t>
            </w:r>
          </w:p>
        </w:tc>
        <w:tc>
          <w:tcPr>
            <w:tcW w:w="1328" w:type="dxa"/>
            <w:tcBorders>
              <w:bottom w:val="single" w:sz="12" w:space="0" w:color="auto"/>
            </w:tcBorders>
          </w:tcPr>
          <w:p w14:paraId="7D6A0A8E" w14:textId="45C0523F"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600</w:t>
            </w:r>
          </w:p>
        </w:tc>
        <w:tc>
          <w:tcPr>
            <w:tcW w:w="816" w:type="dxa"/>
            <w:tcBorders>
              <w:bottom w:val="single" w:sz="12" w:space="0" w:color="auto"/>
              <w:right w:val="nil"/>
            </w:tcBorders>
          </w:tcPr>
          <w:p w14:paraId="5AF42F65" w14:textId="55672CBA" w:rsidR="00E07B24" w:rsidRPr="000972D1" w:rsidRDefault="005D57D0"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470</w:t>
            </w:r>
          </w:p>
        </w:tc>
        <w:tc>
          <w:tcPr>
            <w:tcW w:w="0" w:type="auto"/>
            <w:tcBorders>
              <w:left w:val="nil"/>
              <w:bottom w:val="single" w:sz="12" w:space="0" w:color="auto"/>
            </w:tcBorders>
            <w:noWrap/>
          </w:tcPr>
          <w:p w14:paraId="2A9CA923" w14:textId="7B21CE4C"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600</w:t>
            </w:r>
          </w:p>
        </w:tc>
        <w:tc>
          <w:tcPr>
            <w:tcW w:w="0" w:type="auto"/>
            <w:tcBorders>
              <w:bottom w:val="single" w:sz="12" w:space="0" w:color="auto"/>
            </w:tcBorders>
            <w:noWrap/>
          </w:tcPr>
          <w:p w14:paraId="57117649" w14:textId="77777777"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470</w:t>
            </w:r>
          </w:p>
        </w:tc>
        <w:tc>
          <w:tcPr>
            <w:tcW w:w="0" w:type="auto"/>
            <w:tcBorders>
              <w:bottom w:val="single" w:sz="12" w:space="0" w:color="auto"/>
            </w:tcBorders>
          </w:tcPr>
          <w:p w14:paraId="0FCAABF5" w14:textId="35E68906" w:rsidR="00E07B24" w:rsidRPr="000972D1"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600</w:t>
            </w:r>
          </w:p>
        </w:tc>
        <w:tc>
          <w:tcPr>
            <w:tcW w:w="0" w:type="auto"/>
            <w:tcBorders>
              <w:bottom w:val="single" w:sz="12" w:space="0" w:color="auto"/>
            </w:tcBorders>
          </w:tcPr>
          <w:p w14:paraId="6D339DEF" w14:textId="56B099E6" w:rsidR="00E07B24" w:rsidRPr="00352FB3" w:rsidRDefault="00E07B24" w:rsidP="00786764">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470</w:t>
            </w:r>
          </w:p>
        </w:tc>
      </w:tr>
    </w:tbl>
    <w:p w14:paraId="35C26A43" w14:textId="651848FC" w:rsidR="00832C78" w:rsidRPr="00352FB3" w:rsidRDefault="001931AF" w:rsidP="00C46A88">
      <w:pPr>
        <w:spacing w:after="0" w:line="240" w:lineRule="auto"/>
        <w:ind w:left="142" w:right="-1"/>
        <w:jc w:val="lowKashida"/>
        <w:rPr>
          <w:rFonts w:ascii="Times New Roman" w:eastAsia="Times New Roman" w:hAnsi="Times New Roman" w:cs="Times New Roman"/>
          <w:bCs/>
          <w:iCs/>
          <w:sz w:val="20"/>
          <w:szCs w:val="20"/>
          <w:shd w:val="clear" w:color="auto" w:fill="FFFFFF"/>
          <w:lang w:val="en-US"/>
        </w:rPr>
      </w:pPr>
      <w:r w:rsidRPr="00352FB3">
        <w:rPr>
          <w:rFonts w:ascii="Times New Roman" w:eastAsia="Times New Roman" w:hAnsi="Times New Roman" w:cs="Times New Roman"/>
          <w:bCs/>
          <w:iCs/>
          <w:sz w:val="20"/>
          <w:szCs w:val="20"/>
          <w:shd w:val="clear" w:color="auto" w:fill="FFFFFF"/>
        </w:rPr>
        <w:t>Variable</w:t>
      </w:r>
      <w:r w:rsidR="003C3BDB" w:rsidRPr="00352FB3">
        <w:rPr>
          <w:rFonts w:ascii="Times New Roman" w:eastAsia="Times New Roman" w:hAnsi="Times New Roman" w:cs="Times New Roman"/>
          <w:bCs/>
          <w:iCs/>
          <w:sz w:val="20"/>
          <w:szCs w:val="20"/>
          <w:shd w:val="clear" w:color="auto" w:fill="FFFFFF"/>
        </w:rPr>
        <w:t>s’</w:t>
      </w:r>
      <w:r w:rsidRPr="00352FB3">
        <w:rPr>
          <w:rFonts w:ascii="Times New Roman" w:eastAsia="Times New Roman" w:hAnsi="Times New Roman" w:cs="Times New Roman"/>
          <w:bCs/>
          <w:iCs/>
          <w:sz w:val="20"/>
          <w:szCs w:val="20"/>
          <w:shd w:val="clear" w:color="auto" w:fill="FFFFFF"/>
        </w:rPr>
        <w:t xml:space="preserve"> definitions: </w:t>
      </w:r>
      <w:r w:rsidR="009B0A86" w:rsidRPr="00352FB3">
        <w:rPr>
          <w:rFonts w:ascii="Times New Roman" w:eastAsia="Times New Roman" w:hAnsi="Times New Roman" w:cs="Times New Roman"/>
          <w:bCs/>
          <w:iCs/>
          <w:sz w:val="20"/>
          <w:szCs w:val="20"/>
          <w:shd w:val="clear" w:color="auto" w:fill="FFFFFF"/>
        </w:rPr>
        <w:t xml:space="preserve">Audit report lag (ARLAG), Audit fees divided by total assets (AF/TA), </w:t>
      </w:r>
      <w:r w:rsidR="009B0A86" w:rsidRPr="00352FB3">
        <w:rPr>
          <w:rFonts w:ascii="Times New Roman" w:eastAsia="Times New Roman" w:hAnsi="Times New Roman" w:cs="Times New Roman"/>
          <w:bCs/>
          <w:iCs/>
          <w:sz w:val="20"/>
          <w:szCs w:val="20"/>
          <w:shd w:val="clear" w:color="auto" w:fill="FFFFFF"/>
          <w:lang w:val="en-US"/>
        </w:rPr>
        <w:t xml:space="preserve">board </w:t>
      </w:r>
      <w:r w:rsidRPr="00352FB3">
        <w:rPr>
          <w:rFonts w:ascii="Times New Roman" w:eastAsia="Times New Roman" w:hAnsi="Times New Roman" w:cs="Times New Roman"/>
          <w:bCs/>
          <w:iCs/>
          <w:sz w:val="20"/>
          <w:szCs w:val="20"/>
          <w:shd w:val="clear" w:color="auto" w:fill="FFFFFF"/>
          <w:lang w:val="en-US"/>
        </w:rPr>
        <w:t>size</w:t>
      </w:r>
      <w:r w:rsidRPr="00352FB3">
        <w:rPr>
          <w:rFonts w:ascii="Times New Roman" w:eastAsia="Times New Roman" w:hAnsi="Times New Roman" w:cs="Times New Roman"/>
          <w:bCs/>
          <w:iCs/>
          <w:sz w:val="20"/>
          <w:szCs w:val="20"/>
          <w:shd w:val="clear" w:color="auto" w:fill="FFFFFF"/>
        </w:rPr>
        <w:t xml:space="preserve"> squared (</w:t>
      </w:r>
      <w:r w:rsidRPr="00352FB3">
        <w:rPr>
          <w:rFonts w:ascii="Times New Roman" w:eastAsia="Times New Roman" w:hAnsi="Times New Roman" w:cs="Times New Roman"/>
          <w:bCs/>
          <w:iCs/>
          <w:sz w:val="20"/>
          <w:szCs w:val="20"/>
          <w:shd w:val="clear" w:color="auto" w:fill="FFFFFF"/>
          <w:lang w:val="en-US"/>
        </w:rPr>
        <w:t>BRDS</w:t>
      </w:r>
      <w:r w:rsidRPr="00352FB3">
        <w:rPr>
          <w:rFonts w:ascii="Times New Roman" w:eastAsia="Times New Roman" w:hAnsi="Times New Roman" w:cs="Times New Roman"/>
          <w:bCs/>
          <w:iCs/>
          <w:sz w:val="20"/>
          <w:szCs w:val="20"/>
          <w:shd w:val="clear" w:color="auto" w:fill="FFFFFF"/>
          <w:vertAlign w:val="superscript"/>
        </w:rPr>
        <w:t>2</w:t>
      </w:r>
      <w:r w:rsidRPr="00352FB3">
        <w:rPr>
          <w:rFonts w:ascii="Times New Roman" w:eastAsia="Times New Roman" w:hAnsi="Times New Roman" w:cs="Times New Roman"/>
          <w:bCs/>
          <w:iCs/>
          <w:sz w:val="20"/>
          <w:szCs w:val="20"/>
          <w:shd w:val="clear" w:color="auto" w:fill="FFFFFF"/>
        </w:rPr>
        <w:t>), government shareholding squared (GOSH</w:t>
      </w:r>
      <w:r w:rsidRPr="00352FB3">
        <w:rPr>
          <w:rFonts w:ascii="Times New Roman" w:eastAsia="Times New Roman" w:hAnsi="Times New Roman" w:cs="Times New Roman"/>
          <w:bCs/>
          <w:iCs/>
          <w:sz w:val="20"/>
          <w:szCs w:val="20"/>
          <w:shd w:val="clear" w:color="auto" w:fill="FFFFFF"/>
          <w:vertAlign w:val="superscript"/>
          <w:lang w:val="en-US"/>
        </w:rPr>
        <w:t>2</w:t>
      </w:r>
      <w:r w:rsidRPr="00352FB3">
        <w:rPr>
          <w:rFonts w:ascii="Times New Roman" w:eastAsia="Times New Roman" w:hAnsi="Times New Roman" w:cs="Times New Roman"/>
          <w:bCs/>
          <w:iCs/>
          <w:sz w:val="20"/>
          <w:szCs w:val="20"/>
          <w:shd w:val="clear" w:color="auto" w:fill="FFFFFF"/>
        </w:rPr>
        <w:t>), director shareholding squared (</w:t>
      </w:r>
      <w:r w:rsidR="009B0A86" w:rsidRPr="00352FB3">
        <w:rPr>
          <w:rFonts w:ascii="Times New Roman" w:eastAsia="Times New Roman" w:hAnsi="Times New Roman" w:cs="Times New Roman"/>
          <w:bCs/>
          <w:iCs/>
          <w:sz w:val="20"/>
          <w:szCs w:val="20"/>
          <w:shd w:val="clear" w:color="auto" w:fill="FFFFFF"/>
        </w:rPr>
        <w:t>DISH</w:t>
      </w:r>
      <w:r w:rsidR="009B0A86" w:rsidRPr="00352FB3">
        <w:rPr>
          <w:rFonts w:ascii="Times New Roman" w:eastAsia="Times New Roman" w:hAnsi="Times New Roman" w:cs="Times New Roman"/>
          <w:bCs/>
          <w:iCs/>
          <w:sz w:val="20"/>
          <w:szCs w:val="20"/>
          <w:shd w:val="clear" w:color="auto" w:fill="FFFFFF"/>
          <w:vertAlign w:val="superscript"/>
          <w:lang w:val="en-US"/>
        </w:rPr>
        <w:t>2</w:t>
      </w:r>
      <w:r w:rsidRPr="00352FB3">
        <w:rPr>
          <w:rFonts w:ascii="Times New Roman" w:eastAsia="Times New Roman" w:hAnsi="Times New Roman" w:cs="Times New Roman"/>
          <w:bCs/>
          <w:iCs/>
          <w:sz w:val="20"/>
          <w:szCs w:val="20"/>
          <w:shd w:val="clear" w:color="auto" w:fill="FFFFFF"/>
        </w:rPr>
        <w:t xml:space="preserve">), </w:t>
      </w:r>
      <w:r w:rsidR="009B0A86" w:rsidRPr="00352FB3">
        <w:rPr>
          <w:rFonts w:ascii="Times New Roman" w:eastAsia="Times New Roman" w:hAnsi="Times New Roman" w:cs="Times New Roman"/>
          <w:bCs/>
          <w:iCs/>
          <w:sz w:val="20"/>
          <w:szCs w:val="20"/>
          <w:shd w:val="clear" w:color="auto" w:fill="FFFFFF"/>
        </w:rPr>
        <w:t xml:space="preserve">family </w:t>
      </w:r>
      <w:r w:rsidRPr="00352FB3">
        <w:rPr>
          <w:rFonts w:ascii="Times New Roman" w:eastAsia="Times New Roman" w:hAnsi="Times New Roman" w:cs="Times New Roman"/>
          <w:bCs/>
          <w:iCs/>
          <w:sz w:val="20"/>
          <w:szCs w:val="20"/>
          <w:shd w:val="clear" w:color="auto" w:fill="FFFFFF"/>
        </w:rPr>
        <w:t>shareholding squared (</w:t>
      </w:r>
      <w:r w:rsidR="009B0A86" w:rsidRPr="00352FB3">
        <w:rPr>
          <w:rFonts w:ascii="Times New Roman" w:eastAsia="Times New Roman" w:hAnsi="Times New Roman" w:cs="Times New Roman"/>
          <w:bCs/>
          <w:iCs/>
          <w:sz w:val="20"/>
          <w:szCs w:val="20"/>
          <w:shd w:val="clear" w:color="auto" w:fill="FFFFFF"/>
        </w:rPr>
        <w:t>FLSH</w:t>
      </w:r>
      <w:r w:rsidR="009B0A86" w:rsidRPr="00352FB3">
        <w:rPr>
          <w:rFonts w:ascii="Times New Roman" w:eastAsia="Times New Roman" w:hAnsi="Times New Roman" w:cs="Times New Roman"/>
          <w:bCs/>
          <w:iCs/>
          <w:sz w:val="20"/>
          <w:szCs w:val="20"/>
          <w:shd w:val="clear" w:color="auto" w:fill="FFFFFF"/>
          <w:vertAlign w:val="superscript"/>
          <w:lang w:val="en-US"/>
        </w:rPr>
        <w:t>2</w:t>
      </w:r>
      <w:r w:rsidRPr="00352FB3">
        <w:rPr>
          <w:rFonts w:ascii="Times New Roman" w:eastAsia="Times New Roman" w:hAnsi="Times New Roman" w:cs="Times New Roman"/>
          <w:bCs/>
          <w:iCs/>
          <w:sz w:val="20"/>
          <w:szCs w:val="20"/>
          <w:shd w:val="clear" w:color="auto" w:fill="FFFFFF"/>
        </w:rPr>
        <w:t>)</w:t>
      </w:r>
      <w:r w:rsidR="00205079" w:rsidRPr="00352FB3">
        <w:rPr>
          <w:rFonts w:ascii="Times New Roman" w:eastAsia="Times New Roman" w:hAnsi="Times New Roman" w:cs="Times New Roman"/>
          <w:bCs/>
          <w:iCs/>
          <w:sz w:val="20"/>
          <w:szCs w:val="20"/>
          <w:shd w:val="clear" w:color="auto" w:fill="FFFFFF"/>
        </w:rPr>
        <w:t>,</w:t>
      </w:r>
      <w:r w:rsidR="00BE299A" w:rsidRPr="00352FB3">
        <w:rPr>
          <w:rFonts w:ascii="Times New Roman" w:eastAsia="Times New Roman" w:hAnsi="Times New Roman" w:cs="Times New Roman"/>
          <w:bCs/>
          <w:iCs/>
          <w:sz w:val="20"/>
          <w:szCs w:val="20"/>
          <w:shd w:val="clear" w:color="auto" w:fill="FFFFFF"/>
        </w:rPr>
        <w:t xml:space="preserve"> </w:t>
      </w:r>
      <w:r w:rsidR="00792CAC" w:rsidRPr="00352FB3">
        <w:rPr>
          <w:rFonts w:ascii="Times New Roman" w:eastAsia="Times New Roman" w:hAnsi="Times New Roman" w:cs="Times New Roman"/>
          <w:bCs/>
          <w:iCs/>
          <w:sz w:val="20"/>
          <w:szCs w:val="20"/>
          <w:shd w:val="clear" w:color="auto" w:fill="FFFFFF"/>
        </w:rPr>
        <w:t>log of revenues (</w:t>
      </w:r>
      <w:r w:rsidR="00792CAC" w:rsidRPr="00352FB3">
        <w:rPr>
          <w:rFonts w:ascii="Times New Roman" w:eastAsia="Times New Roman" w:hAnsi="Times New Roman" w:cs="Times New Roman"/>
          <w:bCs/>
          <w:sz w:val="20"/>
          <w:szCs w:val="20"/>
          <w:shd w:val="clear" w:color="auto" w:fill="FFFFFF"/>
        </w:rPr>
        <w:t>LNTS</w:t>
      </w:r>
      <w:r w:rsidR="00792CAC" w:rsidRPr="00352FB3">
        <w:rPr>
          <w:rFonts w:ascii="Times New Roman" w:eastAsia="Times New Roman" w:hAnsi="Times New Roman" w:cs="Times New Roman"/>
          <w:bCs/>
          <w:iCs/>
          <w:sz w:val="20"/>
          <w:szCs w:val="20"/>
          <w:shd w:val="clear" w:color="auto" w:fill="FFFFFF"/>
        </w:rPr>
        <w:t>), current ratio (</w:t>
      </w:r>
      <w:r w:rsidR="00792CAC" w:rsidRPr="00352FB3">
        <w:rPr>
          <w:rFonts w:ascii="Times New Roman" w:eastAsia="Times New Roman" w:hAnsi="Times New Roman" w:cs="Times New Roman"/>
          <w:bCs/>
          <w:sz w:val="20"/>
          <w:szCs w:val="20"/>
          <w:shd w:val="clear" w:color="auto" w:fill="FFFFFF"/>
        </w:rPr>
        <w:t>CURRENT</w:t>
      </w:r>
      <w:r w:rsidR="00792CAC" w:rsidRPr="00352FB3">
        <w:rPr>
          <w:rFonts w:ascii="Times New Roman" w:eastAsia="Times New Roman" w:hAnsi="Times New Roman" w:cs="Times New Roman"/>
          <w:bCs/>
          <w:iCs/>
          <w:sz w:val="20"/>
          <w:szCs w:val="20"/>
          <w:shd w:val="clear" w:color="auto" w:fill="FFFFFF"/>
        </w:rPr>
        <w:t>), market to book value (</w:t>
      </w:r>
      <w:r w:rsidR="00792CAC" w:rsidRPr="00352FB3">
        <w:rPr>
          <w:rFonts w:ascii="Times New Roman" w:eastAsia="Times New Roman" w:hAnsi="Times New Roman" w:cs="Times New Roman"/>
          <w:bCs/>
          <w:sz w:val="20"/>
          <w:szCs w:val="20"/>
          <w:shd w:val="clear" w:color="auto" w:fill="FFFFFF"/>
        </w:rPr>
        <w:t>MTB</w:t>
      </w:r>
      <w:r w:rsidR="00792CAC" w:rsidRPr="00352FB3">
        <w:rPr>
          <w:rFonts w:ascii="Times New Roman" w:eastAsia="Times New Roman" w:hAnsi="Times New Roman" w:cs="Times New Roman"/>
          <w:bCs/>
          <w:iCs/>
          <w:sz w:val="20"/>
          <w:szCs w:val="20"/>
          <w:shd w:val="clear" w:color="auto" w:fill="FFFFFF"/>
        </w:rPr>
        <w:t>)</w:t>
      </w:r>
      <w:r w:rsidRPr="00352FB3">
        <w:rPr>
          <w:rFonts w:ascii="Times New Roman" w:eastAsia="Times New Roman" w:hAnsi="Times New Roman" w:cs="Times New Roman"/>
          <w:bCs/>
          <w:iCs/>
          <w:sz w:val="20"/>
          <w:szCs w:val="20"/>
          <w:shd w:val="clear" w:color="auto" w:fill="FFFFFF"/>
        </w:rPr>
        <w:t xml:space="preserve">, </w:t>
      </w:r>
      <w:r w:rsidR="00D61D4E" w:rsidRPr="00352FB3">
        <w:rPr>
          <w:rFonts w:ascii="Times New Roman" w:eastAsia="Times New Roman" w:hAnsi="Times New Roman" w:cs="Times New Roman"/>
          <w:bCs/>
          <w:iCs/>
          <w:sz w:val="20"/>
          <w:szCs w:val="20"/>
          <w:shd w:val="clear" w:color="auto" w:fill="FFFFFF"/>
        </w:rPr>
        <w:t>and return on equity (ROE</w:t>
      </w:r>
      <w:r w:rsidR="0017000A" w:rsidRPr="00352FB3">
        <w:rPr>
          <w:rFonts w:ascii="Times New Roman" w:eastAsia="Times New Roman" w:hAnsi="Times New Roman" w:cs="Times New Roman"/>
          <w:bCs/>
          <w:iCs/>
          <w:sz w:val="20"/>
          <w:szCs w:val="20"/>
          <w:shd w:val="clear" w:color="auto" w:fill="FFFFFF"/>
        </w:rPr>
        <w:t xml:space="preserve">). </w:t>
      </w:r>
      <w:r w:rsidR="0017000A" w:rsidRPr="00352FB3">
        <w:rPr>
          <w:rFonts w:ascii="Times New Roman" w:eastAsia="Times New Roman" w:hAnsi="Times New Roman" w:cs="Times New Roman"/>
          <w:bCs/>
          <w:iCs/>
          <w:sz w:val="20"/>
          <w:szCs w:val="20"/>
          <w:shd w:val="clear" w:color="auto" w:fill="FFFFFF"/>
          <w:lang w:val="en-US"/>
        </w:rPr>
        <w:t xml:space="preserve">See </w:t>
      </w:r>
      <w:r w:rsidRPr="00352FB3">
        <w:rPr>
          <w:rFonts w:ascii="Times New Roman" w:eastAsia="Times New Roman" w:hAnsi="Times New Roman" w:cs="Times New Roman"/>
          <w:bCs/>
          <w:iCs/>
          <w:sz w:val="20"/>
          <w:szCs w:val="20"/>
          <w:shd w:val="clear" w:color="auto" w:fill="FFFFFF"/>
          <w:lang w:val="en-US"/>
        </w:rPr>
        <w:t xml:space="preserve">Table </w:t>
      </w:r>
      <w:r w:rsidR="00FB42D8" w:rsidRPr="00352FB3">
        <w:rPr>
          <w:rFonts w:ascii="Times New Roman" w:eastAsia="Times New Roman" w:hAnsi="Times New Roman" w:cs="Times New Roman"/>
          <w:bCs/>
          <w:iCs/>
          <w:sz w:val="20"/>
          <w:szCs w:val="20"/>
          <w:shd w:val="clear" w:color="auto" w:fill="FFFFFF"/>
          <w:lang w:val="en-US"/>
        </w:rPr>
        <w:t>1</w:t>
      </w:r>
      <w:r w:rsidRPr="00352FB3">
        <w:rPr>
          <w:rFonts w:ascii="Times New Roman" w:eastAsia="Times New Roman" w:hAnsi="Times New Roman" w:cs="Times New Roman"/>
          <w:bCs/>
          <w:iCs/>
          <w:sz w:val="20"/>
          <w:szCs w:val="20"/>
          <w:shd w:val="clear" w:color="auto" w:fill="FFFFFF"/>
          <w:lang w:val="en-US"/>
        </w:rPr>
        <w:t xml:space="preserve"> for other variables</w:t>
      </w:r>
      <w:r w:rsidR="00E60189" w:rsidRPr="00352FB3">
        <w:rPr>
          <w:rFonts w:ascii="Times New Roman" w:eastAsia="Times New Roman" w:hAnsi="Times New Roman" w:cs="Times New Roman"/>
          <w:bCs/>
          <w:iCs/>
          <w:sz w:val="20"/>
          <w:szCs w:val="20"/>
          <w:shd w:val="clear" w:color="auto" w:fill="FFFFFF"/>
          <w:lang w:val="en-US"/>
        </w:rPr>
        <w:t>’</w:t>
      </w:r>
      <w:r w:rsidRPr="00352FB3">
        <w:rPr>
          <w:rFonts w:ascii="Times New Roman" w:eastAsia="Times New Roman" w:hAnsi="Times New Roman" w:cs="Times New Roman"/>
          <w:bCs/>
          <w:iCs/>
          <w:sz w:val="20"/>
          <w:szCs w:val="20"/>
          <w:shd w:val="clear" w:color="auto" w:fill="FFFFFF"/>
          <w:lang w:val="en-US"/>
        </w:rPr>
        <w:t xml:space="preserve"> definitions.</w:t>
      </w:r>
    </w:p>
    <w:p w14:paraId="6DAAAE56" w14:textId="6D1FB98D" w:rsidR="00B544B4" w:rsidRPr="00352FB3" w:rsidRDefault="00B544B4" w:rsidP="00C46A88">
      <w:pPr>
        <w:spacing w:after="0" w:line="240" w:lineRule="auto"/>
        <w:ind w:left="142" w:right="-1"/>
        <w:jc w:val="lowKashida"/>
        <w:rPr>
          <w:rFonts w:ascii="Times New Roman" w:eastAsia="Calibri" w:hAnsi="Times New Roman" w:cs="Times New Roman"/>
          <w:sz w:val="20"/>
          <w:szCs w:val="20"/>
          <w:lang w:eastAsia="en-US"/>
        </w:rPr>
      </w:pPr>
      <w:r w:rsidRPr="00352FB3">
        <w:rPr>
          <w:rFonts w:ascii="Times New Roman" w:eastAsia="Times New Roman" w:hAnsi="Times New Roman" w:cs="Times New Roman"/>
          <w:bCs/>
          <w:iCs/>
          <w:sz w:val="20"/>
          <w:szCs w:val="20"/>
          <w:shd w:val="clear" w:color="auto" w:fill="FFFFFF"/>
        </w:rPr>
        <w:t>Ordinary least squares coefficients,</w:t>
      </w:r>
      <w:r w:rsidRPr="00352FB3">
        <w:rPr>
          <w:rFonts w:ascii="Times New Roman" w:eastAsia="Times New Roman" w:hAnsi="Times New Roman" w:cs="Times New Roman"/>
          <w:bCs/>
          <w:iCs/>
          <w:sz w:val="20"/>
          <w:szCs w:val="20"/>
        </w:rPr>
        <w:t xml:space="preserve"> </w:t>
      </w:r>
      <w:r w:rsidRPr="00352FB3">
        <w:rPr>
          <w:rFonts w:ascii="Times New Roman" w:eastAsia="Times New Roman" w:hAnsi="Times New Roman" w:cs="Times New Roman"/>
          <w:bCs/>
          <w:iCs/>
          <w:sz w:val="20"/>
          <w:szCs w:val="20"/>
          <w:shd w:val="clear" w:color="auto" w:fill="FFFFFF"/>
        </w:rPr>
        <w:t xml:space="preserve">logit regression </w:t>
      </w:r>
      <w:r w:rsidR="004474E9" w:rsidRPr="00352FB3">
        <w:rPr>
          <w:rFonts w:ascii="Times New Roman" w:eastAsia="Times New Roman" w:hAnsi="Times New Roman" w:cs="Times New Roman"/>
          <w:bCs/>
          <w:iCs/>
          <w:sz w:val="20"/>
          <w:szCs w:val="20"/>
          <w:shd w:val="clear" w:color="auto" w:fill="FFFFFF"/>
        </w:rPr>
        <w:t xml:space="preserve">coefficients </w:t>
      </w:r>
      <w:r w:rsidRPr="00352FB3">
        <w:rPr>
          <w:rFonts w:ascii="Times New Roman" w:eastAsia="Times New Roman" w:hAnsi="Times New Roman" w:cs="Times New Roman"/>
          <w:bCs/>
          <w:iCs/>
          <w:sz w:val="20"/>
          <w:szCs w:val="20"/>
          <w:shd w:val="clear" w:color="auto" w:fill="FFFFFF"/>
        </w:rPr>
        <w:t>and two-tailed p-values are shown. ***, **, and * denote significance at the 1%, 5%, and 10% levels, respectively.</w:t>
      </w:r>
    </w:p>
    <w:p w14:paraId="47EF08F6" w14:textId="77777777" w:rsidR="00B544B4" w:rsidRPr="00352FB3" w:rsidRDefault="00B544B4" w:rsidP="00B544B4">
      <w:pPr>
        <w:spacing w:after="0" w:line="240" w:lineRule="auto"/>
        <w:ind w:left="142" w:hanging="142"/>
        <w:jc w:val="both"/>
        <w:rPr>
          <w:rFonts w:ascii="Times New Roman" w:eastAsia="Calibri" w:hAnsi="Times New Roman" w:cs="Times New Roman"/>
          <w:sz w:val="19"/>
          <w:szCs w:val="19"/>
          <w:lang w:eastAsia="en-US"/>
        </w:rPr>
      </w:pPr>
    </w:p>
    <w:p w14:paraId="6BA04CFD" w14:textId="77777777" w:rsidR="003C43A3" w:rsidRPr="00352FB3" w:rsidRDefault="003C43A3" w:rsidP="00F81A80">
      <w:pPr>
        <w:spacing w:after="0" w:line="240" w:lineRule="auto"/>
        <w:ind w:left="142" w:firstLine="709"/>
        <w:jc w:val="both"/>
        <w:rPr>
          <w:rFonts w:ascii="Times New Roman" w:eastAsia="Calibri" w:hAnsi="Times New Roman" w:cs="Times New Roman"/>
          <w:b/>
          <w:sz w:val="19"/>
          <w:szCs w:val="19"/>
          <w:lang w:val="en-US" w:eastAsia="en-US"/>
        </w:rPr>
      </w:pPr>
    </w:p>
    <w:p w14:paraId="753BCF69" w14:textId="26D43FAF" w:rsidR="00C55C7F" w:rsidRPr="00352FB3" w:rsidRDefault="00C55C7F" w:rsidP="00C46A88">
      <w:pPr>
        <w:spacing w:after="0" w:line="240" w:lineRule="auto"/>
        <w:ind w:left="142" w:hanging="142"/>
        <w:jc w:val="both"/>
        <w:rPr>
          <w:rFonts w:ascii="Times New Roman" w:eastAsia="Calibri" w:hAnsi="Times New Roman" w:cs="Times New Roman"/>
          <w:sz w:val="19"/>
          <w:szCs w:val="19"/>
          <w:lang w:val="en-US" w:eastAsia="en-US"/>
        </w:rPr>
      </w:pPr>
      <w:r w:rsidRPr="00352FB3">
        <w:rPr>
          <w:rFonts w:ascii="Times New Roman" w:eastAsia="Calibri" w:hAnsi="Times New Roman" w:cs="Times New Roman"/>
          <w:b/>
          <w:sz w:val="19"/>
          <w:szCs w:val="19"/>
          <w:lang w:val="en-US" w:eastAsia="en-US"/>
        </w:rPr>
        <w:t xml:space="preserve">Table </w:t>
      </w:r>
      <w:r w:rsidR="00697AC9" w:rsidRPr="00352FB3">
        <w:rPr>
          <w:rFonts w:ascii="Times New Roman" w:eastAsia="Calibri" w:hAnsi="Times New Roman" w:cs="Times New Roman"/>
          <w:b/>
          <w:sz w:val="19"/>
          <w:szCs w:val="19"/>
          <w:lang w:val="en-US" w:eastAsia="en-US"/>
        </w:rPr>
        <w:t>7</w:t>
      </w:r>
      <w:r w:rsidRPr="00352FB3">
        <w:rPr>
          <w:rFonts w:ascii="Times New Roman" w:eastAsia="Calibri" w:hAnsi="Times New Roman" w:cs="Times New Roman"/>
          <w:b/>
          <w:sz w:val="19"/>
          <w:szCs w:val="19"/>
          <w:lang w:val="en-US" w:eastAsia="en-US"/>
        </w:rPr>
        <w:t xml:space="preserve">. </w:t>
      </w:r>
      <w:r w:rsidRPr="00352FB3">
        <w:rPr>
          <w:rFonts w:ascii="Times New Roman" w:eastAsia="Calibri" w:hAnsi="Times New Roman" w:cs="Times New Roman"/>
          <w:sz w:val="19"/>
          <w:szCs w:val="19"/>
          <w:lang w:val="en-US" w:eastAsia="en-US"/>
        </w:rPr>
        <w:t xml:space="preserve">Sensitivity analyses </w:t>
      </w:r>
      <w:r w:rsidR="00F81A80" w:rsidRPr="00352FB3">
        <w:rPr>
          <w:rFonts w:ascii="Times New Roman" w:eastAsia="Calibri" w:hAnsi="Times New Roman" w:cs="Times New Roman"/>
          <w:sz w:val="19"/>
          <w:szCs w:val="19"/>
          <w:lang w:val="en-US" w:eastAsia="en-US"/>
        </w:rPr>
        <w:t>(PART2)</w:t>
      </w:r>
    </w:p>
    <w:p w14:paraId="3307C1F9" w14:textId="77777777" w:rsidR="00A7713B" w:rsidRPr="00352FB3" w:rsidRDefault="00A7713B" w:rsidP="000F3297">
      <w:pPr>
        <w:spacing w:after="0" w:line="240" w:lineRule="auto"/>
        <w:ind w:left="142" w:hanging="142"/>
        <w:jc w:val="both"/>
        <w:rPr>
          <w:rFonts w:ascii="Times New Roman" w:eastAsia="Calibri" w:hAnsi="Times New Roman" w:cs="Times New Roman"/>
          <w:sz w:val="13"/>
          <w:szCs w:val="13"/>
          <w:lang w:eastAsia="en-US"/>
        </w:rPr>
      </w:pPr>
    </w:p>
    <w:tbl>
      <w:tblPr>
        <w:tblStyle w:val="TableGrid31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2"/>
        <w:gridCol w:w="950"/>
        <w:gridCol w:w="870"/>
        <w:gridCol w:w="944"/>
        <w:gridCol w:w="917"/>
        <w:gridCol w:w="870"/>
        <w:gridCol w:w="870"/>
        <w:gridCol w:w="950"/>
        <w:gridCol w:w="870"/>
        <w:gridCol w:w="896"/>
      </w:tblGrid>
      <w:tr w:rsidR="00D451E3" w:rsidRPr="00352FB3" w14:paraId="068F2F80" w14:textId="1F4DDE67" w:rsidTr="00857BA8">
        <w:trPr>
          <w:trHeight w:val="164"/>
          <w:jc w:val="center"/>
        </w:trPr>
        <w:tc>
          <w:tcPr>
            <w:tcW w:w="0" w:type="auto"/>
            <w:tcBorders>
              <w:top w:val="single" w:sz="12" w:space="0" w:color="auto"/>
              <w:right w:val="single" w:sz="12" w:space="0" w:color="auto"/>
            </w:tcBorders>
            <w:noWrap/>
          </w:tcPr>
          <w:p w14:paraId="744653AF" w14:textId="77777777" w:rsidR="00D451E3" w:rsidRPr="00352FB3" w:rsidRDefault="00D451E3" w:rsidP="00E862EA">
            <w:pPr>
              <w:ind w:left="-63"/>
              <w:jc w:val="center"/>
              <w:rPr>
                <w:rFonts w:ascii="Times New Roman" w:eastAsia="Times New Roman" w:hAnsi="Times New Roman" w:cs="Times New Roman"/>
                <w:b/>
                <w:sz w:val="16"/>
                <w:szCs w:val="16"/>
                <w:shd w:val="clear" w:color="auto" w:fill="FFFFFF"/>
                <w:lang w:val="en-US"/>
              </w:rPr>
            </w:pPr>
          </w:p>
        </w:tc>
        <w:tc>
          <w:tcPr>
            <w:tcW w:w="0" w:type="auto"/>
            <w:gridSpan w:val="2"/>
            <w:tcBorders>
              <w:top w:val="single" w:sz="12" w:space="0" w:color="auto"/>
            </w:tcBorders>
          </w:tcPr>
          <w:p w14:paraId="554C58A1" w14:textId="77777777" w:rsidR="00D451E3" w:rsidRPr="00352FB3" w:rsidRDefault="00D451E3" w:rsidP="00E862EA">
            <w:pPr>
              <w:jc w:val="center"/>
              <w:rPr>
                <w:rFonts w:ascii="Times New Roman" w:eastAsia="Times New Roman" w:hAnsi="Times New Roman" w:cs="Times New Roman"/>
                <w:b/>
                <w:sz w:val="16"/>
                <w:szCs w:val="16"/>
                <w:shd w:val="clear" w:color="auto" w:fill="FFFFFF"/>
                <w:lang w:val="en-US"/>
              </w:rPr>
            </w:pPr>
            <w:r w:rsidRPr="00352FB3">
              <w:rPr>
                <w:rFonts w:ascii="Times New Roman" w:eastAsia="Times New Roman" w:hAnsi="Times New Roman" w:cs="Times New Roman"/>
                <w:b/>
                <w:sz w:val="16"/>
                <w:szCs w:val="16"/>
                <w:shd w:val="clear" w:color="auto" w:fill="FFFFFF"/>
                <w:lang w:val="en-US"/>
              </w:rPr>
              <w:t xml:space="preserve">Lagged </w:t>
            </w:r>
          </w:p>
        </w:tc>
        <w:tc>
          <w:tcPr>
            <w:tcW w:w="0" w:type="auto"/>
            <w:gridSpan w:val="2"/>
            <w:tcBorders>
              <w:top w:val="single" w:sz="12" w:space="0" w:color="auto"/>
            </w:tcBorders>
          </w:tcPr>
          <w:p w14:paraId="6989C3B0" w14:textId="7966ACD1" w:rsidR="00D451E3" w:rsidRPr="000972D1" w:rsidRDefault="00D451E3" w:rsidP="00E862EA">
            <w:pPr>
              <w:jc w:val="center"/>
              <w:rPr>
                <w:rFonts w:ascii="Times New Roman" w:eastAsia="Times New Roman" w:hAnsi="Times New Roman" w:cs="Times New Roman"/>
                <w:b/>
                <w:sz w:val="16"/>
                <w:szCs w:val="16"/>
                <w:shd w:val="clear" w:color="auto" w:fill="FFFFFF"/>
                <w:lang w:val="en-US"/>
              </w:rPr>
            </w:pPr>
            <w:r w:rsidRPr="000972D1">
              <w:rPr>
                <w:rFonts w:ascii="Times New Roman" w:eastAsia="Times New Roman" w:hAnsi="Times New Roman" w:cs="Times New Roman"/>
                <w:b/>
                <w:sz w:val="16"/>
                <w:szCs w:val="16"/>
                <w:shd w:val="clear" w:color="auto" w:fill="FFFFFF"/>
                <w:lang w:val="en-US"/>
              </w:rPr>
              <w:t>Alternative Auditor size</w:t>
            </w:r>
          </w:p>
        </w:tc>
        <w:tc>
          <w:tcPr>
            <w:tcW w:w="0" w:type="auto"/>
            <w:gridSpan w:val="2"/>
            <w:tcBorders>
              <w:top w:val="single" w:sz="12" w:space="0" w:color="auto"/>
            </w:tcBorders>
          </w:tcPr>
          <w:p w14:paraId="6CF10EA6" w14:textId="3809C2FA" w:rsidR="00D451E3" w:rsidRPr="00352FB3" w:rsidRDefault="00D451E3" w:rsidP="00E862EA">
            <w:pPr>
              <w:jc w:val="center"/>
              <w:rPr>
                <w:rFonts w:ascii="Times New Roman" w:eastAsia="Times New Roman" w:hAnsi="Times New Roman" w:cs="Times New Roman"/>
                <w:b/>
                <w:sz w:val="16"/>
                <w:szCs w:val="16"/>
                <w:shd w:val="clear" w:color="auto" w:fill="FFFFFF"/>
                <w:lang w:val="en-US"/>
              </w:rPr>
            </w:pPr>
            <w:r w:rsidRPr="00352FB3">
              <w:rPr>
                <w:rFonts w:ascii="Times New Roman" w:eastAsia="Times New Roman" w:hAnsi="Times New Roman" w:cs="Times New Roman"/>
                <w:b/>
                <w:sz w:val="16"/>
                <w:szCs w:val="16"/>
                <w:shd w:val="clear" w:color="auto" w:fill="FFFFFF"/>
                <w:lang w:val="en-US"/>
              </w:rPr>
              <w:t xml:space="preserve">Small size firms </w:t>
            </w:r>
          </w:p>
        </w:tc>
        <w:tc>
          <w:tcPr>
            <w:tcW w:w="0" w:type="auto"/>
            <w:gridSpan w:val="2"/>
            <w:tcBorders>
              <w:top w:val="single" w:sz="12" w:space="0" w:color="auto"/>
            </w:tcBorders>
          </w:tcPr>
          <w:p w14:paraId="76CBE14D" w14:textId="77777777" w:rsidR="00D451E3" w:rsidRPr="00352FB3" w:rsidRDefault="00D451E3" w:rsidP="00E862EA">
            <w:pPr>
              <w:tabs>
                <w:tab w:val="left" w:pos="1215"/>
              </w:tabs>
              <w:jc w:val="center"/>
              <w:rPr>
                <w:rFonts w:ascii="Times New Roman" w:eastAsia="Times New Roman" w:hAnsi="Times New Roman" w:cs="Times New Roman"/>
                <w:b/>
                <w:sz w:val="16"/>
                <w:szCs w:val="16"/>
                <w:shd w:val="clear" w:color="auto" w:fill="FFFFFF"/>
                <w:lang w:val="en-US"/>
              </w:rPr>
            </w:pPr>
            <w:r w:rsidRPr="00352FB3">
              <w:rPr>
                <w:rFonts w:ascii="Times New Roman" w:eastAsia="Times New Roman" w:hAnsi="Times New Roman" w:cs="Times New Roman"/>
                <w:b/>
                <w:sz w:val="16"/>
                <w:szCs w:val="16"/>
                <w:shd w:val="clear" w:color="auto" w:fill="FFFFFF"/>
                <w:lang w:val="en-US"/>
              </w:rPr>
              <w:t xml:space="preserve">Large size firms </w:t>
            </w:r>
          </w:p>
        </w:tc>
        <w:tc>
          <w:tcPr>
            <w:tcW w:w="0" w:type="auto"/>
            <w:tcBorders>
              <w:top w:val="single" w:sz="12" w:space="0" w:color="auto"/>
            </w:tcBorders>
          </w:tcPr>
          <w:p w14:paraId="0959CDFE" w14:textId="721539AB" w:rsidR="00D451E3" w:rsidRPr="00352FB3" w:rsidRDefault="00D451E3" w:rsidP="00E862EA">
            <w:pPr>
              <w:tabs>
                <w:tab w:val="left" w:pos="1215"/>
              </w:tabs>
              <w:jc w:val="center"/>
              <w:rPr>
                <w:rFonts w:ascii="Times New Roman" w:eastAsia="Times New Roman" w:hAnsi="Times New Roman" w:cs="Times New Roman"/>
                <w:b/>
                <w:sz w:val="16"/>
                <w:szCs w:val="16"/>
                <w:shd w:val="clear" w:color="auto" w:fill="FFFFFF"/>
                <w:lang w:val="en-US"/>
              </w:rPr>
            </w:pPr>
            <w:r w:rsidRPr="00352FB3">
              <w:rPr>
                <w:rFonts w:ascii="Times New Roman" w:eastAsia="Times New Roman" w:hAnsi="Times New Roman" w:cs="Times New Roman"/>
                <w:b/>
                <w:sz w:val="16"/>
                <w:szCs w:val="16"/>
                <w:shd w:val="clear" w:color="auto" w:fill="FFFFFF"/>
                <w:lang w:val="en-US"/>
              </w:rPr>
              <w:t>PPP</w:t>
            </w:r>
          </w:p>
        </w:tc>
      </w:tr>
      <w:tr w:rsidR="00D451E3" w:rsidRPr="00352FB3" w14:paraId="3A5DAC9E" w14:textId="55404211" w:rsidTr="00857BA8">
        <w:trPr>
          <w:trHeight w:val="164"/>
          <w:jc w:val="center"/>
        </w:trPr>
        <w:tc>
          <w:tcPr>
            <w:tcW w:w="0" w:type="auto"/>
            <w:tcBorders>
              <w:right w:val="single" w:sz="12" w:space="0" w:color="auto"/>
            </w:tcBorders>
            <w:noWrap/>
          </w:tcPr>
          <w:p w14:paraId="3E1E03F6" w14:textId="77777777" w:rsidR="00D451E3" w:rsidRPr="00352FB3" w:rsidRDefault="00D451E3" w:rsidP="00D451E3">
            <w:pPr>
              <w:ind w:left="-78" w:firstLine="15"/>
              <w:jc w:val="center"/>
              <w:rPr>
                <w:rFonts w:ascii="Times New Roman" w:eastAsia="Times New Roman" w:hAnsi="Times New Roman" w:cs="Times New Roman"/>
                <w:b/>
                <w:sz w:val="16"/>
                <w:szCs w:val="16"/>
                <w:shd w:val="clear" w:color="auto" w:fill="FFFFFF"/>
                <w:lang w:val="en-US"/>
              </w:rPr>
            </w:pPr>
          </w:p>
        </w:tc>
        <w:tc>
          <w:tcPr>
            <w:tcW w:w="0" w:type="auto"/>
          </w:tcPr>
          <w:p w14:paraId="2A6F8BB8" w14:textId="77777777" w:rsidR="00D451E3" w:rsidRPr="00352FB3" w:rsidRDefault="00D451E3" w:rsidP="00D451E3">
            <w:pPr>
              <w:jc w:val="center"/>
              <w:rPr>
                <w:rFonts w:ascii="Times New Roman" w:eastAsia="Times New Roman" w:hAnsi="Times New Roman" w:cs="Times New Roman"/>
                <w:b/>
                <w:sz w:val="16"/>
                <w:szCs w:val="16"/>
                <w:shd w:val="clear" w:color="auto" w:fill="FFFFFF"/>
                <w:lang w:val="en-US"/>
              </w:rPr>
            </w:pPr>
            <w:r w:rsidRPr="00352FB3">
              <w:rPr>
                <w:rFonts w:ascii="Times New Roman" w:eastAsia="Times New Roman" w:hAnsi="Times New Roman" w:cs="Times New Roman"/>
                <w:b/>
                <w:sz w:val="16"/>
                <w:szCs w:val="16"/>
                <w:shd w:val="clear" w:color="auto" w:fill="FFFFFF"/>
              </w:rPr>
              <w:t xml:space="preserve">Big4 </w:t>
            </w:r>
          </w:p>
        </w:tc>
        <w:tc>
          <w:tcPr>
            <w:tcW w:w="0" w:type="auto"/>
          </w:tcPr>
          <w:p w14:paraId="144FECCF" w14:textId="77777777" w:rsidR="00D451E3" w:rsidRPr="00352FB3" w:rsidRDefault="00D451E3" w:rsidP="00D451E3">
            <w:pPr>
              <w:jc w:val="center"/>
              <w:rPr>
                <w:rFonts w:ascii="Times New Roman" w:eastAsia="Times New Roman" w:hAnsi="Times New Roman" w:cs="Times New Roman"/>
                <w:b/>
                <w:sz w:val="16"/>
                <w:szCs w:val="16"/>
                <w:shd w:val="clear" w:color="auto" w:fill="FFFFFF"/>
                <w:lang w:val="en-US"/>
              </w:rPr>
            </w:pPr>
            <w:r w:rsidRPr="00352FB3">
              <w:rPr>
                <w:rFonts w:ascii="Times New Roman" w:eastAsia="Times New Roman" w:hAnsi="Times New Roman" w:cs="Times New Roman"/>
                <w:b/>
                <w:sz w:val="16"/>
                <w:szCs w:val="16"/>
                <w:shd w:val="clear" w:color="auto" w:fill="FFFFFF"/>
              </w:rPr>
              <w:t>LNFE</w:t>
            </w:r>
          </w:p>
        </w:tc>
        <w:tc>
          <w:tcPr>
            <w:tcW w:w="0" w:type="auto"/>
          </w:tcPr>
          <w:p w14:paraId="35BBE700" w14:textId="72EA8FB4" w:rsidR="00D451E3" w:rsidRPr="000972D1" w:rsidRDefault="00C27F47" w:rsidP="00D451E3">
            <w:pPr>
              <w:jc w:val="center"/>
              <w:rPr>
                <w:rFonts w:ascii="Times New Roman" w:eastAsia="Times New Roman" w:hAnsi="Times New Roman" w:cs="Times New Roman"/>
                <w:b/>
                <w:sz w:val="16"/>
                <w:szCs w:val="16"/>
                <w:shd w:val="clear" w:color="auto" w:fill="FFFFFF"/>
              </w:rPr>
            </w:pPr>
            <w:r w:rsidRPr="000972D1">
              <w:rPr>
                <w:rFonts w:ascii="Times New Roman" w:eastAsia="Times New Roman" w:hAnsi="Times New Roman" w:cs="Times New Roman"/>
                <w:b/>
                <w:sz w:val="16"/>
                <w:szCs w:val="16"/>
                <w:shd w:val="clear" w:color="auto" w:fill="FFFFFF"/>
              </w:rPr>
              <w:t>IAF</w:t>
            </w:r>
            <w:r w:rsidR="00D451E3" w:rsidRPr="000972D1">
              <w:rPr>
                <w:rFonts w:ascii="Times New Roman" w:eastAsia="Times New Roman" w:hAnsi="Times New Roman" w:cs="Times New Roman"/>
                <w:b/>
                <w:sz w:val="16"/>
                <w:szCs w:val="16"/>
                <w:shd w:val="clear" w:color="auto" w:fill="FFFFFF"/>
              </w:rPr>
              <w:t xml:space="preserve"> </w:t>
            </w:r>
          </w:p>
        </w:tc>
        <w:tc>
          <w:tcPr>
            <w:tcW w:w="0" w:type="auto"/>
          </w:tcPr>
          <w:p w14:paraId="5F25F8BB" w14:textId="7158478B" w:rsidR="00D451E3" w:rsidRPr="000972D1" w:rsidRDefault="00D451E3" w:rsidP="00D451E3">
            <w:pPr>
              <w:jc w:val="center"/>
              <w:rPr>
                <w:rFonts w:ascii="Times New Roman" w:eastAsia="Times New Roman" w:hAnsi="Times New Roman" w:cs="Times New Roman"/>
                <w:b/>
                <w:sz w:val="16"/>
                <w:szCs w:val="16"/>
                <w:shd w:val="clear" w:color="auto" w:fill="FFFFFF"/>
              </w:rPr>
            </w:pPr>
            <w:r w:rsidRPr="000972D1">
              <w:rPr>
                <w:rFonts w:ascii="Times New Roman" w:eastAsia="Times New Roman" w:hAnsi="Times New Roman" w:cs="Times New Roman"/>
                <w:b/>
                <w:sz w:val="16"/>
                <w:szCs w:val="16"/>
                <w:shd w:val="clear" w:color="auto" w:fill="FFFFFF"/>
              </w:rPr>
              <w:t>LNFE</w:t>
            </w:r>
          </w:p>
        </w:tc>
        <w:tc>
          <w:tcPr>
            <w:tcW w:w="0" w:type="auto"/>
          </w:tcPr>
          <w:p w14:paraId="593C884E" w14:textId="65253317" w:rsidR="00D451E3" w:rsidRPr="00352FB3" w:rsidRDefault="00D451E3" w:rsidP="00D451E3">
            <w:pPr>
              <w:jc w:val="center"/>
              <w:rPr>
                <w:rFonts w:ascii="Times New Roman" w:eastAsia="Times New Roman" w:hAnsi="Times New Roman" w:cs="Times New Roman"/>
                <w:b/>
                <w:sz w:val="16"/>
                <w:szCs w:val="16"/>
                <w:shd w:val="clear" w:color="auto" w:fill="FFFFFF"/>
                <w:lang w:val="en-US"/>
              </w:rPr>
            </w:pPr>
            <w:r w:rsidRPr="00352FB3">
              <w:rPr>
                <w:rFonts w:ascii="Times New Roman" w:eastAsia="Times New Roman" w:hAnsi="Times New Roman" w:cs="Times New Roman"/>
                <w:b/>
                <w:sz w:val="16"/>
                <w:szCs w:val="16"/>
                <w:shd w:val="clear" w:color="auto" w:fill="FFFFFF"/>
              </w:rPr>
              <w:t xml:space="preserve">Big4 </w:t>
            </w:r>
          </w:p>
        </w:tc>
        <w:tc>
          <w:tcPr>
            <w:tcW w:w="0" w:type="auto"/>
          </w:tcPr>
          <w:p w14:paraId="024600A4" w14:textId="77777777" w:rsidR="00D451E3" w:rsidRPr="00352FB3" w:rsidRDefault="00D451E3" w:rsidP="00D451E3">
            <w:pPr>
              <w:jc w:val="center"/>
              <w:rPr>
                <w:rFonts w:ascii="Times New Roman" w:eastAsia="Times New Roman" w:hAnsi="Times New Roman" w:cs="Times New Roman"/>
                <w:b/>
                <w:sz w:val="16"/>
                <w:szCs w:val="16"/>
                <w:shd w:val="clear" w:color="auto" w:fill="FFFFFF"/>
                <w:lang w:val="en-US"/>
              </w:rPr>
            </w:pPr>
            <w:r w:rsidRPr="00352FB3">
              <w:rPr>
                <w:rFonts w:ascii="Times New Roman" w:eastAsia="Times New Roman" w:hAnsi="Times New Roman" w:cs="Times New Roman"/>
                <w:b/>
                <w:sz w:val="16"/>
                <w:szCs w:val="16"/>
                <w:shd w:val="clear" w:color="auto" w:fill="FFFFFF"/>
              </w:rPr>
              <w:t>LNFE</w:t>
            </w:r>
          </w:p>
        </w:tc>
        <w:tc>
          <w:tcPr>
            <w:tcW w:w="0" w:type="auto"/>
          </w:tcPr>
          <w:p w14:paraId="5293410F" w14:textId="77777777" w:rsidR="00D451E3" w:rsidRPr="00352FB3" w:rsidRDefault="00D451E3" w:rsidP="00D451E3">
            <w:pPr>
              <w:jc w:val="center"/>
              <w:rPr>
                <w:rFonts w:ascii="Times New Roman" w:eastAsia="Times New Roman" w:hAnsi="Times New Roman" w:cs="Times New Roman"/>
                <w:b/>
                <w:sz w:val="16"/>
                <w:szCs w:val="16"/>
                <w:shd w:val="clear" w:color="auto" w:fill="FFFFFF"/>
                <w:lang w:val="en-US"/>
              </w:rPr>
            </w:pPr>
            <w:r w:rsidRPr="00352FB3">
              <w:rPr>
                <w:rFonts w:ascii="Times New Roman" w:eastAsia="Times New Roman" w:hAnsi="Times New Roman" w:cs="Times New Roman"/>
                <w:b/>
                <w:sz w:val="16"/>
                <w:szCs w:val="16"/>
                <w:shd w:val="clear" w:color="auto" w:fill="FFFFFF"/>
              </w:rPr>
              <w:t xml:space="preserve">Big4 </w:t>
            </w:r>
          </w:p>
        </w:tc>
        <w:tc>
          <w:tcPr>
            <w:tcW w:w="0" w:type="auto"/>
          </w:tcPr>
          <w:p w14:paraId="7633C01A" w14:textId="77777777" w:rsidR="00D451E3" w:rsidRPr="00352FB3" w:rsidRDefault="00D451E3" w:rsidP="00D451E3">
            <w:pPr>
              <w:tabs>
                <w:tab w:val="left" w:pos="1215"/>
              </w:tabs>
              <w:jc w:val="center"/>
              <w:rPr>
                <w:rFonts w:ascii="Times New Roman" w:eastAsia="Times New Roman" w:hAnsi="Times New Roman" w:cs="Times New Roman"/>
                <w:b/>
                <w:sz w:val="16"/>
                <w:szCs w:val="16"/>
                <w:shd w:val="clear" w:color="auto" w:fill="FFFFFF"/>
                <w:lang w:val="en-US"/>
              </w:rPr>
            </w:pPr>
            <w:r w:rsidRPr="00352FB3">
              <w:rPr>
                <w:rFonts w:ascii="Times New Roman" w:eastAsia="Times New Roman" w:hAnsi="Times New Roman" w:cs="Times New Roman"/>
                <w:b/>
                <w:sz w:val="16"/>
                <w:szCs w:val="16"/>
                <w:shd w:val="clear" w:color="auto" w:fill="FFFFFF"/>
              </w:rPr>
              <w:t>LNFE</w:t>
            </w:r>
          </w:p>
        </w:tc>
        <w:tc>
          <w:tcPr>
            <w:tcW w:w="0" w:type="auto"/>
          </w:tcPr>
          <w:p w14:paraId="1D337A3E" w14:textId="372A9B27" w:rsidR="00D451E3" w:rsidRPr="00352FB3" w:rsidRDefault="00D451E3" w:rsidP="00D451E3">
            <w:pPr>
              <w:tabs>
                <w:tab w:val="left" w:pos="1215"/>
              </w:tabs>
              <w:jc w:val="center"/>
              <w:rPr>
                <w:rFonts w:ascii="Times New Roman" w:eastAsia="Times New Roman" w:hAnsi="Times New Roman" w:cs="Times New Roman"/>
                <w:b/>
                <w:sz w:val="16"/>
                <w:szCs w:val="16"/>
                <w:shd w:val="clear" w:color="auto" w:fill="FFFFFF"/>
              </w:rPr>
            </w:pPr>
            <w:r w:rsidRPr="00352FB3">
              <w:rPr>
                <w:rFonts w:ascii="Times New Roman" w:eastAsia="Times New Roman" w:hAnsi="Times New Roman" w:cs="Times New Roman"/>
                <w:b/>
                <w:sz w:val="16"/>
                <w:szCs w:val="16"/>
                <w:shd w:val="clear" w:color="auto" w:fill="FFFFFF"/>
              </w:rPr>
              <w:t>LNFE-P</w:t>
            </w:r>
          </w:p>
        </w:tc>
      </w:tr>
      <w:tr w:rsidR="00D451E3" w:rsidRPr="00352FB3" w14:paraId="2C8AEC31" w14:textId="5AE55DDC" w:rsidTr="00857BA8">
        <w:trPr>
          <w:trHeight w:val="154"/>
          <w:jc w:val="center"/>
        </w:trPr>
        <w:tc>
          <w:tcPr>
            <w:tcW w:w="0" w:type="auto"/>
            <w:tcBorders>
              <w:bottom w:val="single" w:sz="12" w:space="0" w:color="auto"/>
              <w:right w:val="single" w:sz="12" w:space="0" w:color="auto"/>
            </w:tcBorders>
            <w:noWrap/>
          </w:tcPr>
          <w:p w14:paraId="36B3F6F3" w14:textId="77777777" w:rsidR="00D451E3" w:rsidRPr="00352FB3" w:rsidRDefault="00D451E3" w:rsidP="00D451E3">
            <w:pPr>
              <w:ind w:left="-78" w:firstLine="15"/>
              <w:rPr>
                <w:rFonts w:ascii="Times New Roman" w:eastAsia="Times New Roman" w:hAnsi="Times New Roman" w:cs="Times New Roman"/>
                <w:b/>
                <w:sz w:val="16"/>
                <w:szCs w:val="16"/>
                <w:shd w:val="clear" w:color="auto" w:fill="FFFFFF"/>
                <w:lang w:val="en-US"/>
              </w:rPr>
            </w:pPr>
            <w:r w:rsidRPr="00352FB3">
              <w:rPr>
                <w:rFonts w:ascii="Times New Roman" w:eastAsia="Times New Roman" w:hAnsi="Times New Roman" w:cs="Times New Roman"/>
                <w:b/>
                <w:sz w:val="16"/>
                <w:szCs w:val="16"/>
                <w:shd w:val="clear" w:color="auto" w:fill="FFFFFF"/>
                <w:lang w:val="en-US"/>
              </w:rPr>
              <w:t>Ind. var./</w:t>
            </w:r>
            <w:r w:rsidRPr="00352FB3" w:rsidDel="00327998">
              <w:rPr>
                <w:rFonts w:ascii="Times New Roman" w:eastAsia="Times New Roman" w:hAnsi="Times New Roman" w:cs="Times New Roman"/>
                <w:b/>
                <w:sz w:val="16"/>
                <w:szCs w:val="16"/>
                <w:shd w:val="clear" w:color="auto" w:fill="FFFFFF"/>
                <w:lang w:val="en-US"/>
              </w:rPr>
              <w:t xml:space="preserve"> </w:t>
            </w:r>
            <w:r w:rsidRPr="00352FB3">
              <w:rPr>
                <w:rFonts w:ascii="Times New Roman" w:eastAsia="Times New Roman" w:hAnsi="Times New Roman" w:cs="Times New Roman"/>
                <w:b/>
                <w:sz w:val="16"/>
                <w:szCs w:val="16"/>
                <w:shd w:val="clear" w:color="auto" w:fill="FFFFFF"/>
                <w:lang w:val="en-US"/>
              </w:rPr>
              <w:t>Model</w:t>
            </w:r>
          </w:p>
        </w:tc>
        <w:tc>
          <w:tcPr>
            <w:tcW w:w="0" w:type="auto"/>
            <w:tcBorders>
              <w:bottom w:val="single" w:sz="12" w:space="0" w:color="auto"/>
            </w:tcBorders>
          </w:tcPr>
          <w:p w14:paraId="7A20FADC" w14:textId="13AA0A05" w:rsidR="00D451E3" w:rsidRPr="00352FB3" w:rsidRDefault="00D451E3" w:rsidP="00D451E3">
            <w:pPr>
              <w:jc w:val="center"/>
              <w:rPr>
                <w:rFonts w:ascii="Times New Roman" w:eastAsia="Times New Roman" w:hAnsi="Times New Roman" w:cs="Times New Roman"/>
                <w:b/>
                <w:sz w:val="16"/>
                <w:szCs w:val="16"/>
                <w:shd w:val="clear" w:color="auto" w:fill="FFFFFF"/>
                <w:lang w:val="en-US"/>
              </w:rPr>
            </w:pPr>
            <w:r w:rsidRPr="00352FB3">
              <w:rPr>
                <w:rFonts w:ascii="Times New Roman" w:eastAsia="Times New Roman" w:hAnsi="Times New Roman" w:cs="Times New Roman"/>
                <w:b/>
                <w:sz w:val="16"/>
                <w:szCs w:val="16"/>
                <w:shd w:val="clear" w:color="auto" w:fill="FFFFFF"/>
                <w:lang w:val="en-US"/>
              </w:rPr>
              <w:t>1</w:t>
            </w:r>
          </w:p>
        </w:tc>
        <w:tc>
          <w:tcPr>
            <w:tcW w:w="0" w:type="auto"/>
            <w:tcBorders>
              <w:bottom w:val="single" w:sz="12" w:space="0" w:color="auto"/>
            </w:tcBorders>
          </w:tcPr>
          <w:p w14:paraId="5E44C3C1" w14:textId="5C91FFB2" w:rsidR="00D451E3" w:rsidRPr="00352FB3" w:rsidRDefault="00D451E3" w:rsidP="00D451E3">
            <w:pPr>
              <w:jc w:val="center"/>
              <w:rPr>
                <w:rFonts w:ascii="Times New Roman" w:eastAsia="Times New Roman" w:hAnsi="Times New Roman" w:cs="Times New Roman"/>
                <w:b/>
                <w:sz w:val="16"/>
                <w:szCs w:val="16"/>
                <w:shd w:val="clear" w:color="auto" w:fill="FFFFFF"/>
                <w:lang w:val="en-US"/>
              </w:rPr>
            </w:pPr>
            <w:r w:rsidRPr="00352FB3">
              <w:rPr>
                <w:rFonts w:ascii="Times New Roman" w:eastAsia="Times New Roman" w:hAnsi="Times New Roman" w:cs="Times New Roman"/>
                <w:b/>
                <w:sz w:val="16"/>
                <w:szCs w:val="16"/>
                <w:shd w:val="clear" w:color="auto" w:fill="FFFFFF"/>
                <w:lang w:val="en-US"/>
              </w:rPr>
              <w:t>2</w:t>
            </w:r>
          </w:p>
        </w:tc>
        <w:tc>
          <w:tcPr>
            <w:tcW w:w="0" w:type="auto"/>
            <w:tcBorders>
              <w:bottom w:val="single" w:sz="12" w:space="0" w:color="auto"/>
            </w:tcBorders>
          </w:tcPr>
          <w:p w14:paraId="16D703AC" w14:textId="62BD9608" w:rsidR="00D451E3" w:rsidRPr="000972D1" w:rsidRDefault="00D451E3" w:rsidP="00D451E3">
            <w:pPr>
              <w:jc w:val="center"/>
              <w:rPr>
                <w:rFonts w:ascii="Times New Roman" w:eastAsia="Times New Roman" w:hAnsi="Times New Roman" w:cs="Times New Roman"/>
                <w:b/>
                <w:sz w:val="16"/>
                <w:szCs w:val="16"/>
                <w:shd w:val="clear" w:color="auto" w:fill="FFFFFF"/>
                <w:lang w:val="en-US"/>
              </w:rPr>
            </w:pPr>
            <w:r w:rsidRPr="000972D1">
              <w:rPr>
                <w:rFonts w:ascii="Times New Roman" w:eastAsia="Times New Roman" w:hAnsi="Times New Roman" w:cs="Times New Roman"/>
                <w:b/>
                <w:sz w:val="16"/>
                <w:szCs w:val="16"/>
                <w:shd w:val="clear" w:color="auto" w:fill="FFFFFF"/>
                <w:lang w:val="en-US"/>
              </w:rPr>
              <w:t>3</w:t>
            </w:r>
          </w:p>
        </w:tc>
        <w:tc>
          <w:tcPr>
            <w:tcW w:w="0" w:type="auto"/>
            <w:tcBorders>
              <w:bottom w:val="single" w:sz="12" w:space="0" w:color="auto"/>
            </w:tcBorders>
          </w:tcPr>
          <w:p w14:paraId="538E845A" w14:textId="1E319889" w:rsidR="00D451E3" w:rsidRPr="000972D1" w:rsidRDefault="00D451E3" w:rsidP="00D451E3">
            <w:pPr>
              <w:jc w:val="center"/>
              <w:rPr>
                <w:rFonts w:ascii="Times New Roman" w:eastAsia="Times New Roman" w:hAnsi="Times New Roman" w:cs="Times New Roman"/>
                <w:b/>
                <w:sz w:val="16"/>
                <w:szCs w:val="16"/>
                <w:shd w:val="clear" w:color="auto" w:fill="FFFFFF"/>
                <w:lang w:val="en-US"/>
              </w:rPr>
            </w:pPr>
            <w:r w:rsidRPr="000972D1">
              <w:rPr>
                <w:rFonts w:ascii="Times New Roman" w:eastAsia="Times New Roman" w:hAnsi="Times New Roman" w:cs="Times New Roman"/>
                <w:b/>
                <w:sz w:val="16"/>
                <w:szCs w:val="16"/>
                <w:shd w:val="clear" w:color="auto" w:fill="FFFFFF"/>
                <w:lang w:val="en-US"/>
              </w:rPr>
              <w:t>4</w:t>
            </w:r>
          </w:p>
        </w:tc>
        <w:tc>
          <w:tcPr>
            <w:tcW w:w="0" w:type="auto"/>
            <w:tcBorders>
              <w:bottom w:val="single" w:sz="12" w:space="0" w:color="auto"/>
            </w:tcBorders>
          </w:tcPr>
          <w:p w14:paraId="0F16AA71" w14:textId="3FA17979" w:rsidR="00D451E3" w:rsidRPr="00352FB3" w:rsidRDefault="00D451E3" w:rsidP="00D451E3">
            <w:pPr>
              <w:jc w:val="center"/>
              <w:rPr>
                <w:rFonts w:ascii="Times New Roman" w:eastAsia="Times New Roman" w:hAnsi="Times New Roman" w:cs="Times New Roman"/>
                <w:b/>
                <w:sz w:val="16"/>
                <w:szCs w:val="16"/>
                <w:shd w:val="clear" w:color="auto" w:fill="FFFFFF"/>
                <w:lang w:val="en-US"/>
              </w:rPr>
            </w:pPr>
            <w:r w:rsidRPr="00352FB3">
              <w:rPr>
                <w:rFonts w:ascii="Times New Roman" w:eastAsia="Times New Roman" w:hAnsi="Times New Roman" w:cs="Times New Roman"/>
                <w:b/>
                <w:sz w:val="16"/>
                <w:szCs w:val="16"/>
                <w:shd w:val="clear" w:color="auto" w:fill="FFFFFF"/>
                <w:lang w:val="en-US"/>
              </w:rPr>
              <w:t>5</w:t>
            </w:r>
          </w:p>
        </w:tc>
        <w:tc>
          <w:tcPr>
            <w:tcW w:w="0" w:type="auto"/>
            <w:tcBorders>
              <w:bottom w:val="single" w:sz="12" w:space="0" w:color="auto"/>
            </w:tcBorders>
          </w:tcPr>
          <w:p w14:paraId="73957708" w14:textId="77B62C80" w:rsidR="00D451E3" w:rsidRPr="00352FB3" w:rsidRDefault="00D451E3" w:rsidP="00D451E3">
            <w:pPr>
              <w:jc w:val="center"/>
              <w:rPr>
                <w:rFonts w:ascii="Times New Roman" w:eastAsia="Times New Roman" w:hAnsi="Times New Roman" w:cs="Times New Roman"/>
                <w:b/>
                <w:sz w:val="16"/>
                <w:szCs w:val="16"/>
                <w:shd w:val="clear" w:color="auto" w:fill="FFFFFF"/>
                <w:lang w:val="en-US"/>
              </w:rPr>
            </w:pPr>
            <w:r w:rsidRPr="00352FB3">
              <w:rPr>
                <w:rFonts w:ascii="Times New Roman" w:eastAsia="Times New Roman" w:hAnsi="Times New Roman" w:cs="Times New Roman"/>
                <w:b/>
                <w:sz w:val="16"/>
                <w:szCs w:val="16"/>
                <w:shd w:val="clear" w:color="auto" w:fill="FFFFFF"/>
                <w:lang w:val="en-US"/>
              </w:rPr>
              <w:t>6</w:t>
            </w:r>
          </w:p>
        </w:tc>
        <w:tc>
          <w:tcPr>
            <w:tcW w:w="0" w:type="auto"/>
            <w:tcBorders>
              <w:bottom w:val="single" w:sz="12" w:space="0" w:color="auto"/>
            </w:tcBorders>
          </w:tcPr>
          <w:p w14:paraId="480460C5" w14:textId="0E36A172" w:rsidR="00D451E3" w:rsidRPr="00352FB3" w:rsidRDefault="00D451E3" w:rsidP="00D451E3">
            <w:pPr>
              <w:jc w:val="center"/>
              <w:rPr>
                <w:rFonts w:ascii="Times New Roman" w:eastAsia="Times New Roman" w:hAnsi="Times New Roman" w:cs="Times New Roman"/>
                <w:b/>
                <w:sz w:val="16"/>
                <w:szCs w:val="16"/>
                <w:shd w:val="clear" w:color="auto" w:fill="FFFFFF"/>
                <w:lang w:val="en-US"/>
              </w:rPr>
            </w:pPr>
            <w:r w:rsidRPr="00352FB3">
              <w:rPr>
                <w:rFonts w:ascii="Times New Roman" w:eastAsia="Times New Roman" w:hAnsi="Times New Roman" w:cs="Times New Roman"/>
                <w:b/>
                <w:sz w:val="16"/>
                <w:szCs w:val="16"/>
                <w:shd w:val="clear" w:color="auto" w:fill="FFFFFF"/>
                <w:lang w:val="en-US"/>
              </w:rPr>
              <w:t>7</w:t>
            </w:r>
          </w:p>
        </w:tc>
        <w:tc>
          <w:tcPr>
            <w:tcW w:w="0" w:type="auto"/>
            <w:tcBorders>
              <w:bottom w:val="single" w:sz="12" w:space="0" w:color="auto"/>
            </w:tcBorders>
          </w:tcPr>
          <w:p w14:paraId="6B0150F0" w14:textId="00C2075A" w:rsidR="00D451E3" w:rsidRPr="00352FB3" w:rsidRDefault="00D451E3" w:rsidP="00D451E3">
            <w:pPr>
              <w:jc w:val="center"/>
              <w:rPr>
                <w:rFonts w:ascii="Times New Roman" w:eastAsia="Times New Roman" w:hAnsi="Times New Roman" w:cs="Times New Roman"/>
                <w:b/>
                <w:sz w:val="16"/>
                <w:szCs w:val="16"/>
                <w:shd w:val="clear" w:color="auto" w:fill="FFFFFF"/>
                <w:lang w:val="en-US"/>
              </w:rPr>
            </w:pPr>
            <w:r w:rsidRPr="00352FB3">
              <w:rPr>
                <w:rFonts w:ascii="Times New Roman" w:eastAsia="Times New Roman" w:hAnsi="Times New Roman" w:cs="Times New Roman"/>
                <w:b/>
                <w:sz w:val="16"/>
                <w:szCs w:val="16"/>
                <w:shd w:val="clear" w:color="auto" w:fill="FFFFFF"/>
                <w:lang w:val="en-US"/>
              </w:rPr>
              <w:t>8</w:t>
            </w:r>
          </w:p>
        </w:tc>
        <w:tc>
          <w:tcPr>
            <w:tcW w:w="0" w:type="auto"/>
            <w:tcBorders>
              <w:bottom w:val="single" w:sz="12" w:space="0" w:color="auto"/>
            </w:tcBorders>
          </w:tcPr>
          <w:p w14:paraId="2C4EA9C0" w14:textId="68F124DE" w:rsidR="00D451E3" w:rsidRPr="00352FB3" w:rsidRDefault="00D451E3" w:rsidP="00D451E3">
            <w:pPr>
              <w:jc w:val="center"/>
              <w:rPr>
                <w:rFonts w:ascii="Times New Roman" w:eastAsia="Times New Roman" w:hAnsi="Times New Roman" w:cs="Times New Roman"/>
                <w:b/>
                <w:sz w:val="16"/>
                <w:szCs w:val="16"/>
                <w:shd w:val="clear" w:color="auto" w:fill="FFFFFF"/>
                <w:lang w:val="en-US"/>
              </w:rPr>
            </w:pPr>
            <w:r w:rsidRPr="00352FB3">
              <w:rPr>
                <w:rFonts w:ascii="Times New Roman" w:eastAsia="Times New Roman" w:hAnsi="Times New Roman" w:cs="Times New Roman"/>
                <w:b/>
                <w:sz w:val="16"/>
                <w:szCs w:val="16"/>
                <w:shd w:val="clear" w:color="auto" w:fill="FFFFFF"/>
                <w:lang w:val="en-US"/>
              </w:rPr>
              <w:t>9</w:t>
            </w:r>
          </w:p>
        </w:tc>
      </w:tr>
      <w:tr w:rsidR="00D451E3" w:rsidRPr="00352FB3" w14:paraId="64B1761A" w14:textId="60D2E2A5" w:rsidTr="00857BA8">
        <w:trPr>
          <w:trHeight w:val="225"/>
          <w:jc w:val="center"/>
        </w:trPr>
        <w:tc>
          <w:tcPr>
            <w:tcW w:w="0" w:type="auto"/>
            <w:tcBorders>
              <w:top w:val="single" w:sz="12" w:space="0" w:color="auto"/>
              <w:right w:val="single" w:sz="12" w:space="0" w:color="auto"/>
            </w:tcBorders>
            <w:noWrap/>
            <w:hideMark/>
          </w:tcPr>
          <w:p w14:paraId="6893E7F1" w14:textId="77777777" w:rsidR="00D451E3" w:rsidRPr="00352FB3" w:rsidRDefault="00D451E3" w:rsidP="00E862EA">
            <w:pPr>
              <w:ind w:left="-63"/>
              <w:jc w:val="both"/>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BRDS</w:t>
            </w:r>
          </w:p>
        </w:tc>
        <w:tc>
          <w:tcPr>
            <w:tcW w:w="0" w:type="auto"/>
            <w:tcBorders>
              <w:top w:val="single" w:sz="12" w:space="0" w:color="auto"/>
            </w:tcBorders>
          </w:tcPr>
          <w:p w14:paraId="164BC684" w14:textId="2017FDDE"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-0.213</w:t>
            </w:r>
          </w:p>
          <w:p w14:paraId="740B68FA" w14:textId="7D9467DB"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(0.679)</w:t>
            </w:r>
          </w:p>
        </w:tc>
        <w:tc>
          <w:tcPr>
            <w:tcW w:w="0" w:type="auto"/>
            <w:tcBorders>
              <w:top w:val="single" w:sz="12" w:space="0" w:color="auto"/>
            </w:tcBorders>
          </w:tcPr>
          <w:p w14:paraId="74C73368" w14:textId="52AFEABE"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0.337***</w:t>
            </w:r>
          </w:p>
          <w:p w14:paraId="190C0EE6" w14:textId="08AA113B" w:rsidR="00D451E3" w:rsidRPr="00352FB3" w:rsidRDefault="00D451E3" w:rsidP="00CE0C84">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(0.001)</w:t>
            </w:r>
          </w:p>
        </w:tc>
        <w:tc>
          <w:tcPr>
            <w:tcW w:w="0" w:type="auto"/>
            <w:tcBorders>
              <w:top w:val="single" w:sz="12" w:space="0" w:color="auto"/>
            </w:tcBorders>
          </w:tcPr>
          <w:p w14:paraId="1C5FBFC6" w14:textId="77777777" w:rsidR="00D451E3" w:rsidRPr="000972D1" w:rsidRDefault="004B25A3" w:rsidP="00E862EA">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0.156</w:t>
            </w:r>
          </w:p>
          <w:p w14:paraId="19D34064" w14:textId="3D5A6F7A" w:rsidR="004B25A3" w:rsidRPr="000972D1" w:rsidRDefault="004B25A3" w:rsidP="00E862EA">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(0.767)</w:t>
            </w:r>
          </w:p>
        </w:tc>
        <w:tc>
          <w:tcPr>
            <w:tcW w:w="0" w:type="auto"/>
            <w:tcBorders>
              <w:top w:val="single" w:sz="12" w:space="0" w:color="auto"/>
            </w:tcBorders>
          </w:tcPr>
          <w:p w14:paraId="0C7C14DA" w14:textId="77777777" w:rsidR="00D451E3" w:rsidRPr="000972D1" w:rsidRDefault="00DF1EEC" w:rsidP="00E862EA">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0.327***</w:t>
            </w:r>
          </w:p>
          <w:p w14:paraId="2E345463" w14:textId="0C691F47" w:rsidR="00DF1EEC" w:rsidRPr="000972D1" w:rsidRDefault="00DF1EEC" w:rsidP="00E862EA">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(0.000)</w:t>
            </w:r>
          </w:p>
        </w:tc>
        <w:tc>
          <w:tcPr>
            <w:tcW w:w="0" w:type="auto"/>
            <w:tcBorders>
              <w:top w:val="single" w:sz="12" w:space="0" w:color="auto"/>
            </w:tcBorders>
          </w:tcPr>
          <w:p w14:paraId="7EA4599A" w14:textId="1D78612A"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0.744</w:t>
            </w:r>
          </w:p>
          <w:p w14:paraId="020E772A" w14:textId="16794EE0"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(0.245)</w:t>
            </w:r>
          </w:p>
        </w:tc>
        <w:tc>
          <w:tcPr>
            <w:tcW w:w="0" w:type="auto"/>
            <w:tcBorders>
              <w:top w:val="single" w:sz="12" w:space="0" w:color="auto"/>
            </w:tcBorders>
          </w:tcPr>
          <w:p w14:paraId="7FFE3070" w14:textId="3547F1B2"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0.518***</w:t>
            </w:r>
          </w:p>
          <w:p w14:paraId="55954302" w14:textId="15C9648F"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(0.001)</w:t>
            </w:r>
          </w:p>
        </w:tc>
        <w:tc>
          <w:tcPr>
            <w:tcW w:w="0" w:type="auto"/>
            <w:tcBorders>
              <w:top w:val="single" w:sz="12" w:space="0" w:color="auto"/>
            </w:tcBorders>
          </w:tcPr>
          <w:p w14:paraId="5A387A1E" w14:textId="320ECF7E"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-0.491</w:t>
            </w:r>
          </w:p>
          <w:p w14:paraId="43B1BB4C" w14:textId="584B556E"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(0.672)</w:t>
            </w:r>
          </w:p>
        </w:tc>
        <w:tc>
          <w:tcPr>
            <w:tcW w:w="0" w:type="auto"/>
            <w:tcBorders>
              <w:top w:val="single" w:sz="12" w:space="0" w:color="auto"/>
            </w:tcBorders>
          </w:tcPr>
          <w:p w14:paraId="146B29C1" w14:textId="0D3D854D"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0.403***</w:t>
            </w:r>
          </w:p>
          <w:p w14:paraId="6E2D8E1A" w14:textId="19B1C9D8"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(0.004)</w:t>
            </w:r>
          </w:p>
        </w:tc>
        <w:tc>
          <w:tcPr>
            <w:tcW w:w="0" w:type="auto"/>
            <w:tcBorders>
              <w:top w:val="single" w:sz="12" w:space="0" w:color="auto"/>
            </w:tcBorders>
          </w:tcPr>
          <w:p w14:paraId="6A75B1B3" w14:textId="3CD34B9A" w:rsidR="00D451E3" w:rsidRPr="00352FB3" w:rsidRDefault="00D451E3" w:rsidP="00DF3AAC">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0.219**</w:t>
            </w:r>
          </w:p>
          <w:p w14:paraId="154DC11D" w14:textId="11795391" w:rsidR="00D451E3" w:rsidRPr="00352FB3" w:rsidRDefault="00D451E3" w:rsidP="00DF3AAC">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(0.023)</w:t>
            </w:r>
          </w:p>
        </w:tc>
      </w:tr>
      <w:tr w:rsidR="00D451E3" w:rsidRPr="00352FB3" w14:paraId="1BA7500A" w14:textId="5F36B4D2" w:rsidTr="00857BA8">
        <w:trPr>
          <w:trHeight w:val="300"/>
          <w:jc w:val="center"/>
        </w:trPr>
        <w:tc>
          <w:tcPr>
            <w:tcW w:w="0" w:type="auto"/>
            <w:tcBorders>
              <w:right w:val="single" w:sz="12" w:space="0" w:color="auto"/>
            </w:tcBorders>
            <w:noWrap/>
            <w:hideMark/>
          </w:tcPr>
          <w:p w14:paraId="49CD7DF0" w14:textId="0F38AD9D" w:rsidR="00D451E3" w:rsidRPr="00352FB3" w:rsidRDefault="00D451E3" w:rsidP="00E862EA">
            <w:pPr>
              <w:ind w:left="-63"/>
              <w:jc w:val="both"/>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IND</w:t>
            </w:r>
          </w:p>
        </w:tc>
        <w:tc>
          <w:tcPr>
            <w:tcW w:w="0" w:type="auto"/>
          </w:tcPr>
          <w:p w14:paraId="0E19539A" w14:textId="4AEED061"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4.392***</w:t>
            </w:r>
          </w:p>
          <w:p w14:paraId="7CA8F04A" w14:textId="77777777"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(0.000)</w:t>
            </w:r>
          </w:p>
        </w:tc>
        <w:tc>
          <w:tcPr>
            <w:tcW w:w="0" w:type="auto"/>
          </w:tcPr>
          <w:p w14:paraId="781753AC" w14:textId="18F24A99"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0.493*</w:t>
            </w:r>
          </w:p>
          <w:p w14:paraId="31F1D303" w14:textId="70E0E44C"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(0.051)</w:t>
            </w:r>
          </w:p>
        </w:tc>
        <w:tc>
          <w:tcPr>
            <w:tcW w:w="0" w:type="auto"/>
          </w:tcPr>
          <w:p w14:paraId="51737755" w14:textId="77777777" w:rsidR="00D451E3" w:rsidRPr="000972D1" w:rsidRDefault="004B25A3" w:rsidP="00E862EA">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5.819***</w:t>
            </w:r>
          </w:p>
          <w:p w14:paraId="105C8077" w14:textId="3B8BCDE5" w:rsidR="004B25A3" w:rsidRPr="000972D1" w:rsidRDefault="004B25A3" w:rsidP="00E862EA">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(0.000)</w:t>
            </w:r>
          </w:p>
        </w:tc>
        <w:tc>
          <w:tcPr>
            <w:tcW w:w="0" w:type="auto"/>
          </w:tcPr>
          <w:p w14:paraId="37E1A5F5" w14:textId="77777777" w:rsidR="00D451E3" w:rsidRPr="000972D1" w:rsidRDefault="00DF1EEC" w:rsidP="00E862EA">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0.247</w:t>
            </w:r>
          </w:p>
          <w:p w14:paraId="22B35583" w14:textId="6A3F24FE" w:rsidR="00DF1EEC" w:rsidRPr="000972D1" w:rsidRDefault="00DF1EEC" w:rsidP="00E862EA">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(0.267)</w:t>
            </w:r>
          </w:p>
        </w:tc>
        <w:tc>
          <w:tcPr>
            <w:tcW w:w="0" w:type="auto"/>
          </w:tcPr>
          <w:p w14:paraId="2538F8BA" w14:textId="2896226C"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5.993***</w:t>
            </w:r>
          </w:p>
          <w:p w14:paraId="15AABADC" w14:textId="0F084B08"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(0.003)</w:t>
            </w:r>
          </w:p>
        </w:tc>
        <w:tc>
          <w:tcPr>
            <w:tcW w:w="0" w:type="auto"/>
          </w:tcPr>
          <w:p w14:paraId="51CF41BE" w14:textId="3A243A29"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0.314</w:t>
            </w:r>
          </w:p>
          <w:p w14:paraId="1719FC3A" w14:textId="6C26C390"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(0.371)</w:t>
            </w:r>
          </w:p>
        </w:tc>
        <w:tc>
          <w:tcPr>
            <w:tcW w:w="0" w:type="auto"/>
          </w:tcPr>
          <w:p w14:paraId="5AEE0D9E" w14:textId="690F8C48"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5.906***</w:t>
            </w:r>
          </w:p>
          <w:p w14:paraId="798D4A59" w14:textId="38D14A5A"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(0.001)</w:t>
            </w:r>
          </w:p>
        </w:tc>
        <w:tc>
          <w:tcPr>
            <w:tcW w:w="0" w:type="auto"/>
          </w:tcPr>
          <w:p w14:paraId="3C6A4460" w14:textId="396C189D"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0.769**</w:t>
            </w:r>
          </w:p>
          <w:p w14:paraId="53CDDD15" w14:textId="025A3ECC" w:rsidR="00D451E3" w:rsidRPr="00352FB3" w:rsidRDefault="00D451E3" w:rsidP="002815F1">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(0.048)</w:t>
            </w:r>
          </w:p>
        </w:tc>
        <w:tc>
          <w:tcPr>
            <w:tcW w:w="0" w:type="auto"/>
          </w:tcPr>
          <w:p w14:paraId="7FAADFBD" w14:textId="4A6936BB" w:rsidR="00D451E3" w:rsidRPr="00352FB3" w:rsidRDefault="00D451E3" w:rsidP="00DF3AAC">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0.534**</w:t>
            </w:r>
          </w:p>
          <w:p w14:paraId="50C3B42E" w14:textId="1E30F465"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(0.022)</w:t>
            </w:r>
          </w:p>
        </w:tc>
      </w:tr>
      <w:tr w:rsidR="00D451E3" w:rsidRPr="00352FB3" w14:paraId="0B34029D" w14:textId="7EE42505" w:rsidTr="00857BA8">
        <w:trPr>
          <w:trHeight w:val="300"/>
          <w:jc w:val="center"/>
        </w:trPr>
        <w:tc>
          <w:tcPr>
            <w:tcW w:w="0" w:type="auto"/>
            <w:tcBorders>
              <w:right w:val="single" w:sz="12" w:space="0" w:color="auto"/>
            </w:tcBorders>
            <w:noWrap/>
            <w:hideMark/>
          </w:tcPr>
          <w:p w14:paraId="7CB64833" w14:textId="66A88690" w:rsidR="00D451E3" w:rsidRPr="00352FB3" w:rsidRDefault="00D451E3" w:rsidP="00E862EA">
            <w:pPr>
              <w:ind w:left="-63"/>
              <w:jc w:val="both"/>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bCs/>
                <w:sz w:val="16"/>
                <w:szCs w:val="16"/>
                <w:shd w:val="clear" w:color="auto" w:fill="FFFFFF"/>
              </w:rPr>
              <w:t>UBL</w:t>
            </w:r>
          </w:p>
        </w:tc>
        <w:tc>
          <w:tcPr>
            <w:tcW w:w="0" w:type="auto"/>
          </w:tcPr>
          <w:p w14:paraId="77ACFC5C" w14:textId="3657CC69"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-0.024</w:t>
            </w:r>
          </w:p>
          <w:p w14:paraId="425A3AE0" w14:textId="632F82DD"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(0.952)</w:t>
            </w:r>
          </w:p>
        </w:tc>
        <w:tc>
          <w:tcPr>
            <w:tcW w:w="0" w:type="auto"/>
          </w:tcPr>
          <w:p w14:paraId="1A917B1E" w14:textId="0ABEDC0B"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0.062</w:t>
            </w:r>
          </w:p>
          <w:p w14:paraId="5A2CFC46" w14:textId="0BAFB1B2"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(0.456)</w:t>
            </w:r>
          </w:p>
        </w:tc>
        <w:tc>
          <w:tcPr>
            <w:tcW w:w="0" w:type="auto"/>
          </w:tcPr>
          <w:p w14:paraId="7D66A347" w14:textId="77777777" w:rsidR="00D451E3" w:rsidRPr="000972D1" w:rsidRDefault="004B25A3" w:rsidP="00E862EA">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0.411</w:t>
            </w:r>
          </w:p>
          <w:p w14:paraId="1FDAC193" w14:textId="4DBD1C3F" w:rsidR="004B25A3" w:rsidRPr="000972D1" w:rsidRDefault="004B25A3" w:rsidP="00E862EA">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(0.281)</w:t>
            </w:r>
          </w:p>
        </w:tc>
        <w:tc>
          <w:tcPr>
            <w:tcW w:w="0" w:type="auto"/>
          </w:tcPr>
          <w:p w14:paraId="137B0695" w14:textId="77777777" w:rsidR="00D451E3" w:rsidRPr="000972D1" w:rsidRDefault="00DF1EEC" w:rsidP="00E862EA">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-0.013</w:t>
            </w:r>
          </w:p>
          <w:p w14:paraId="57367F95" w14:textId="44B9384A" w:rsidR="00DF1EEC" w:rsidRPr="000972D1" w:rsidRDefault="00DF1EEC" w:rsidP="00E862EA">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(0.862)</w:t>
            </w:r>
          </w:p>
        </w:tc>
        <w:tc>
          <w:tcPr>
            <w:tcW w:w="0" w:type="auto"/>
          </w:tcPr>
          <w:p w14:paraId="0AD6E31F" w14:textId="54E458FB"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0.174</w:t>
            </w:r>
          </w:p>
          <w:p w14:paraId="70D3DFFF" w14:textId="53525CAF"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(0.718)</w:t>
            </w:r>
          </w:p>
        </w:tc>
        <w:tc>
          <w:tcPr>
            <w:tcW w:w="0" w:type="auto"/>
          </w:tcPr>
          <w:p w14:paraId="0B451B46" w14:textId="214CB176"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0.007</w:t>
            </w:r>
          </w:p>
          <w:p w14:paraId="7533F39D" w14:textId="4ADB7168"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(0.949)</w:t>
            </w:r>
          </w:p>
        </w:tc>
        <w:tc>
          <w:tcPr>
            <w:tcW w:w="0" w:type="auto"/>
          </w:tcPr>
          <w:p w14:paraId="6515CE29" w14:textId="549407DD"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-2.481**</w:t>
            </w:r>
          </w:p>
          <w:p w14:paraId="1092EC1D" w14:textId="09A27E58" w:rsidR="00D451E3" w:rsidRPr="00352FB3" w:rsidRDefault="00D451E3" w:rsidP="002815F1">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(0.035)</w:t>
            </w:r>
          </w:p>
        </w:tc>
        <w:tc>
          <w:tcPr>
            <w:tcW w:w="0" w:type="auto"/>
          </w:tcPr>
          <w:p w14:paraId="6F78D99E" w14:textId="54BEE2DD"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0.257*</w:t>
            </w:r>
          </w:p>
          <w:p w14:paraId="0A416E60" w14:textId="64C96AB7"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(0.071)</w:t>
            </w:r>
          </w:p>
        </w:tc>
        <w:tc>
          <w:tcPr>
            <w:tcW w:w="0" w:type="auto"/>
          </w:tcPr>
          <w:p w14:paraId="4434F6F4" w14:textId="7B8A49A6"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-0.077</w:t>
            </w:r>
          </w:p>
          <w:p w14:paraId="116D28A1" w14:textId="42E4A949"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(0.327)</w:t>
            </w:r>
          </w:p>
        </w:tc>
      </w:tr>
      <w:tr w:rsidR="00D451E3" w:rsidRPr="00352FB3" w14:paraId="7A90DAC1" w14:textId="23BC6D0D" w:rsidTr="00857BA8">
        <w:trPr>
          <w:trHeight w:val="300"/>
          <w:jc w:val="center"/>
        </w:trPr>
        <w:tc>
          <w:tcPr>
            <w:tcW w:w="0" w:type="auto"/>
            <w:tcBorders>
              <w:right w:val="single" w:sz="12" w:space="0" w:color="auto"/>
            </w:tcBorders>
            <w:noWrap/>
          </w:tcPr>
          <w:p w14:paraId="6554FB2D" w14:textId="71B84197" w:rsidR="00D451E3" w:rsidRPr="00352FB3" w:rsidRDefault="00D451E3" w:rsidP="00E862EA">
            <w:pPr>
              <w:ind w:left="-63"/>
              <w:jc w:val="both"/>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GOSH</w:t>
            </w:r>
          </w:p>
        </w:tc>
        <w:tc>
          <w:tcPr>
            <w:tcW w:w="0" w:type="auto"/>
          </w:tcPr>
          <w:p w14:paraId="02D0BE53" w14:textId="41E10482"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-0.529</w:t>
            </w:r>
          </w:p>
          <w:p w14:paraId="1D2225A9" w14:textId="18937CC6"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(0.481)</w:t>
            </w:r>
          </w:p>
        </w:tc>
        <w:tc>
          <w:tcPr>
            <w:tcW w:w="0" w:type="auto"/>
          </w:tcPr>
          <w:p w14:paraId="420B7E04" w14:textId="4777BD4A"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-0.289*</w:t>
            </w:r>
          </w:p>
          <w:p w14:paraId="4DEE4415" w14:textId="076BBB5B"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(0.059)</w:t>
            </w:r>
          </w:p>
        </w:tc>
        <w:tc>
          <w:tcPr>
            <w:tcW w:w="0" w:type="auto"/>
          </w:tcPr>
          <w:p w14:paraId="6AF18DBA" w14:textId="77777777" w:rsidR="00D451E3" w:rsidRPr="000972D1" w:rsidRDefault="004B25A3" w:rsidP="00E862EA">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2.907***</w:t>
            </w:r>
          </w:p>
          <w:p w14:paraId="24FF125D" w14:textId="0749136D" w:rsidR="004B25A3" w:rsidRPr="000972D1" w:rsidRDefault="004B25A3" w:rsidP="00E862EA">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(0.001)</w:t>
            </w:r>
          </w:p>
        </w:tc>
        <w:tc>
          <w:tcPr>
            <w:tcW w:w="0" w:type="auto"/>
          </w:tcPr>
          <w:p w14:paraId="4A21DBB4" w14:textId="77777777" w:rsidR="00D451E3" w:rsidRPr="000972D1" w:rsidRDefault="00DF1EEC" w:rsidP="00E862EA">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-0.405***</w:t>
            </w:r>
          </w:p>
          <w:p w14:paraId="25CC906C" w14:textId="7B87B311" w:rsidR="00DF1EEC" w:rsidRPr="000972D1" w:rsidRDefault="00DF1EEC" w:rsidP="00E862EA">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(0.004)</w:t>
            </w:r>
          </w:p>
        </w:tc>
        <w:tc>
          <w:tcPr>
            <w:tcW w:w="0" w:type="auto"/>
          </w:tcPr>
          <w:p w14:paraId="48B6B14B" w14:textId="60C94E45"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1.159</w:t>
            </w:r>
          </w:p>
          <w:p w14:paraId="23BC7805" w14:textId="0BC27BDD"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(0.375)</w:t>
            </w:r>
          </w:p>
        </w:tc>
        <w:tc>
          <w:tcPr>
            <w:tcW w:w="0" w:type="auto"/>
          </w:tcPr>
          <w:p w14:paraId="10550F44" w14:textId="46693D63"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-0.432</w:t>
            </w:r>
          </w:p>
          <w:p w14:paraId="2A376711" w14:textId="0FCF7223"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(0.211)</w:t>
            </w:r>
          </w:p>
        </w:tc>
        <w:tc>
          <w:tcPr>
            <w:tcW w:w="0" w:type="auto"/>
          </w:tcPr>
          <w:p w14:paraId="2A79B5F8" w14:textId="563F5BA9"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1.280</w:t>
            </w:r>
          </w:p>
          <w:p w14:paraId="1A46A6D0" w14:textId="078C6495"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(0.319)</w:t>
            </w:r>
          </w:p>
        </w:tc>
        <w:tc>
          <w:tcPr>
            <w:tcW w:w="0" w:type="auto"/>
          </w:tcPr>
          <w:p w14:paraId="237A4A7D" w14:textId="576DFEF4"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-0.198</w:t>
            </w:r>
          </w:p>
          <w:p w14:paraId="2588577B" w14:textId="2D8BD20A"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(0.261)</w:t>
            </w:r>
          </w:p>
        </w:tc>
        <w:tc>
          <w:tcPr>
            <w:tcW w:w="0" w:type="auto"/>
          </w:tcPr>
          <w:p w14:paraId="50353F97" w14:textId="6A0E16D0" w:rsidR="00D451E3" w:rsidRPr="00352FB3" w:rsidRDefault="00D451E3" w:rsidP="00DF3AAC">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-0.159</w:t>
            </w:r>
          </w:p>
          <w:p w14:paraId="0EB046EB" w14:textId="1BE56CE6"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(0.259)</w:t>
            </w:r>
          </w:p>
        </w:tc>
      </w:tr>
      <w:tr w:rsidR="00D451E3" w:rsidRPr="00352FB3" w14:paraId="671995D8" w14:textId="1FBB947C" w:rsidTr="00857BA8">
        <w:trPr>
          <w:trHeight w:val="300"/>
          <w:jc w:val="center"/>
        </w:trPr>
        <w:tc>
          <w:tcPr>
            <w:tcW w:w="0" w:type="auto"/>
            <w:tcBorders>
              <w:right w:val="single" w:sz="12" w:space="0" w:color="auto"/>
            </w:tcBorders>
            <w:noWrap/>
            <w:hideMark/>
          </w:tcPr>
          <w:p w14:paraId="000E9A35" w14:textId="0FF66B86" w:rsidR="00D451E3" w:rsidRPr="00352FB3" w:rsidRDefault="00D451E3" w:rsidP="00E862EA">
            <w:pPr>
              <w:ind w:left="-63"/>
              <w:jc w:val="both"/>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DISH</w:t>
            </w:r>
          </w:p>
        </w:tc>
        <w:tc>
          <w:tcPr>
            <w:tcW w:w="0" w:type="auto"/>
          </w:tcPr>
          <w:p w14:paraId="63D9E94E" w14:textId="759D0A54"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-0.755</w:t>
            </w:r>
          </w:p>
          <w:p w14:paraId="39D8516B" w14:textId="7F9D2E9F"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(0.239)</w:t>
            </w:r>
          </w:p>
        </w:tc>
        <w:tc>
          <w:tcPr>
            <w:tcW w:w="0" w:type="auto"/>
          </w:tcPr>
          <w:p w14:paraId="3AB847EB" w14:textId="64D8A0B7"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0.338**</w:t>
            </w:r>
          </w:p>
          <w:p w14:paraId="4AABD83D" w14:textId="73E8F4B1"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(0.015)</w:t>
            </w:r>
          </w:p>
        </w:tc>
        <w:tc>
          <w:tcPr>
            <w:tcW w:w="0" w:type="auto"/>
          </w:tcPr>
          <w:p w14:paraId="13B267A7" w14:textId="77777777" w:rsidR="00D451E3" w:rsidRPr="000972D1" w:rsidRDefault="00086666" w:rsidP="00E862EA">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-0.072</w:t>
            </w:r>
          </w:p>
          <w:p w14:paraId="34E97977" w14:textId="19D0F37A" w:rsidR="00086666" w:rsidRPr="000972D1" w:rsidRDefault="00086666" w:rsidP="00E862EA">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(0.901)</w:t>
            </w:r>
          </w:p>
        </w:tc>
        <w:tc>
          <w:tcPr>
            <w:tcW w:w="0" w:type="auto"/>
          </w:tcPr>
          <w:p w14:paraId="1FED86A4" w14:textId="77777777" w:rsidR="00D451E3" w:rsidRPr="000972D1" w:rsidRDefault="00DF1EEC" w:rsidP="00E862EA">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0.303**</w:t>
            </w:r>
          </w:p>
          <w:p w14:paraId="670A4924" w14:textId="6CCB6F7D" w:rsidR="00DF1EEC" w:rsidRPr="000972D1" w:rsidRDefault="00DF1EEC" w:rsidP="00E862EA">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(0.014)</w:t>
            </w:r>
          </w:p>
        </w:tc>
        <w:tc>
          <w:tcPr>
            <w:tcW w:w="0" w:type="auto"/>
          </w:tcPr>
          <w:p w14:paraId="3D937C25" w14:textId="33CD5388"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-1.066</w:t>
            </w:r>
          </w:p>
          <w:p w14:paraId="5E0E6511" w14:textId="33F2FB1D"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(0.206)</w:t>
            </w:r>
          </w:p>
        </w:tc>
        <w:tc>
          <w:tcPr>
            <w:tcW w:w="0" w:type="auto"/>
          </w:tcPr>
          <w:p w14:paraId="69481DE8" w14:textId="170F2A88"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0.030</w:t>
            </w:r>
          </w:p>
          <w:p w14:paraId="0EB03A3B" w14:textId="05B843E0"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(0.879)</w:t>
            </w:r>
          </w:p>
        </w:tc>
        <w:tc>
          <w:tcPr>
            <w:tcW w:w="0" w:type="auto"/>
          </w:tcPr>
          <w:p w14:paraId="19B6A0F5" w14:textId="58D0BCA9"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1.446</w:t>
            </w:r>
          </w:p>
          <w:p w14:paraId="0E49A156" w14:textId="3F880AFE"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(0.140)</w:t>
            </w:r>
          </w:p>
        </w:tc>
        <w:tc>
          <w:tcPr>
            <w:tcW w:w="0" w:type="auto"/>
          </w:tcPr>
          <w:p w14:paraId="39BF1AE9" w14:textId="1FD44518"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0.619***</w:t>
            </w:r>
          </w:p>
          <w:p w14:paraId="73783F19" w14:textId="0E0AD480"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(0.002)</w:t>
            </w:r>
          </w:p>
        </w:tc>
        <w:tc>
          <w:tcPr>
            <w:tcW w:w="0" w:type="auto"/>
          </w:tcPr>
          <w:p w14:paraId="5D2FF8F4" w14:textId="5CC20A1C" w:rsidR="00D451E3" w:rsidRPr="00352FB3" w:rsidRDefault="00D451E3" w:rsidP="00DF3AAC">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0.321**</w:t>
            </w:r>
          </w:p>
          <w:p w14:paraId="7A3C1357" w14:textId="04ECECC3"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(0.013)</w:t>
            </w:r>
          </w:p>
        </w:tc>
      </w:tr>
      <w:tr w:rsidR="00D451E3" w:rsidRPr="00352FB3" w14:paraId="6E20F41C" w14:textId="08F17AC5" w:rsidTr="00857BA8">
        <w:trPr>
          <w:trHeight w:val="300"/>
          <w:jc w:val="center"/>
        </w:trPr>
        <w:tc>
          <w:tcPr>
            <w:tcW w:w="0" w:type="auto"/>
            <w:tcBorders>
              <w:right w:val="single" w:sz="12" w:space="0" w:color="auto"/>
            </w:tcBorders>
            <w:noWrap/>
          </w:tcPr>
          <w:p w14:paraId="0D5295B6" w14:textId="765317F8" w:rsidR="00D451E3" w:rsidRPr="00352FB3" w:rsidRDefault="00D451E3" w:rsidP="00E862EA">
            <w:pPr>
              <w:ind w:left="-63"/>
              <w:jc w:val="both"/>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FLSH</w:t>
            </w:r>
          </w:p>
        </w:tc>
        <w:tc>
          <w:tcPr>
            <w:tcW w:w="0" w:type="auto"/>
          </w:tcPr>
          <w:p w14:paraId="2A8462EC" w14:textId="611DC5F3"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-1.595**</w:t>
            </w:r>
          </w:p>
          <w:p w14:paraId="33D3B9BF" w14:textId="68B46F1A" w:rsidR="00D451E3" w:rsidRPr="00352FB3" w:rsidRDefault="00D451E3" w:rsidP="00A633B7">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(0.013)</w:t>
            </w:r>
          </w:p>
        </w:tc>
        <w:tc>
          <w:tcPr>
            <w:tcW w:w="0" w:type="auto"/>
          </w:tcPr>
          <w:p w14:paraId="5C89AF33" w14:textId="7F63AF84"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-0.253*</w:t>
            </w:r>
          </w:p>
          <w:p w14:paraId="29131710" w14:textId="5A38709E"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(0.083)</w:t>
            </w:r>
          </w:p>
        </w:tc>
        <w:tc>
          <w:tcPr>
            <w:tcW w:w="0" w:type="auto"/>
          </w:tcPr>
          <w:p w14:paraId="00193D68" w14:textId="77777777" w:rsidR="00D451E3" w:rsidRPr="000972D1" w:rsidRDefault="00086666" w:rsidP="00E862EA">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0.425</w:t>
            </w:r>
          </w:p>
          <w:p w14:paraId="34723119" w14:textId="5E60D2EB" w:rsidR="00086666" w:rsidRPr="000972D1" w:rsidRDefault="00086666" w:rsidP="00E862EA">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(0.489)</w:t>
            </w:r>
          </w:p>
        </w:tc>
        <w:tc>
          <w:tcPr>
            <w:tcW w:w="0" w:type="auto"/>
          </w:tcPr>
          <w:p w14:paraId="53810BEA" w14:textId="77777777" w:rsidR="00D451E3" w:rsidRPr="000972D1" w:rsidRDefault="00DF1EEC" w:rsidP="00E862EA">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-0.359***</w:t>
            </w:r>
          </w:p>
          <w:p w14:paraId="2160A1F8" w14:textId="2431EAF4" w:rsidR="00DF1EEC" w:rsidRPr="000972D1" w:rsidRDefault="00DF1EEC" w:rsidP="00E862EA">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(0.005)</w:t>
            </w:r>
          </w:p>
        </w:tc>
        <w:tc>
          <w:tcPr>
            <w:tcW w:w="0" w:type="auto"/>
          </w:tcPr>
          <w:p w14:paraId="5C688AFD" w14:textId="10A4E7E3"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-3.367***</w:t>
            </w:r>
          </w:p>
          <w:p w14:paraId="31A9055F" w14:textId="1620B496" w:rsidR="00D451E3" w:rsidRPr="00352FB3" w:rsidRDefault="00D451E3" w:rsidP="00F26E6B">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(0.000)</w:t>
            </w:r>
          </w:p>
        </w:tc>
        <w:tc>
          <w:tcPr>
            <w:tcW w:w="0" w:type="auto"/>
          </w:tcPr>
          <w:p w14:paraId="3C3FD1D9" w14:textId="7CE7565B"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-0.426**</w:t>
            </w:r>
          </w:p>
          <w:p w14:paraId="77623E7B" w14:textId="2BE319AC"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(0.021)</w:t>
            </w:r>
          </w:p>
        </w:tc>
        <w:tc>
          <w:tcPr>
            <w:tcW w:w="0" w:type="auto"/>
          </w:tcPr>
          <w:p w14:paraId="0F03EDEC" w14:textId="11CE5746"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2.255*</w:t>
            </w:r>
          </w:p>
          <w:p w14:paraId="24CB2651" w14:textId="2B87BE1F"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(0.060)</w:t>
            </w:r>
          </w:p>
        </w:tc>
        <w:tc>
          <w:tcPr>
            <w:tcW w:w="0" w:type="auto"/>
          </w:tcPr>
          <w:p w14:paraId="2089B204" w14:textId="33C8AD88"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-0.404*</w:t>
            </w:r>
          </w:p>
          <w:p w14:paraId="5D7F0CF5" w14:textId="478CCE0F"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(0.077)</w:t>
            </w:r>
          </w:p>
        </w:tc>
        <w:tc>
          <w:tcPr>
            <w:tcW w:w="0" w:type="auto"/>
          </w:tcPr>
          <w:p w14:paraId="290C08EE" w14:textId="3D719946" w:rsidR="00D451E3" w:rsidRPr="00352FB3" w:rsidRDefault="00D451E3" w:rsidP="00DF3AAC">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-0.362***</w:t>
            </w:r>
          </w:p>
          <w:p w14:paraId="32FF9682" w14:textId="2D655BF2"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(0.006)</w:t>
            </w:r>
          </w:p>
        </w:tc>
      </w:tr>
      <w:tr w:rsidR="00D451E3" w:rsidRPr="00352FB3" w14:paraId="066744A9" w14:textId="107879D7" w:rsidTr="00857BA8">
        <w:trPr>
          <w:trHeight w:val="300"/>
          <w:jc w:val="center"/>
        </w:trPr>
        <w:tc>
          <w:tcPr>
            <w:tcW w:w="0" w:type="auto"/>
            <w:tcBorders>
              <w:right w:val="single" w:sz="12" w:space="0" w:color="auto"/>
            </w:tcBorders>
            <w:noWrap/>
          </w:tcPr>
          <w:p w14:paraId="226EA636" w14:textId="18B2F371" w:rsidR="00D451E3" w:rsidRPr="00352FB3" w:rsidRDefault="00D451E3" w:rsidP="00E862EA">
            <w:pPr>
              <w:ind w:left="-63"/>
              <w:jc w:val="both"/>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bCs/>
                <w:sz w:val="16"/>
                <w:szCs w:val="16"/>
                <w:shd w:val="clear" w:color="auto" w:fill="FFFFFF"/>
              </w:rPr>
              <w:t>NGI</w:t>
            </w:r>
          </w:p>
        </w:tc>
        <w:tc>
          <w:tcPr>
            <w:tcW w:w="0" w:type="auto"/>
          </w:tcPr>
          <w:p w14:paraId="037F9F6E" w14:textId="19A3799A"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-0.501</w:t>
            </w:r>
          </w:p>
          <w:p w14:paraId="5213FB34" w14:textId="62CAA512"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(0.713)</w:t>
            </w:r>
          </w:p>
        </w:tc>
        <w:tc>
          <w:tcPr>
            <w:tcW w:w="0" w:type="auto"/>
          </w:tcPr>
          <w:p w14:paraId="6398D53A" w14:textId="1447563E"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3.022***</w:t>
            </w:r>
          </w:p>
          <w:p w14:paraId="7938FC04" w14:textId="79A8765B"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(0.000)</w:t>
            </w:r>
          </w:p>
        </w:tc>
        <w:tc>
          <w:tcPr>
            <w:tcW w:w="0" w:type="auto"/>
          </w:tcPr>
          <w:p w14:paraId="4388689F" w14:textId="77777777" w:rsidR="00D451E3" w:rsidRPr="000972D1" w:rsidRDefault="00086666" w:rsidP="00E862EA">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-1.102</w:t>
            </w:r>
          </w:p>
          <w:p w14:paraId="72159AF9" w14:textId="3DC112B4" w:rsidR="00086666" w:rsidRPr="000972D1" w:rsidRDefault="00086666" w:rsidP="00E862EA">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(0.353)</w:t>
            </w:r>
          </w:p>
        </w:tc>
        <w:tc>
          <w:tcPr>
            <w:tcW w:w="0" w:type="auto"/>
          </w:tcPr>
          <w:p w14:paraId="2A0F4F42" w14:textId="77777777" w:rsidR="00D451E3" w:rsidRPr="000972D1" w:rsidRDefault="00DF1EEC" w:rsidP="00E862EA">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2.844***</w:t>
            </w:r>
          </w:p>
          <w:p w14:paraId="103C0885" w14:textId="16873718" w:rsidR="00DF1EEC" w:rsidRPr="000972D1" w:rsidRDefault="00DF1EEC" w:rsidP="00E862EA">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(0.000)</w:t>
            </w:r>
          </w:p>
        </w:tc>
        <w:tc>
          <w:tcPr>
            <w:tcW w:w="0" w:type="auto"/>
          </w:tcPr>
          <w:p w14:paraId="1A291F84" w14:textId="13326AE8"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-3.740**</w:t>
            </w:r>
          </w:p>
          <w:p w14:paraId="36AABA62" w14:textId="66E7388A"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(0.047)</w:t>
            </w:r>
          </w:p>
        </w:tc>
        <w:tc>
          <w:tcPr>
            <w:tcW w:w="0" w:type="auto"/>
          </w:tcPr>
          <w:p w14:paraId="4EBD1A9E" w14:textId="4DF1EF49"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1.542</w:t>
            </w:r>
            <w:r w:rsidR="001A5482" w:rsidRPr="00352FB3">
              <w:rPr>
                <w:rFonts w:ascii="Times New Roman" w:eastAsia="Times New Roman" w:hAnsi="Times New Roman" w:cs="Times New Roman"/>
                <w:sz w:val="16"/>
                <w:szCs w:val="16"/>
                <w:shd w:val="clear" w:color="auto" w:fill="FFFFFF"/>
                <w:lang w:val="en-US"/>
              </w:rPr>
              <w:t>***</w:t>
            </w:r>
          </w:p>
          <w:p w14:paraId="47B2F125" w14:textId="08592762"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(0.000)</w:t>
            </w:r>
          </w:p>
        </w:tc>
        <w:tc>
          <w:tcPr>
            <w:tcW w:w="0" w:type="auto"/>
          </w:tcPr>
          <w:p w14:paraId="36D9F8CD" w14:textId="0D21A5FF"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1.434</w:t>
            </w:r>
          </w:p>
          <w:p w14:paraId="632A9A93" w14:textId="29F91857"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(0.531)</w:t>
            </w:r>
          </w:p>
        </w:tc>
        <w:tc>
          <w:tcPr>
            <w:tcW w:w="0" w:type="auto"/>
          </w:tcPr>
          <w:p w14:paraId="7478EBE4" w14:textId="74A2944C"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3.868***</w:t>
            </w:r>
          </w:p>
          <w:p w14:paraId="5DFE78A5" w14:textId="1576ACD6"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(0.000)</w:t>
            </w:r>
          </w:p>
        </w:tc>
        <w:tc>
          <w:tcPr>
            <w:tcW w:w="0" w:type="auto"/>
          </w:tcPr>
          <w:p w14:paraId="1F5C4C20" w14:textId="14FBC8EA" w:rsidR="00D451E3" w:rsidRPr="00352FB3" w:rsidRDefault="00D451E3" w:rsidP="00E73DCF">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3.511***</w:t>
            </w:r>
          </w:p>
          <w:p w14:paraId="78E6F722" w14:textId="0610DB98" w:rsidR="00D451E3" w:rsidRPr="00352FB3" w:rsidRDefault="00D451E3" w:rsidP="00DF3AAC">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(0.000)</w:t>
            </w:r>
          </w:p>
        </w:tc>
      </w:tr>
      <w:tr w:rsidR="00D451E3" w:rsidRPr="00352FB3" w14:paraId="4B6834F3" w14:textId="09B0336B" w:rsidTr="00D451E3">
        <w:trPr>
          <w:trHeight w:val="119"/>
          <w:jc w:val="center"/>
        </w:trPr>
        <w:tc>
          <w:tcPr>
            <w:tcW w:w="1492" w:type="dxa"/>
            <w:tcBorders>
              <w:top w:val="single" w:sz="12" w:space="0" w:color="auto"/>
              <w:bottom w:val="single" w:sz="12" w:space="0" w:color="auto"/>
            </w:tcBorders>
            <w:noWrap/>
          </w:tcPr>
          <w:p w14:paraId="5DEE2FAF" w14:textId="28606ECB" w:rsidR="00D451E3" w:rsidRPr="00352FB3" w:rsidRDefault="00D451E3" w:rsidP="00E862EA">
            <w:pPr>
              <w:ind w:left="-63"/>
              <w:jc w:val="both"/>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b/>
                <w:sz w:val="16"/>
                <w:szCs w:val="16"/>
                <w:shd w:val="clear" w:color="auto" w:fill="FFFFFF"/>
                <w:lang w:val="en-US"/>
              </w:rPr>
              <w:t xml:space="preserve">Control variables </w:t>
            </w:r>
          </w:p>
        </w:tc>
        <w:tc>
          <w:tcPr>
            <w:tcW w:w="0" w:type="auto"/>
            <w:tcBorders>
              <w:top w:val="single" w:sz="12" w:space="0" w:color="auto"/>
              <w:bottom w:val="single" w:sz="12" w:space="0" w:color="auto"/>
            </w:tcBorders>
          </w:tcPr>
          <w:p w14:paraId="53C943E3" w14:textId="77777777" w:rsidR="00D451E3" w:rsidRPr="00352FB3" w:rsidRDefault="00D451E3" w:rsidP="00E862EA">
            <w:pPr>
              <w:ind w:left="-63"/>
              <w:jc w:val="both"/>
              <w:rPr>
                <w:rFonts w:ascii="Times New Roman" w:eastAsia="Times New Roman" w:hAnsi="Times New Roman" w:cs="Times New Roman"/>
                <w:sz w:val="16"/>
                <w:szCs w:val="16"/>
                <w:shd w:val="clear" w:color="auto" w:fill="FFFFFF"/>
                <w:lang w:val="en-US"/>
              </w:rPr>
            </w:pPr>
          </w:p>
        </w:tc>
        <w:tc>
          <w:tcPr>
            <w:tcW w:w="0" w:type="auto"/>
            <w:tcBorders>
              <w:top w:val="single" w:sz="12" w:space="0" w:color="auto"/>
              <w:bottom w:val="single" w:sz="12" w:space="0" w:color="auto"/>
            </w:tcBorders>
          </w:tcPr>
          <w:p w14:paraId="6B3E35AD" w14:textId="77777777" w:rsidR="00D451E3" w:rsidRPr="00352FB3" w:rsidRDefault="00D451E3" w:rsidP="00E862EA">
            <w:pPr>
              <w:ind w:left="-63"/>
              <w:jc w:val="both"/>
              <w:rPr>
                <w:rFonts w:ascii="Times New Roman" w:eastAsia="Times New Roman" w:hAnsi="Times New Roman" w:cs="Times New Roman"/>
                <w:sz w:val="16"/>
                <w:szCs w:val="16"/>
                <w:shd w:val="clear" w:color="auto" w:fill="FFFFFF"/>
                <w:lang w:val="en-US"/>
              </w:rPr>
            </w:pPr>
          </w:p>
        </w:tc>
        <w:tc>
          <w:tcPr>
            <w:tcW w:w="0" w:type="auto"/>
            <w:tcBorders>
              <w:top w:val="single" w:sz="12" w:space="0" w:color="auto"/>
              <w:bottom w:val="single" w:sz="12" w:space="0" w:color="auto"/>
            </w:tcBorders>
          </w:tcPr>
          <w:p w14:paraId="5CF2C1CD" w14:textId="77777777" w:rsidR="00D451E3" w:rsidRPr="000972D1" w:rsidRDefault="00D451E3" w:rsidP="00E862EA">
            <w:pPr>
              <w:ind w:left="-63"/>
              <w:jc w:val="both"/>
              <w:rPr>
                <w:rFonts w:ascii="Times New Roman" w:eastAsia="Times New Roman" w:hAnsi="Times New Roman" w:cs="Times New Roman"/>
                <w:sz w:val="16"/>
                <w:szCs w:val="16"/>
                <w:shd w:val="clear" w:color="auto" w:fill="FFFFFF"/>
                <w:lang w:val="en-US"/>
              </w:rPr>
            </w:pPr>
          </w:p>
        </w:tc>
        <w:tc>
          <w:tcPr>
            <w:tcW w:w="0" w:type="auto"/>
            <w:tcBorders>
              <w:top w:val="single" w:sz="12" w:space="0" w:color="auto"/>
              <w:bottom w:val="single" w:sz="12" w:space="0" w:color="auto"/>
            </w:tcBorders>
          </w:tcPr>
          <w:p w14:paraId="5A3D5CA7" w14:textId="77777777" w:rsidR="00D451E3" w:rsidRPr="000972D1" w:rsidRDefault="00D451E3" w:rsidP="00E862EA">
            <w:pPr>
              <w:ind w:left="-63"/>
              <w:jc w:val="both"/>
              <w:rPr>
                <w:rFonts w:ascii="Times New Roman" w:eastAsia="Times New Roman" w:hAnsi="Times New Roman" w:cs="Times New Roman"/>
                <w:sz w:val="16"/>
                <w:szCs w:val="16"/>
                <w:shd w:val="clear" w:color="auto" w:fill="FFFFFF"/>
                <w:lang w:val="en-US"/>
              </w:rPr>
            </w:pPr>
          </w:p>
        </w:tc>
        <w:tc>
          <w:tcPr>
            <w:tcW w:w="0" w:type="auto"/>
            <w:tcBorders>
              <w:top w:val="single" w:sz="12" w:space="0" w:color="auto"/>
              <w:bottom w:val="single" w:sz="12" w:space="0" w:color="auto"/>
            </w:tcBorders>
          </w:tcPr>
          <w:p w14:paraId="4C9E225C" w14:textId="6A1F9FAB" w:rsidR="00D451E3" w:rsidRPr="00352FB3" w:rsidRDefault="00D451E3" w:rsidP="00E862EA">
            <w:pPr>
              <w:ind w:left="-63"/>
              <w:jc w:val="both"/>
              <w:rPr>
                <w:rFonts w:ascii="Times New Roman" w:eastAsia="Times New Roman" w:hAnsi="Times New Roman" w:cs="Times New Roman"/>
                <w:sz w:val="16"/>
                <w:szCs w:val="16"/>
                <w:shd w:val="clear" w:color="auto" w:fill="FFFFFF"/>
                <w:lang w:val="en-US"/>
              </w:rPr>
            </w:pPr>
          </w:p>
        </w:tc>
        <w:tc>
          <w:tcPr>
            <w:tcW w:w="0" w:type="auto"/>
            <w:tcBorders>
              <w:top w:val="single" w:sz="12" w:space="0" w:color="auto"/>
              <w:bottom w:val="single" w:sz="12" w:space="0" w:color="auto"/>
            </w:tcBorders>
          </w:tcPr>
          <w:p w14:paraId="69990EA4" w14:textId="77777777" w:rsidR="00D451E3" w:rsidRPr="00352FB3" w:rsidRDefault="00D451E3" w:rsidP="00E862EA">
            <w:pPr>
              <w:ind w:left="-63"/>
              <w:jc w:val="both"/>
              <w:rPr>
                <w:rFonts w:ascii="Times New Roman" w:eastAsia="Times New Roman" w:hAnsi="Times New Roman" w:cs="Times New Roman"/>
                <w:sz w:val="16"/>
                <w:szCs w:val="16"/>
                <w:shd w:val="clear" w:color="auto" w:fill="FFFFFF"/>
                <w:lang w:val="en-US"/>
              </w:rPr>
            </w:pPr>
          </w:p>
        </w:tc>
        <w:tc>
          <w:tcPr>
            <w:tcW w:w="0" w:type="auto"/>
            <w:tcBorders>
              <w:top w:val="single" w:sz="12" w:space="0" w:color="auto"/>
              <w:bottom w:val="single" w:sz="12" w:space="0" w:color="auto"/>
            </w:tcBorders>
          </w:tcPr>
          <w:p w14:paraId="2FD3A702" w14:textId="77777777" w:rsidR="00D451E3" w:rsidRPr="00352FB3" w:rsidRDefault="00D451E3" w:rsidP="00E862EA">
            <w:pPr>
              <w:ind w:left="-63"/>
              <w:jc w:val="both"/>
              <w:rPr>
                <w:rFonts w:ascii="Times New Roman" w:eastAsia="Times New Roman" w:hAnsi="Times New Roman" w:cs="Times New Roman"/>
                <w:sz w:val="16"/>
                <w:szCs w:val="16"/>
                <w:shd w:val="clear" w:color="auto" w:fill="FFFFFF"/>
                <w:lang w:val="en-US"/>
              </w:rPr>
            </w:pPr>
          </w:p>
        </w:tc>
        <w:tc>
          <w:tcPr>
            <w:tcW w:w="0" w:type="auto"/>
            <w:tcBorders>
              <w:top w:val="single" w:sz="12" w:space="0" w:color="auto"/>
              <w:bottom w:val="single" w:sz="12" w:space="0" w:color="auto"/>
            </w:tcBorders>
          </w:tcPr>
          <w:p w14:paraId="65BAD41C" w14:textId="77777777" w:rsidR="00D451E3" w:rsidRPr="00352FB3" w:rsidRDefault="00D451E3" w:rsidP="00E862EA">
            <w:pPr>
              <w:ind w:left="-63"/>
              <w:jc w:val="both"/>
              <w:rPr>
                <w:rFonts w:ascii="Times New Roman" w:eastAsia="Times New Roman" w:hAnsi="Times New Roman" w:cs="Times New Roman"/>
                <w:sz w:val="16"/>
                <w:szCs w:val="16"/>
                <w:shd w:val="clear" w:color="auto" w:fill="FFFFFF"/>
                <w:lang w:val="en-US"/>
              </w:rPr>
            </w:pPr>
          </w:p>
        </w:tc>
        <w:tc>
          <w:tcPr>
            <w:tcW w:w="0" w:type="auto"/>
            <w:tcBorders>
              <w:top w:val="single" w:sz="12" w:space="0" w:color="auto"/>
              <w:bottom w:val="single" w:sz="12" w:space="0" w:color="auto"/>
            </w:tcBorders>
          </w:tcPr>
          <w:p w14:paraId="47B13F4D" w14:textId="77777777" w:rsidR="00D451E3" w:rsidRPr="00352FB3" w:rsidRDefault="00D451E3" w:rsidP="00E862EA">
            <w:pPr>
              <w:ind w:left="-63"/>
              <w:jc w:val="both"/>
              <w:rPr>
                <w:rFonts w:ascii="Times New Roman" w:eastAsia="Times New Roman" w:hAnsi="Times New Roman" w:cs="Times New Roman"/>
                <w:sz w:val="16"/>
                <w:szCs w:val="16"/>
                <w:shd w:val="clear" w:color="auto" w:fill="FFFFFF"/>
                <w:lang w:val="en-US"/>
              </w:rPr>
            </w:pPr>
          </w:p>
        </w:tc>
      </w:tr>
      <w:tr w:rsidR="00D451E3" w:rsidRPr="00352FB3" w14:paraId="68CA7F3B" w14:textId="75D645FC" w:rsidTr="00C27F47">
        <w:trPr>
          <w:trHeight w:val="300"/>
          <w:jc w:val="center"/>
        </w:trPr>
        <w:tc>
          <w:tcPr>
            <w:tcW w:w="0" w:type="auto"/>
            <w:tcBorders>
              <w:top w:val="single" w:sz="12" w:space="0" w:color="auto"/>
              <w:right w:val="single" w:sz="12" w:space="0" w:color="auto"/>
            </w:tcBorders>
            <w:noWrap/>
          </w:tcPr>
          <w:p w14:paraId="77C43500" w14:textId="77777777" w:rsidR="00D451E3" w:rsidRPr="00352FB3" w:rsidRDefault="00D451E3" w:rsidP="00E862EA">
            <w:pPr>
              <w:ind w:left="-63"/>
              <w:jc w:val="both"/>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BIG4</w:t>
            </w:r>
          </w:p>
        </w:tc>
        <w:tc>
          <w:tcPr>
            <w:tcW w:w="0" w:type="auto"/>
            <w:tcBorders>
              <w:top w:val="single" w:sz="12" w:space="0" w:color="auto"/>
            </w:tcBorders>
          </w:tcPr>
          <w:p w14:paraId="1B073369" w14:textId="77777777"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w:t>
            </w:r>
          </w:p>
          <w:p w14:paraId="7E4C077A" w14:textId="77777777" w:rsidR="00D451E3" w:rsidRPr="00352FB3" w:rsidRDefault="00D451E3" w:rsidP="00E862EA">
            <w:pPr>
              <w:jc w:val="center"/>
              <w:rPr>
                <w:rFonts w:ascii="Times New Roman" w:eastAsia="Times New Roman" w:hAnsi="Times New Roman" w:cs="Times New Roman"/>
                <w:sz w:val="16"/>
                <w:szCs w:val="16"/>
                <w:shd w:val="clear" w:color="auto" w:fill="FFFFFF"/>
                <w:lang w:val="en-US"/>
              </w:rPr>
            </w:pPr>
          </w:p>
        </w:tc>
        <w:tc>
          <w:tcPr>
            <w:tcW w:w="0" w:type="auto"/>
            <w:tcBorders>
              <w:top w:val="single" w:sz="12" w:space="0" w:color="auto"/>
            </w:tcBorders>
          </w:tcPr>
          <w:p w14:paraId="45C7C656" w14:textId="75C0C12E"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0.207***</w:t>
            </w:r>
          </w:p>
          <w:p w14:paraId="1C10A431" w14:textId="743B7DF6"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(0.002)</w:t>
            </w:r>
          </w:p>
        </w:tc>
        <w:tc>
          <w:tcPr>
            <w:tcW w:w="0" w:type="auto"/>
            <w:tcBorders>
              <w:top w:val="single" w:sz="12" w:space="0" w:color="auto"/>
            </w:tcBorders>
          </w:tcPr>
          <w:p w14:paraId="23730474" w14:textId="77777777" w:rsidR="00D451E3" w:rsidRPr="000972D1" w:rsidRDefault="00D451E3" w:rsidP="00E862EA">
            <w:pPr>
              <w:jc w:val="center"/>
              <w:rPr>
                <w:rFonts w:ascii="Times New Roman" w:eastAsia="Times New Roman" w:hAnsi="Times New Roman" w:cs="Times New Roman"/>
                <w:sz w:val="16"/>
                <w:szCs w:val="16"/>
                <w:shd w:val="clear" w:color="auto" w:fill="FFFFFF"/>
                <w:lang w:val="en-US"/>
              </w:rPr>
            </w:pPr>
          </w:p>
        </w:tc>
        <w:tc>
          <w:tcPr>
            <w:tcW w:w="0" w:type="auto"/>
            <w:tcBorders>
              <w:top w:val="single" w:sz="12" w:space="0" w:color="auto"/>
            </w:tcBorders>
          </w:tcPr>
          <w:p w14:paraId="65CDFFC5" w14:textId="4C1DC95D" w:rsidR="00D451E3" w:rsidRPr="000972D1" w:rsidRDefault="00DF1EEC" w:rsidP="00E862EA">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c>
          <w:tcPr>
            <w:tcW w:w="0" w:type="auto"/>
            <w:tcBorders>
              <w:top w:val="single" w:sz="12" w:space="0" w:color="auto"/>
            </w:tcBorders>
          </w:tcPr>
          <w:p w14:paraId="4577A233" w14:textId="7F186455"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w:t>
            </w:r>
          </w:p>
          <w:p w14:paraId="1996536C" w14:textId="77777777" w:rsidR="00D451E3" w:rsidRPr="00352FB3" w:rsidRDefault="00D451E3" w:rsidP="00E862EA">
            <w:pPr>
              <w:jc w:val="center"/>
              <w:rPr>
                <w:rFonts w:ascii="Times New Roman" w:eastAsia="Times New Roman" w:hAnsi="Times New Roman" w:cs="Times New Roman"/>
                <w:sz w:val="16"/>
                <w:szCs w:val="16"/>
                <w:shd w:val="clear" w:color="auto" w:fill="FFFFFF"/>
                <w:lang w:val="en-US"/>
              </w:rPr>
            </w:pPr>
          </w:p>
        </w:tc>
        <w:tc>
          <w:tcPr>
            <w:tcW w:w="0" w:type="auto"/>
            <w:tcBorders>
              <w:top w:val="single" w:sz="12" w:space="0" w:color="auto"/>
            </w:tcBorders>
          </w:tcPr>
          <w:p w14:paraId="370B285B" w14:textId="7B5D3F82"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0.199**</w:t>
            </w:r>
          </w:p>
          <w:p w14:paraId="421807E5" w14:textId="79701B89" w:rsidR="00D451E3" w:rsidRPr="00352FB3" w:rsidRDefault="00D451E3" w:rsidP="00346544">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(0.015)</w:t>
            </w:r>
          </w:p>
        </w:tc>
        <w:tc>
          <w:tcPr>
            <w:tcW w:w="0" w:type="auto"/>
            <w:tcBorders>
              <w:top w:val="single" w:sz="12" w:space="0" w:color="auto"/>
            </w:tcBorders>
          </w:tcPr>
          <w:p w14:paraId="2EF3B80E" w14:textId="77777777"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w:t>
            </w:r>
          </w:p>
        </w:tc>
        <w:tc>
          <w:tcPr>
            <w:tcW w:w="0" w:type="auto"/>
            <w:tcBorders>
              <w:top w:val="single" w:sz="12" w:space="0" w:color="auto"/>
            </w:tcBorders>
          </w:tcPr>
          <w:p w14:paraId="56E8BF16" w14:textId="5AB19A0B"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0.174</w:t>
            </w:r>
          </w:p>
          <w:p w14:paraId="39F78C34" w14:textId="5288783B"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(0.154)</w:t>
            </w:r>
          </w:p>
        </w:tc>
        <w:tc>
          <w:tcPr>
            <w:tcW w:w="0" w:type="auto"/>
            <w:tcBorders>
              <w:top w:val="single" w:sz="12" w:space="0" w:color="auto"/>
            </w:tcBorders>
          </w:tcPr>
          <w:p w14:paraId="4A1EA77E" w14:textId="443DC8E9" w:rsidR="00D451E3" w:rsidRPr="00352FB3" w:rsidRDefault="00D451E3" w:rsidP="00DF3AAC">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0.219***</w:t>
            </w:r>
          </w:p>
          <w:p w14:paraId="3847CCA8" w14:textId="78D04457"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(0.000)</w:t>
            </w:r>
          </w:p>
        </w:tc>
      </w:tr>
      <w:tr w:rsidR="00BF140B" w:rsidRPr="00352FB3" w14:paraId="0D932C6C" w14:textId="77777777" w:rsidTr="00C27F47">
        <w:trPr>
          <w:trHeight w:val="300"/>
          <w:jc w:val="center"/>
        </w:trPr>
        <w:tc>
          <w:tcPr>
            <w:tcW w:w="0" w:type="auto"/>
            <w:tcBorders>
              <w:right w:val="single" w:sz="12" w:space="0" w:color="auto"/>
            </w:tcBorders>
            <w:noWrap/>
          </w:tcPr>
          <w:p w14:paraId="624A9FEB" w14:textId="2B97D2F8" w:rsidR="00BF140B" w:rsidRPr="00352FB3" w:rsidRDefault="00C27F47" w:rsidP="00E862EA">
            <w:pPr>
              <w:ind w:left="-63"/>
              <w:jc w:val="both"/>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IAF</w:t>
            </w:r>
          </w:p>
        </w:tc>
        <w:tc>
          <w:tcPr>
            <w:tcW w:w="0" w:type="auto"/>
          </w:tcPr>
          <w:p w14:paraId="63E5E24B" w14:textId="77777777" w:rsidR="00BF140B" w:rsidRPr="00352FB3" w:rsidRDefault="00BF140B" w:rsidP="00E862EA">
            <w:pPr>
              <w:jc w:val="center"/>
              <w:rPr>
                <w:rFonts w:ascii="Times New Roman" w:eastAsia="Times New Roman" w:hAnsi="Times New Roman" w:cs="Times New Roman"/>
                <w:sz w:val="16"/>
                <w:szCs w:val="16"/>
                <w:shd w:val="clear" w:color="auto" w:fill="FFFFFF"/>
                <w:lang w:val="en-US"/>
              </w:rPr>
            </w:pPr>
          </w:p>
        </w:tc>
        <w:tc>
          <w:tcPr>
            <w:tcW w:w="0" w:type="auto"/>
          </w:tcPr>
          <w:p w14:paraId="052754FB" w14:textId="77777777" w:rsidR="00BF140B" w:rsidRPr="00352FB3" w:rsidRDefault="00BF140B" w:rsidP="00E862EA">
            <w:pPr>
              <w:jc w:val="center"/>
              <w:rPr>
                <w:rFonts w:ascii="Times New Roman" w:eastAsia="Times New Roman" w:hAnsi="Times New Roman" w:cs="Times New Roman"/>
                <w:sz w:val="16"/>
                <w:szCs w:val="16"/>
                <w:shd w:val="clear" w:color="auto" w:fill="FFFFFF"/>
                <w:lang w:val="en-US"/>
              </w:rPr>
            </w:pPr>
          </w:p>
        </w:tc>
        <w:tc>
          <w:tcPr>
            <w:tcW w:w="0" w:type="auto"/>
          </w:tcPr>
          <w:p w14:paraId="50F3CCB7" w14:textId="77777777" w:rsidR="00BF140B" w:rsidRPr="000972D1" w:rsidRDefault="00BF140B" w:rsidP="00E862EA">
            <w:pPr>
              <w:jc w:val="center"/>
              <w:rPr>
                <w:rFonts w:ascii="Times New Roman" w:eastAsia="Times New Roman" w:hAnsi="Times New Roman" w:cs="Times New Roman"/>
                <w:sz w:val="16"/>
                <w:szCs w:val="16"/>
                <w:shd w:val="clear" w:color="auto" w:fill="FFFFFF"/>
                <w:lang w:val="en-US"/>
              </w:rPr>
            </w:pPr>
          </w:p>
        </w:tc>
        <w:tc>
          <w:tcPr>
            <w:tcW w:w="0" w:type="auto"/>
          </w:tcPr>
          <w:p w14:paraId="2DC2D405" w14:textId="77777777" w:rsidR="00BF140B" w:rsidRPr="000972D1" w:rsidRDefault="00DF1EEC" w:rsidP="00E862EA">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0.392***</w:t>
            </w:r>
          </w:p>
          <w:p w14:paraId="340176C7" w14:textId="6382B0A0" w:rsidR="00DF1EEC" w:rsidRPr="000972D1" w:rsidRDefault="00DF1EEC" w:rsidP="00E862EA">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(0.000)</w:t>
            </w:r>
          </w:p>
        </w:tc>
        <w:tc>
          <w:tcPr>
            <w:tcW w:w="0" w:type="auto"/>
          </w:tcPr>
          <w:p w14:paraId="37367228" w14:textId="77777777" w:rsidR="00BF140B" w:rsidRPr="00352FB3" w:rsidRDefault="00BF140B" w:rsidP="00E862EA">
            <w:pPr>
              <w:jc w:val="center"/>
              <w:rPr>
                <w:rFonts w:ascii="Times New Roman" w:eastAsia="Times New Roman" w:hAnsi="Times New Roman" w:cs="Times New Roman"/>
                <w:sz w:val="16"/>
                <w:szCs w:val="16"/>
                <w:shd w:val="clear" w:color="auto" w:fill="FFFFFF"/>
                <w:lang w:val="en-US"/>
              </w:rPr>
            </w:pPr>
          </w:p>
        </w:tc>
        <w:tc>
          <w:tcPr>
            <w:tcW w:w="0" w:type="auto"/>
          </w:tcPr>
          <w:p w14:paraId="3EC63568" w14:textId="77777777" w:rsidR="00BF140B" w:rsidRPr="00352FB3" w:rsidRDefault="00BF140B" w:rsidP="00E862EA">
            <w:pPr>
              <w:jc w:val="center"/>
              <w:rPr>
                <w:rFonts w:ascii="Times New Roman" w:eastAsia="Times New Roman" w:hAnsi="Times New Roman" w:cs="Times New Roman"/>
                <w:sz w:val="16"/>
                <w:szCs w:val="16"/>
                <w:shd w:val="clear" w:color="auto" w:fill="FFFFFF"/>
                <w:lang w:val="en-US"/>
              </w:rPr>
            </w:pPr>
          </w:p>
        </w:tc>
        <w:tc>
          <w:tcPr>
            <w:tcW w:w="0" w:type="auto"/>
          </w:tcPr>
          <w:p w14:paraId="54FBBE8E" w14:textId="77777777" w:rsidR="00BF140B" w:rsidRPr="00352FB3" w:rsidRDefault="00BF140B" w:rsidP="00E862EA">
            <w:pPr>
              <w:jc w:val="center"/>
              <w:rPr>
                <w:rFonts w:ascii="Times New Roman" w:eastAsia="Times New Roman" w:hAnsi="Times New Roman" w:cs="Times New Roman"/>
                <w:sz w:val="16"/>
                <w:szCs w:val="16"/>
                <w:shd w:val="clear" w:color="auto" w:fill="FFFFFF"/>
                <w:lang w:val="en-US"/>
              </w:rPr>
            </w:pPr>
          </w:p>
        </w:tc>
        <w:tc>
          <w:tcPr>
            <w:tcW w:w="0" w:type="auto"/>
          </w:tcPr>
          <w:p w14:paraId="58CA3D61" w14:textId="77777777" w:rsidR="00BF140B" w:rsidRPr="00352FB3" w:rsidRDefault="00BF140B" w:rsidP="00E862EA">
            <w:pPr>
              <w:jc w:val="center"/>
              <w:rPr>
                <w:rFonts w:ascii="Times New Roman" w:eastAsia="Times New Roman" w:hAnsi="Times New Roman" w:cs="Times New Roman"/>
                <w:sz w:val="16"/>
                <w:szCs w:val="16"/>
                <w:shd w:val="clear" w:color="auto" w:fill="FFFFFF"/>
                <w:lang w:val="en-US"/>
              </w:rPr>
            </w:pPr>
          </w:p>
        </w:tc>
        <w:tc>
          <w:tcPr>
            <w:tcW w:w="0" w:type="auto"/>
          </w:tcPr>
          <w:p w14:paraId="61A18C60" w14:textId="77777777" w:rsidR="00BF140B" w:rsidRPr="00352FB3" w:rsidRDefault="00BF140B" w:rsidP="00DF3AAC">
            <w:pPr>
              <w:jc w:val="center"/>
              <w:rPr>
                <w:rFonts w:ascii="Times New Roman" w:eastAsia="Times New Roman" w:hAnsi="Times New Roman" w:cs="Times New Roman"/>
                <w:sz w:val="16"/>
                <w:szCs w:val="16"/>
                <w:shd w:val="clear" w:color="auto" w:fill="FFFFFF"/>
                <w:lang w:val="en-US"/>
              </w:rPr>
            </w:pPr>
          </w:p>
        </w:tc>
      </w:tr>
      <w:tr w:rsidR="00D451E3" w:rsidRPr="00352FB3" w14:paraId="03500A66" w14:textId="721EF757" w:rsidTr="00857BA8">
        <w:trPr>
          <w:trHeight w:val="300"/>
          <w:jc w:val="center"/>
        </w:trPr>
        <w:tc>
          <w:tcPr>
            <w:tcW w:w="0" w:type="auto"/>
            <w:tcBorders>
              <w:right w:val="single" w:sz="12" w:space="0" w:color="auto"/>
            </w:tcBorders>
            <w:noWrap/>
          </w:tcPr>
          <w:p w14:paraId="460389A6" w14:textId="264C987D" w:rsidR="00D451E3" w:rsidRPr="00352FB3" w:rsidRDefault="00D451E3" w:rsidP="00E862EA">
            <w:pPr>
              <w:ind w:left="-63"/>
              <w:jc w:val="both"/>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LNTA</w:t>
            </w:r>
          </w:p>
        </w:tc>
        <w:tc>
          <w:tcPr>
            <w:tcW w:w="0" w:type="auto"/>
          </w:tcPr>
          <w:p w14:paraId="72BF0508" w14:textId="0BA5C82A"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0.650***</w:t>
            </w:r>
          </w:p>
          <w:p w14:paraId="2531066F" w14:textId="77777777"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(0.000)</w:t>
            </w:r>
          </w:p>
        </w:tc>
        <w:tc>
          <w:tcPr>
            <w:tcW w:w="0" w:type="auto"/>
          </w:tcPr>
          <w:p w14:paraId="64D093FC" w14:textId="51D5DA56"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0.321***</w:t>
            </w:r>
          </w:p>
          <w:p w14:paraId="30CA0536" w14:textId="77777777"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(0.000)</w:t>
            </w:r>
          </w:p>
        </w:tc>
        <w:tc>
          <w:tcPr>
            <w:tcW w:w="0" w:type="auto"/>
          </w:tcPr>
          <w:p w14:paraId="32F747F3" w14:textId="77777777" w:rsidR="00D451E3" w:rsidRPr="000972D1" w:rsidRDefault="00086666" w:rsidP="00E862EA">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-0.064</w:t>
            </w:r>
          </w:p>
          <w:p w14:paraId="28D993E8" w14:textId="59C8D640" w:rsidR="00086666" w:rsidRPr="000972D1" w:rsidRDefault="00086666" w:rsidP="00E862EA">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(0.535)</w:t>
            </w:r>
          </w:p>
        </w:tc>
        <w:tc>
          <w:tcPr>
            <w:tcW w:w="0" w:type="auto"/>
          </w:tcPr>
          <w:p w14:paraId="27BED353" w14:textId="77777777" w:rsidR="00D451E3" w:rsidRPr="000972D1" w:rsidRDefault="00DF1EEC" w:rsidP="00E862EA">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0.344***</w:t>
            </w:r>
          </w:p>
          <w:p w14:paraId="0D5DEA9F" w14:textId="37F59065" w:rsidR="00DF1EEC" w:rsidRPr="000972D1" w:rsidRDefault="00DF1EEC" w:rsidP="00E862EA">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(0.000)</w:t>
            </w:r>
          </w:p>
        </w:tc>
        <w:tc>
          <w:tcPr>
            <w:tcW w:w="0" w:type="auto"/>
          </w:tcPr>
          <w:p w14:paraId="5136BA37" w14:textId="2ADA222D"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0.415**</w:t>
            </w:r>
          </w:p>
          <w:p w14:paraId="3B92A267" w14:textId="05823B5C" w:rsidR="00D451E3" w:rsidRPr="00352FB3" w:rsidRDefault="00D451E3" w:rsidP="00F26E6B">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(0.024)</w:t>
            </w:r>
          </w:p>
        </w:tc>
        <w:tc>
          <w:tcPr>
            <w:tcW w:w="0" w:type="auto"/>
          </w:tcPr>
          <w:p w14:paraId="036D1BC5" w14:textId="33D6EF57"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0.377***</w:t>
            </w:r>
          </w:p>
          <w:p w14:paraId="0BCEF996" w14:textId="77777777"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(0.000)</w:t>
            </w:r>
          </w:p>
        </w:tc>
        <w:tc>
          <w:tcPr>
            <w:tcW w:w="0" w:type="auto"/>
          </w:tcPr>
          <w:p w14:paraId="1E4998A1" w14:textId="4DAFCBE3"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1.378***</w:t>
            </w:r>
          </w:p>
          <w:p w14:paraId="0871279E" w14:textId="77777777"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(0.001)</w:t>
            </w:r>
          </w:p>
        </w:tc>
        <w:tc>
          <w:tcPr>
            <w:tcW w:w="0" w:type="auto"/>
          </w:tcPr>
          <w:p w14:paraId="780984AE" w14:textId="56485FA0"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0.293***</w:t>
            </w:r>
          </w:p>
          <w:p w14:paraId="2033EE77" w14:textId="77777777"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(0.000)</w:t>
            </w:r>
          </w:p>
        </w:tc>
        <w:tc>
          <w:tcPr>
            <w:tcW w:w="0" w:type="auto"/>
          </w:tcPr>
          <w:p w14:paraId="2903B3CD" w14:textId="1005FFD2"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w:t>
            </w:r>
          </w:p>
        </w:tc>
      </w:tr>
      <w:tr w:rsidR="00D451E3" w:rsidRPr="00352FB3" w14:paraId="016C5242" w14:textId="77777777" w:rsidTr="00857BA8">
        <w:trPr>
          <w:trHeight w:val="300"/>
          <w:jc w:val="center"/>
        </w:trPr>
        <w:tc>
          <w:tcPr>
            <w:tcW w:w="0" w:type="auto"/>
            <w:tcBorders>
              <w:right w:val="single" w:sz="12" w:space="0" w:color="auto"/>
            </w:tcBorders>
            <w:noWrap/>
          </w:tcPr>
          <w:p w14:paraId="3A9F00DF" w14:textId="5EBDF1E4" w:rsidR="00D451E3" w:rsidRPr="00352FB3" w:rsidRDefault="00D451E3" w:rsidP="00B5069A">
            <w:pPr>
              <w:ind w:left="-63"/>
              <w:jc w:val="both"/>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LNTA-P</w:t>
            </w:r>
          </w:p>
        </w:tc>
        <w:tc>
          <w:tcPr>
            <w:tcW w:w="0" w:type="auto"/>
          </w:tcPr>
          <w:p w14:paraId="00F143A8" w14:textId="424FD7A9"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w:t>
            </w:r>
          </w:p>
        </w:tc>
        <w:tc>
          <w:tcPr>
            <w:tcW w:w="0" w:type="auto"/>
          </w:tcPr>
          <w:p w14:paraId="42BD32F0" w14:textId="0C113EDF"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w:t>
            </w:r>
          </w:p>
        </w:tc>
        <w:tc>
          <w:tcPr>
            <w:tcW w:w="0" w:type="auto"/>
          </w:tcPr>
          <w:p w14:paraId="6BA68508" w14:textId="08D02C2C" w:rsidR="00D451E3" w:rsidRPr="000972D1" w:rsidRDefault="00086666" w:rsidP="00E862EA">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c>
          <w:tcPr>
            <w:tcW w:w="0" w:type="auto"/>
          </w:tcPr>
          <w:p w14:paraId="506D5D9B" w14:textId="62B140FD" w:rsidR="00D451E3" w:rsidRPr="000972D1" w:rsidRDefault="00DF1EEC" w:rsidP="00E862EA">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c>
          <w:tcPr>
            <w:tcW w:w="0" w:type="auto"/>
          </w:tcPr>
          <w:p w14:paraId="6F57EFC9" w14:textId="66FE9A2B"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w:t>
            </w:r>
          </w:p>
        </w:tc>
        <w:tc>
          <w:tcPr>
            <w:tcW w:w="0" w:type="auto"/>
          </w:tcPr>
          <w:p w14:paraId="1B96EC15" w14:textId="4A1CDBA6"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w:t>
            </w:r>
          </w:p>
        </w:tc>
        <w:tc>
          <w:tcPr>
            <w:tcW w:w="0" w:type="auto"/>
          </w:tcPr>
          <w:p w14:paraId="07EB9110" w14:textId="50235B6D"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w:t>
            </w:r>
          </w:p>
        </w:tc>
        <w:tc>
          <w:tcPr>
            <w:tcW w:w="0" w:type="auto"/>
          </w:tcPr>
          <w:p w14:paraId="7328C576" w14:textId="7777428E"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w:t>
            </w:r>
          </w:p>
        </w:tc>
        <w:tc>
          <w:tcPr>
            <w:tcW w:w="0" w:type="auto"/>
          </w:tcPr>
          <w:p w14:paraId="3D18BA9B" w14:textId="4ACD8EF1"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0.277***</w:t>
            </w:r>
          </w:p>
          <w:p w14:paraId="7E2C37F9" w14:textId="524F0C90"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(0.000)</w:t>
            </w:r>
          </w:p>
        </w:tc>
      </w:tr>
      <w:tr w:rsidR="00D451E3" w:rsidRPr="00352FB3" w14:paraId="70DD1284" w14:textId="0E15883B" w:rsidTr="00857BA8">
        <w:trPr>
          <w:trHeight w:val="300"/>
          <w:jc w:val="center"/>
        </w:trPr>
        <w:tc>
          <w:tcPr>
            <w:tcW w:w="0" w:type="auto"/>
            <w:tcBorders>
              <w:right w:val="single" w:sz="12" w:space="0" w:color="auto"/>
            </w:tcBorders>
            <w:noWrap/>
          </w:tcPr>
          <w:p w14:paraId="30ABA341" w14:textId="78BBA8FE" w:rsidR="00D451E3" w:rsidRPr="00352FB3" w:rsidRDefault="00D451E3" w:rsidP="00E862EA">
            <w:pPr>
              <w:ind w:left="-63"/>
              <w:jc w:val="both"/>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BUSY</w:t>
            </w:r>
          </w:p>
        </w:tc>
        <w:tc>
          <w:tcPr>
            <w:tcW w:w="0" w:type="auto"/>
          </w:tcPr>
          <w:p w14:paraId="0AFCA2D5" w14:textId="77777777"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w:t>
            </w:r>
          </w:p>
          <w:p w14:paraId="18FF6AEC" w14:textId="77777777" w:rsidR="00D451E3" w:rsidRPr="00352FB3" w:rsidRDefault="00D451E3" w:rsidP="00E862EA">
            <w:pPr>
              <w:jc w:val="center"/>
              <w:rPr>
                <w:rFonts w:ascii="Times New Roman" w:eastAsia="Times New Roman" w:hAnsi="Times New Roman" w:cs="Times New Roman"/>
                <w:sz w:val="16"/>
                <w:szCs w:val="16"/>
                <w:shd w:val="clear" w:color="auto" w:fill="FFFFFF"/>
                <w:lang w:val="en-US"/>
              </w:rPr>
            </w:pPr>
          </w:p>
        </w:tc>
        <w:tc>
          <w:tcPr>
            <w:tcW w:w="0" w:type="auto"/>
          </w:tcPr>
          <w:p w14:paraId="19B5934A" w14:textId="1145C84B"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0.454***</w:t>
            </w:r>
          </w:p>
          <w:p w14:paraId="65E03028" w14:textId="4B68B456" w:rsidR="00D451E3" w:rsidRPr="00352FB3" w:rsidRDefault="00D451E3" w:rsidP="00CE0C84">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(0.000)</w:t>
            </w:r>
          </w:p>
        </w:tc>
        <w:tc>
          <w:tcPr>
            <w:tcW w:w="0" w:type="auto"/>
          </w:tcPr>
          <w:p w14:paraId="36E40F96" w14:textId="353B3C12" w:rsidR="00D451E3" w:rsidRPr="000972D1" w:rsidRDefault="00086666" w:rsidP="00E862EA">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c>
          <w:tcPr>
            <w:tcW w:w="0" w:type="auto"/>
          </w:tcPr>
          <w:p w14:paraId="451722FF" w14:textId="77777777" w:rsidR="00D451E3" w:rsidRPr="000972D1" w:rsidRDefault="00DF1EEC" w:rsidP="00E862EA">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0.341***</w:t>
            </w:r>
          </w:p>
          <w:p w14:paraId="17035F9F" w14:textId="3F9DBB08" w:rsidR="00DF1EEC" w:rsidRPr="000972D1" w:rsidRDefault="00DF1EEC" w:rsidP="00E862EA">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(0.003)</w:t>
            </w:r>
          </w:p>
        </w:tc>
        <w:tc>
          <w:tcPr>
            <w:tcW w:w="0" w:type="auto"/>
          </w:tcPr>
          <w:p w14:paraId="64A46A29" w14:textId="0EACD210"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w:t>
            </w:r>
          </w:p>
          <w:p w14:paraId="12899BDC" w14:textId="77777777" w:rsidR="00D451E3" w:rsidRPr="00352FB3" w:rsidRDefault="00D451E3" w:rsidP="00E862EA">
            <w:pPr>
              <w:jc w:val="center"/>
              <w:rPr>
                <w:rFonts w:ascii="Times New Roman" w:eastAsia="Times New Roman" w:hAnsi="Times New Roman" w:cs="Times New Roman"/>
                <w:sz w:val="16"/>
                <w:szCs w:val="16"/>
                <w:shd w:val="clear" w:color="auto" w:fill="FFFFFF"/>
                <w:lang w:val="en-US"/>
              </w:rPr>
            </w:pPr>
          </w:p>
        </w:tc>
        <w:tc>
          <w:tcPr>
            <w:tcW w:w="0" w:type="auto"/>
          </w:tcPr>
          <w:p w14:paraId="442D0F27" w14:textId="7A4754CE"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0.528***</w:t>
            </w:r>
          </w:p>
          <w:p w14:paraId="0FAB28E8" w14:textId="51F84101" w:rsidR="00D451E3" w:rsidRPr="00352FB3" w:rsidRDefault="00D451E3" w:rsidP="00346544">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(0.002)</w:t>
            </w:r>
          </w:p>
        </w:tc>
        <w:tc>
          <w:tcPr>
            <w:tcW w:w="0" w:type="auto"/>
          </w:tcPr>
          <w:p w14:paraId="344D08AD" w14:textId="77777777"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w:t>
            </w:r>
          </w:p>
        </w:tc>
        <w:tc>
          <w:tcPr>
            <w:tcW w:w="0" w:type="auto"/>
          </w:tcPr>
          <w:p w14:paraId="0A5297C3" w14:textId="7EA8DE94"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0.296</w:t>
            </w:r>
          </w:p>
          <w:p w14:paraId="1D94CF2F" w14:textId="6E605738"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(0.111)</w:t>
            </w:r>
          </w:p>
        </w:tc>
        <w:tc>
          <w:tcPr>
            <w:tcW w:w="0" w:type="auto"/>
          </w:tcPr>
          <w:p w14:paraId="3541393F" w14:textId="2D7701C6" w:rsidR="00D451E3" w:rsidRPr="00352FB3" w:rsidRDefault="00D451E3" w:rsidP="00DF3AAC">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0.270**</w:t>
            </w:r>
          </w:p>
          <w:p w14:paraId="6B180138" w14:textId="12124495"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(0.020)</w:t>
            </w:r>
          </w:p>
        </w:tc>
      </w:tr>
      <w:tr w:rsidR="00D451E3" w:rsidRPr="00352FB3" w14:paraId="01058A80" w14:textId="12F3AD9E" w:rsidTr="00857BA8">
        <w:trPr>
          <w:trHeight w:val="300"/>
          <w:jc w:val="center"/>
        </w:trPr>
        <w:tc>
          <w:tcPr>
            <w:tcW w:w="0" w:type="auto"/>
            <w:tcBorders>
              <w:right w:val="single" w:sz="12" w:space="0" w:color="auto"/>
            </w:tcBorders>
            <w:noWrap/>
          </w:tcPr>
          <w:p w14:paraId="6C1C46FD" w14:textId="23A6587F" w:rsidR="00D451E3" w:rsidRPr="00352FB3" w:rsidRDefault="00D451E3" w:rsidP="00E862EA">
            <w:pPr>
              <w:ind w:left="-63"/>
              <w:jc w:val="both"/>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QUIK</w:t>
            </w:r>
          </w:p>
        </w:tc>
        <w:tc>
          <w:tcPr>
            <w:tcW w:w="0" w:type="auto"/>
          </w:tcPr>
          <w:p w14:paraId="10031EA2" w14:textId="06A6342D"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0.103</w:t>
            </w:r>
          </w:p>
          <w:p w14:paraId="62BAEB31" w14:textId="0E32C253"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(0.439)</w:t>
            </w:r>
          </w:p>
        </w:tc>
        <w:tc>
          <w:tcPr>
            <w:tcW w:w="0" w:type="auto"/>
          </w:tcPr>
          <w:p w14:paraId="37DD9570" w14:textId="3A6EEBE8"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0.022</w:t>
            </w:r>
          </w:p>
          <w:p w14:paraId="4ABAACF9" w14:textId="240E9AF7"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(0.454)</w:t>
            </w:r>
          </w:p>
        </w:tc>
        <w:tc>
          <w:tcPr>
            <w:tcW w:w="0" w:type="auto"/>
          </w:tcPr>
          <w:p w14:paraId="3C7C5F32" w14:textId="77777777" w:rsidR="00D451E3" w:rsidRPr="000972D1" w:rsidRDefault="00086666" w:rsidP="00E862EA">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-0.045</w:t>
            </w:r>
          </w:p>
          <w:p w14:paraId="5A7388A0" w14:textId="291C3216" w:rsidR="00086666" w:rsidRPr="000972D1" w:rsidRDefault="00086666" w:rsidP="00E862EA">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(0.733)</w:t>
            </w:r>
          </w:p>
        </w:tc>
        <w:tc>
          <w:tcPr>
            <w:tcW w:w="0" w:type="auto"/>
          </w:tcPr>
          <w:p w14:paraId="211CF2E8" w14:textId="77777777" w:rsidR="00D451E3" w:rsidRPr="000972D1" w:rsidRDefault="00DF1EEC" w:rsidP="00E862EA">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0.014</w:t>
            </w:r>
          </w:p>
          <w:p w14:paraId="5286DF55" w14:textId="757E69BD" w:rsidR="00DF1EEC" w:rsidRPr="000972D1" w:rsidRDefault="00DF1EEC" w:rsidP="00E862EA">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(0.596)</w:t>
            </w:r>
          </w:p>
        </w:tc>
        <w:tc>
          <w:tcPr>
            <w:tcW w:w="0" w:type="auto"/>
          </w:tcPr>
          <w:p w14:paraId="768AAAA4" w14:textId="777805E3"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-0.036</w:t>
            </w:r>
          </w:p>
          <w:p w14:paraId="40C13BC8" w14:textId="3B00798C"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(0.822)</w:t>
            </w:r>
          </w:p>
        </w:tc>
        <w:tc>
          <w:tcPr>
            <w:tcW w:w="0" w:type="auto"/>
          </w:tcPr>
          <w:p w14:paraId="501F3834" w14:textId="029E2412"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0.125***</w:t>
            </w:r>
          </w:p>
          <w:p w14:paraId="58BC06D8" w14:textId="647C1222" w:rsidR="00D451E3" w:rsidRPr="00352FB3" w:rsidRDefault="00D451E3" w:rsidP="00346544">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(0.003)</w:t>
            </w:r>
          </w:p>
        </w:tc>
        <w:tc>
          <w:tcPr>
            <w:tcW w:w="0" w:type="auto"/>
          </w:tcPr>
          <w:p w14:paraId="405F7226" w14:textId="093F8375"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0.651**</w:t>
            </w:r>
          </w:p>
          <w:p w14:paraId="28AAE1F0" w14:textId="5861B7E0"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(0.027)</w:t>
            </w:r>
          </w:p>
        </w:tc>
        <w:tc>
          <w:tcPr>
            <w:tcW w:w="0" w:type="auto"/>
          </w:tcPr>
          <w:p w14:paraId="3EAA8EA0" w14:textId="7534D745"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-0.057</w:t>
            </w:r>
          </w:p>
          <w:p w14:paraId="302E732E" w14:textId="57698437"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(0.166)</w:t>
            </w:r>
          </w:p>
        </w:tc>
        <w:tc>
          <w:tcPr>
            <w:tcW w:w="0" w:type="auto"/>
          </w:tcPr>
          <w:p w14:paraId="79FFB2BF" w14:textId="161930F4"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0.026</w:t>
            </w:r>
          </w:p>
          <w:p w14:paraId="29584C02" w14:textId="0EB5CF88"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(0.333)</w:t>
            </w:r>
          </w:p>
        </w:tc>
      </w:tr>
      <w:tr w:rsidR="00D451E3" w:rsidRPr="00352FB3" w14:paraId="4F87FB75" w14:textId="3B68B8C0" w:rsidTr="00857BA8">
        <w:trPr>
          <w:trHeight w:val="300"/>
          <w:jc w:val="center"/>
        </w:trPr>
        <w:tc>
          <w:tcPr>
            <w:tcW w:w="0" w:type="auto"/>
            <w:tcBorders>
              <w:right w:val="single" w:sz="12" w:space="0" w:color="auto"/>
            </w:tcBorders>
            <w:noWrap/>
          </w:tcPr>
          <w:p w14:paraId="4C9EFB5C" w14:textId="6E9F6F51" w:rsidR="00D451E3" w:rsidRPr="00352FB3" w:rsidRDefault="00D451E3" w:rsidP="00E862EA">
            <w:pPr>
              <w:ind w:left="-63"/>
              <w:jc w:val="both"/>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LOS</w:t>
            </w:r>
          </w:p>
        </w:tc>
        <w:tc>
          <w:tcPr>
            <w:tcW w:w="0" w:type="auto"/>
          </w:tcPr>
          <w:p w14:paraId="1BEC522A" w14:textId="0E95183F"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-0.121</w:t>
            </w:r>
          </w:p>
          <w:p w14:paraId="5418E0C9" w14:textId="292EAE7E"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(0.744)</w:t>
            </w:r>
          </w:p>
        </w:tc>
        <w:tc>
          <w:tcPr>
            <w:tcW w:w="0" w:type="auto"/>
          </w:tcPr>
          <w:p w14:paraId="59745C74" w14:textId="142699E4"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0.024</w:t>
            </w:r>
          </w:p>
          <w:p w14:paraId="600BBB62" w14:textId="4707812D" w:rsidR="00D451E3" w:rsidRPr="00352FB3" w:rsidRDefault="00D451E3" w:rsidP="00CE0C84">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(0.774)</w:t>
            </w:r>
          </w:p>
        </w:tc>
        <w:tc>
          <w:tcPr>
            <w:tcW w:w="0" w:type="auto"/>
          </w:tcPr>
          <w:p w14:paraId="39BA3FF2" w14:textId="77777777" w:rsidR="00D451E3" w:rsidRPr="000972D1" w:rsidRDefault="00086666" w:rsidP="00E862EA">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0.085</w:t>
            </w:r>
          </w:p>
          <w:p w14:paraId="37867E74" w14:textId="1CA8CB4B" w:rsidR="00086666" w:rsidRPr="000972D1" w:rsidRDefault="00086666" w:rsidP="00E862EA">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(0.823)</w:t>
            </w:r>
          </w:p>
        </w:tc>
        <w:tc>
          <w:tcPr>
            <w:tcW w:w="0" w:type="auto"/>
          </w:tcPr>
          <w:p w14:paraId="0DAB667C" w14:textId="77777777" w:rsidR="00D451E3" w:rsidRPr="000972D1" w:rsidRDefault="00DF1EEC" w:rsidP="00E862EA">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0.055</w:t>
            </w:r>
          </w:p>
          <w:p w14:paraId="0081EB09" w14:textId="7809BBA1" w:rsidR="00DF1EEC" w:rsidRPr="000972D1" w:rsidRDefault="00DF1EEC" w:rsidP="00E862EA">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(0.459)</w:t>
            </w:r>
          </w:p>
        </w:tc>
        <w:tc>
          <w:tcPr>
            <w:tcW w:w="0" w:type="auto"/>
          </w:tcPr>
          <w:p w14:paraId="3D20985C" w14:textId="1B32A21D"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-0.413</w:t>
            </w:r>
          </w:p>
          <w:p w14:paraId="2681E1A2" w14:textId="24276FC4"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(0.304)</w:t>
            </w:r>
          </w:p>
        </w:tc>
        <w:tc>
          <w:tcPr>
            <w:tcW w:w="0" w:type="auto"/>
          </w:tcPr>
          <w:p w14:paraId="5FB9C004" w14:textId="09D97B34"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0.046</w:t>
            </w:r>
          </w:p>
          <w:p w14:paraId="7408542F" w14:textId="0BA64E46"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(0.647)</w:t>
            </w:r>
          </w:p>
        </w:tc>
        <w:tc>
          <w:tcPr>
            <w:tcW w:w="0" w:type="auto"/>
          </w:tcPr>
          <w:p w14:paraId="7E927D24" w14:textId="74145634"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1.784*</w:t>
            </w:r>
          </w:p>
          <w:p w14:paraId="54D7C7D6" w14:textId="2C11042B"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(0.065)</w:t>
            </w:r>
          </w:p>
        </w:tc>
        <w:tc>
          <w:tcPr>
            <w:tcW w:w="0" w:type="auto"/>
          </w:tcPr>
          <w:p w14:paraId="751A3D06" w14:textId="36B94D47"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0.142</w:t>
            </w:r>
          </w:p>
          <w:p w14:paraId="0AA3F8AF" w14:textId="25F9C8E4"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(0.267)</w:t>
            </w:r>
          </w:p>
        </w:tc>
        <w:tc>
          <w:tcPr>
            <w:tcW w:w="0" w:type="auto"/>
          </w:tcPr>
          <w:p w14:paraId="03C14659" w14:textId="6AE1AF16" w:rsidR="00D451E3" w:rsidRPr="00352FB3" w:rsidRDefault="00D451E3" w:rsidP="00DF3AAC">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-0.033</w:t>
            </w:r>
          </w:p>
          <w:p w14:paraId="3B84774A" w14:textId="758234C6"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(0.663)</w:t>
            </w:r>
          </w:p>
        </w:tc>
      </w:tr>
      <w:tr w:rsidR="00D451E3" w:rsidRPr="00352FB3" w14:paraId="463F5008" w14:textId="63E12E0B" w:rsidTr="00857BA8">
        <w:trPr>
          <w:trHeight w:val="300"/>
          <w:jc w:val="center"/>
        </w:trPr>
        <w:tc>
          <w:tcPr>
            <w:tcW w:w="0" w:type="auto"/>
            <w:tcBorders>
              <w:right w:val="single" w:sz="12" w:space="0" w:color="auto"/>
            </w:tcBorders>
            <w:noWrap/>
          </w:tcPr>
          <w:p w14:paraId="2EC6A5F3" w14:textId="0387490A" w:rsidR="00D451E3" w:rsidRPr="00352FB3" w:rsidRDefault="00D451E3" w:rsidP="00E862EA">
            <w:pPr>
              <w:ind w:left="-63"/>
              <w:jc w:val="both"/>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LV</w:t>
            </w:r>
          </w:p>
        </w:tc>
        <w:tc>
          <w:tcPr>
            <w:tcW w:w="0" w:type="auto"/>
          </w:tcPr>
          <w:p w14:paraId="5C7ADFB6" w14:textId="48A9AFCB"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2.438**</w:t>
            </w:r>
          </w:p>
          <w:p w14:paraId="70E536BC" w14:textId="2AD61C18" w:rsidR="00D451E3" w:rsidRPr="00352FB3" w:rsidRDefault="00D451E3" w:rsidP="00A633B7">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(0.029)</w:t>
            </w:r>
          </w:p>
        </w:tc>
        <w:tc>
          <w:tcPr>
            <w:tcW w:w="0" w:type="auto"/>
          </w:tcPr>
          <w:p w14:paraId="2471C089" w14:textId="3ABAD97F"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-0.365*</w:t>
            </w:r>
          </w:p>
          <w:p w14:paraId="3AF41386" w14:textId="1C8BD018" w:rsidR="00D451E3" w:rsidRPr="00352FB3" w:rsidRDefault="00D451E3" w:rsidP="00CE0C84">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(0.098)</w:t>
            </w:r>
          </w:p>
        </w:tc>
        <w:tc>
          <w:tcPr>
            <w:tcW w:w="0" w:type="auto"/>
          </w:tcPr>
          <w:p w14:paraId="128BC7C7" w14:textId="77777777" w:rsidR="00D451E3" w:rsidRPr="000972D1" w:rsidRDefault="00086666" w:rsidP="00E862EA">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3.431***</w:t>
            </w:r>
          </w:p>
          <w:p w14:paraId="57D3C8C0" w14:textId="048EE109" w:rsidR="00086666" w:rsidRPr="000972D1" w:rsidRDefault="00086666" w:rsidP="00E862EA">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(0.003)</w:t>
            </w:r>
          </w:p>
        </w:tc>
        <w:tc>
          <w:tcPr>
            <w:tcW w:w="0" w:type="auto"/>
          </w:tcPr>
          <w:p w14:paraId="286FF5C4" w14:textId="77777777" w:rsidR="00D451E3" w:rsidRPr="000972D1" w:rsidRDefault="00DF1EEC" w:rsidP="00E862EA">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-0.427**</w:t>
            </w:r>
          </w:p>
          <w:p w14:paraId="2A4D12E8" w14:textId="704D4D8C" w:rsidR="00DF1EEC" w:rsidRPr="000972D1" w:rsidRDefault="00DF1EEC" w:rsidP="00E862EA">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(0.035)</w:t>
            </w:r>
          </w:p>
        </w:tc>
        <w:tc>
          <w:tcPr>
            <w:tcW w:w="0" w:type="auto"/>
          </w:tcPr>
          <w:p w14:paraId="409DC7A8" w14:textId="13226A1A"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0.073</w:t>
            </w:r>
          </w:p>
          <w:p w14:paraId="000158EB" w14:textId="5B83BE05" w:rsidR="00D451E3" w:rsidRPr="00352FB3" w:rsidRDefault="00D451E3" w:rsidP="00F26E6B">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(0.956)</w:t>
            </w:r>
          </w:p>
        </w:tc>
        <w:tc>
          <w:tcPr>
            <w:tcW w:w="0" w:type="auto"/>
          </w:tcPr>
          <w:p w14:paraId="4EBCDD87" w14:textId="7EF57519"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-0.171</w:t>
            </w:r>
          </w:p>
          <w:p w14:paraId="3E8B59B0" w14:textId="5A1E7D71"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(0.590)</w:t>
            </w:r>
          </w:p>
        </w:tc>
        <w:tc>
          <w:tcPr>
            <w:tcW w:w="0" w:type="auto"/>
          </w:tcPr>
          <w:p w14:paraId="02FC8DE2" w14:textId="2F3F3F01"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3.694</w:t>
            </w:r>
          </w:p>
          <w:p w14:paraId="2DDBBB85" w14:textId="27CDF581"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(0.121)</w:t>
            </w:r>
          </w:p>
        </w:tc>
        <w:tc>
          <w:tcPr>
            <w:tcW w:w="0" w:type="auto"/>
          </w:tcPr>
          <w:p w14:paraId="61B59B6F" w14:textId="633D9FF8"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-0.119</w:t>
            </w:r>
          </w:p>
          <w:p w14:paraId="0F18D20F" w14:textId="776F6401"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(0.696)</w:t>
            </w:r>
          </w:p>
        </w:tc>
        <w:tc>
          <w:tcPr>
            <w:tcW w:w="0" w:type="auto"/>
          </w:tcPr>
          <w:p w14:paraId="37018C1D" w14:textId="10B37F5F" w:rsidR="00D451E3" w:rsidRPr="00352FB3" w:rsidRDefault="00D451E3" w:rsidP="00DF3AAC">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-0.302</w:t>
            </w:r>
          </w:p>
          <w:p w14:paraId="50B045DE" w14:textId="7E415A66" w:rsidR="00D451E3" w:rsidRPr="00352FB3" w:rsidRDefault="00D451E3" w:rsidP="00DF3AAC">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(0.139)</w:t>
            </w:r>
          </w:p>
        </w:tc>
      </w:tr>
      <w:tr w:rsidR="00D451E3" w:rsidRPr="00352FB3" w14:paraId="6A632B99" w14:textId="157548BE" w:rsidTr="00857BA8">
        <w:trPr>
          <w:trHeight w:val="300"/>
          <w:jc w:val="center"/>
        </w:trPr>
        <w:tc>
          <w:tcPr>
            <w:tcW w:w="0" w:type="auto"/>
            <w:tcBorders>
              <w:right w:val="single" w:sz="12" w:space="0" w:color="auto"/>
            </w:tcBorders>
            <w:noWrap/>
          </w:tcPr>
          <w:p w14:paraId="05EE20CC" w14:textId="6A3437CB" w:rsidR="00D451E3" w:rsidRPr="00352FB3" w:rsidRDefault="00D451E3" w:rsidP="00E862EA">
            <w:pPr>
              <w:ind w:left="-63"/>
              <w:jc w:val="both"/>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SGR</w:t>
            </w:r>
          </w:p>
        </w:tc>
        <w:tc>
          <w:tcPr>
            <w:tcW w:w="0" w:type="auto"/>
          </w:tcPr>
          <w:p w14:paraId="4566578A" w14:textId="3A54C25C"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-0.029</w:t>
            </w:r>
          </w:p>
          <w:p w14:paraId="02392839" w14:textId="03218305"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(0.925)</w:t>
            </w:r>
          </w:p>
        </w:tc>
        <w:tc>
          <w:tcPr>
            <w:tcW w:w="0" w:type="auto"/>
          </w:tcPr>
          <w:p w14:paraId="65C8B313" w14:textId="28837612"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0.072</w:t>
            </w:r>
          </w:p>
          <w:p w14:paraId="5F8ACBBA" w14:textId="23A91EAA"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(0.253)</w:t>
            </w:r>
          </w:p>
        </w:tc>
        <w:tc>
          <w:tcPr>
            <w:tcW w:w="0" w:type="auto"/>
          </w:tcPr>
          <w:p w14:paraId="785BC34C" w14:textId="77777777" w:rsidR="00D451E3" w:rsidRPr="000972D1" w:rsidRDefault="00086666" w:rsidP="00E862EA">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-0.108</w:t>
            </w:r>
          </w:p>
          <w:p w14:paraId="3127E25F" w14:textId="4EB1643E" w:rsidR="00086666" w:rsidRPr="000972D1" w:rsidRDefault="00086666" w:rsidP="00E862EA">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(0.716)</w:t>
            </w:r>
          </w:p>
        </w:tc>
        <w:tc>
          <w:tcPr>
            <w:tcW w:w="0" w:type="auto"/>
          </w:tcPr>
          <w:p w14:paraId="60A4D5CA" w14:textId="7D60A2EC" w:rsidR="00D451E3" w:rsidRPr="000972D1" w:rsidRDefault="007A6D94" w:rsidP="00E862EA">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-0.012</w:t>
            </w:r>
          </w:p>
          <w:p w14:paraId="159DE605" w14:textId="605BC17A" w:rsidR="00DF1EEC" w:rsidRPr="000972D1" w:rsidRDefault="00DF1EEC" w:rsidP="00E862EA">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(0.837)</w:t>
            </w:r>
          </w:p>
        </w:tc>
        <w:tc>
          <w:tcPr>
            <w:tcW w:w="0" w:type="auto"/>
          </w:tcPr>
          <w:p w14:paraId="6AB677A8" w14:textId="69DB1ABE"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-0.171</w:t>
            </w:r>
          </w:p>
          <w:p w14:paraId="7519671B" w14:textId="18AAA7A4"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(0.638)</w:t>
            </w:r>
          </w:p>
        </w:tc>
        <w:tc>
          <w:tcPr>
            <w:tcW w:w="0" w:type="auto"/>
          </w:tcPr>
          <w:p w14:paraId="6A957968" w14:textId="2311E950"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-0.029</w:t>
            </w:r>
          </w:p>
          <w:p w14:paraId="035F7BB4" w14:textId="3A5C121E"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(0.736)</w:t>
            </w:r>
          </w:p>
        </w:tc>
        <w:tc>
          <w:tcPr>
            <w:tcW w:w="0" w:type="auto"/>
          </w:tcPr>
          <w:p w14:paraId="0119519B" w14:textId="53F59893"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-0.428</w:t>
            </w:r>
          </w:p>
          <w:p w14:paraId="435C570A" w14:textId="4942908C"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(0.404)</w:t>
            </w:r>
          </w:p>
        </w:tc>
        <w:tc>
          <w:tcPr>
            <w:tcW w:w="0" w:type="auto"/>
          </w:tcPr>
          <w:p w14:paraId="4883E929" w14:textId="35E3F5FA"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-0.001</w:t>
            </w:r>
          </w:p>
          <w:p w14:paraId="079496A0" w14:textId="58CDED39"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(0.993)</w:t>
            </w:r>
          </w:p>
        </w:tc>
        <w:tc>
          <w:tcPr>
            <w:tcW w:w="0" w:type="auto"/>
          </w:tcPr>
          <w:p w14:paraId="4F328EB6" w14:textId="15B76C04" w:rsidR="00D451E3" w:rsidRPr="00352FB3" w:rsidRDefault="00D451E3" w:rsidP="00DF3AAC">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0.017</w:t>
            </w:r>
          </w:p>
          <w:p w14:paraId="4F745480" w14:textId="75041902"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(0.767)</w:t>
            </w:r>
          </w:p>
        </w:tc>
      </w:tr>
      <w:tr w:rsidR="00D451E3" w:rsidRPr="00352FB3" w14:paraId="56C2A78F" w14:textId="3CDA842C" w:rsidTr="00857BA8">
        <w:trPr>
          <w:trHeight w:val="300"/>
          <w:jc w:val="center"/>
        </w:trPr>
        <w:tc>
          <w:tcPr>
            <w:tcW w:w="0" w:type="auto"/>
            <w:tcBorders>
              <w:right w:val="single" w:sz="12" w:space="0" w:color="auto"/>
            </w:tcBorders>
            <w:noWrap/>
          </w:tcPr>
          <w:p w14:paraId="798C849D" w14:textId="2EAA8FCF" w:rsidR="00D451E3" w:rsidRPr="00352FB3" w:rsidRDefault="00D451E3" w:rsidP="00E862EA">
            <w:pPr>
              <w:ind w:left="-63"/>
              <w:jc w:val="both"/>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ROA</w:t>
            </w:r>
          </w:p>
        </w:tc>
        <w:tc>
          <w:tcPr>
            <w:tcW w:w="0" w:type="auto"/>
          </w:tcPr>
          <w:p w14:paraId="12B21D5D" w14:textId="5D8F76DE"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5.552***</w:t>
            </w:r>
          </w:p>
          <w:p w14:paraId="561D443D" w14:textId="40211609" w:rsidR="00D451E3" w:rsidRPr="00352FB3" w:rsidRDefault="00D451E3" w:rsidP="00A633B7">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(0.004)</w:t>
            </w:r>
          </w:p>
        </w:tc>
        <w:tc>
          <w:tcPr>
            <w:tcW w:w="0" w:type="auto"/>
          </w:tcPr>
          <w:p w14:paraId="3BCFAEA1" w14:textId="62035A46"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-1.911***</w:t>
            </w:r>
          </w:p>
          <w:p w14:paraId="296B217E" w14:textId="77777777"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(0.000)</w:t>
            </w:r>
          </w:p>
        </w:tc>
        <w:tc>
          <w:tcPr>
            <w:tcW w:w="0" w:type="auto"/>
          </w:tcPr>
          <w:p w14:paraId="065F72F9" w14:textId="77777777" w:rsidR="00D451E3" w:rsidRPr="000972D1" w:rsidRDefault="00086666" w:rsidP="00E862EA">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5.267***</w:t>
            </w:r>
          </w:p>
          <w:p w14:paraId="1E186422" w14:textId="6D3BEEC3" w:rsidR="00086666" w:rsidRPr="000972D1" w:rsidRDefault="00086666" w:rsidP="00E862EA">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(.005)</w:t>
            </w:r>
          </w:p>
        </w:tc>
        <w:tc>
          <w:tcPr>
            <w:tcW w:w="0" w:type="auto"/>
          </w:tcPr>
          <w:p w14:paraId="3B1A57E3" w14:textId="77777777" w:rsidR="00D451E3" w:rsidRPr="000972D1" w:rsidRDefault="00DF1EEC" w:rsidP="00E862EA">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-1.759***</w:t>
            </w:r>
          </w:p>
          <w:p w14:paraId="17A2E014" w14:textId="316CE8FC" w:rsidR="00DF1EEC" w:rsidRPr="000972D1" w:rsidRDefault="00DF1EEC" w:rsidP="00E862EA">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(0.000)</w:t>
            </w:r>
          </w:p>
        </w:tc>
        <w:tc>
          <w:tcPr>
            <w:tcW w:w="0" w:type="auto"/>
          </w:tcPr>
          <w:p w14:paraId="0DF0B1CC" w14:textId="658E1AB1"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2.373</w:t>
            </w:r>
          </w:p>
          <w:p w14:paraId="65E19C79" w14:textId="127BA6DF"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(0.289)</w:t>
            </w:r>
          </w:p>
        </w:tc>
        <w:tc>
          <w:tcPr>
            <w:tcW w:w="0" w:type="auto"/>
          </w:tcPr>
          <w:p w14:paraId="1B3CC518" w14:textId="5D293D49"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-1.945***</w:t>
            </w:r>
          </w:p>
          <w:p w14:paraId="0561FC38" w14:textId="77777777"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(0.000)</w:t>
            </w:r>
          </w:p>
        </w:tc>
        <w:tc>
          <w:tcPr>
            <w:tcW w:w="0" w:type="auto"/>
          </w:tcPr>
          <w:p w14:paraId="1B15A34C" w14:textId="2AE8A026"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11.219***</w:t>
            </w:r>
          </w:p>
          <w:p w14:paraId="282661DE" w14:textId="7ED6DB4B" w:rsidR="00D451E3" w:rsidRPr="00352FB3" w:rsidRDefault="00D451E3" w:rsidP="002815F1">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(0.006)</w:t>
            </w:r>
          </w:p>
        </w:tc>
        <w:tc>
          <w:tcPr>
            <w:tcW w:w="0" w:type="auto"/>
          </w:tcPr>
          <w:p w14:paraId="63855185" w14:textId="368C1152"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-1.937***</w:t>
            </w:r>
          </w:p>
          <w:p w14:paraId="0C954D49" w14:textId="198087DA"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(0.006)</w:t>
            </w:r>
          </w:p>
        </w:tc>
        <w:tc>
          <w:tcPr>
            <w:tcW w:w="0" w:type="auto"/>
          </w:tcPr>
          <w:p w14:paraId="49E2F88C" w14:textId="5FF2C81A"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-0.774*</w:t>
            </w:r>
          </w:p>
          <w:p w14:paraId="260D6560" w14:textId="3B96E19C"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(0.059)</w:t>
            </w:r>
          </w:p>
        </w:tc>
      </w:tr>
      <w:tr w:rsidR="00086666" w:rsidRPr="00352FB3" w14:paraId="5BC1A004" w14:textId="146029E1" w:rsidTr="00857BA8">
        <w:trPr>
          <w:trHeight w:val="86"/>
          <w:jc w:val="center"/>
        </w:trPr>
        <w:tc>
          <w:tcPr>
            <w:tcW w:w="0" w:type="auto"/>
            <w:tcBorders>
              <w:right w:val="single" w:sz="12" w:space="0" w:color="auto"/>
            </w:tcBorders>
            <w:noWrap/>
          </w:tcPr>
          <w:p w14:paraId="001CCD5B" w14:textId="7CAA6EE3" w:rsidR="00086666" w:rsidRPr="00352FB3" w:rsidRDefault="00086666" w:rsidP="00086666">
            <w:pPr>
              <w:ind w:left="-63"/>
              <w:jc w:val="both"/>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 xml:space="preserve">YDU </w:t>
            </w:r>
          </w:p>
        </w:tc>
        <w:tc>
          <w:tcPr>
            <w:tcW w:w="0" w:type="auto"/>
          </w:tcPr>
          <w:p w14:paraId="5B3F88E0" w14:textId="77777777" w:rsidR="00086666" w:rsidRPr="00352FB3" w:rsidRDefault="00086666" w:rsidP="00086666">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Included</w:t>
            </w:r>
          </w:p>
        </w:tc>
        <w:tc>
          <w:tcPr>
            <w:tcW w:w="0" w:type="auto"/>
          </w:tcPr>
          <w:p w14:paraId="2F72D324" w14:textId="77777777" w:rsidR="00086666" w:rsidRPr="00352FB3" w:rsidRDefault="00086666" w:rsidP="00086666">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Included</w:t>
            </w:r>
          </w:p>
        </w:tc>
        <w:tc>
          <w:tcPr>
            <w:tcW w:w="0" w:type="auto"/>
          </w:tcPr>
          <w:p w14:paraId="55CB0226" w14:textId="6595388E" w:rsidR="00086666" w:rsidRPr="000972D1" w:rsidRDefault="00086666" w:rsidP="00086666">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Included</w:t>
            </w:r>
          </w:p>
        </w:tc>
        <w:tc>
          <w:tcPr>
            <w:tcW w:w="0" w:type="auto"/>
          </w:tcPr>
          <w:p w14:paraId="35D50ECE" w14:textId="28A7856A" w:rsidR="00086666" w:rsidRPr="000972D1" w:rsidRDefault="00086666" w:rsidP="00086666">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Included</w:t>
            </w:r>
          </w:p>
        </w:tc>
        <w:tc>
          <w:tcPr>
            <w:tcW w:w="0" w:type="auto"/>
          </w:tcPr>
          <w:p w14:paraId="631AD6C8" w14:textId="5E7B28B2" w:rsidR="00086666" w:rsidRPr="00352FB3" w:rsidRDefault="00086666" w:rsidP="00086666">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Included</w:t>
            </w:r>
          </w:p>
        </w:tc>
        <w:tc>
          <w:tcPr>
            <w:tcW w:w="0" w:type="auto"/>
          </w:tcPr>
          <w:p w14:paraId="17AE942B" w14:textId="77777777" w:rsidR="00086666" w:rsidRPr="00352FB3" w:rsidRDefault="00086666" w:rsidP="00086666">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Included</w:t>
            </w:r>
          </w:p>
        </w:tc>
        <w:tc>
          <w:tcPr>
            <w:tcW w:w="0" w:type="auto"/>
          </w:tcPr>
          <w:p w14:paraId="1F770379" w14:textId="77777777" w:rsidR="00086666" w:rsidRPr="00352FB3" w:rsidRDefault="00086666" w:rsidP="00086666">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Included</w:t>
            </w:r>
          </w:p>
        </w:tc>
        <w:tc>
          <w:tcPr>
            <w:tcW w:w="0" w:type="auto"/>
          </w:tcPr>
          <w:p w14:paraId="33CD083B" w14:textId="77777777" w:rsidR="00086666" w:rsidRPr="00352FB3" w:rsidRDefault="00086666" w:rsidP="00086666">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Included</w:t>
            </w:r>
          </w:p>
        </w:tc>
        <w:tc>
          <w:tcPr>
            <w:tcW w:w="0" w:type="auto"/>
          </w:tcPr>
          <w:p w14:paraId="48335828" w14:textId="4CDF8189" w:rsidR="00086666" w:rsidRPr="00352FB3" w:rsidRDefault="00086666" w:rsidP="00086666">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Included</w:t>
            </w:r>
          </w:p>
        </w:tc>
      </w:tr>
      <w:tr w:rsidR="00086666" w:rsidRPr="00352FB3" w14:paraId="3C03C226" w14:textId="74C9D1F1" w:rsidTr="00857BA8">
        <w:trPr>
          <w:trHeight w:val="47"/>
          <w:jc w:val="center"/>
        </w:trPr>
        <w:tc>
          <w:tcPr>
            <w:tcW w:w="0" w:type="auto"/>
            <w:tcBorders>
              <w:bottom w:val="single" w:sz="12" w:space="0" w:color="auto"/>
              <w:right w:val="single" w:sz="12" w:space="0" w:color="auto"/>
            </w:tcBorders>
            <w:noWrap/>
          </w:tcPr>
          <w:p w14:paraId="2E249877" w14:textId="77777777" w:rsidR="00086666" w:rsidRPr="00352FB3" w:rsidRDefault="00086666" w:rsidP="00086666">
            <w:pPr>
              <w:ind w:left="-63"/>
              <w:jc w:val="both"/>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IRY</w:t>
            </w:r>
          </w:p>
        </w:tc>
        <w:tc>
          <w:tcPr>
            <w:tcW w:w="0" w:type="auto"/>
            <w:tcBorders>
              <w:bottom w:val="single" w:sz="12" w:space="0" w:color="auto"/>
            </w:tcBorders>
          </w:tcPr>
          <w:p w14:paraId="1725E51A" w14:textId="77777777" w:rsidR="00086666" w:rsidRPr="00352FB3" w:rsidRDefault="00086666" w:rsidP="00086666">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Included</w:t>
            </w:r>
          </w:p>
        </w:tc>
        <w:tc>
          <w:tcPr>
            <w:tcW w:w="0" w:type="auto"/>
            <w:tcBorders>
              <w:bottom w:val="single" w:sz="12" w:space="0" w:color="auto"/>
            </w:tcBorders>
          </w:tcPr>
          <w:p w14:paraId="23D2E306" w14:textId="77777777" w:rsidR="00086666" w:rsidRPr="00352FB3" w:rsidRDefault="00086666" w:rsidP="00086666">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Included</w:t>
            </w:r>
          </w:p>
        </w:tc>
        <w:tc>
          <w:tcPr>
            <w:tcW w:w="0" w:type="auto"/>
            <w:tcBorders>
              <w:bottom w:val="single" w:sz="12" w:space="0" w:color="auto"/>
            </w:tcBorders>
          </w:tcPr>
          <w:p w14:paraId="6EE67FA4" w14:textId="3DB60794" w:rsidR="00086666" w:rsidRPr="000972D1" w:rsidRDefault="00086666" w:rsidP="00086666">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Included</w:t>
            </w:r>
          </w:p>
        </w:tc>
        <w:tc>
          <w:tcPr>
            <w:tcW w:w="0" w:type="auto"/>
            <w:tcBorders>
              <w:bottom w:val="single" w:sz="12" w:space="0" w:color="auto"/>
            </w:tcBorders>
          </w:tcPr>
          <w:p w14:paraId="762AD4B8" w14:textId="0B4D8AF7" w:rsidR="00086666" w:rsidRPr="000972D1" w:rsidRDefault="00086666" w:rsidP="00086666">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Included</w:t>
            </w:r>
          </w:p>
        </w:tc>
        <w:tc>
          <w:tcPr>
            <w:tcW w:w="0" w:type="auto"/>
            <w:tcBorders>
              <w:bottom w:val="single" w:sz="12" w:space="0" w:color="auto"/>
            </w:tcBorders>
          </w:tcPr>
          <w:p w14:paraId="6C5C2914" w14:textId="49A5BC04" w:rsidR="00086666" w:rsidRPr="00352FB3" w:rsidRDefault="00086666" w:rsidP="00086666">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Included</w:t>
            </w:r>
          </w:p>
        </w:tc>
        <w:tc>
          <w:tcPr>
            <w:tcW w:w="0" w:type="auto"/>
            <w:tcBorders>
              <w:bottom w:val="single" w:sz="12" w:space="0" w:color="auto"/>
            </w:tcBorders>
          </w:tcPr>
          <w:p w14:paraId="26A0E48B" w14:textId="77777777" w:rsidR="00086666" w:rsidRPr="00352FB3" w:rsidRDefault="00086666" w:rsidP="00086666">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Included</w:t>
            </w:r>
          </w:p>
        </w:tc>
        <w:tc>
          <w:tcPr>
            <w:tcW w:w="0" w:type="auto"/>
            <w:tcBorders>
              <w:bottom w:val="single" w:sz="12" w:space="0" w:color="auto"/>
            </w:tcBorders>
          </w:tcPr>
          <w:p w14:paraId="056C8124" w14:textId="77777777" w:rsidR="00086666" w:rsidRPr="00352FB3" w:rsidRDefault="00086666" w:rsidP="00086666">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Included</w:t>
            </w:r>
          </w:p>
        </w:tc>
        <w:tc>
          <w:tcPr>
            <w:tcW w:w="0" w:type="auto"/>
            <w:tcBorders>
              <w:bottom w:val="single" w:sz="12" w:space="0" w:color="auto"/>
            </w:tcBorders>
          </w:tcPr>
          <w:p w14:paraId="2EA2F0FC" w14:textId="77777777" w:rsidR="00086666" w:rsidRPr="00352FB3" w:rsidRDefault="00086666" w:rsidP="00086666">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Included</w:t>
            </w:r>
          </w:p>
        </w:tc>
        <w:tc>
          <w:tcPr>
            <w:tcW w:w="0" w:type="auto"/>
            <w:tcBorders>
              <w:bottom w:val="single" w:sz="12" w:space="0" w:color="auto"/>
            </w:tcBorders>
          </w:tcPr>
          <w:p w14:paraId="7D87FB77" w14:textId="0A43973D" w:rsidR="00086666" w:rsidRPr="00352FB3" w:rsidRDefault="00086666" w:rsidP="00086666">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Included</w:t>
            </w:r>
          </w:p>
        </w:tc>
      </w:tr>
      <w:tr w:rsidR="00D451E3" w:rsidRPr="00352FB3" w14:paraId="77266CBA" w14:textId="64C6FA3E" w:rsidTr="00857BA8">
        <w:trPr>
          <w:trHeight w:val="120"/>
          <w:jc w:val="center"/>
        </w:trPr>
        <w:tc>
          <w:tcPr>
            <w:tcW w:w="0" w:type="auto"/>
            <w:tcBorders>
              <w:top w:val="single" w:sz="12" w:space="0" w:color="auto"/>
              <w:right w:val="single" w:sz="12" w:space="0" w:color="auto"/>
            </w:tcBorders>
            <w:noWrap/>
          </w:tcPr>
          <w:p w14:paraId="773BF408" w14:textId="77777777" w:rsidR="00D451E3" w:rsidRPr="00352FB3" w:rsidRDefault="00D451E3" w:rsidP="00E862EA">
            <w:pPr>
              <w:ind w:left="-63"/>
              <w:jc w:val="both"/>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 xml:space="preserve">Constant </w:t>
            </w:r>
          </w:p>
        </w:tc>
        <w:tc>
          <w:tcPr>
            <w:tcW w:w="0" w:type="auto"/>
            <w:tcBorders>
              <w:top w:val="single" w:sz="12" w:space="0" w:color="auto"/>
            </w:tcBorders>
          </w:tcPr>
          <w:p w14:paraId="384E2DAA" w14:textId="4335C99C"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-10.886***</w:t>
            </w:r>
          </w:p>
        </w:tc>
        <w:tc>
          <w:tcPr>
            <w:tcW w:w="0" w:type="auto"/>
            <w:tcBorders>
              <w:top w:val="single" w:sz="12" w:space="0" w:color="auto"/>
            </w:tcBorders>
          </w:tcPr>
          <w:p w14:paraId="2A3A9AEA" w14:textId="6AC4BF5E" w:rsidR="00D451E3" w:rsidRPr="00352FB3" w:rsidRDefault="00D451E3" w:rsidP="00CE0C84">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2.941***</w:t>
            </w:r>
          </w:p>
        </w:tc>
        <w:tc>
          <w:tcPr>
            <w:tcW w:w="0" w:type="auto"/>
            <w:tcBorders>
              <w:top w:val="single" w:sz="12" w:space="0" w:color="auto"/>
            </w:tcBorders>
          </w:tcPr>
          <w:p w14:paraId="0AF2AD52" w14:textId="4E566D47" w:rsidR="00D451E3" w:rsidRPr="000972D1" w:rsidRDefault="00086666" w:rsidP="00086666">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-4.403**</w:t>
            </w:r>
          </w:p>
        </w:tc>
        <w:tc>
          <w:tcPr>
            <w:tcW w:w="0" w:type="auto"/>
            <w:tcBorders>
              <w:top w:val="single" w:sz="12" w:space="0" w:color="auto"/>
            </w:tcBorders>
          </w:tcPr>
          <w:p w14:paraId="0F3E6A7E" w14:textId="3A32E264" w:rsidR="00D451E3" w:rsidRPr="000972D1" w:rsidRDefault="00DF1EEC" w:rsidP="00E862EA">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3.542***</w:t>
            </w:r>
          </w:p>
        </w:tc>
        <w:tc>
          <w:tcPr>
            <w:tcW w:w="0" w:type="auto"/>
            <w:tcBorders>
              <w:top w:val="single" w:sz="12" w:space="0" w:color="auto"/>
            </w:tcBorders>
          </w:tcPr>
          <w:p w14:paraId="2555D9C7" w14:textId="642F8CEE"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-6.878***</w:t>
            </w:r>
          </w:p>
        </w:tc>
        <w:tc>
          <w:tcPr>
            <w:tcW w:w="0" w:type="auto"/>
            <w:tcBorders>
              <w:top w:val="single" w:sz="12" w:space="0" w:color="auto"/>
            </w:tcBorders>
          </w:tcPr>
          <w:p w14:paraId="699067CE" w14:textId="15F6B8A8"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3.910***</w:t>
            </w:r>
          </w:p>
        </w:tc>
        <w:tc>
          <w:tcPr>
            <w:tcW w:w="0" w:type="auto"/>
            <w:tcBorders>
              <w:top w:val="single" w:sz="12" w:space="0" w:color="auto"/>
            </w:tcBorders>
          </w:tcPr>
          <w:p w14:paraId="63EB32BC" w14:textId="33D2076F"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-22.007***</w:t>
            </w:r>
          </w:p>
        </w:tc>
        <w:tc>
          <w:tcPr>
            <w:tcW w:w="0" w:type="auto"/>
            <w:tcBorders>
              <w:top w:val="single" w:sz="12" w:space="0" w:color="auto"/>
            </w:tcBorders>
          </w:tcPr>
          <w:p w14:paraId="51063B86" w14:textId="5D46CDD2"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2.618***</w:t>
            </w:r>
          </w:p>
        </w:tc>
        <w:tc>
          <w:tcPr>
            <w:tcW w:w="0" w:type="auto"/>
            <w:tcBorders>
              <w:top w:val="single" w:sz="12" w:space="0" w:color="auto"/>
            </w:tcBorders>
          </w:tcPr>
          <w:p w14:paraId="407AF9A9" w14:textId="6342BC3A"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4.841***</w:t>
            </w:r>
          </w:p>
        </w:tc>
      </w:tr>
      <w:tr w:rsidR="00D451E3" w:rsidRPr="00352FB3" w14:paraId="4C556C2F" w14:textId="77777777" w:rsidTr="00857BA8">
        <w:trPr>
          <w:trHeight w:val="47"/>
          <w:jc w:val="center"/>
        </w:trPr>
        <w:tc>
          <w:tcPr>
            <w:tcW w:w="0" w:type="auto"/>
            <w:tcBorders>
              <w:right w:val="single" w:sz="12" w:space="0" w:color="auto"/>
            </w:tcBorders>
            <w:noWrap/>
          </w:tcPr>
          <w:p w14:paraId="65EE4E72" w14:textId="206CC8E6" w:rsidR="00D451E3" w:rsidRPr="00352FB3" w:rsidRDefault="00D451E3" w:rsidP="00560289">
            <w:pPr>
              <w:ind w:left="-63"/>
              <w:jc w:val="both"/>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F-value</w:t>
            </w:r>
          </w:p>
        </w:tc>
        <w:tc>
          <w:tcPr>
            <w:tcW w:w="0" w:type="auto"/>
          </w:tcPr>
          <w:p w14:paraId="024445DB" w14:textId="0863D07D" w:rsidR="00D451E3" w:rsidRPr="00352FB3" w:rsidRDefault="00D451E3" w:rsidP="00560289">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w:t>
            </w:r>
          </w:p>
        </w:tc>
        <w:tc>
          <w:tcPr>
            <w:tcW w:w="0" w:type="auto"/>
          </w:tcPr>
          <w:p w14:paraId="10389F41" w14:textId="1321EE5C" w:rsidR="00D451E3" w:rsidRPr="00352FB3" w:rsidRDefault="00D451E3" w:rsidP="00560289">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42.63***</w:t>
            </w:r>
          </w:p>
        </w:tc>
        <w:tc>
          <w:tcPr>
            <w:tcW w:w="0" w:type="auto"/>
          </w:tcPr>
          <w:p w14:paraId="2FC1F53C" w14:textId="15F9EF36" w:rsidR="00D451E3" w:rsidRPr="000972D1" w:rsidRDefault="00086666" w:rsidP="00560289">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c>
          <w:tcPr>
            <w:tcW w:w="0" w:type="auto"/>
          </w:tcPr>
          <w:p w14:paraId="189252BF" w14:textId="740132FA" w:rsidR="00D451E3" w:rsidRPr="000972D1" w:rsidRDefault="00DF1EEC" w:rsidP="00560289">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49.52***</w:t>
            </w:r>
          </w:p>
        </w:tc>
        <w:tc>
          <w:tcPr>
            <w:tcW w:w="0" w:type="auto"/>
          </w:tcPr>
          <w:p w14:paraId="67423909" w14:textId="19A2E0AF" w:rsidR="00D451E3" w:rsidRPr="00352FB3" w:rsidRDefault="00D451E3" w:rsidP="00560289">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w:t>
            </w:r>
          </w:p>
        </w:tc>
        <w:tc>
          <w:tcPr>
            <w:tcW w:w="0" w:type="auto"/>
          </w:tcPr>
          <w:p w14:paraId="7292F67E" w14:textId="5A3E83CF" w:rsidR="00D451E3" w:rsidRPr="00352FB3" w:rsidRDefault="00D451E3" w:rsidP="00346544">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10.81***</w:t>
            </w:r>
          </w:p>
        </w:tc>
        <w:tc>
          <w:tcPr>
            <w:tcW w:w="0" w:type="auto"/>
          </w:tcPr>
          <w:p w14:paraId="0B073304" w14:textId="6762158D" w:rsidR="00D451E3" w:rsidRPr="00352FB3" w:rsidRDefault="00D451E3" w:rsidP="00560289">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w:t>
            </w:r>
          </w:p>
        </w:tc>
        <w:tc>
          <w:tcPr>
            <w:tcW w:w="0" w:type="auto"/>
          </w:tcPr>
          <w:p w14:paraId="2E3CE204" w14:textId="180AB12D" w:rsidR="00D451E3" w:rsidRPr="00352FB3" w:rsidRDefault="00D451E3" w:rsidP="00560289">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18.82***</w:t>
            </w:r>
          </w:p>
        </w:tc>
        <w:tc>
          <w:tcPr>
            <w:tcW w:w="0" w:type="auto"/>
          </w:tcPr>
          <w:p w14:paraId="70B78AD1" w14:textId="506239CB" w:rsidR="00D451E3" w:rsidRPr="00352FB3" w:rsidRDefault="00D451E3" w:rsidP="00560289">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171.54***</w:t>
            </w:r>
          </w:p>
        </w:tc>
      </w:tr>
      <w:tr w:rsidR="00D451E3" w:rsidRPr="00352FB3" w14:paraId="32F91F81" w14:textId="48C899C4" w:rsidTr="00857BA8">
        <w:trPr>
          <w:trHeight w:val="47"/>
          <w:jc w:val="center"/>
        </w:trPr>
        <w:tc>
          <w:tcPr>
            <w:tcW w:w="0" w:type="auto"/>
            <w:tcBorders>
              <w:right w:val="single" w:sz="12" w:space="0" w:color="auto"/>
            </w:tcBorders>
            <w:noWrap/>
          </w:tcPr>
          <w:p w14:paraId="18260EBD" w14:textId="77777777" w:rsidR="00D451E3" w:rsidRPr="00352FB3" w:rsidRDefault="00D451E3" w:rsidP="00E862EA">
            <w:pPr>
              <w:ind w:left="-63"/>
              <w:jc w:val="both"/>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Chi-square</w:t>
            </w:r>
          </w:p>
        </w:tc>
        <w:tc>
          <w:tcPr>
            <w:tcW w:w="0" w:type="auto"/>
          </w:tcPr>
          <w:p w14:paraId="7B730E2B" w14:textId="3B4EB8FE"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253.69***</w:t>
            </w:r>
          </w:p>
        </w:tc>
        <w:tc>
          <w:tcPr>
            <w:tcW w:w="0" w:type="auto"/>
          </w:tcPr>
          <w:p w14:paraId="07F37445" w14:textId="77777777"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w:t>
            </w:r>
          </w:p>
        </w:tc>
        <w:tc>
          <w:tcPr>
            <w:tcW w:w="0" w:type="auto"/>
          </w:tcPr>
          <w:p w14:paraId="2D0BCCAC" w14:textId="21587A68" w:rsidR="00D451E3" w:rsidRPr="000972D1" w:rsidRDefault="00086666" w:rsidP="00E862EA">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124.75***</w:t>
            </w:r>
          </w:p>
        </w:tc>
        <w:tc>
          <w:tcPr>
            <w:tcW w:w="0" w:type="auto"/>
          </w:tcPr>
          <w:p w14:paraId="1E3014C6" w14:textId="6D0D866C" w:rsidR="00D451E3" w:rsidRPr="000972D1" w:rsidRDefault="00DF1EEC" w:rsidP="00E862EA">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c>
          <w:tcPr>
            <w:tcW w:w="0" w:type="auto"/>
          </w:tcPr>
          <w:p w14:paraId="21C03D3B" w14:textId="407D3391"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92.32***</w:t>
            </w:r>
          </w:p>
        </w:tc>
        <w:tc>
          <w:tcPr>
            <w:tcW w:w="0" w:type="auto"/>
          </w:tcPr>
          <w:p w14:paraId="66F9C2D1" w14:textId="77777777"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w:t>
            </w:r>
          </w:p>
        </w:tc>
        <w:tc>
          <w:tcPr>
            <w:tcW w:w="0" w:type="auto"/>
          </w:tcPr>
          <w:p w14:paraId="16B3C995" w14:textId="4DAB2346"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157.51***</w:t>
            </w:r>
          </w:p>
        </w:tc>
        <w:tc>
          <w:tcPr>
            <w:tcW w:w="0" w:type="auto"/>
          </w:tcPr>
          <w:p w14:paraId="0A492410" w14:textId="77777777"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w:t>
            </w:r>
          </w:p>
        </w:tc>
        <w:tc>
          <w:tcPr>
            <w:tcW w:w="0" w:type="auto"/>
          </w:tcPr>
          <w:p w14:paraId="52BFD815" w14:textId="565318CC"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w:t>
            </w:r>
          </w:p>
        </w:tc>
      </w:tr>
      <w:tr w:rsidR="00D451E3" w:rsidRPr="00352FB3" w14:paraId="794251CC" w14:textId="24D17C57" w:rsidTr="00857BA8">
        <w:trPr>
          <w:trHeight w:val="47"/>
          <w:jc w:val="center"/>
        </w:trPr>
        <w:tc>
          <w:tcPr>
            <w:tcW w:w="0" w:type="auto"/>
            <w:tcBorders>
              <w:right w:val="single" w:sz="12" w:space="0" w:color="auto"/>
            </w:tcBorders>
            <w:noWrap/>
          </w:tcPr>
          <w:p w14:paraId="1A3A595A" w14:textId="7C172778" w:rsidR="00D451E3" w:rsidRPr="00352FB3" w:rsidRDefault="00D451E3" w:rsidP="00560289">
            <w:pPr>
              <w:ind w:left="-63"/>
              <w:jc w:val="both"/>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Adjusted R</w:t>
            </w:r>
            <w:r w:rsidRPr="00352FB3">
              <w:rPr>
                <w:rFonts w:ascii="Times New Roman" w:eastAsia="Times New Roman" w:hAnsi="Times New Roman" w:cs="Times New Roman"/>
                <w:sz w:val="16"/>
                <w:szCs w:val="16"/>
                <w:shd w:val="clear" w:color="auto" w:fill="FFFFFF"/>
                <w:vertAlign w:val="superscript"/>
                <w:lang w:val="en-US"/>
              </w:rPr>
              <w:t>2</w:t>
            </w:r>
          </w:p>
        </w:tc>
        <w:tc>
          <w:tcPr>
            <w:tcW w:w="0" w:type="auto"/>
          </w:tcPr>
          <w:p w14:paraId="36E33D56" w14:textId="1F522599" w:rsidR="00D451E3" w:rsidRPr="00352FB3" w:rsidRDefault="00D451E3" w:rsidP="00560289">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w:t>
            </w:r>
          </w:p>
        </w:tc>
        <w:tc>
          <w:tcPr>
            <w:tcW w:w="0" w:type="auto"/>
          </w:tcPr>
          <w:p w14:paraId="46B4CDBB" w14:textId="1C92CC29" w:rsidR="00D451E3" w:rsidRPr="00352FB3" w:rsidRDefault="00D451E3" w:rsidP="00560289">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73.41%</w:t>
            </w:r>
          </w:p>
        </w:tc>
        <w:tc>
          <w:tcPr>
            <w:tcW w:w="0" w:type="auto"/>
          </w:tcPr>
          <w:p w14:paraId="78E38ECD" w14:textId="5A5CB721" w:rsidR="00D451E3" w:rsidRPr="000972D1" w:rsidRDefault="00086666" w:rsidP="00560289">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c>
          <w:tcPr>
            <w:tcW w:w="0" w:type="auto"/>
          </w:tcPr>
          <w:p w14:paraId="64A5615A" w14:textId="3AEAC2C3" w:rsidR="00D451E3" w:rsidRPr="000972D1" w:rsidRDefault="00DF1EEC" w:rsidP="00560289">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73.64%</w:t>
            </w:r>
          </w:p>
        </w:tc>
        <w:tc>
          <w:tcPr>
            <w:tcW w:w="0" w:type="auto"/>
          </w:tcPr>
          <w:p w14:paraId="21454F55" w14:textId="3599B444" w:rsidR="00D451E3" w:rsidRPr="00352FB3" w:rsidRDefault="00D451E3" w:rsidP="00560289">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w:t>
            </w:r>
          </w:p>
        </w:tc>
        <w:tc>
          <w:tcPr>
            <w:tcW w:w="0" w:type="auto"/>
          </w:tcPr>
          <w:p w14:paraId="7B0145E5" w14:textId="3B3A96EF" w:rsidR="00D451E3" w:rsidRPr="00352FB3" w:rsidRDefault="00D451E3" w:rsidP="00560289">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52.14%</w:t>
            </w:r>
          </w:p>
        </w:tc>
        <w:tc>
          <w:tcPr>
            <w:tcW w:w="0" w:type="auto"/>
          </w:tcPr>
          <w:p w14:paraId="7AE3501C" w14:textId="38C0E98B" w:rsidR="00D451E3" w:rsidRPr="00352FB3" w:rsidRDefault="00D451E3" w:rsidP="00560289">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w:t>
            </w:r>
          </w:p>
        </w:tc>
        <w:tc>
          <w:tcPr>
            <w:tcW w:w="0" w:type="auto"/>
          </w:tcPr>
          <w:p w14:paraId="7D852DFE" w14:textId="2A8F5DC5" w:rsidR="00D451E3" w:rsidRPr="00352FB3" w:rsidRDefault="00D451E3" w:rsidP="00560289">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67.28%</w:t>
            </w:r>
          </w:p>
        </w:tc>
        <w:tc>
          <w:tcPr>
            <w:tcW w:w="0" w:type="auto"/>
          </w:tcPr>
          <w:p w14:paraId="139BDFDD" w14:textId="1204935C" w:rsidR="00D451E3" w:rsidRPr="00352FB3" w:rsidRDefault="00D451E3" w:rsidP="00560289">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91.34%</w:t>
            </w:r>
          </w:p>
        </w:tc>
      </w:tr>
      <w:tr w:rsidR="00D451E3" w:rsidRPr="00352FB3" w14:paraId="466F4AC0" w14:textId="5DE7D4FC" w:rsidTr="00857BA8">
        <w:trPr>
          <w:trHeight w:val="47"/>
          <w:jc w:val="center"/>
        </w:trPr>
        <w:tc>
          <w:tcPr>
            <w:tcW w:w="0" w:type="auto"/>
            <w:tcBorders>
              <w:right w:val="single" w:sz="12" w:space="0" w:color="auto"/>
            </w:tcBorders>
            <w:noWrap/>
          </w:tcPr>
          <w:p w14:paraId="0048E7F0" w14:textId="1114F712" w:rsidR="00D451E3" w:rsidRPr="00352FB3" w:rsidRDefault="00D451E3" w:rsidP="00560289">
            <w:pPr>
              <w:ind w:left="-63"/>
              <w:jc w:val="both"/>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 xml:space="preserve">Pseudo R2  </w:t>
            </w:r>
          </w:p>
        </w:tc>
        <w:tc>
          <w:tcPr>
            <w:tcW w:w="0" w:type="auto"/>
          </w:tcPr>
          <w:p w14:paraId="0571C144" w14:textId="008B5460" w:rsidR="00D451E3" w:rsidRPr="00352FB3" w:rsidRDefault="00D451E3" w:rsidP="00560289">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37.52%</w:t>
            </w:r>
          </w:p>
        </w:tc>
        <w:tc>
          <w:tcPr>
            <w:tcW w:w="0" w:type="auto"/>
          </w:tcPr>
          <w:p w14:paraId="780FFD34" w14:textId="694C1D93" w:rsidR="00D451E3" w:rsidRPr="00352FB3" w:rsidRDefault="00D451E3" w:rsidP="00560289">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w:t>
            </w:r>
          </w:p>
        </w:tc>
        <w:tc>
          <w:tcPr>
            <w:tcW w:w="0" w:type="auto"/>
          </w:tcPr>
          <w:p w14:paraId="5049DDAA" w14:textId="31EA548A" w:rsidR="00D451E3" w:rsidRPr="000972D1" w:rsidRDefault="00086666" w:rsidP="00560289">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22.54</w:t>
            </w:r>
          </w:p>
        </w:tc>
        <w:tc>
          <w:tcPr>
            <w:tcW w:w="0" w:type="auto"/>
          </w:tcPr>
          <w:p w14:paraId="5EA12A41" w14:textId="5B3E9179" w:rsidR="00D451E3" w:rsidRPr="000972D1" w:rsidRDefault="00DF1EEC" w:rsidP="00560289">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w:t>
            </w:r>
          </w:p>
        </w:tc>
        <w:tc>
          <w:tcPr>
            <w:tcW w:w="0" w:type="auto"/>
          </w:tcPr>
          <w:p w14:paraId="1871BA3D" w14:textId="3794B2EE" w:rsidR="00D451E3" w:rsidRPr="00352FB3" w:rsidRDefault="00D451E3" w:rsidP="00560289">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22.96%</w:t>
            </w:r>
          </w:p>
        </w:tc>
        <w:tc>
          <w:tcPr>
            <w:tcW w:w="0" w:type="auto"/>
          </w:tcPr>
          <w:p w14:paraId="5E0283DC" w14:textId="290DF343" w:rsidR="00D451E3" w:rsidRPr="00352FB3" w:rsidRDefault="00D451E3" w:rsidP="00560289">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w:t>
            </w:r>
          </w:p>
        </w:tc>
        <w:tc>
          <w:tcPr>
            <w:tcW w:w="0" w:type="auto"/>
          </w:tcPr>
          <w:p w14:paraId="218976A0" w14:textId="5B6376B8" w:rsidR="00D451E3" w:rsidRPr="00352FB3" w:rsidRDefault="00D451E3" w:rsidP="00560289">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50.23%</w:t>
            </w:r>
          </w:p>
        </w:tc>
        <w:tc>
          <w:tcPr>
            <w:tcW w:w="0" w:type="auto"/>
          </w:tcPr>
          <w:p w14:paraId="31989A96" w14:textId="29B4C222" w:rsidR="00D451E3" w:rsidRPr="00352FB3" w:rsidRDefault="00D451E3" w:rsidP="00560289">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w:t>
            </w:r>
          </w:p>
        </w:tc>
        <w:tc>
          <w:tcPr>
            <w:tcW w:w="0" w:type="auto"/>
          </w:tcPr>
          <w:p w14:paraId="21E2AE20" w14:textId="16884BD3" w:rsidR="00D451E3" w:rsidRPr="00352FB3" w:rsidRDefault="00D451E3" w:rsidP="00560289">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w:t>
            </w:r>
          </w:p>
        </w:tc>
      </w:tr>
      <w:tr w:rsidR="00D451E3" w:rsidRPr="00352FB3" w14:paraId="5A6CBE82" w14:textId="12E27FC1" w:rsidTr="00857BA8">
        <w:trPr>
          <w:trHeight w:val="59"/>
          <w:jc w:val="center"/>
        </w:trPr>
        <w:tc>
          <w:tcPr>
            <w:tcW w:w="0" w:type="auto"/>
            <w:tcBorders>
              <w:bottom w:val="single" w:sz="12" w:space="0" w:color="auto"/>
              <w:right w:val="single" w:sz="12" w:space="0" w:color="auto"/>
            </w:tcBorders>
            <w:noWrap/>
          </w:tcPr>
          <w:p w14:paraId="00278CDD" w14:textId="77777777" w:rsidR="00D451E3" w:rsidRPr="00352FB3" w:rsidRDefault="00D451E3" w:rsidP="00E862EA">
            <w:pPr>
              <w:ind w:left="-63"/>
              <w:jc w:val="both"/>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No. of observations</w:t>
            </w:r>
          </w:p>
        </w:tc>
        <w:tc>
          <w:tcPr>
            <w:tcW w:w="0" w:type="auto"/>
            <w:tcBorders>
              <w:bottom w:val="single" w:sz="12" w:space="0" w:color="auto"/>
            </w:tcBorders>
          </w:tcPr>
          <w:p w14:paraId="50395635" w14:textId="77777777"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600</w:t>
            </w:r>
          </w:p>
        </w:tc>
        <w:tc>
          <w:tcPr>
            <w:tcW w:w="0" w:type="auto"/>
            <w:tcBorders>
              <w:bottom w:val="single" w:sz="12" w:space="0" w:color="auto"/>
            </w:tcBorders>
          </w:tcPr>
          <w:p w14:paraId="42AD044C" w14:textId="77777777"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470</w:t>
            </w:r>
          </w:p>
        </w:tc>
        <w:tc>
          <w:tcPr>
            <w:tcW w:w="0" w:type="auto"/>
            <w:tcBorders>
              <w:bottom w:val="single" w:sz="12" w:space="0" w:color="auto"/>
            </w:tcBorders>
          </w:tcPr>
          <w:p w14:paraId="1FDC707C" w14:textId="05BA0D06" w:rsidR="00D451E3" w:rsidRPr="000972D1" w:rsidRDefault="00086666" w:rsidP="00E862EA">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600</w:t>
            </w:r>
          </w:p>
        </w:tc>
        <w:tc>
          <w:tcPr>
            <w:tcW w:w="0" w:type="auto"/>
            <w:tcBorders>
              <w:bottom w:val="single" w:sz="12" w:space="0" w:color="auto"/>
            </w:tcBorders>
          </w:tcPr>
          <w:p w14:paraId="6B296A3C" w14:textId="0A5FB89C" w:rsidR="00D451E3" w:rsidRPr="000972D1" w:rsidRDefault="00DF1EEC" w:rsidP="00E862EA">
            <w:pPr>
              <w:jc w:val="center"/>
              <w:rPr>
                <w:rFonts w:ascii="Times New Roman" w:eastAsia="Times New Roman" w:hAnsi="Times New Roman" w:cs="Times New Roman"/>
                <w:sz w:val="16"/>
                <w:szCs w:val="16"/>
                <w:shd w:val="clear" w:color="auto" w:fill="FFFFFF"/>
                <w:lang w:val="en-US"/>
              </w:rPr>
            </w:pPr>
            <w:r w:rsidRPr="000972D1">
              <w:rPr>
                <w:rFonts w:ascii="Times New Roman" w:eastAsia="Times New Roman" w:hAnsi="Times New Roman" w:cs="Times New Roman"/>
                <w:sz w:val="16"/>
                <w:szCs w:val="16"/>
                <w:shd w:val="clear" w:color="auto" w:fill="FFFFFF"/>
                <w:lang w:val="en-US"/>
              </w:rPr>
              <w:t>470</w:t>
            </w:r>
          </w:p>
        </w:tc>
        <w:tc>
          <w:tcPr>
            <w:tcW w:w="0" w:type="auto"/>
            <w:tcBorders>
              <w:bottom w:val="single" w:sz="12" w:space="0" w:color="auto"/>
            </w:tcBorders>
          </w:tcPr>
          <w:p w14:paraId="028AB7AC" w14:textId="67DED8A0"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300</w:t>
            </w:r>
          </w:p>
        </w:tc>
        <w:tc>
          <w:tcPr>
            <w:tcW w:w="0" w:type="auto"/>
            <w:tcBorders>
              <w:bottom w:val="single" w:sz="12" w:space="0" w:color="auto"/>
            </w:tcBorders>
          </w:tcPr>
          <w:p w14:paraId="1EB4EFB8" w14:textId="77777777"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235</w:t>
            </w:r>
          </w:p>
        </w:tc>
        <w:tc>
          <w:tcPr>
            <w:tcW w:w="0" w:type="auto"/>
            <w:tcBorders>
              <w:bottom w:val="single" w:sz="12" w:space="0" w:color="auto"/>
            </w:tcBorders>
          </w:tcPr>
          <w:p w14:paraId="1E5D1C19" w14:textId="77777777"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300</w:t>
            </w:r>
          </w:p>
        </w:tc>
        <w:tc>
          <w:tcPr>
            <w:tcW w:w="0" w:type="auto"/>
            <w:tcBorders>
              <w:bottom w:val="single" w:sz="12" w:space="0" w:color="auto"/>
            </w:tcBorders>
          </w:tcPr>
          <w:p w14:paraId="750BA2AD" w14:textId="77777777"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235</w:t>
            </w:r>
          </w:p>
        </w:tc>
        <w:tc>
          <w:tcPr>
            <w:tcW w:w="0" w:type="auto"/>
            <w:tcBorders>
              <w:bottom w:val="single" w:sz="12" w:space="0" w:color="auto"/>
            </w:tcBorders>
          </w:tcPr>
          <w:p w14:paraId="164BD52D" w14:textId="478B1016" w:rsidR="00D451E3" w:rsidRPr="00352FB3" w:rsidRDefault="00D451E3" w:rsidP="00E862EA">
            <w:pPr>
              <w:jc w:val="center"/>
              <w:rPr>
                <w:rFonts w:ascii="Times New Roman" w:eastAsia="Times New Roman" w:hAnsi="Times New Roman" w:cs="Times New Roman"/>
                <w:sz w:val="16"/>
                <w:szCs w:val="16"/>
                <w:shd w:val="clear" w:color="auto" w:fill="FFFFFF"/>
                <w:lang w:val="en-US"/>
              </w:rPr>
            </w:pPr>
            <w:r w:rsidRPr="00352FB3">
              <w:rPr>
                <w:rFonts w:ascii="Times New Roman" w:eastAsia="Times New Roman" w:hAnsi="Times New Roman" w:cs="Times New Roman"/>
                <w:sz w:val="16"/>
                <w:szCs w:val="16"/>
                <w:shd w:val="clear" w:color="auto" w:fill="FFFFFF"/>
                <w:lang w:val="en-US"/>
              </w:rPr>
              <w:t>470</w:t>
            </w:r>
          </w:p>
        </w:tc>
      </w:tr>
    </w:tbl>
    <w:p w14:paraId="4BA93D41" w14:textId="77777777" w:rsidR="00A7713B" w:rsidRPr="00352FB3" w:rsidRDefault="00A7713B" w:rsidP="000F3297">
      <w:pPr>
        <w:spacing w:after="0" w:line="240" w:lineRule="auto"/>
        <w:ind w:left="142" w:hanging="142"/>
        <w:jc w:val="both"/>
        <w:rPr>
          <w:rFonts w:ascii="Times New Roman" w:eastAsia="Calibri" w:hAnsi="Times New Roman" w:cs="Times New Roman"/>
          <w:sz w:val="19"/>
          <w:szCs w:val="19"/>
          <w:lang w:eastAsia="en-US"/>
        </w:rPr>
      </w:pPr>
    </w:p>
    <w:p w14:paraId="1BB21106" w14:textId="55469D59" w:rsidR="00FD5ECD" w:rsidRPr="00352FB3" w:rsidRDefault="00FD5ECD" w:rsidP="00B822D5">
      <w:pPr>
        <w:spacing w:after="0" w:line="240" w:lineRule="auto"/>
        <w:ind w:right="-1"/>
        <w:jc w:val="lowKashida"/>
        <w:rPr>
          <w:rFonts w:ascii="Times New Roman" w:eastAsia="Times New Roman" w:hAnsi="Times New Roman" w:cs="Times New Roman"/>
          <w:bCs/>
          <w:iCs/>
          <w:sz w:val="20"/>
          <w:szCs w:val="20"/>
          <w:shd w:val="clear" w:color="auto" w:fill="FFFFFF"/>
          <w:lang w:val="en-US"/>
        </w:rPr>
      </w:pPr>
      <w:r w:rsidRPr="00352FB3">
        <w:rPr>
          <w:rFonts w:ascii="Times New Roman" w:eastAsia="Times New Roman" w:hAnsi="Times New Roman" w:cs="Times New Roman"/>
          <w:bCs/>
          <w:iCs/>
          <w:sz w:val="20"/>
          <w:szCs w:val="20"/>
          <w:shd w:val="clear" w:color="auto" w:fill="FFFFFF"/>
        </w:rPr>
        <w:t>Variables’ definitions:</w:t>
      </w:r>
      <w:r w:rsidR="00F77A5F" w:rsidRPr="00352FB3">
        <w:rPr>
          <w:rFonts w:ascii="Times New Roman" w:eastAsia="Times New Roman" w:hAnsi="Times New Roman" w:cs="Times New Roman"/>
          <w:bCs/>
          <w:iCs/>
          <w:sz w:val="20"/>
          <w:szCs w:val="20"/>
          <w:shd w:val="clear" w:color="auto" w:fill="FFFFFF"/>
        </w:rPr>
        <w:t xml:space="preserve"> </w:t>
      </w:r>
      <w:r w:rsidR="00B001BD" w:rsidRPr="00352FB3">
        <w:rPr>
          <w:rFonts w:ascii="Times New Roman" w:eastAsia="Times New Roman" w:hAnsi="Times New Roman" w:cs="Times New Roman"/>
          <w:bCs/>
          <w:iCs/>
          <w:sz w:val="20"/>
          <w:szCs w:val="20"/>
          <w:shd w:val="clear" w:color="auto" w:fill="FFFFFF"/>
        </w:rPr>
        <w:t xml:space="preserve">International audit firm network </w:t>
      </w:r>
      <w:r w:rsidR="00D32E96" w:rsidRPr="00352FB3">
        <w:rPr>
          <w:rFonts w:ascii="Times New Roman" w:eastAsia="Times New Roman" w:hAnsi="Times New Roman" w:cs="Times New Roman"/>
          <w:bCs/>
          <w:iCs/>
          <w:sz w:val="20"/>
          <w:szCs w:val="20"/>
          <w:shd w:val="clear" w:color="auto" w:fill="FFFFFF"/>
        </w:rPr>
        <w:t>(IAF)</w:t>
      </w:r>
      <w:r w:rsidR="00B001BD" w:rsidRPr="00352FB3">
        <w:rPr>
          <w:rFonts w:ascii="Times New Roman" w:eastAsia="Times New Roman" w:hAnsi="Times New Roman" w:cs="Times New Roman"/>
          <w:bCs/>
          <w:iCs/>
          <w:sz w:val="20"/>
          <w:szCs w:val="20"/>
          <w:shd w:val="clear" w:color="auto" w:fill="FFFFFF"/>
        </w:rPr>
        <w:t>,</w:t>
      </w:r>
      <w:r w:rsidR="00D32E96" w:rsidRPr="00352FB3">
        <w:rPr>
          <w:rFonts w:ascii="Times New Roman" w:eastAsia="Times New Roman" w:hAnsi="Times New Roman" w:cs="Times New Roman"/>
          <w:bCs/>
          <w:iCs/>
          <w:sz w:val="20"/>
          <w:szCs w:val="20"/>
          <w:shd w:val="clear" w:color="auto" w:fill="FFFFFF"/>
        </w:rPr>
        <w:t xml:space="preserve"> </w:t>
      </w:r>
      <w:r w:rsidR="00992E18" w:rsidRPr="00352FB3">
        <w:rPr>
          <w:rFonts w:ascii="Times New Roman" w:eastAsia="Times New Roman" w:hAnsi="Times New Roman" w:cs="Times New Roman"/>
          <w:bCs/>
          <w:iCs/>
          <w:sz w:val="20"/>
          <w:szCs w:val="20"/>
          <w:shd w:val="clear" w:color="auto" w:fill="FFFFFF"/>
          <w:lang w:val="en-US"/>
        </w:rPr>
        <w:t>Natural log of a</w:t>
      </w:r>
      <w:r w:rsidR="00F77A5F" w:rsidRPr="00352FB3">
        <w:rPr>
          <w:rFonts w:ascii="Times New Roman" w:eastAsia="Times New Roman" w:hAnsi="Times New Roman" w:cs="Times New Roman"/>
          <w:bCs/>
          <w:iCs/>
          <w:sz w:val="20"/>
          <w:szCs w:val="20"/>
          <w:shd w:val="clear" w:color="auto" w:fill="FFFFFF"/>
        </w:rPr>
        <w:t xml:space="preserve">udit fees </w:t>
      </w:r>
      <w:r w:rsidR="00992E18" w:rsidRPr="00352FB3">
        <w:rPr>
          <w:rFonts w:ascii="Times New Roman" w:eastAsia="Times New Roman" w:hAnsi="Times New Roman" w:cs="Times New Roman"/>
          <w:bCs/>
          <w:iCs/>
          <w:sz w:val="20"/>
          <w:szCs w:val="20"/>
          <w:shd w:val="clear" w:color="auto" w:fill="FFFFFF"/>
        </w:rPr>
        <w:t xml:space="preserve">in thousands of dollars </w:t>
      </w:r>
      <w:r w:rsidR="00F77A5F" w:rsidRPr="00352FB3">
        <w:rPr>
          <w:rFonts w:ascii="Times New Roman" w:eastAsia="Times New Roman" w:hAnsi="Times New Roman" w:cs="Times New Roman"/>
          <w:bCs/>
          <w:iCs/>
          <w:sz w:val="20"/>
          <w:szCs w:val="20"/>
          <w:shd w:val="clear" w:color="auto" w:fill="FFFFFF"/>
        </w:rPr>
        <w:t xml:space="preserve">adjusted </w:t>
      </w:r>
      <w:r w:rsidR="00992E18" w:rsidRPr="00352FB3">
        <w:rPr>
          <w:rFonts w:ascii="Times New Roman" w:eastAsia="Times New Roman" w:hAnsi="Times New Roman" w:cs="Times New Roman"/>
          <w:bCs/>
          <w:iCs/>
          <w:sz w:val="20"/>
          <w:szCs w:val="20"/>
          <w:shd w:val="clear" w:color="auto" w:fill="FFFFFF"/>
        </w:rPr>
        <w:t xml:space="preserve">by Purchasing Power Parity </w:t>
      </w:r>
      <w:r w:rsidR="00F77A5F" w:rsidRPr="00352FB3">
        <w:rPr>
          <w:rFonts w:ascii="Times New Roman" w:eastAsia="Times New Roman" w:hAnsi="Times New Roman" w:cs="Times New Roman"/>
          <w:bCs/>
          <w:iCs/>
          <w:sz w:val="20"/>
          <w:szCs w:val="20"/>
          <w:shd w:val="clear" w:color="auto" w:fill="FFFFFF"/>
        </w:rPr>
        <w:t>(LNFE-P)</w:t>
      </w:r>
      <w:r w:rsidRPr="00352FB3">
        <w:rPr>
          <w:rFonts w:ascii="Times New Roman" w:eastAsia="Times New Roman" w:hAnsi="Times New Roman" w:cs="Times New Roman"/>
          <w:bCs/>
          <w:iCs/>
          <w:sz w:val="20"/>
          <w:szCs w:val="20"/>
          <w:shd w:val="clear" w:color="auto" w:fill="FFFFFF"/>
        </w:rPr>
        <w:t xml:space="preserve">, </w:t>
      </w:r>
      <w:r w:rsidR="00992E18" w:rsidRPr="00352FB3">
        <w:rPr>
          <w:rFonts w:ascii="Times New Roman" w:eastAsia="Times New Roman" w:hAnsi="Times New Roman" w:cs="Times New Roman"/>
          <w:bCs/>
          <w:iCs/>
          <w:sz w:val="20"/>
          <w:szCs w:val="20"/>
          <w:shd w:val="clear" w:color="auto" w:fill="FFFFFF"/>
          <w:lang w:val="en-US"/>
        </w:rPr>
        <w:t xml:space="preserve">Natural log of the total </w:t>
      </w:r>
      <w:r w:rsidR="00B001BD" w:rsidRPr="00352FB3">
        <w:rPr>
          <w:rFonts w:ascii="Times New Roman" w:eastAsia="Times New Roman" w:hAnsi="Times New Roman" w:cs="Times New Roman"/>
          <w:bCs/>
          <w:iCs/>
          <w:sz w:val="20"/>
          <w:szCs w:val="20"/>
          <w:shd w:val="clear" w:color="auto" w:fill="FFFFFF"/>
          <w:lang w:val="en-US"/>
        </w:rPr>
        <w:t xml:space="preserve">assets </w:t>
      </w:r>
      <w:r w:rsidR="00992E18" w:rsidRPr="00352FB3">
        <w:rPr>
          <w:rFonts w:ascii="Times New Roman" w:eastAsia="Times New Roman" w:hAnsi="Times New Roman" w:cs="Times New Roman"/>
          <w:bCs/>
          <w:iCs/>
          <w:sz w:val="20"/>
          <w:szCs w:val="20"/>
          <w:shd w:val="clear" w:color="auto" w:fill="FFFFFF"/>
        </w:rPr>
        <w:t xml:space="preserve">in thousands of dollars adjusted by Purchasing Power Parity </w:t>
      </w:r>
      <w:r w:rsidR="00992E18" w:rsidRPr="00352FB3">
        <w:rPr>
          <w:rFonts w:ascii="Times New Roman" w:eastAsia="Times New Roman" w:hAnsi="Times New Roman" w:cs="Times New Roman"/>
          <w:sz w:val="16"/>
          <w:szCs w:val="16"/>
          <w:shd w:val="clear" w:color="auto" w:fill="FFFFFF"/>
          <w:lang w:val="en-US"/>
        </w:rPr>
        <w:t>(</w:t>
      </w:r>
      <w:r w:rsidR="00B001BD" w:rsidRPr="00352FB3">
        <w:rPr>
          <w:rFonts w:ascii="Times New Roman" w:eastAsia="Times New Roman" w:hAnsi="Times New Roman" w:cs="Times New Roman"/>
          <w:bCs/>
          <w:iCs/>
          <w:sz w:val="20"/>
          <w:szCs w:val="20"/>
          <w:shd w:val="clear" w:color="auto" w:fill="FFFFFF"/>
          <w:lang w:val="en-US"/>
        </w:rPr>
        <w:t>LNTA</w:t>
      </w:r>
      <w:r w:rsidR="00992E18" w:rsidRPr="00352FB3">
        <w:rPr>
          <w:rFonts w:ascii="Times New Roman" w:eastAsia="Times New Roman" w:hAnsi="Times New Roman" w:cs="Times New Roman"/>
          <w:bCs/>
          <w:iCs/>
          <w:sz w:val="20"/>
          <w:szCs w:val="20"/>
          <w:shd w:val="clear" w:color="auto" w:fill="FFFFFF"/>
          <w:lang w:val="en-US"/>
        </w:rPr>
        <w:t>-P)</w:t>
      </w:r>
      <w:r w:rsidR="00205079" w:rsidRPr="00352FB3">
        <w:rPr>
          <w:rFonts w:ascii="Times New Roman" w:eastAsia="Times New Roman" w:hAnsi="Times New Roman" w:cs="Times New Roman"/>
          <w:bCs/>
          <w:iCs/>
          <w:sz w:val="20"/>
          <w:szCs w:val="20"/>
          <w:shd w:val="clear" w:color="auto" w:fill="FFFFFF"/>
          <w:lang w:val="en-US"/>
        </w:rPr>
        <w:t>.</w:t>
      </w:r>
      <w:r w:rsidR="00992E18" w:rsidRPr="00352FB3">
        <w:rPr>
          <w:rFonts w:ascii="Times New Roman" w:eastAsia="Times New Roman" w:hAnsi="Times New Roman" w:cs="Times New Roman"/>
          <w:bCs/>
          <w:iCs/>
          <w:sz w:val="20"/>
          <w:szCs w:val="20"/>
          <w:shd w:val="clear" w:color="auto" w:fill="FFFFFF"/>
        </w:rPr>
        <w:t xml:space="preserve"> </w:t>
      </w:r>
      <w:r w:rsidR="00205079" w:rsidRPr="00352FB3">
        <w:rPr>
          <w:rFonts w:ascii="Times New Roman" w:eastAsia="Times New Roman" w:hAnsi="Times New Roman" w:cs="Times New Roman"/>
          <w:bCs/>
          <w:iCs/>
          <w:sz w:val="20"/>
          <w:szCs w:val="20"/>
          <w:shd w:val="clear" w:color="auto" w:fill="FFFFFF"/>
          <w:lang w:val="en-US"/>
        </w:rPr>
        <w:t xml:space="preserve">See </w:t>
      </w:r>
      <w:r w:rsidRPr="00352FB3">
        <w:rPr>
          <w:rFonts w:ascii="Times New Roman" w:eastAsia="Times New Roman" w:hAnsi="Times New Roman" w:cs="Times New Roman"/>
          <w:bCs/>
          <w:iCs/>
          <w:sz w:val="20"/>
          <w:szCs w:val="20"/>
          <w:shd w:val="clear" w:color="auto" w:fill="FFFFFF"/>
          <w:lang w:val="en-US"/>
        </w:rPr>
        <w:t xml:space="preserve">Table </w:t>
      </w:r>
      <w:r w:rsidR="00FB42D8" w:rsidRPr="00352FB3">
        <w:rPr>
          <w:rFonts w:ascii="Times New Roman" w:eastAsia="Times New Roman" w:hAnsi="Times New Roman" w:cs="Times New Roman"/>
          <w:bCs/>
          <w:iCs/>
          <w:sz w:val="20"/>
          <w:szCs w:val="20"/>
          <w:shd w:val="clear" w:color="auto" w:fill="FFFFFF"/>
          <w:lang w:val="en-US"/>
        </w:rPr>
        <w:t>1</w:t>
      </w:r>
      <w:r w:rsidRPr="00352FB3">
        <w:rPr>
          <w:rFonts w:ascii="Times New Roman" w:eastAsia="Times New Roman" w:hAnsi="Times New Roman" w:cs="Times New Roman"/>
          <w:bCs/>
          <w:iCs/>
          <w:sz w:val="20"/>
          <w:szCs w:val="20"/>
          <w:shd w:val="clear" w:color="auto" w:fill="FFFFFF"/>
          <w:lang w:val="en-US"/>
        </w:rPr>
        <w:t xml:space="preserve"> for other variables’ definitions.</w:t>
      </w:r>
    </w:p>
    <w:p w14:paraId="0D6446ED" w14:textId="33E737E8" w:rsidR="002C11AB" w:rsidRPr="00352FB3" w:rsidRDefault="00FD5ECD" w:rsidP="00B822D5">
      <w:pPr>
        <w:spacing w:after="0" w:line="240" w:lineRule="auto"/>
        <w:ind w:right="-1"/>
        <w:jc w:val="lowKashida"/>
        <w:rPr>
          <w:rFonts w:ascii="Times New Roman" w:eastAsia="Calibri" w:hAnsi="Times New Roman" w:cs="Times New Roman"/>
          <w:sz w:val="19"/>
          <w:szCs w:val="19"/>
          <w:lang w:eastAsia="en-US"/>
        </w:rPr>
      </w:pPr>
      <w:r w:rsidRPr="00352FB3">
        <w:rPr>
          <w:rFonts w:ascii="Times New Roman" w:eastAsia="Times New Roman" w:hAnsi="Times New Roman" w:cs="Times New Roman"/>
          <w:bCs/>
          <w:iCs/>
          <w:sz w:val="20"/>
          <w:szCs w:val="20"/>
          <w:shd w:val="clear" w:color="auto" w:fill="FFFFFF"/>
        </w:rPr>
        <w:t>Ordinary least squares coefficients,</w:t>
      </w:r>
      <w:r w:rsidRPr="00352FB3">
        <w:rPr>
          <w:rFonts w:ascii="Times New Roman" w:eastAsia="Times New Roman" w:hAnsi="Times New Roman" w:cs="Times New Roman"/>
          <w:bCs/>
          <w:iCs/>
          <w:sz w:val="20"/>
          <w:szCs w:val="20"/>
        </w:rPr>
        <w:t xml:space="preserve"> </w:t>
      </w:r>
      <w:r w:rsidRPr="00352FB3">
        <w:rPr>
          <w:rFonts w:ascii="Times New Roman" w:eastAsia="Times New Roman" w:hAnsi="Times New Roman" w:cs="Times New Roman"/>
          <w:bCs/>
          <w:iCs/>
          <w:sz w:val="20"/>
          <w:szCs w:val="20"/>
          <w:shd w:val="clear" w:color="auto" w:fill="FFFFFF"/>
        </w:rPr>
        <w:t>logit regression coefficients and two-tailed p-values are shown. ***, **, and * denote significance at the 1%, 5%, and 10% levels, respectively.</w:t>
      </w:r>
    </w:p>
    <w:p w14:paraId="5B01AE44" w14:textId="77777777" w:rsidR="002C11AB" w:rsidRPr="00352FB3" w:rsidRDefault="002C11AB" w:rsidP="000F3297">
      <w:pPr>
        <w:spacing w:after="0" w:line="240" w:lineRule="auto"/>
        <w:ind w:left="142" w:hanging="142"/>
        <w:jc w:val="both"/>
        <w:rPr>
          <w:rFonts w:ascii="Times New Roman" w:eastAsia="Calibri" w:hAnsi="Times New Roman" w:cs="Times New Roman"/>
          <w:sz w:val="19"/>
          <w:szCs w:val="19"/>
          <w:lang w:eastAsia="en-US"/>
        </w:rPr>
      </w:pPr>
    </w:p>
    <w:p w14:paraId="6A873B12" w14:textId="77777777" w:rsidR="002C11AB" w:rsidRPr="00352FB3" w:rsidRDefault="002C11AB" w:rsidP="000F3297">
      <w:pPr>
        <w:spacing w:after="0" w:line="240" w:lineRule="auto"/>
        <w:ind w:left="142" w:hanging="142"/>
        <w:jc w:val="both"/>
        <w:rPr>
          <w:rFonts w:ascii="Times New Roman" w:eastAsia="Calibri" w:hAnsi="Times New Roman" w:cs="Times New Roman"/>
          <w:sz w:val="19"/>
          <w:szCs w:val="19"/>
          <w:lang w:eastAsia="en-US"/>
        </w:rPr>
      </w:pPr>
    </w:p>
    <w:p w14:paraId="60F20F9B" w14:textId="77777777" w:rsidR="002C11AB" w:rsidRPr="00352FB3" w:rsidRDefault="002C11AB" w:rsidP="000F3297">
      <w:pPr>
        <w:spacing w:after="0" w:line="240" w:lineRule="auto"/>
        <w:ind w:left="142" w:hanging="142"/>
        <w:jc w:val="both"/>
        <w:rPr>
          <w:rFonts w:ascii="Times New Roman" w:eastAsia="Calibri" w:hAnsi="Times New Roman" w:cs="Times New Roman"/>
          <w:sz w:val="19"/>
          <w:szCs w:val="19"/>
          <w:lang w:eastAsia="en-US"/>
        </w:rPr>
      </w:pPr>
    </w:p>
    <w:p w14:paraId="414DA6FE" w14:textId="77777777" w:rsidR="002C11AB" w:rsidRPr="00352FB3" w:rsidRDefault="002C11AB" w:rsidP="000F3297">
      <w:pPr>
        <w:spacing w:after="0" w:line="240" w:lineRule="auto"/>
        <w:ind w:left="142" w:hanging="142"/>
        <w:jc w:val="both"/>
        <w:rPr>
          <w:rFonts w:ascii="Times New Roman" w:eastAsia="Calibri" w:hAnsi="Times New Roman" w:cs="Times New Roman"/>
          <w:sz w:val="19"/>
          <w:szCs w:val="19"/>
          <w:lang w:eastAsia="en-US"/>
        </w:rPr>
      </w:pPr>
    </w:p>
    <w:p w14:paraId="5B0C3783" w14:textId="77777777" w:rsidR="002C11AB" w:rsidRPr="00352FB3" w:rsidRDefault="002C11AB" w:rsidP="000F3297">
      <w:pPr>
        <w:spacing w:after="0" w:line="240" w:lineRule="auto"/>
        <w:ind w:left="142" w:hanging="142"/>
        <w:jc w:val="both"/>
        <w:rPr>
          <w:rFonts w:ascii="Times New Roman" w:eastAsia="Calibri" w:hAnsi="Times New Roman" w:cs="Times New Roman"/>
          <w:sz w:val="19"/>
          <w:szCs w:val="19"/>
          <w:lang w:eastAsia="en-US"/>
        </w:rPr>
      </w:pPr>
    </w:p>
    <w:p w14:paraId="7EBA833D" w14:textId="77777777" w:rsidR="002C11AB" w:rsidRPr="00352FB3" w:rsidRDefault="002C11AB" w:rsidP="000F3297">
      <w:pPr>
        <w:spacing w:after="0" w:line="240" w:lineRule="auto"/>
        <w:ind w:left="142" w:hanging="142"/>
        <w:jc w:val="both"/>
        <w:rPr>
          <w:rFonts w:ascii="Times New Roman" w:eastAsia="Calibri" w:hAnsi="Times New Roman" w:cs="Times New Roman"/>
          <w:sz w:val="19"/>
          <w:szCs w:val="19"/>
          <w:lang w:eastAsia="en-US"/>
        </w:rPr>
      </w:pPr>
    </w:p>
    <w:p w14:paraId="5449B584" w14:textId="77777777" w:rsidR="002C11AB" w:rsidRPr="00352FB3" w:rsidRDefault="002C11AB" w:rsidP="000F3297">
      <w:pPr>
        <w:spacing w:after="0" w:line="240" w:lineRule="auto"/>
        <w:ind w:left="142" w:hanging="142"/>
        <w:jc w:val="both"/>
        <w:rPr>
          <w:rFonts w:ascii="Times New Roman" w:eastAsia="Calibri" w:hAnsi="Times New Roman" w:cs="Times New Roman"/>
          <w:sz w:val="19"/>
          <w:szCs w:val="19"/>
          <w:lang w:eastAsia="en-US"/>
        </w:rPr>
      </w:pPr>
    </w:p>
    <w:p w14:paraId="53524913" w14:textId="77777777" w:rsidR="00E71A79" w:rsidRPr="00352FB3" w:rsidRDefault="00E71A79" w:rsidP="000F3297">
      <w:pPr>
        <w:spacing w:after="0" w:line="240" w:lineRule="auto"/>
        <w:ind w:left="142" w:hanging="142"/>
        <w:jc w:val="both"/>
        <w:rPr>
          <w:rFonts w:ascii="Times New Roman" w:eastAsia="Calibri" w:hAnsi="Times New Roman" w:cs="Times New Roman"/>
          <w:sz w:val="19"/>
          <w:szCs w:val="19"/>
          <w:lang w:eastAsia="en-US"/>
        </w:rPr>
      </w:pPr>
    </w:p>
    <w:p w14:paraId="14747251" w14:textId="77777777" w:rsidR="00A7713B" w:rsidRPr="00352FB3" w:rsidRDefault="00A7713B" w:rsidP="000F3297">
      <w:pPr>
        <w:spacing w:after="0" w:line="240" w:lineRule="auto"/>
        <w:ind w:left="142" w:hanging="142"/>
        <w:jc w:val="both"/>
        <w:rPr>
          <w:rFonts w:ascii="Times New Roman" w:eastAsia="Calibri" w:hAnsi="Times New Roman" w:cs="Times New Roman"/>
          <w:sz w:val="19"/>
          <w:szCs w:val="19"/>
          <w:lang w:eastAsia="en-US"/>
        </w:rPr>
      </w:pPr>
    </w:p>
    <w:sectPr w:rsidR="00A7713B" w:rsidRPr="00352FB3" w:rsidSect="00182A9D">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3D2561" w14:textId="77777777" w:rsidR="00C45035" w:rsidRDefault="00C45035" w:rsidP="00D00606">
      <w:pPr>
        <w:spacing w:after="0" w:line="240" w:lineRule="auto"/>
      </w:pPr>
      <w:r>
        <w:separator/>
      </w:r>
    </w:p>
  </w:endnote>
  <w:endnote w:type="continuationSeparator" w:id="0">
    <w:p w14:paraId="6BD3EBC1" w14:textId="77777777" w:rsidR="00C45035" w:rsidRDefault="00C45035" w:rsidP="00D00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enturyOSMTPro">
    <w:panose1 w:val="00000000000000000000"/>
    <w:charset w:val="00"/>
    <w:family w:val="auto"/>
    <w:notTrueType/>
    <w:pitch w:val="default"/>
    <w:sig w:usb0="00000003" w:usb1="00000000" w:usb2="00000000" w:usb3="00000000" w:csb0="00000001" w:csb1="00000000"/>
  </w:font>
  <w:font w:name="AdvOT596495f2">
    <w:panose1 w:val="00000000000000000000"/>
    <w:charset w:val="00"/>
    <w:family w:val="roman"/>
    <w:notTrueType/>
    <w:pitch w:val="default"/>
    <w:sig w:usb0="00000003" w:usb1="00000000" w:usb2="00000000" w:usb3="00000000" w:csb0="00000001" w:csb1="00000000"/>
  </w:font>
  <w:font w:name="AdvOT8cb2ddbd">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imes-Ital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5344286"/>
      <w:docPartObj>
        <w:docPartGallery w:val="Page Numbers (Bottom of Page)"/>
        <w:docPartUnique/>
      </w:docPartObj>
    </w:sdtPr>
    <w:sdtEndPr>
      <w:rPr>
        <w:noProof/>
      </w:rPr>
    </w:sdtEndPr>
    <w:sdtContent>
      <w:p w14:paraId="2D221FA1" w14:textId="43998194" w:rsidR="00C45035" w:rsidRDefault="00C45035">
        <w:pPr>
          <w:pStyle w:val="Footer"/>
          <w:jc w:val="center"/>
        </w:pPr>
        <w:r>
          <w:fldChar w:fldCharType="begin"/>
        </w:r>
        <w:r>
          <w:instrText xml:space="preserve"> PAGE   \* MERGEFORMAT </w:instrText>
        </w:r>
        <w:r>
          <w:fldChar w:fldCharType="separate"/>
        </w:r>
        <w:r w:rsidR="008C2327">
          <w:rPr>
            <w:noProof/>
            <w:rtl/>
          </w:rPr>
          <w:t>45</w:t>
        </w:r>
        <w:r>
          <w:rPr>
            <w:noProof/>
          </w:rPr>
          <w:fldChar w:fldCharType="end"/>
        </w:r>
      </w:p>
    </w:sdtContent>
  </w:sdt>
  <w:p w14:paraId="11243D1B" w14:textId="77777777" w:rsidR="00C45035" w:rsidRDefault="00C45035">
    <w:pPr>
      <w:pStyle w:val="Footer"/>
    </w:pPr>
  </w:p>
  <w:p w14:paraId="3648F194" w14:textId="77777777" w:rsidR="00C45035" w:rsidRDefault="00C4503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09CDE6" w14:textId="77777777" w:rsidR="00C45035" w:rsidRDefault="00C45035" w:rsidP="00D00606">
      <w:pPr>
        <w:spacing w:after="0" w:line="240" w:lineRule="auto"/>
      </w:pPr>
      <w:r>
        <w:separator/>
      </w:r>
    </w:p>
  </w:footnote>
  <w:footnote w:type="continuationSeparator" w:id="0">
    <w:p w14:paraId="0B03E35B" w14:textId="77777777" w:rsidR="00C45035" w:rsidRDefault="00C45035" w:rsidP="00D006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72D1D"/>
    <w:multiLevelType w:val="hybridMultilevel"/>
    <w:tmpl w:val="2362D422"/>
    <w:lvl w:ilvl="0" w:tplc="6A5A7258">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C2AA3"/>
    <w:multiLevelType w:val="hybridMultilevel"/>
    <w:tmpl w:val="7C60DC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AF6896"/>
    <w:multiLevelType w:val="hybridMultilevel"/>
    <w:tmpl w:val="0088C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552746"/>
    <w:multiLevelType w:val="hybridMultilevel"/>
    <w:tmpl w:val="CF0C7512"/>
    <w:lvl w:ilvl="0" w:tplc="50E620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07373B"/>
    <w:multiLevelType w:val="hybridMultilevel"/>
    <w:tmpl w:val="E824645C"/>
    <w:lvl w:ilvl="0" w:tplc="7ADCC9EC">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59248E"/>
    <w:multiLevelType w:val="hybridMultilevel"/>
    <w:tmpl w:val="E9DA0724"/>
    <w:lvl w:ilvl="0" w:tplc="E7F4173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816415"/>
    <w:multiLevelType w:val="hybridMultilevel"/>
    <w:tmpl w:val="2D36D094"/>
    <w:lvl w:ilvl="0" w:tplc="CFFEC9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FF4C61"/>
    <w:multiLevelType w:val="hybridMultilevel"/>
    <w:tmpl w:val="F998FB84"/>
    <w:lvl w:ilvl="0" w:tplc="B67AED36">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8C0AC1"/>
    <w:multiLevelType w:val="multilevel"/>
    <w:tmpl w:val="6D98F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5742B5"/>
    <w:multiLevelType w:val="hybridMultilevel"/>
    <w:tmpl w:val="63FC2F5C"/>
    <w:lvl w:ilvl="0" w:tplc="681453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0A1E24"/>
    <w:multiLevelType w:val="multilevel"/>
    <w:tmpl w:val="9E80139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8B708A2"/>
    <w:multiLevelType w:val="hybridMultilevel"/>
    <w:tmpl w:val="1B8A044E"/>
    <w:lvl w:ilvl="0" w:tplc="145684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59080D"/>
    <w:multiLevelType w:val="multilevel"/>
    <w:tmpl w:val="F45AA97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6877951"/>
    <w:multiLevelType w:val="hybridMultilevel"/>
    <w:tmpl w:val="DCD80DF2"/>
    <w:lvl w:ilvl="0" w:tplc="2312D6EC">
      <w:start w:val="7"/>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5457DF"/>
    <w:multiLevelType w:val="hybridMultilevel"/>
    <w:tmpl w:val="B4F248AE"/>
    <w:lvl w:ilvl="0" w:tplc="69EE4E00">
      <w:numFmt w:val="bullet"/>
      <w:lvlText w:val="-"/>
      <w:lvlJc w:val="left"/>
      <w:pPr>
        <w:ind w:left="720" w:hanging="360"/>
      </w:pPr>
      <w:rPr>
        <w:rFonts w:ascii="Times New Roman" w:eastAsiaTheme="minorHAnsi" w:hAnsi="Times New Roman" w:cs="Times New Roman" w:hint="default"/>
        <w:color w:val="222222"/>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697F94"/>
    <w:multiLevelType w:val="hybridMultilevel"/>
    <w:tmpl w:val="8A346F9E"/>
    <w:lvl w:ilvl="0" w:tplc="490836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7A6003"/>
    <w:multiLevelType w:val="hybridMultilevel"/>
    <w:tmpl w:val="7E32E24C"/>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861740"/>
    <w:multiLevelType w:val="hybridMultilevel"/>
    <w:tmpl w:val="046E2BB8"/>
    <w:lvl w:ilvl="0" w:tplc="5D6EC7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175209"/>
    <w:multiLevelType w:val="hybridMultilevel"/>
    <w:tmpl w:val="BBDC946E"/>
    <w:lvl w:ilvl="0" w:tplc="C8FE32F0">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1920D3"/>
    <w:multiLevelType w:val="hybridMultilevel"/>
    <w:tmpl w:val="F42002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B8748EC"/>
    <w:multiLevelType w:val="hybridMultilevel"/>
    <w:tmpl w:val="97E002EA"/>
    <w:lvl w:ilvl="0" w:tplc="20023498">
      <w:start w:val="1"/>
      <w:numFmt w:val="decimal"/>
      <w:lvlText w:val="%1."/>
      <w:lvlJc w:val="left"/>
      <w:pPr>
        <w:ind w:left="720" w:hanging="360"/>
      </w:pPr>
      <w:rPr>
        <w:rFonts w:ascii="Times New Roman" w:eastAsia="Calibr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0"/>
  </w:num>
  <w:num w:numId="3">
    <w:abstractNumId w:val="0"/>
  </w:num>
  <w:num w:numId="4">
    <w:abstractNumId w:val="12"/>
  </w:num>
  <w:num w:numId="5">
    <w:abstractNumId w:val="18"/>
  </w:num>
  <w:num w:numId="6">
    <w:abstractNumId w:val="14"/>
  </w:num>
  <w:num w:numId="7">
    <w:abstractNumId w:val="9"/>
  </w:num>
  <w:num w:numId="8">
    <w:abstractNumId w:val="1"/>
  </w:num>
  <w:num w:numId="9">
    <w:abstractNumId w:val="4"/>
  </w:num>
  <w:num w:numId="10">
    <w:abstractNumId w:val="11"/>
  </w:num>
  <w:num w:numId="11">
    <w:abstractNumId w:val="13"/>
  </w:num>
  <w:num w:numId="12">
    <w:abstractNumId w:val="8"/>
  </w:num>
  <w:num w:numId="13">
    <w:abstractNumId w:val="17"/>
  </w:num>
  <w:num w:numId="14">
    <w:abstractNumId w:val="5"/>
  </w:num>
  <w:num w:numId="15">
    <w:abstractNumId w:val="3"/>
  </w:num>
  <w:num w:numId="16">
    <w:abstractNumId w:val="7"/>
  </w:num>
  <w:num w:numId="17">
    <w:abstractNumId w:val="16"/>
  </w:num>
  <w:num w:numId="18">
    <w:abstractNumId w:val="2"/>
  </w:num>
  <w:num w:numId="19">
    <w:abstractNumId w:val="15"/>
  </w:num>
  <w:num w:numId="20">
    <w:abstractNumId w:val="2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ar-SA"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de-DE" w:vendorID="64" w:dllVersion="131078" w:nlCheck="1" w:checkStyle="1"/>
  <w:doNotTrackFormatting/>
  <w:documentProtection w:edit="trackedChanges" w:enforcement="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23B"/>
    <w:rsid w:val="0000013F"/>
    <w:rsid w:val="000002C2"/>
    <w:rsid w:val="000003B2"/>
    <w:rsid w:val="000004B0"/>
    <w:rsid w:val="00000847"/>
    <w:rsid w:val="000009C8"/>
    <w:rsid w:val="00000A1B"/>
    <w:rsid w:val="000012A5"/>
    <w:rsid w:val="000012BA"/>
    <w:rsid w:val="000018B0"/>
    <w:rsid w:val="00001F9A"/>
    <w:rsid w:val="0000211A"/>
    <w:rsid w:val="00002393"/>
    <w:rsid w:val="000028F4"/>
    <w:rsid w:val="00003742"/>
    <w:rsid w:val="00003D98"/>
    <w:rsid w:val="00003EC5"/>
    <w:rsid w:val="000040BB"/>
    <w:rsid w:val="000040C9"/>
    <w:rsid w:val="000040CA"/>
    <w:rsid w:val="000042C0"/>
    <w:rsid w:val="0000441A"/>
    <w:rsid w:val="00004716"/>
    <w:rsid w:val="00005185"/>
    <w:rsid w:val="000053BB"/>
    <w:rsid w:val="00005A1F"/>
    <w:rsid w:val="00005ADC"/>
    <w:rsid w:val="00005D50"/>
    <w:rsid w:val="00005EF1"/>
    <w:rsid w:val="000064ED"/>
    <w:rsid w:val="0000670B"/>
    <w:rsid w:val="00006CD5"/>
    <w:rsid w:val="00006CE9"/>
    <w:rsid w:val="000072B8"/>
    <w:rsid w:val="00007D1C"/>
    <w:rsid w:val="0001064E"/>
    <w:rsid w:val="00010701"/>
    <w:rsid w:val="00010EE5"/>
    <w:rsid w:val="00011004"/>
    <w:rsid w:val="000116CC"/>
    <w:rsid w:val="00011DAE"/>
    <w:rsid w:val="0001223F"/>
    <w:rsid w:val="00012A85"/>
    <w:rsid w:val="00012B93"/>
    <w:rsid w:val="00012D04"/>
    <w:rsid w:val="0001301C"/>
    <w:rsid w:val="00013702"/>
    <w:rsid w:val="00013CB5"/>
    <w:rsid w:val="00013F97"/>
    <w:rsid w:val="00014253"/>
    <w:rsid w:val="000143CB"/>
    <w:rsid w:val="000146DC"/>
    <w:rsid w:val="00014A0B"/>
    <w:rsid w:val="0001523F"/>
    <w:rsid w:val="000159B4"/>
    <w:rsid w:val="00015B65"/>
    <w:rsid w:val="00015D44"/>
    <w:rsid w:val="00015D62"/>
    <w:rsid w:val="00015E41"/>
    <w:rsid w:val="000176AE"/>
    <w:rsid w:val="00017FCF"/>
    <w:rsid w:val="00020079"/>
    <w:rsid w:val="00020300"/>
    <w:rsid w:val="00020473"/>
    <w:rsid w:val="0002083E"/>
    <w:rsid w:val="00020CC5"/>
    <w:rsid w:val="00020E56"/>
    <w:rsid w:val="00020EB6"/>
    <w:rsid w:val="00021182"/>
    <w:rsid w:val="00021AAD"/>
    <w:rsid w:val="00021CD7"/>
    <w:rsid w:val="00021D72"/>
    <w:rsid w:val="00022378"/>
    <w:rsid w:val="00022777"/>
    <w:rsid w:val="00022801"/>
    <w:rsid w:val="00022F15"/>
    <w:rsid w:val="000230BD"/>
    <w:rsid w:val="000233F2"/>
    <w:rsid w:val="000236E8"/>
    <w:rsid w:val="00023905"/>
    <w:rsid w:val="000239F5"/>
    <w:rsid w:val="000245C1"/>
    <w:rsid w:val="0002476C"/>
    <w:rsid w:val="00024DC1"/>
    <w:rsid w:val="00024E14"/>
    <w:rsid w:val="00025071"/>
    <w:rsid w:val="000252EB"/>
    <w:rsid w:val="0002585B"/>
    <w:rsid w:val="0002681D"/>
    <w:rsid w:val="00026870"/>
    <w:rsid w:val="000269A9"/>
    <w:rsid w:val="0002715D"/>
    <w:rsid w:val="0002743E"/>
    <w:rsid w:val="000274F7"/>
    <w:rsid w:val="000276AE"/>
    <w:rsid w:val="00027AB2"/>
    <w:rsid w:val="00027FAF"/>
    <w:rsid w:val="00027FF2"/>
    <w:rsid w:val="000303F3"/>
    <w:rsid w:val="0003067B"/>
    <w:rsid w:val="00030CF3"/>
    <w:rsid w:val="00030F2C"/>
    <w:rsid w:val="000316FF"/>
    <w:rsid w:val="000317CC"/>
    <w:rsid w:val="00031A57"/>
    <w:rsid w:val="00031F24"/>
    <w:rsid w:val="00031F73"/>
    <w:rsid w:val="00032298"/>
    <w:rsid w:val="00032527"/>
    <w:rsid w:val="00032DC5"/>
    <w:rsid w:val="00033083"/>
    <w:rsid w:val="000339D6"/>
    <w:rsid w:val="00033D86"/>
    <w:rsid w:val="00033DB0"/>
    <w:rsid w:val="00033DBD"/>
    <w:rsid w:val="00033ED0"/>
    <w:rsid w:val="000348DC"/>
    <w:rsid w:val="0003640A"/>
    <w:rsid w:val="000364CE"/>
    <w:rsid w:val="00036818"/>
    <w:rsid w:val="00036B0E"/>
    <w:rsid w:val="000374AF"/>
    <w:rsid w:val="000376D1"/>
    <w:rsid w:val="00037F4F"/>
    <w:rsid w:val="00037F57"/>
    <w:rsid w:val="000404BD"/>
    <w:rsid w:val="00040DE2"/>
    <w:rsid w:val="000411D7"/>
    <w:rsid w:val="00041C71"/>
    <w:rsid w:val="00041FDE"/>
    <w:rsid w:val="0004249C"/>
    <w:rsid w:val="00042600"/>
    <w:rsid w:val="00042959"/>
    <w:rsid w:val="00042A01"/>
    <w:rsid w:val="00042A1D"/>
    <w:rsid w:val="00042E81"/>
    <w:rsid w:val="000436D9"/>
    <w:rsid w:val="000440D0"/>
    <w:rsid w:val="000441D3"/>
    <w:rsid w:val="0004432B"/>
    <w:rsid w:val="00044338"/>
    <w:rsid w:val="000446CB"/>
    <w:rsid w:val="00044F09"/>
    <w:rsid w:val="00045A6D"/>
    <w:rsid w:val="00045AC9"/>
    <w:rsid w:val="000462D7"/>
    <w:rsid w:val="000462E8"/>
    <w:rsid w:val="000462F2"/>
    <w:rsid w:val="00046532"/>
    <w:rsid w:val="0004690C"/>
    <w:rsid w:val="00046EFD"/>
    <w:rsid w:val="00047547"/>
    <w:rsid w:val="00047E05"/>
    <w:rsid w:val="000500F3"/>
    <w:rsid w:val="000518E6"/>
    <w:rsid w:val="00051A15"/>
    <w:rsid w:val="00052189"/>
    <w:rsid w:val="0005277A"/>
    <w:rsid w:val="00052A3C"/>
    <w:rsid w:val="00052BFA"/>
    <w:rsid w:val="00052E0D"/>
    <w:rsid w:val="0005326C"/>
    <w:rsid w:val="00053ADE"/>
    <w:rsid w:val="00053B3F"/>
    <w:rsid w:val="00053BDE"/>
    <w:rsid w:val="0005466A"/>
    <w:rsid w:val="00054CAC"/>
    <w:rsid w:val="00054E3D"/>
    <w:rsid w:val="00054F6A"/>
    <w:rsid w:val="00055923"/>
    <w:rsid w:val="0005593A"/>
    <w:rsid w:val="0005597D"/>
    <w:rsid w:val="00055B29"/>
    <w:rsid w:val="00055D9A"/>
    <w:rsid w:val="000562A6"/>
    <w:rsid w:val="00056332"/>
    <w:rsid w:val="00056E64"/>
    <w:rsid w:val="000575C8"/>
    <w:rsid w:val="000605C1"/>
    <w:rsid w:val="000607B9"/>
    <w:rsid w:val="00060A73"/>
    <w:rsid w:val="00060C0C"/>
    <w:rsid w:val="00060D37"/>
    <w:rsid w:val="00060ED5"/>
    <w:rsid w:val="000620EA"/>
    <w:rsid w:val="000625F8"/>
    <w:rsid w:val="000626AA"/>
    <w:rsid w:val="0006310C"/>
    <w:rsid w:val="000632FC"/>
    <w:rsid w:val="00063532"/>
    <w:rsid w:val="00063606"/>
    <w:rsid w:val="00063677"/>
    <w:rsid w:val="00063DCA"/>
    <w:rsid w:val="00064C85"/>
    <w:rsid w:val="00064ECB"/>
    <w:rsid w:val="00064EE0"/>
    <w:rsid w:val="000651A1"/>
    <w:rsid w:val="000653D2"/>
    <w:rsid w:val="00065985"/>
    <w:rsid w:val="00065AE4"/>
    <w:rsid w:val="00065D6B"/>
    <w:rsid w:val="00065EEE"/>
    <w:rsid w:val="000661E0"/>
    <w:rsid w:val="00066268"/>
    <w:rsid w:val="000663F3"/>
    <w:rsid w:val="00066AC0"/>
    <w:rsid w:val="00066C08"/>
    <w:rsid w:val="00066E61"/>
    <w:rsid w:val="00066ECA"/>
    <w:rsid w:val="000671AC"/>
    <w:rsid w:val="000671DE"/>
    <w:rsid w:val="00067297"/>
    <w:rsid w:val="00067AF5"/>
    <w:rsid w:val="00070293"/>
    <w:rsid w:val="000704D4"/>
    <w:rsid w:val="000704FA"/>
    <w:rsid w:val="00070A8F"/>
    <w:rsid w:val="00070B06"/>
    <w:rsid w:val="00071BD8"/>
    <w:rsid w:val="00072280"/>
    <w:rsid w:val="00072A62"/>
    <w:rsid w:val="00072ABE"/>
    <w:rsid w:val="00073469"/>
    <w:rsid w:val="000734C6"/>
    <w:rsid w:val="00073529"/>
    <w:rsid w:val="00073AE0"/>
    <w:rsid w:val="00073DF7"/>
    <w:rsid w:val="00073EA3"/>
    <w:rsid w:val="00073EDA"/>
    <w:rsid w:val="00073FF8"/>
    <w:rsid w:val="00074812"/>
    <w:rsid w:val="0007493E"/>
    <w:rsid w:val="00074CA6"/>
    <w:rsid w:val="00074E0C"/>
    <w:rsid w:val="00075AFE"/>
    <w:rsid w:val="00076150"/>
    <w:rsid w:val="000762F9"/>
    <w:rsid w:val="000765A2"/>
    <w:rsid w:val="000766FF"/>
    <w:rsid w:val="000768FA"/>
    <w:rsid w:val="00076B15"/>
    <w:rsid w:val="000770C9"/>
    <w:rsid w:val="0007755A"/>
    <w:rsid w:val="00077706"/>
    <w:rsid w:val="00077B91"/>
    <w:rsid w:val="00077B9B"/>
    <w:rsid w:val="00077F85"/>
    <w:rsid w:val="00080320"/>
    <w:rsid w:val="00080511"/>
    <w:rsid w:val="00080968"/>
    <w:rsid w:val="00081073"/>
    <w:rsid w:val="0008118F"/>
    <w:rsid w:val="00081213"/>
    <w:rsid w:val="00081CC6"/>
    <w:rsid w:val="00081D94"/>
    <w:rsid w:val="00081E3D"/>
    <w:rsid w:val="0008323C"/>
    <w:rsid w:val="00083424"/>
    <w:rsid w:val="0008408E"/>
    <w:rsid w:val="0008413A"/>
    <w:rsid w:val="00084C46"/>
    <w:rsid w:val="00084F5E"/>
    <w:rsid w:val="00085090"/>
    <w:rsid w:val="00085AAD"/>
    <w:rsid w:val="00086666"/>
    <w:rsid w:val="00086A73"/>
    <w:rsid w:val="00086E18"/>
    <w:rsid w:val="00087001"/>
    <w:rsid w:val="00087364"/>
    <w:rsid w:val="00087805"/>
    <w:rsid w:val="00087ACF"/>
    <w:rsid w:val="00090025"/>
    <w:rsid w:val="00090033"/>
    <w:rsid w:val="00090150"/>
    <w:rsid w:val="00090239"/>
    <w:rsid w:val="000902EB"/>
    <w:rsid w:val="000905FE"/>
    <w:rsid w:val="00090C94"/>
    <w:rsid w:val="00090FD5"/>
    <w:rsid w:val="000911A9"/>
    <w:rsid w:val="000912E0"/>
    <w:rsid w:val="000914A6"/>
    <w:rsid w:val="0009175B"/>
    <w:rsid w:val="00091891"/>
    <w:rsid w:val="00091ADE"/>
    <w:rsid w:val="00091B11"/>
    <w:rsid w:val="00091F35"/>
    <w:rsid w:val="000920BA"/>
    <w:rsid w:val="00092B02"/>
    <w:rsid w:val="00092C2D"/>
    <w:rsid w:val="00092DAF"/>
    <w:rsid w:val="00092DF0"/>
    <w:rsid w:val="000939C1"/>
    <w:rsid w:val="00093D74"/>
    <w:rsid w:val="00093DB0"/>
    <w:rsid w:val="00093E5F"/>
    <w:rsid w:val="0009427E"/>
    <w:rsid w:val="000949F7"/>
    <w:rsid w:val="00094B09"/>
    <w:rsid w:val="00094D95"/>
    <w:rsid w:val="00095AAD"/>
    <w:rsid w:val="00096649"/>
    <w:rsid w:val="0009679A"/>
    <w:rsid w:val="000970C4"/>
    <w:rsid w:val="000970F9"/>
    <w:rsid w:val="000972D1"/>
    <w:rsid w:val="000973CB"/>
    <w:rsid w:val="000978B1"/>
    <w:rsid w:val="00097B68"/>
    <w:rsid w:val="00097E70"/>
    <w:rsid w:val="000A05B8"/>
    <w:rsid w:val="000A0A09"/>
    <w:rsid w:val="000A10F6"/>
    <w:rsid w:val="000A11CA"/>
    <w:rsid w:val="000A1505"/>
    <w:rsid w:val="000A16BC"/>
    <w:rsid w:val="000A19A7"/>
    <w:rsid w:val="000A19CC"/>
    <w:rsid w:val="000A19FA"/>
    <w:rsid w:val="000A2117"/>
    <w:rsid w:val="000A26CE"/>
    <w:rsid w:val="000A2755"/>
    <w:rsid w:val="000A2C87"/>
    <w:rsid w:val="000A2FFB"/>
    <w:rsid w:val="000A3814"/>
    <w:rsid w:val="000A3E9E"/>
    <w:rsid w:val="000A556E"/>
    <w:rsid w:val="000A5EE7"/>
    <w:rsid w:val="000A61B4"/>
    <w:rsid w:val="000A62D5"/>
    <w:rsid w:val="000A6A14"/>
    <w:rsid w:val="000A716E"/>
    <w:rsid w:val="000A7468"/>
    <w:rsid w:val="000A750C"/>
    <w:rsid w:val="000A7512"/>
    <w:rsid w:val="000A7E36"/>
    <w:rsid w:val="000B0351"/>
    <w:rsid w:val="000B0EFD"/>
    <w:rsid w:val="000B10DB"/>
    <w:rsid w:val="000B1573"/>
    <w:rsid w:val="000B1834"/>
    <w:rsid w:val="000B1A13"/>
    <w:rsid w:val="000B1A4C"/>
    <w:rsid w:val="000B1AB1"/>
    <w:rsid w:val="000B2023"/>
    <w:rsid w:val="000B2635"/>
    <w:rsid w:val="000B3018"/>
    <w:rsid w:val="000B32EB"/>
    <w:rsid w:val="000B38D3"/>
    <w:rsid w:val="000B3979"/>
    <w:rsid w:val="000B3CEE"/>
    <w:rsid w:val="000B3D79"/>
    <w:rsid w:val="000B3E90"/>
    <w:rsid w:val="000B3FC2"/>
    <w:rsid w:val="000B4694"/>
    <w:rsid w:val="000B4863"/>
    <w:rsid w:val="000B49C8"/>
    <w:rsid w:val="000B51A3"/>
    <w:rsid w:val="000B6437"/>
    <w:rsid w:val="000B6CA5"/>
    <w:rsid w:val="000B71B4"/>
    <w:rsid w:val="000B71F0"/>
    <w:rsid w:val="000B74A2"/>
    <w:rsid w:val="000B76D8"/>
    <w:rsid w:val="000B7FA9"/>
    <w:rsid w:val="000C06CD"/>
    <w:rsid w:val="000C07D8"/>
    <w:rsid w:val="000C0CD6"/>
    <w:rsid w:val="000C0EC1"/>
    <w:rsid w:val="000C2033"/>
    <w:rsid w:val="000C22EC"/>
    <w:rsid w:val="000C27D6"/>
    <w:rsid w:val="000C3211"/>
    <w:rsid w:val="000C370C"/>
    <w:rsid w:val="000C3801"/>
    <w:rsid w:val="000C44F6"/>
    <w:rsid w:val="000C4630"/>
    <w:rsid w:val="000C51E7"/>
    <w:rsid w:val="000C5411"/>
    <w:rsid w:val="000C55A0"/>
    <w:rsid w:val="000C5767"/>
    <w:rsid w:val="000C58B3"/>
    <w:rsid w:val="000C5B13"/>
    <w:rsid w:val="000C5C42"/>
    <w:rsid w:val="000C61A4"/>
    <w:rsid w:val="000C6360"/>
    <w:rsid w:val="000C64DF"/>
    <w:rsid w:val="000C6986"/>
    <w:rsid w:val="000C6E7F"/>
    <w:rsid w:val="000C72C9"/>
    <w:rsid w:val="000C7717"/>
    <w:rsid w:val="000C7D1F"/>
    <w:rsid w:val="000C7E0F"/>
    <w:rsid w:val="000D0474"/>
    <w:rsid w:val="000D0584"/>
    <w:rsid w:val="000D0BA7"/>
    <w:rsid w:val="000D0C60"/>
    <w:rsid w:val="000D0F15"/>
    <w:rsid w:val="000D0FC4"/>
    <w:rsid w:val="000D11D8"/>
    <w:rsid w:val="000D1339"/>
    <w:rsid w:val="000D1557"/>
    <w:rsid w:val="000D1EC2"/>
    <w:rsid w:val="000D2098"/>
    <w:rsid w:val="000D268A"/>
    <w:rsid w:val="000D2C73"/>
    <w:rsid w:val="000D2D8D"/>
    <w:rsid w:val="000D3088"/>
    <w:rsid w:val="000D309F"/>
    <w:rsid w:val="000D35B4"/>
    <w:rsid w:val="000D3885"/>
    <w:rsid w:val="000D38FA"/>
    <w:rsid w:val="000D43AC"/>
    <w:rsid w:val="000D4499"/>
    <w:rsid w:val="000D486D"/>
    <w:rsid w:val="000D4AA9"/>
    <w:rsid w:val="000D4BBF"/>
    <w:rsid w:val="000D5140"/>
    <w:rsid w:val="000D54B1"/>
    <w:rsid w:val="000D5C49"/>
    <w:rsid w:val="000D6294"/>
    <w:rsid w:val="000D6BB9"/>
    <w:rsid w:val="000D7330"/>
    <w:rsid w:val="000D734B"/>
    <w:rsid w:val="000D73E8"/>
    <w:rsid w:val="000D7461"/>
    <w:rsid w:val="000D778F"/>
    <w:rsid w:val="000E0301"/>
    <w:rsid w:val="000E0920"/>
    <w:rsid w:val="000E1129"/>
    <w:rsid w:val="000E1546"/>
    <w:rsid w:val="000E1AA0"/>
    <w:rsid w:val="000E2498"/>
    <w:rsid w:val="000E26E5"/>
    <w:rsid w:val="000E2CCC"/>
    <w:rsid w:val="000E2E58"/>
    <w:rsid w:val="000E3232"/>
    <w:rsid w:val="000E35B8"/>
    <w:rsid w:val="000E3D3A"/>
    <w:rsid w:val="000E3D71"/>
    <w:rsid w:val="000E4B9F"/>
    <w:rsid w:val="000E4FB7"/>
    <w:rsid w:val="000E515F"/>
    <w:rsid w:val="000E520D"/>
    <w:rsid w:val="000E5338"/>
    <w:rsid w:val="000E5A11"/>
    <w:rsid w:val="000E62BF"/>
    <w:rsid w:val="000E630A"/>
    <w:rsid w:val="000E7C82"/>
    <w:rsid w:val="000E7E34"/>
    <w:rsid w:val="000F045F"/>
    <w:rsid w:val="000F04A3"/>
    <w:rsid w:val="000F0AB6"/>
    <w:rsid w:val="000F0B2A"/>
    <w:rsid w:val="000F20A7"/>
    <w:rsid w:val="000F21FC"/>
    <w:rsid w:val="000F247E"/>
    <w:rsid w:val="000F2641"/>
    <w:rsid w:val="000F2F57"/>
    <w:rsid w:val="000F2F68"/>
    <w:rsid w:val="000F3297"/>
    <w:rsid w:val="000F3607"/>
    <w:rsid w:val="000F3ADA"/>
    <w:rsid w:val="000F3C85"/>
    <w:rsid w:val="000F3D32"/>
    <w:rsid w:val="000F3FD8"/>
    <w:rsid w:val="000F4060"/>
    <w:rsid w:val="000F4171"/>
    <w:rsid w:val="000F451A"/>
    <w:rsid w:val="000F4833"/>
    <w:rsid w:val="000F4867"/>
    <w:rsid w:val="000F4A38"/>
    <w:rsid w:val="000F5052"/>
    <w:rsid w:val="000F5BE6"/>
    <w:rsid w:val="000F5D58"/>
    <w:rsid w:val="000F5DA8"/>
    <w:rsid w:val="000F6C09"/>
    <w:rsid w:val="000F6D48"/>
    <w:rsid w:val="000F6DCB"/>
    <w:rsid w:val="000F6EF0"/>
    <w:rsid w:val="000F6F31"/>
    <w:rsid w:val="000F7263"/>
    <w:rsid w:val="000F7492"/>
    <w:rsid w:val="000F7793"/>
    <w:rsid w:val="001002DA"/>
    <w:rsid w:val="0010030C"/>
    <w:rsid w:val="00100318"/>
    <w:rsid w:val="001004E6"/>
    <w:rsid w:val="00100A8F"/>
    <w:rsid w:val="00100BF8"/>
    <w:rsid w:val="00100D74"/>
    <w:rsid w:val="0010180E"/>
    <w:rsid w:val="00101864"/>
    <w:rsid w:val="00101C77"/>
    <w:rsid w:val="00101C93"/>
    <w:rsid w:val="00101DC2"/>
    <w:rsid w:val="00101DF2"/>
    <w:rsid w:val="00101E8B"/>
    <w:rsid w:val="0010205D"/>
    <w:rsid w:val="00102D18"/>
    <w:rsid w:val="00103887"/>
    <w:rsid w:val="00103EC4"/>
    <w:rsid w:val="001046C6"/>
    <w:rsid w:val="00104831"/>
    <w:rsid w:val="00104837"/>
    <w:rsid w:val="0010485F"/>
    <w:rsid w:val="001048E9"/>
    <w:rsid w:val="00104C8E"/>
    <w:rsid w:val="00104DB9"/>
    <w:rsid w:val="001056C0"/>
    <w:rsid w:val="00105CFD"/>
    <w:rsid w:val="001060BE"/>
    <w:rsid w:val="001064C3"/>
    <w:rsid w:val="0010693E"/>
    <w:rsid w:val="00106A7E"/>
    <w:rsid w:val="00106BD6"/>
    <w:rsid w:val="001072F0"/>
    <w:rsid w:val="00107331"/>
    <w:rsid w:val="001075B2"/>
    <w:rsid w:val="00107AA0"/>
    <w:rsid w:val="0011000A"/>
    <w:rsid w:val="00110144"/>
    <w:rsid w:val="00110544"/>
    <w:rsid w:val="0011125C"/>
    <w:rsid w:val="001114CA"/>
    <w:rsid w:val="00111526"/>
    <w:rsid w:val="00111E7D"/>
    <w:rsid w:val="00111F97"/>
    <w:rsid w:val="001124E1"/>
    <w:rsid w:val="001131E6"/>
    <w:rsid w:val="00113A69"/>
    <w:rsid w:val="00113A77"/>
    <w:rsid w:val="00113CC8"/>
    <w:rsid w:val="00114992"/>
    <w:rsid w:val="00114A21"/>
    <w:rsid w:val="00115530"/>
    <w:rsid w:val="001158D3"/>
    <w:rsid w:val="00115A09"/>
    <w:rsid w:val="00115CDB"/>
    <w:rsid w:val="00115EB4"/>
    <w:rsid w:val="001162C7"/>
    <w:rsid w:val="00116354"/>
    <w:rsid w:val="00116928"/>
    <w:rsid w:val="00116E5C"/>
    <w:rsid w:val="001176C6"/>
    <w:rsid w:val="00117ECD"/>
    <w:rsid w:val="0012019B"/>
    <w:rsid w:val="00120E92"/>
    <w:rsid w:val="00120FA1"/>
    <w:rsid w:val="00121128"/>
    <w:rsid w:val="001211B2"/>
    <w:rsid w:val="0012141A"/>
    <w:rsid w:val="00121A5E"/>
    <w:rsid w:val="00122307"/>
    <w:rsid w:val="00122557"/>
    <w:rsid w:val="00122750"/>
    <w:rsid w:val="0012280B"/>
    <w:rsid w:val="0012284F"/>
    <w:rsid w:val="00122C99"/>
    <w:rsid w:val="00122D1F"/>
    <w:rsid w:val="00122D35"/>
    <w:rsid w:val="00123F16"/>
    <w:rsid w:val="00124177"/>
    <w:rsid w:val="00124AC2"/>
    <w:rsid w:val="0012518D"/>
    <w:rsid w:val="0012537A"/>
    <w:rsid w:val="001258CD"/>
    <w:rsid w:val="00125B0F"/>
    <w:rsid w:val="00125B52"/>
    <w:rsid w:val="00125E4D"/>
    <w:rsid w:val="00126276"/>
    <w:rsid w:val="001262DA"/>
    <w:rsid w:val="00126500"/>
    <w:rsid w:val="001265BB"/>
    <w:rsid w:val="001268B3"/>
    <w:rsid w:val="00126A42"/>
    <w:rsid w:val="00126C5D"/>
    <w:rsid w:val="00127361"/>
    <w:rsid w:val="00127ABA"/>
    <w:rsid w:val="00130293"/>
    <w:rsid w:val="00130846"/>
    <w:rsid w:val="001308E3"/>
    <w:rsid w:val="00130CA6"/>
    <w:rsid w:val="00130DE0"/>
    <w:rsid w:val="00130E1F"/>
    <w:rsid w:val="0013147B"/>
    <w:rsid w:val="001314F7"/>
    <w:rsid w:val="001317BF"/>
    <w:rsid w:val="00131CA1"/>
    <w:rsid w:val="0013209E"/>
    <w:rsid w:val="0013216A"/>
    <w:rsid w:val="001321FA"/>
    <w:rsid w:val="0013226E"/>
    <w:rsid w:val="001324D3"/>
    <w:rsid w:val="00132F3D"/>
    <w:rsid w:val="00133073"/>
    <w:rsid w:val="00133E29"/>
    <w:rsid w:val="00134023"/>
    <w:rsid w:val="00134188"/>
    <w:rsid w:val="001345EB"/>
    <w:rsid w:val="00134A1D"/>
    <w:rsid w:val="00134D86"/>
    <w:rsid w:val="001356DA"/>
    <w:rsid w:val="00135D12"/>
    <w:rsid w:val="00135F60"/>
    <w:rsid w:val="00136127"/>
    <w:rsid w:val="0013612F"/>
    <w:rsid w:val="0013621F"/>
    <w:rsid w:val="00136277"/>
    <w:rsid w:val="001362A3"/>
    <w:rsid w:val="00136649"/>
    <w:rsid w:val="00136C0E"/>
    <w:rsid w:val="00136C7A"/>
    <w:rsid w:val="00136CC4"/>
    <w:rsid w:val="00136E73"/>
    <w:rsid w:val="00137896"/>
    <w:rsid w:val="00137B76"/>
    <w:rsid w:val="00137BCE"/>
    <w:rsid w:val="0014008D"/>
    <w:rsid w:val="0014012A"/>
    <w:rsid w:val="0014035C"/>
    <w:rsid w:val="0014045C"/>
    <w:rsid w:val="0014058F"/>
    <w:rsid w:val="001406E5"/>
    <w:rsid w:val="001407CC"/>
    <w:rsid w:val="001410F2"/>
    <w:rsid w:val="0014130B"/>
    <w:rsid w:val="0014180A"/>
    <w:rsid w:val="001418A1"/>
    <w:rsid w:val="00141A83"/>
    <w:rsid w:val="00141ABB"/>
    <w:rsid w:val="00141CED"/>
    <w:rsid w:val="0014282D"/>
    <w:rsid w:val="00142CC0"/>
    <w:rsid w:val="00142E60"/>
    <w:rsid w:val="00143957"/>
    <w:rsid w:val="0014406F"/>
    <w:rsid w:val="001440FD"/>
    <w:rsid w:val="001443FE"/>
    <w:rsid w:val="00144414"/>
    <w:rsid w:val="0014472E"/>
    <w:rsid w:val="00144DF5"/>
    <w:rsid w:val="001456C0"/>
    <w:rsid w:val="00145840"/>
    <w:rsid w:val="00145A1C"/>
    <w:rsid w:val="0014648B"/>
    <w:rsid w:val="00146C1B"/>
    <w:rsid w:val="00146DA2"/>
    <w:rsid w:val="00147063"/>
    <w:rsid w:val="001471B4"/>
    <w:rsid w:val="00147493"/>
    <w:rsid w:val="00147DD8"/>
    <w:rsid w:val="00147FD6"/>
    <w:rsid w:val="00150048"/>
    <w:rsid w:val="001508EF"/>
    <w:rsid w:val="00150C5F"/>
    <w:rsid w:val="00150D07"/>
    <w:rsid w:val="00151180"/>
    <w:rsid w:val="00151819"/>
    <w:rsid w:val="00151A07"/>
    <w:rsid w:val="00151CBA"/>
    <w:rsid w:val="00151F39"/>
    <w:rsid w:val="00152516"/>
    <w:rsid w:val="00152653"/>
    <w:rsid w:val="00153078"/>
    <w:rsid w:val="001530F0"/>
    <w:rsid w:val="0015355E"/>
    <w:rsid w:val="001537D5"/>
    <w:rsid w:val="00153BF4"/>
    <w:rsid w:val="001543B6"/>
    <w:rsid w:val="00154950"/>
    <w:rsid w:val="00154988"/>
    <w:rsid w:val="00154B19"/>
    <w:rsid w:val="00154C3D"/>
    <w:rsid w:val="0015504B"/>
    <w:rsid w:val="0015519C"/>
    <w:rsid w:val="00155300"/>
    <w:rsid w:val="00155593"/>
    <w:rsid w:val="00155AFB"/>
    <w:rsid w:val="00155CAD"/>
    <w:rsid w:val="00155FDF"/>
    <w:rsid w:val="001561E7"/>
    <w:rsid w:val="00156332"/>
    <w:rsid w:val="001563B1"/>
    <w:rsid w:val="0015654A"/>
    <w:rsid w:val="00156863"/>
    <w:rsid w:val="001569BF"/>
    <w:rsid w:val="00156C98"/>
    <w:rsid w:val="00156F45"/>
    <w:rsid w:val="001571BB"/>
    <w:rsid w:val="00157245"/>
    <w:rsid w:val="0015744D"/>
    <w:rsid w:val="00157823"/>
    <w:rsid w:val="0016069F"/>
    <w:rsid w:val="00160904"/>
    <w:rsid w:val="00160D03"/>
    <w:rsid w:val="00160F88"/>
    <w:rsid w:val="001612C2"/>
    <w:rsid w:val="00161405"/>
    <w:rsid w:val="001615C7"/>
    <w:rsid w:val="00161A52"/>
    <w:rsid w:val="00161AB9"/>
    <w:rsid w:val="00162127"/>
    <w:rsid w:val="001628B0"/>
    <w:rsid w:val="00163219"/>
    <w:rsid w:val="001634D1"/>
    <w:rsid w:val="00163888"/>
    <w:rsid w:val="0016569C"/>
    <w:rsid w:val="00165900"/>
    <w:rsid w:val="00165B3E"/>
    <w:rsid w:val="00166097"/>
    <w:rsid w:val="001663FC"/>
    <w:rsid w:val="0016668D"/>
    <w:rsid w:val="00166F7E"/>
    <w:rsid w:val="00167615"/>
    <w:rsid w:val="00167857"/>
    <w:rsid w:val="0016788F"/>
    <w:rsid w:val="00167B8A"/>
    <w:rsid w:val="0017000A"/>
    <w:rsid w:val="00170582"/>
    <w:rsid w:val="00170721"/>
    <w:rsid w:val="00170A0B"/>
    <w:rsid w:val="0017104E"/>
    <w:rsid w:val="001717FC"/>
    <w:rsid w:val="001718A1"/>
    <w:rsid w:val="0017229A"/>
    <w:rsid w:val="00172F8B"/>
    <w:rsid w:val="00173BFC"/>
    <w:rsid w:val="00173ED0"/>
    <w:rsid w:val="00174764"/>
    <w:rsid w:val="00174D78"/>
    <w:rsid w:val="00174F4C"/>
    <w:rsid w:val="001755EA"/>
    <w:rsid w:val="0017570C"/>
    <w:rsid w:val="00175B20"/>
    <w:rsid w:val="00175E7B"/>
    <w:rsid w:val="001762C1"/>
    <w:rsid w:val="00176631"/>
    <w:rsid w:val="001774D9"/>
    <w:rsid w:val="001803FA"/>
    <w:rsid w:val="001811FA"/>
    <w:rsid w:val="001812AF"/>
    <w:rsid w:val="00181303"/>
    <w:rsid w:val="0018140C"/>
    <w:rsid w:val="00181475"/>
    <w:rsid w:val="001815F8"/>
    <w:rsid w:val="0018170C"/>
    <w:rsid w:val="00181886"/>
    <w:rsid w:val="0018188E"/>
    <w:rsid w:val="00182A9D"/>
    <w:rsid w:val="00183C80"/>
    <w:rsid w:val="00183C8A"/>
    <w:rsid w:val="00183DB4"/>
    <w:rsid w:val="001841E6"/>
    <w:rsid w:val="001848AD"/>
    <w:rsid w:val="00184980"/>
    <w:rsid w:val="00184C7B"/>
    <w:rsid w:val="00185144"/>
    <w:rsid w:val="00185E50"/>
    <w:rsid w:val="00186026"/>
    <w:rsid w:val="00186310"/>
    <w:rsid w:val="00186592"/>
    <w:rsid w:val="00186681"/>
    <w:rsid w:val="00186C7F"/>
    <w:rsid w:val="00187103"/>
    <w:rsid w:val="0018719D"/>
    <w:rsid w:val="00187253"/>
    <w:rsid w:val="00187263"/>
    <w:rsid w:val="00187867"/>
    <w:rsid w:val="0019077C"/>
    <w:rsid w:val="001907CB"/>
    <w:rsid w:val="001908B3"/>
    <w:rsid w:val="001909EF"/>
    <w:rsid w:val="00190ECD"/>
    <w:rsid w:val="00190F8F"/>
    <w:rsid w:val="00191349"/>
    <w:rsid w:val="00191902"/>
    <w:rsid w:val="0019192E"/>
    <w:rsid w:val="00191E74"/>
    <w:rsid w:val="001922AF"/>
    <w:rsid w:val="001922C8"/>
    <w:rsid w:val="00192546"/>
    <w:rsid w:val="001926AC"/>
    <w:rsid w:val="001927C4"/>
    <w:rsid w:val="001931AF"/>
    <w:rsid w:val="0019344C"/>
    <w:rsid w:val="00193892"/>
    <w:rsid w:val="00193BC0"/>
    <w:rsid w:val="0019403F"/>
    <w:rsid w:val="001941B7"/>
    <w:rsid w:val="0019429C"/>
    <w:rsid w:val="00194651"/>
    <w:rsid w:val="00194663"/>
    <w:rsid w:val="00194915"/>
    <w:rsid w:val="001954CB"/>
    <w:rsid w:val="0019554F"/>
    <w:rsid w:val="00195574"/>
    <w:rsid w:val="0019585C"/>
    <w:rsid w:val="00195954"/>
    <w:rsid w:val="001969DF"/>
    <w:rsid w:val="00196BEE"/>
    <w:rsid w:val="00197091"/>
    <w:rsid w:val="001972A9"/>
    <w:rsid w:val="001973FB"/>
    <w:rsid w:val="0019742D"/>
    <w:rsid w:val="001975B8"/>
    <w:rsid w:val="00197F66"/>
    <w:rsid w:val="001A011D"/>
    <w:rsid w:val="001A0614"/>
    <w:rsid w:val="001A0E6E"/>
    <w:rsid w:val="001A1593"/>
    <w:rsid w:val="001A18AC"/>
    <w:rsid w:val="001A1D9C"/>
    <w:rsid w:val="001A2E21"/>
    <w:rsid w:val="001A33C5"/>
    <w:rsid w:val="001A343C"/>
    <w:rsid w:val="001A454F"/>
    <w:rsid w:val="001A460B"/>
    <w:rsid w:val="001A48C0"/>
    <w:rsid w:val="001A4A16"/>
    <w:rsid w:val="001A4B28"/>
    <w:rsid w:val="001A4D72"/>
    <w:rsid w:val="001A4FD9"/>
    <w:rsid w:val="001A50E3"/>
    <w:rsid w:val="001A51DB"/>
    <w:rsid w:val="001A5450"/>
    <w:rsid w:val="001A5482"/>
    <w:rsid w:val="001A59D3"/>
    <w:rsid w:val="001A5B7D"/>
    <w:rsid w:val="001A5EBE"/>
    <w:rsid w:val="001A5FCB"/>
    <w:rsid w:val="001A6B43"/>
    <w:rsid w:val="001A6B6B"/>
    <w:rsid w:val="001A6FAA"/>
    <w:rsid w:val="001A6FD7"/>
    <w:rsid w:val="001A71BA"/>
    <w:rsid w:val="001A7376"/>
    <w:rsid w:val="001A7670"/>
    <w:rsid w:val="001A79E1"/>
    <w:rsid w:val="001B0034"/>
    <w:rsid w:val="001B03B7"/>
    <w:rsid w:val="001B0651"/>
    <w:rsid w:val="001B06B7"/>
    <w:rsid w:val="001B070A"/>
    <w:rsid w:val="001B0B51"/>
    <w:rsid w:val="001B0B67"/>
    <w:rsid w:val="001B0E6E"/>
    <w:rsid w:val="001B153B"/>
    <w:rsid w:val="001B17EE"/>
    <w:rsid w:val="001B2784"/>
    <w:rsid w:val="001B2EA9"/>
    <w:rsid w:val="001B3646"/>
    <w:rsid w:val="001B3854"/>
    <w:rsid w:val="001B3C51"/>
    <w:rsid w:val="001B3D79"/>
    <w:rsid w:val="001B449B"/>
    <w:rsid w:val="001B47E6"/>
    <w:rsid w:val="001B4B92"/>
    <w:rsid w:val="001B511E"/>
    <w:rsid w:val="001B6844"/>
    <w:rsid w:val="001B6F22"/>
    <w:rsid w:val="001B6FDD"/>
    <w:rsid w:val="001B7173"/>
    <w:rsid w:val="001B7507"/>
    <w:rsid w:val="001B756F"/>
    <w:rsid w:val="001B76F7"/>
    <w:rsid w:val="001B7867"/>
    <w:rsid w:val="001C093D"/>
    <w:rsid w:val="001C0B83"/>
    <w:rsid w:val="001C0DC9"/>
    <w:rsid w:val="001C0E03"/>
    <w:rsid w:val="001C0EEA"/>
    <w:rsid w:val="001C0F9A"/>
    <w:rsid w:val="001C1178"/>
    <w:rsid w:val="001C11FC"/>
    <w:rsid w:val="001C1969"/>
    <w:rsid w:val="001C1EE2"/>
    <w:rsid w:val="001C2386"/>
    <w:rsid w:val="001C2517"/>
    <w:rsid w:val="001C2591"/>
    <w:rsid w:val="001C26C0"/>
    <w:rsid w:val="001C27F6"/>
    <w:rsid w:val="001C3288"/>
    <w:rsid w:val="001C3673"/>
    <w:rsid w:val="001C3938"/>
    <w:rsid w:val="001C3AB5"/>
    <w:rsid w:val="001C4A6C"/>
    <w:rsid w:val="001C4ADA"/>
    <w:rsid w:val="001C5247"/>
    <w:rsid w:val="001C647C"/>
    <w:rsid w:val="001C68AB"/>
    <w:rsid w:val="001C6DD9"/>
    <w:rsid w:val="001C7518"/>
    <w:rsid w:val="001C7580"/>
    <w:rsid w:val="001C75FF"/>
    <w:rsid w:val="001C78A5"/>
    <w:rsid w:val="001D052F"/>
    <w:rsid w:val="001D0533"/>
    <w:rsid w:val="001D1192"/>
    <w:rsid w:val="001D12DE"/>
    <w:rsid w:val="001D13BE"/>
    <w:rsid w:val="001D164E"/>
    <w:rsid w:val="001D1A7D"/>
    <w:rsid w:val="001D1F4E"/>
    <w:rsid w:val="001D23A9"/>
    <w:rsid w:val="001D2467"/>
    <w:rsid w:val="001D27A7"/>
    <w:rsid w:val="001D2B55"/>
    <w:rsid w:val="001D33EC"/>
    <w:rsid w:val="001D3C86"/>
    <w:rsid w:val="001D3F76"/>
    <w:rsid w:val="001D46A8"/>
    <w:rsid w:val="001D476B"/>
    <w:rsid w:val="001D477A"/>
    <w:rsid w:val="001D47E2"/>
    <w:rsid w:val="001D48DF"/>
    <w:rsid w:val="001D4A30"/>
    <w:rsid w:val="001D4B79"/>
    <w:rsid w:val="001D4BD2"/>
    <w:rsid w:val="001D4C89"/>
    <w:rsid w:val="001D4F9F"/>
    <w:rsid w:val="001D54B1"/>
    <w:rsid w:val="001D5549"/>
    <w:rsid w:val="001D62D1"/>
    <w:rsid w:val="001D6C8D"/>
    <w:rsid w:val="001D709D"/>
    <w:rsid w:val="001D70FF"/>
    <w:rsid w:val="001D7130"/>
    <w:rsid w:val="001D7206"/>
    <w:rsid w:val="001D72E1"/>
    <w:rsid w:val="001D7348"/>
    <w:rsid w:val="001D73BA"/>
    <w:rsid w:val="001D766D"/>
    <w:rsid w:val="001D77E1"/>
    <w:rsid w:val="001D7DA0"/>
    <w:rsid w:val="001E0629"/>
    <w:rsid w:val="001E094F"/>
    <w:rsid w:val="001E127E"/>
    <w:rsid w:val="001E1499"/>
    <w:rsid w:val="001E15ED"/>
    <w:rsid w:val="001E2754"/>
    <w:rsid w:val="001E2CEA"/>
    <w:rsid w:val="001E326E"/>
    <w:rsid w:val="001E32C8"/>
    <w:rsid w:val="001E36E1"/>
    <w:rsid w:val="001E3C94"/>
    <w:rsid w:val="001E40DE"/>
    <w:rsid w:val="001E4506"/>
    <w:rsid w:val="001E4A73"/>
    <w:rsid w:val="001E4B25"/>
    <w:rsid w:val="001E4F83"/>
    <w:rsid w:val="001E583F"/>
    <w:rsid w:val="001E58BE"/>
    <w:rsid w:val="001E5E58"/>
    <w:rsid w:val="001E5EC1"/>
    <w:rsid w:val="001E605E"/>
    <w:rsid w:val="001E6D79"/>
    <w:rsid w:val="001E7AA4"/>
    <w:rsid w:val="001F01CF"/>
    <w:rsid w:val="001F060D"/>
    <w:rsid w:val="001F0902"/>
    <w:rsid w:val="001F0946"/>
    <w:rsid w:val="001F0AA9"/>
    <w:rsid w:val="001F0B37"/>
    <w:rsid w:val="001F1118"/>
    <w:rsid w:val="001F13DC"/>
    <w:rsid w:val="001F16F8"/>
    <w:rsid w:val="001F1751"/>
    <w:rsid w:val="001F20DA"/>
    <w:rsid w:val="001F3701"/>
    <w:rsid w:val="001F3A03"/>
    <w:rsid w:val="001F42F9"/>
    <w:rsid w:val="001F43EA"/>
    <w:rsid w:val="001F4487"/>
    <w:rsid w:val="001F4750"/>
    <w:rsid w:val="001F4D22"/>
    <w:rsid w:val="001F4E7B"/>
    <w:rsid w:val="001F4F87"/>
    <w:rsid w:val="001F50A0"/>
    <w:rsid w:val="001F50EC"/>
    <w:rsid w:val="001F5314"/>
    <w:rsid w:val="001F6023"/>
    <w:rsid w:val="001F63A9"/>
    <w:rsid w:val="001F6451"/>
    <w:rsid w:val="001F72D8"/>
    <w:rsid w:val="001F793E"/>
    <w:rsid w:val="0020003F"/>
    <w:rsid w:val="002001E2"/>
    <w:rsid w:val="00200485"/>
    <w:rsid w:val="00200549"/>
    <w:rsid w:val="002005AD"/>
    <w:rsid w:val="00200B16"/>
    <w:rsid w:val="00200D5D"/>
    <w:rsid w:val="002014D8"/>
    <w:rsid w:val="002018A9"/>
    <w:rsid w:val="00201A2B"/>
    <w:rsid w:val="00201C9C"/>
    <w:rsid w:val="00201DA2"/>
    <w:rsid w:val="00202521"/>
    <w:rsid w:val="00202AE8"/>
    <w:rsid w:val="00202C65"/>
    <w:rsid w:val="00202D99"/>
    <w:rsid w:val="002032E0"/>
    <w:rsid w:val="00203345"/>
    <w:rsid w:val="00203951"/>
    <w:rsid w:val="00203D3A"/>
    <w:rsid w:val="0020412B"/>
    <w:rsid w:val="002045F9"/>
    <w:rsid w:val="00205079"/>
    <w:rsid w:val="002053FD"/>
    <w:rsid w:val="00205BA5"/>
    <w:rsid w:val="00205FBA"/>
    <w:rsid w:val="0020660B"/>
    <w:rsid w:val="00206D0C"/>
    <w:rsid w:val="00206FA5"/>
    <w:rsid w:val="00207AA5"/>
    <w:rsid w:val="00207B5C"/>
    <w:rsid w:val="00207B69"/>
    <w:rsid w:val="00207F7B"/>
    <w:rsid w:val="00210026"/>
    <w:rsid w:val="00210104"/>
    <w:rsid w:val="002101E3"/>
    <w:rsid w:val="00210AA1"/>
    <w:rsid w:val="00210CBD"/>
    <w:rsid w:val="00210E71"/>
    <w:rsid w:val="00210F29"/>
    <w:rsid w:val="002110D1"/>
    <w:rsid w:val="002115E1"/>
    <w:rsid w:val="002119D8"/>
    <w:rsid w:val="00211BEA"/>
    <w:rsid w:val="00211C19"/>
    <w:rsid w:val="00211D79"/>
    <w:rsid w:val="00211FFC"/>
    <w:rsid w:val="0021224C"/>
    <w:rsid w:val="00212823"/>
    <w:rsid w:val="00212AD8"/>
    <w:rsid w:val="00212BF5"/>
    <w:rsid w:val="00212E27"/>
    <w:rsid w:val="002138AB"/>
    <w:rsid w:val="002138FF"/>
    <w:rsid w:val="00214544"/>
    <w:rsid w:val="0021478A"/>
    <w:rsid w:val="00215DB0"/>
    <w:rsid w:val="002163B7"/>
    <w:rsid w:val="0021696B"/>
    <w:rsid w:val="00216AAE"/>
    <w:rsid w:val="002170C7"/>
    <w:rsid w:val="00217484"/>
    <w:rsid w:val="002174A7"/>
    <w:rsid w:val="00217A27"/>
    <w:rsid w:val="00217B42"/>
    <w:rsid w:val="00217B7C"/>
    <w:rsid w:val="00217CFD"/>
    <w:rsid w:val="00220334"/>
    <w:rsid w:val="0022057F"/>
    <w:rsid w:val="00220B10"/>
    <w:rsid w:val="00220C0B"/>
    <w:rsid w:val="00220DF4"/>
    <w:rsid w:val="00220FA5"/>
    <w:rsid w:val="00221334"/>
    <w:rsid w:val="002214A7"/>
    <w:rsid w:val="00222717"/>
    <w:rsid w:val="00222788"/>
    <w:rsid w:val="00222830"/>
    <w:rsid w:val="0022283F"/>
    <w:rsid w:val="0022285E"/>
    <w:rsid w:val="00222B85"/>
    <w:rsid w:val="0022387A"/>
    <w:rsid w:val="002239EB"/>
    <w:rsid w:val="00223E8F"/>
    <w:rsid w:val="00224130"/>
    <w:rsid w:val="002243C0"/>
    <w:rsid w:val="002244B5"/>
    <w:rsid w:val="0022453D"/>
    <w:rsid w:val="00224E0C"/>
    <w:rsid w:val="00224F93"/>
    <w:rsid w:val="002258E1"/>
    <w:rsid w:val="00225B47"/>
    <w:rsid w:val="00225B54"/>
    <w:rsid w:val="00226162"/>
    <w:rsid w:val="002262B9"/>
    <w:rsid w:val="0022654D"/>
    <w:rsid w:val="0022678E"/>
    <w:rsid w:val="00227040"/>
    <w:rsid w:val="00227206"/>
    <w:rsid w:val="002273BF"/>
    <w:rsid w:val="00227716"/>
    <w:rsid w:val="002279A4"/>
    <w:rsid w:val="00227A8F"/>
    <w:rsid w:val="00227F44"/>
    <w:rsid w:val="00230792"/>
    <w:rsid w:val="002308C1"/>
    <w:rsid w:val="002311E8"/>
    <w:rsid w:val="002312D4"/>
    <w:rsid w:val="00231319"/>
    <w:rsid w:val="00231699"/>
    <w:rsid w:val="00231C58"/>
    <w:rsid w:val="00231D88"/>
    <w:rsid w:val="00232FDB"/>
    <w:rsid w:val="00232FE2"/>
    <w:rsid w:val="002337B8"/>
    <w:rsid w:val="00233D87"/>
    <w:rsid w:val="00233FF7"/>
    <w:rsid w:val="002342A8"/>
    <w:rsid w:val="002344D6"/>
    <w:rsid w:val="002345D5"/>
    <w:rsid w:val="0023471A"/>
    <w:rsid w:val="00234BD0"/>
    <w:rsid w:val="00234D1D"/>
    <w:rsid w:val="00234DE9"/>
    <w:rsid w:val="002353A8"/>
    <w:rsid w:val="002356AA"/>
    <w:rsid w:val="00235A5B"/>
    <w:rsid w:val="00235F27"/>
    <w:rsid w:val="00236193"/>
    <w:rsid w:val="0023699A"/>
    <w:rsid w:val="002372EA"/>
    <w:rsid w:val="0024005A"/>
    <w:rsid w:val="0024020A"/>
    <w:rsid w:val="00240793"/>
    <w:rsid w:val="00240BDC"/>
    <w:rsid w:val="00240ECC"/>
    <w:rsid w:val="00240EDF"/>
    <w:rsid w:val="00240EE1"/>
    <w:rsid w:val="002410C4"/>
    <w:rsid w:val="00241705"/>
    <w:rsid w:val="002426EF"/>
    <w:rsid w:val="002427CC"/>
    <w:rsid w:val="00242837"/>
    <w:rsid w:val="002429B5"/>
    <w:rsid w:val="00242AA6"/>
    <w:rsid w:val="00242CD8"/>
    <w:rsid w:val="00242DFD"/>
    <w:rsid w:val="00242F29"/>
    <w:rsid w:val="00243A8C"/>
    <w:rsid w:val="00243D12"/>
    <w:rsid w:val="00244292"/>
    <w:rsid w:val="002450F0"/>
    <w:rsid w:val="00245290"/>
    <w:rsid w:val="00245489"/>
    <w:rsid w:val="00245A60"/>
    <w:rsid w:val="00245BF6"/>
    <w:rsid w:val="00245BF7"/>
    <w:rsid w:val="00245C4A"/>
    <w:rsid w:val="00245CFF"/>
    <w:rsid w:val="00246578"/>
    <w:rsid w:val="00246F46"/>
    <w:rsid w:val="00247480"/>
    <w:rsid w:val="00247A08"/>
    <w:rsid w:val="00247B1B"/>
    <w:rsid w:val="00247D3D"/>
    <w:rsid w:val="00247EE8"/>
    <w:rsid w:val="00247F96"/>
    <w:rsid w:val="0025031D"/>
    <w:rsid w:val="00250947"/>
    <w:rsid w:val="00250984"/>
    <w:rsid w:val="002509EA"/>
    <w:rsid w:val="00250E2F"/>
    <w:rsid w:val="00250F0A"/>
    <w:rsid w:val="002513C0"/>
    <w:rsid w:val="00251492"/>
    <w:rsid w:val="00251593"/>
    <w:rsid w:val="002522F2"/>
    <w:rsid w:val="00252696"/>
    <w:rsid w:val="002528E4"/>
    <w:rsid w:val="00252D0B"/>
    <w:rsid w:val="00252F8F"/>
    <w:rsid w:val="00253421"/>
    <w:rsid w:val="002538E0"/>
    <w:rsid w:val="002539F2"/>
    <w:rsid w:val="00253B1F"/>
    <w:rsid w:val="00253D90"/>
    <w:rsid w:val="00254019"/>
    <w:rsid w:val="002543B9"/>
    <w:rsid w:val="00254582"/>
    <w:rsid w:val="002547C3"/>
    <w:rsid w:val="002547D5"/>
    <w:rsid w:val="00254827"/>
    <w:rsid w:val="002550B5"/>
    <w:rsid w:val="0025526D"/>
    <w:rsid w:val="00255825"/>
    <w:rsid w:val="00255B2C"/>
    <w:rsid w:val="00255BC2"/>
    <w:rsid w:val="00255C12"/>
    <w:rsid w:val="00255CE5"/>
    <w:rsid w:val="00256DA0"/>
    <w:rsid w:val="00256E69"/>
    <w:rsid w:val="0025706A"/>
    <w:rsid w:val="0025757E"/>
    <w:rsid w:val="00257755"/>
    <w:rsid w:val="00257D92"/>
    <w:rsid w:val="002602F0"/>
    <w:rsid w:val="00260B61"/>
    <w:rsid w:val="00260CDA"/>
    <w:rsid w:val="00260D38"/>
    <w:rsid w:val="00260E88"/>
    <w:rsid w:val="00261C94"/>
    <w:rsid w:val="00261F4C"/>
    <w:rsid w:val="00262928"/>
    <w:rsid w:val="002635B4"/>
    <w:rsid w:val="002635B6"/>
    <w:rsid w:val="00263BAA"/>
    <w:rsid w:val="0026447F"/>
    <w:rsid w:val="00264711"/>
    <w:rsid w:val="00264A34"/>
    <w:rsid w:val="00264ADC"/>
    <w:rsid w:val="00264D99"/>
    <w:rsid w:val="00265710"/>
    <w:rsid w:val="00266DBA"/>
    <w:rsid w:val="002674E6"/>
    <w:rsid w:val="002676C7"/>
    <w:rsid w:val="00270140"/>
    <w:rsid w:val="0027014F"/>
    <w:rsid w:val="002701A6"/>
    <w:rsid w:val="00270335"/>
    <w:rsid w:val="00270565"/>
    <w:rsid w:val="00270D4A"/>
    <w:rsid w:val="00270DCA"/>
    <w:rsid w:val="00271077"/>
    <w:rsid w:val="00271422"/>
    <w:rsid w:val="0027142F"/>
    <w:rsid w:val="00271756"/>
    <w:rsid w:val="0027180D"/>
    <w:rsid w:val="00271CB5"/>
    <w:rsid w:val="00271FA2"/>
    <w:rsid w:val="002724E3"/>
    <w:rsid w:val="002725E4"/>
    <w:rsid w:val="00272697"/>
    <w:rsid w:val="002727E0"/>
    <w:rsid w:val="00272E0B"/>
    <w:rsid w:val="00273042"/>
    <w:rsid w:val="00273586"/>
    <w:rsid w:val="002739BD"/>
    <w:rsid w:val="002739E9"/>
    <w:rsid w:val="00274254"/>
    <w:rsid w:val="002744BE"/>
    <w:rsid w:val="00274887"/>
    <w:rsid w:val="00274A28"/>
    <w:rsid w:val="002751E4"/>
    <w:rsid w:val="0027534B"/>
    <w:rsid w:val="00275649"/>
    <w:rsid w:val="0027598F"/>
    <w:rsid w:val="00276035"/>
    <w:rsid w:val="00276284"/>
    <w:rsid w:val="00276877"/>
    <w:rsid w:val="00277144"/>
    <w:rsid w:val="00277CA2"/>
    <w:rsid w:val="00277CCC"/>
    <w:rsid w:val="00280183"/>
    <w:rsid w:val="002801D1"/>
    <w:rsid w:val="00280340"/>
    <w:rsid w:val="00280390"/>
    <w:rsid w:val="0028052B"/>
    <w:rsid w:val="00280610"/>
    <w:rsid w:val="0028077D"/>
    <w:rsid w:val="00280B68"/>
    <w:rsid w:val="00281012"/>
    <w:rsid w:val="002815F1"/>
    <w:rsid w:val="00281778"/>
    <w:rsid w:val="00281C6A"/>
    <w:rsid w:val="00282054"/>
    <w:rsid w:val="002821BF"/>
    <w:rsid w:val="00282759"/>
    <w:rsid w:val="002827C9"/>
    <w:rsid w:val="00282D16"/>
    <w:rsid w:val="00282E61"/>
    <w:rsid w:val="00283538"/>
    <w:rsid w:val="0028356D"/>
    <w:rsid w:val="00283A0A"/>
    <w:rsid w:val="00283C10"/>
    <w:rsid w:val="002849B1"/>
    <w:rsid w:val="00284B07"/>
    <w:rsid w:val="00284B62"/>
    <w:rsid w:val="00284BFF"/>
    <w:rsid w:val="00284C6C"/>
    <w:rsid w:val="00284FFC"/>
    <w:rsid w:val="002853F4"/>
    <w:rsid w:val="0028573A"/>
    <w:rsid w:val="0028582B"/>
    <w:rsid w:val="002859CB"/>
    <w:rsid w:val="00285CA3"/>
    <w:rsid w:val="00285DB6"/>
    <w:rsid w:val="0028636E"/>
    <w:rsid w:val="002864EE"/>
    <w:rsid w:val="002866F3"/>
    <w:rsid w:val="00286941"/>
    <w:rsid w:val="002869FB"/>
    <w:rsid w:val="00286B2B"/>
    <w:rsid w:val="00286B77"/>
    <w:rsid w:val="00286C36"/>
    <w:rsid w:val="00286F9C"/>
    <w:rsid w:val="0028722C"/>
    <w:rsid w:val="00287443"/>
    <w:rsid w:val="0028746B"/>
    <w:rsid w:val="00287B30"/>
    <w:rsid w:val="00290201"/>
    <w:rsid w:val="0029044E"/>
    <w:rsid w:val="0029050A"/>
    <w:rsid w:val="002905AE"/>
    <w:rsid w:val="00290677"/>
    <w:rsid w:val="0029078C"/>
    <w:rsid w:val="002908ED"/>
    <w:rsid w:val="00290F6B"/>
    <w:rsid w:val="00291580"/>
    <w:rsid w:val="00291C3C"/>
    <w:rsid w:val="00292117"/>
    <w:rsid w:val="002928DB"/>
    <w:rsid w:val="00292EDC"/>
    <w:rsid w:val="00293141"/>
    <w:rsid w:val="00293505"/>
    <w:rsid w:val="00293C13"/>
    <w:rsid w:val="002948EE"/>
    <w:rsid w:val="00294CCA"/>
    <w:rsid w:val="00295045"/>
    <w:rsid w:val="002959BC"/>
    <w:rsid w:val="00295CA7"/>
    <w:rsid w:val="00296264"/>
    <w:rsid w:val="002969E5"/>
    <w:rsid w:val="00297162"/>
    <w:rsid w:val="002972D4"/>
    <w:rsid w:val="00297D17"/>
    <w:rsid w:val="002A0425"/>
    <w:rsid w:val="002A0479"/>
    <w:rsid w:val="002A1541"/>
    <w:rsid w:val="002A17BC"/>
    <w:rsid w:val="002A23E8"/>
    <w:rsid w:val="002A26F6"/>
    <w:rsid w:val="002A28DB"/>
    <w:rsid w:val="002A2953"/>
    <w:rsid w:val="002A29A9"/>
    <w:rsid w:val="002A2A11"/>
    <w:rsid w:val="002A2A4F"/>
    <w:rsid w:val="002A2F1C"/>
    <w:rsid w:val="002A3114"/>
    <w:rsid w:val="002A3209"/>
    <w:rsid w:val="002A3224"/>
    <w:rsid w:val="002A3A6C"/>
    <w:rsid w:val="002A3E8E"/>
    <w:rsid w:val="002A3EC0"/>
    <w:rsid w:val="002A3FE8"/>
    <w:rsid w:val="002A4214"/>
    <w:rsid w:val="002A480F"/>
    <w:rsid w:val="002A4F10"/>
    <w:rsid w:val="002A50B6"/>
    <w:rsid w:val="002A57D8"/>
    <w:rsid w:val="002A5DB0"/>
    <w:rsid w:val="002A6176"/>
    <w:rsid w:val="002A6524"/>
    <w:rsid w:val="002A6857"/>
    <w:rsid w:val="002B005B"/>
    <w:rsid w:val="002B02DB"/>
    <w:rsid w:val="002B126C"/>
    <w:rsid w:val="002B1494"/>
    <w:rsid w:val="002B1BA9"/>
    <w:rsid w:val="002B2252"/>
    <w:rsid w:val="002B292E"/>
    <w:rsid w:val="002B2E1B"/>
    <w:rsid w:val="002B2E6B"/>
    <w:rsid w:val="002B2FD8"/>
    <w:rsid w:val="002B30CB"/>
    <w:rsid w:val="002B3246"/>
    <w:rsid w:val="002B390D"/>
    <w:rsid w:val="002B3E6C"/>
    <w:rsid w:val="002B40D8"/>
    <w:rsid w:val="002B41CF"/>
    <w:rsid w:val="002B4367"/>
    <w:rsid w:val="002B444F"/>
    <w:rsid w:val="002B467E"/>
    <w:rsid w:val="002B4DC0"/>
    <w:rsid w:val="002B4FC1"/>
    <w:rsid w:val="002B5014"/>
    <w:rsid w:val="002B51D8"/>
    <w:rsid w:val="002B55F2"/>
    <w:rsid w:val="002B5755"/>
    <w:rsid w:val="002B59D1"/>
    <w:rsid w:val="002B5D26"/>
    <w:rsid w:val="002B60E0"/>
    <w:rsid w:val="002B61E5"/>
    <w:rsid w:val="002B67F1"/>
    <w:rsid w:val="002B6B1F"/>
    <w:rsid w:val="002B6E01"/>
    <w:rsid w:val="002B70BF"/>
    <w:rsid w:val="002B7498"/>
    <w:rsid w:val="002B7C1A"/>
    <w:rsid w:val="002C08DB"/>
    <w:rsid w:val="002C0C36"/>
    <w:rsid w:val="002C0F02"/>
    <w:rsid w:val="002C11AB"/>
    <w:rsid w:val="002C19C9"/>
    <w:rsid w:val="002C29F5"/>
    <w:rsid w:val="002C2DAF"/>
    <w:rsid w:val="002C2E60"/>
    <w:rsid w:val="002C2FAD"/>
    <w:rsid w:val="002C3066"/>
    <w:rsid w:val="002C3707"/>
    <w:rsid w:val="002C3D97"/>
    <w:rsid w:val="002C3FAF"/>
    <w:rsid w:val="002C4086"/>
    <w:rsid w:val="002C47FC"/>
    <w:rsid w:val="002C49F4"/>
    <w:rsid w:val="002C4F49"/>
    <w:rsid w:val="002C51C6"/>
    <w:rsid w:val="002C5234"/>
    <w:rsid w:val="002C5320"/>
    <w:rsid w:val="002C5443"/>
    <w:rsid w:val="002C5445"/>
    <w:rsid w:val="002C5773"/>
    <w:rsid w:val="002C578C"/>
    <w:rsid w:val="002C5824"/>
    <w:rsid w:val="002C584C"/>
    <w:rsid w:val="002C5A63"/>
    <w:rsid w:val="002C5F7C"/>
    <w:rsid w:val="002C629B"/>
    <w:rsid w:val="002C7021"/>
    <w:rsid w:val="002C77BC"/>
    <w:rsid w:val="002C7A02"/>
    <w:rsid w:val="002C7CE4"/>
    <w:rsid w:val="002D00A6"/>
    <w:rsid w:val="002D043A"/>
    <w:rsid w:val="002D0565"/>
    <w:rsid w:val="002D060C"/>
    <w:rsid w:val="002D0C3D"/>
    <w:rsid w:val="002D0D9E"/>
    <w:rsid w:val="002D1333"/>
    <w:rsid w:val="002D17A2"/>
    <w:rsid w:val="002D17FE"/>
    <w:rsid w:val="002D1F13"/>
    <w:rsid w:val="002D1FE9"/>
    <w:rsid w:val="002D266C"/>
    <w:rsid w:val="002D27F7"/>
    <w:rsid w:val="002D291E"/>
    <w:rsid w:val="002D2FA8"/>
    <w:rsid w:val="002D3F33"/>
    <w:rsid w:val="002D41ED"/>
    <w:rsid w:val="002D4674"/>
    <w:rsid w:val="002D47CA"/>
    <w:rsid w:val="002D4AE6"/>
    <w:rsid w:val="002D4B2C"/>
    <w:rsid w:val="002D556E"/>
    <w:rsid w:val="002D5753"/>
    <w:rsid w:val="002D5A41"/>
    <w:rsid w:val="002D633F"/>
    <w:rsid w:val="002D641D"/>
    <w:rsid w:val="002D66C8"/>
    <w:rsid w:val="002D6972"/>
    <w:rsid w:val="002D6B5F"/>
    <w:rsid w:val="002D6CB8"/>
    <w:rsid w:val="002D6CF6"/>
    <w:rsid w:val="002D7C85"/>
    <w:rsid w:val="002D7CF8"/>
    <w:rsid w:val="002D7DB1"/>
    <w:rsid w:val="002D7F74"/>
    <w:rsid w:val="002E0102"/>
    <w:rsid w:val="002E03FE"/>
    <w:rsid w:val="002E04B8"/>
    <w:rsid w:val="002E0912"/>
    <w:rsid w:val="002E0C71"/>
    <w:rsid w:val="002E1342"/>
    <w:rsid w:val="002E324C"/>
    <w:rsid w:val="002E3314"/>
    <w:rsid w:val="002E3BFB"/>
    <w:rsid w:val="002E3D2E"/>
    <w:rsid w:val="002E3E29"/>
    <w:rsid w:val="002E447D"/>
    <w:rsid w:val="002E470D"/>
    <w:rsid w:val="002E4B97"/>
    <w:rsid w:val="002E5244"/>
    <w:rsid w:val="002E5486"/>
    <w:rsid w:val="002E5922"/>
    <w:rsid w:val="002E5942"/>
    <w:rsid w:val="002E5D11"/>
    <w:rsid w:val="002E5DEE"/>
    <w:rsid w:val="002E63A0"/>
    <w:rsid w:val="002E6487"/>
    <w:rsid w:val="002E64C6"/>
    <w:rsid w:val="002E6F1D"/>
    <w:rsid w:val="002E7835"/>
    <w:rsid w:val="002E797A"/>
    <w:rsid w:val="002E79D9"/>
    <w:rsid w:val="002E7C12"/>
    <w:rsid w:val="002E7CAF"/>
    <w:rsid w:val="002E7D0A"/>
    <w:rsid w:val="002E7E9F"/>
    <w:rsid w:val="002E7FE3"/>
    <w:rsid w:val="002F0120"/>
    <w:rsid w:val="002F04AE"/>
    <w:rsid w:val="002F0839"/>
    <w:rsid w:val="002F0846"/>
    <w:rsid w:val="002F0AB2"/>
    <w:rsid w:val="002F0AB9"/>
    <w:rsid w:val="002F0B6C"/>
    <w:rsid w:val="002F0CCF"/>
    <w:rsid w:val="002F0D5A"/>
    <w:rsid w:val="002F1028"/>
    <w:rsid w:val="002F1074"/>
    <w:rsid w:val="002F1215"/>
    <w:rsid w:val="002F14BF"/>
    <w:rsid w:val="002F1799"/>
    <w:rsid w:val="002F17F8"/>
    <w:rsid w:val="002F1A54"/>
    <w:rsid w:val="002F1EF5"/>
    <w:rsid w:val="002F23F5"/>
    <w:rsid w:val="002F317B"/>
    <w:rsid w:val="002F393D"/>
    <w:rsid w:val="002F39E0"/>
    <w:rsid w:val="002F3C8C"/>
    <w:rsid w:val="002F3CD6"/>
    <w:rsid w:val="002F3D14"/>
    <w:rsid w:val="002F3D1D"/>
    <w:rsid w:val="002F4466"/>
    <w:rsid w:val="002F4AB9"/>
    <w:rsid w:val="002F58EA"/>
    <w:rsid w:val="002F6055"/>
    <w:rsid w:val="002F69DF"/>
    <w:rsid w:val="002F6C7C"/>
    <w:rsid w:val="002F7198"/>
    <w:rsid w:val="002F74E7"/>
    <w:rsid w:val="002F7E46"/>
    <w:rsid w:val="003003BF"/>
    <w:rsid w:val="0030049F"/>
    <w:rsid w:val="003009B4"/>
    <w:rsid w:val="00300B62"/>
    <w:rsid w:val="00300C86"/>
    <w:rsid w:val="00301310"/>
    <w:rsid w:val="0030136C"/>
    <w:rsid w:val="003017B0"/>
    <w:rsid w:val="00301991"/>
    <w:rsid w:val="00301F29"/>
    <w:rsid w:val="00302384"/>
    <w:rsid w:val="003024EF"/>
    <w:rsid w:val="0030283C"/>
    <w:rsid w:val="003028FC"/>
    <w:rsid w:val="00302A15"/>
    <w:rsid w:val="00302A82"/>
    <w:rsid w:val="003041B9"/>
    <w:rsid w:val="003045F2"/>
    <w:rsid w:val="00304E2B"/>
    <w:rsid w:val="00304FEE"/>
    <w:rsid w:val="00305060"/>
    <w:rsid w:val="003051EC"/>
    <w:rsid w:val="00305984"/>
    <w:rsid w:val="003059B6"/>
    <w:rsid w:val="00305F8C"/>
    <w:rsid w:val="003062D8"/>
    <w:rsid w:val="00306627"/>
    <w:rsid w:val="00306801"/>
    <w:rsid w:val="0030694C"/>
    <w:rsid w:val="003069F9"/>
    <w:rsid w:val="00306E32"/>
    <w:rsid w:val="00310F43"/>
    <w:rsid w:val="0031138D"/>
    <w:rsid w:val="0031195E"/>
    <w:rsid w:val="003124B4"/>
    <w:rsid w:val="003125E0"/>
    <w:rsid w:val="00312655"/>
    <w:rsid w:val="00312717"/>
    <w:rsid w:val="00312FA6"/>
    <w:rsid w:val="00313615"/>
    <w:rsid w:val="0031385D"/>
    <w:rsid w:val="00314DD6"/>
    <w:rsid w:val="003150CD"/>
    <w:rsid w:val="003150F5"/>
    <w:rsid w:val="00315498"/>
    <w:rsid w:val="00315776"/>
    <w:rsid w:val="00315791"/>
    <w:rsid w:val="00315A2F"/>
    <w:rsid w:val="00315D60"/>
    <w:rsid w:val="00315ED0"/>
    <w:rsid w:val="0031686B"/>
    <w:rsid w:val="0031732B"/>
    <w:rsid w:val="00317B67"/>
    <w:rsid w:val="0032025A"/>
    <w:rsid w:val="00320274"/>
    <w:rsid w:val="003204DB"/>
    <w:rsid w:val="003223EC"/>
    <w:rsid w:val="00322D27"/>
    <w:rsid w:val="00322E66"/>
    <w:rsid w:val="0032314A"/>
    <w:rsid w:val="00323169"/>
    <w:rsid w:val="00323218"/>
    <w:rsid w:val="0032335F"/>
    <w:rsid w:val="0032361D"/>
    <w:rsid w:val="00323E23"/>
    <w:rsid w:val="00324138"/>
    <w:rsid w:val="00324145"/>
    <w:rsid w:val="0032421D"/>
    <w:rsid w:val="003243EE"/>
    <w:rsid w:val="00325812"/>
    <w:rsid w:val="003258C7"/>
    <w:rsid w:val="0032606B"/>
    <w:rsid w:val="00326222"/>
    <w:rsid w:val="0032668E"/>
    <w:rsid w:val="00326BB5"/>
    <w:rsid w:val="00326DCE"/>
    <w:rsid w:val="00326DCF"/>
    <w:rsid w:val="00327070"/>
    <w:rsid w:val="003276EF"/>
    <w:rsid w:val="003278A6"/>
    <w:rsid w:val="00327998"/>
    <w:rsid w:val="00327C2E"/>
    <w:rsid w:val="003300B1"/>
    <w:rsid w:val="003300E7"/>
    <w:rsid w:val="00330334"/>
    <w:rsid w:val="0033054C"/>
    <w:rsid w:val="003310DC"/>
    <w:rsid w:val="00331466"/>
    <w:rsid w:val="00331B1D"/>
    <w:rsid w:val="00331C15"/>
    <w:rsid w:val="00332280"/>
    <w:rsid w:val="0033237A"/>
    <w:rsid w:val="003323A7"/>
    <w:rsid w:val="003334FF"/>
    <w:rsid w:val="003335EB"/>
    <w:rsid w:val="00333679"/>
    <w:rsid w:val="00333B7A"/>
    <w:rsid w:val="00333CB0"/>
    <w:rsid w:val="00333F7E"/>
    <w:rsid w:val="0033454D"/>
    <w:rsid w:val="00334746"/>
    <w:rsid w:val="00334822"/>
    <w:rsid w:val="003349B7"/>
    <w:rsid w:val="00334D8A"/>
    <w:rsid w:val="0033508F"/>
    <w:rsid w:val="00335310"/>
    <w:rsid w:val="00335448"/>
    <w:rsid w:val="0033559D"/>
    <w:rsid w:val="00335F80"/>
    <w:rsid w:val="0033634F"/>
    <w:rsid w:val="00336787"/>
    <w:rsid w:val="0033678B"/>
    <w:rsid w:val="00336A72"/>
    <w:rsid w:val="00336A8D"/>
    <w:rsid w:val="003372B1"/>
    <w:rsid w:val="0033761E"/>
    <w:rsid w:val="003376A5"/>
    <w:rsid w:val="003378DF"/>
    <w:rsid w:val="00337A2F"/>
    <w:rsid w:val="00340577"/>
    <w:rsid w:val="00340683"/>
    <w:rsid w:val="0034075C"/>
    <w:rsid w:val="00340868"/>
    <w:rsid w:val="003413BE"/>
    <w:rsid w:val="00342184"/>
    <w:rsid w:val="00342591"/>
    <w:rsid w:val="00342637"/>
    <w:rsid w:val="00342797"/>
    <w:rsid w:val="0034290C"/>
    <w:rsid w:val="00342A0D"/>
    <w:rsid w:val="00342FC3"/>
    <w:rsid w:val="0034411B"/>
    <w:rsid w:val="00344EF5"/>
    <w:rsid w:val="00344F48"/>
    <w:rsid w:val="003450F8"/>
    <w:rsid w:val="0034527F"/>
    <w:rsid w:val="003453E3"/>
    <w:rsid w:val="0034546F"/>
    <w:rsid w:val="0034579E"/>
    <w:rsid w:val="00345B41"/>
    <w:rsid w:val="00346192"/>
    <w:rsid w:val="00346544"/>
    <w:rsid w:val="003465C5"/>
    <w:rsid w:val="00346CB1"/>
    <w:rsid w:val="00346DB1"/>
    <w:rsid w:val="0034789D"/>
    <w:rsid w:val="00347C52"/>
    <w:rsid w:val="00347D92"/>
    <w:rsid w:val="00350069"/>
    <w:rsid w:val="003501FE"/>
    <w:rsid w:val="00350D50"/>
    <w:rsid w:val="003511B1"/>
    <w:rsid w:val="00351763"/>
    <w:rsid w:val="00351EAD"/>
    <w:rsid w:val="00352021"/>
    <w:rsid w:val="003526B2"/>
    <w:rsid w:val="00352A24"/>
    <w:rsid w:val="00352BEB"/>
    <w:rsid w:val="00352BFD"/>
    <w:rsid w:val="00352E53"/>
    <w:rsid w:val="00352EE6"/>
    <w:rsid w:val="00352F48"/>
    <w:rsid w:val="00352FB3"/>
    <w:rsid w:val="003537EF"/>
    <w:rsid w:val="00353863"/>
    <w:rsid w:val="00353A39"/>
    <w:rsid w:val="00353DFF"/>
    <w:rsid w:val="00353F7B"/>
    <w:rsid w:val="0035494B"/>
    <w:rsid w:val="0035497E"/>
    <w:rsid w:val="00354D1C"/>
    <w:rsid w:val="00354D47"/>
    <w:rsid w:val="00354E73"/>
    <w:rsid w:val="003554E6"/>
    <w:rsid w:val="003557B7"/>
    <w:rsid w:val="003563D5"/>
    <w:rsid w:val="0035664C"/>
    <w:rsid w:val="0035714A"/>
    <w:rsid w:val="00357407"/>
    <w:rsid w:val="00357525"/>
    <w:rsid w:val="003576A0"/>
    <w:rsid w:val="003577C2"/>
    <w:rsid w:val="003578F9"/>
    <w:rsid w:val="00357A34"/>
    <w:rsid w:val="00360100"/>
    <w:rsid w:val="003606E7"/>
    <w:rsid w:val="00360773"/>
    <w:rsid w:val="00360ECA"/>
    <w:rsid w:val="00361281"/>
    <w:rsid w:val="0036136F"/>
    <w:rsid w:val="003618DC"/>
    <w:rsid w:val="0036194B"/>
    <w:rsid w:val="00361BA9"/>
    <w:rsid w:val="00361D52"/>
    <w:rsid w:val="003632F3"/>
    <w:rsid w:val="00363562"/>
    <w:rsid w:val="00363B98"/>
    <w:rsid w:val="00363E97"/>
    <w:rsid w:val="0036421A"/>
    <w:rsid w:val="00364366"/>
    <w:rsid w:val="0036448A"/>
    <w:rsid w:val="00364703"/>
    <w:rsid w:val="00364B53"/>
    <w:rsid w:val="003656FC"/>
    <w:rsid w:val="003657FE"/>
    <w:rsid w:val="00365C02"/>
    <w:rsid w:val="00365C4C"/>
    <w:rsid w:val="00366139"/>
    <w:rsid w:val="003661A6"/>
    <w:rsid w:val="00366538"/>
    <w:rsid w:val="00366A25"/>
    <w:rsid w:val="0036744F"/>
    <w:rsid w:val="003674C7"/>
    <w:rsid w:val="00367A30"/>
    <w:rsid w:val="00370172"/>
    <w:rsid w:val="0037067D"/>
    <w:rsid w:val="00370706"/>
    <w:rsid w:val="00370C0B"/>
    <w:rsid w:val="003713E0"/>
    <w:rsid w:val="00371642"/>
    <w:rsid w:val="00371946"/>
    <w:rsid w:val="00371C3B"/>
    <w:rsid w:val="00371F75"/>
    <w:rsid w:val="003720F2"/>
    <w:rsid w:val="0037223F"/>
    <w:rsid w:val="0037283A"/>
    <w:rsid w:val="00372EC1"/>
    <w:rsid w:val="0037320D"/>
    <w:rsid w:val="00373A3F"/>
    <w:rsid w:val="00373ABA"/>
    <w:rsid w:val="00373C00"/>
    <w:rsid w:val="0037423D"/>
    <w:rsid w:val="00374CD2"/>
    <w:rsid w:val="00374F72"/>
    <w:rsid w:val="003754ED"/>
    <w:rsid w:val="00375562"/>
    <w:rsid w:val="00375BF0"/>
    <w:rsid w:val="003763A5"/>
    <w:rsid w:val="003769C0"/>
    <w:rsid w:val="003772B0"/>
    <w:rsid w:val="00377B01"/>
    <w:rsid w:val="00380572"/>
    <w:rsid w:val="00380C9B"/>
    <w:rsid w:val="00380DB9"/>
    <w:rsid w:val="00380EE6"/>
    <w:rsid w:val="00381043"/>
    <w:rsid w:val="003815E4"/>
    <w:rsid w:val="00381B79"/>
    <w:rsid w:val="00381D1F"/>
    <w:rsid w:val="0038273E"/>
    <w:rsid w:val="003828F2"/>
    <w:rsid w:val="00383122"/>
    <w:rsid w:val="00383143"/>
    <w:rsid w:val="00383205"/>
    <w:rsid w:val="00383987"/>
    <w:rsid w:val="003839D5"/>
    <w:rsid w:val="00383DA9"/>
    <w:rsid w:val="00384196"/>
    <w:rsid w:val="003845E7"/>
    <w:rsid w:val="003848B5"/>
    <w:rsid w:val="003848DF"/>
    <w:rsid w:val="003849C2"/>
    <w:rsid w:val="003856D4"/>
    <w:rsid w:val="00385AA7"/>
    <w:rsid w:val="00385D9C"/>
    <w:rsid w:val="0038620C"/>
    <w:rsid w:val="00386548"/>
    <w:rsid w:val="00386B1C"/>
    <w:rsid w:val="00386DAA"/>
    <w:rsid w:val="003870C3"/>
    <w:rsid w:val="00387540"/>
    <w:rsid w:val="00387D83"/>
    <w:rsid w:val="00387E78"/>
    <w:rsid w:val="003900DF"/>
    <w:rsid w:val="00390832"/>
    <w:rsid w:val="003908AC"/>
    <w:rsid w:val="0039099E"/>
    <w:rsid w:val="00390BB9"/>
    <w:rsid w:val="00390CBF"/>
    <w:rsid w:val="00391151"/>
    <w:rsid w:val="00391D27"/>
    <w:rsid w:val="00391EB7"/>
    <w:rsid w:val="003928B6"/>
    <w:rsid w:val="00392F72"/>
    <w:rsid w:val="0039305A"/>
    <w:rsid w:val="003930F3"/>
    <w:rsid w:val="00393189"/>
    <w:rsid w:val="0039370C"/>
    <w:rsid w:val="003939A0"/>
    <w:rsid w:val="00393D32"/>
    <w:rsid w:val="00393E35"/>
    <w:rsid w:val="00393E5A"/>
    <w:rsid w:val="00394339"/>
    <w:rsid w:val="003943B6"/>
    <w:rsid w:val="003946AF"/>
    <w:rsid w:val="00394840"/>
    <w:rsid w:val="00394C58"/>
    <w:rsid w:val="00394C9E"/>
    <w:rsid w:val="00394E39"/>
    <w:rsid w:val="00395529"/>
    <w:rsid w:val="00395599"/>
    <w:rsid w:val="0039566E"/>
    <w:rsid w:val="00396B09"/>
    <w:rsid w:val="00396CCF"/>
    <w:rsid w:val="00396DA4"/>
    <w:rsid w:val="00397173"/>
    <w:rsid w:val="00397336"/>
    <w:rsid w:val="00397853"/>
    <w:rsid w:val="003979B3"/>
    <w:rsid w:val="00397AC6"/>
    <w:rsid w:val="00397E12"/>
    <w:rsid w:val="003A0DF0"/>
    <w:rsid w:val="003A0E09"/>
    <w:rsid w:val="003A0EF6"/>
    <w:rsid w:val="003A0F0E"/>
    <w:rsid w:val="003A1537"/>
    <w:rsid w:val="003A1C99"/>
    <w:rsid w:val="003A1EAF"/>
    <w:rsid w:val="003A1EDA"/>
    <w:rsid w:val="003A224C"/>
    <w:rsid w:val="003A237A"/>
    <w:rsid w:val="003A25DC"/>
    <w:rsid w:val="003A25EC"/>
    <w:rsid w:val="003A28B4"/>
    <w:rsid w:val="003A2B97"/>
    <w:rsid w:val="003A2CC0"/>
    <w:rsid w:val="003A315F"/>
    <w:rsid w:val="003A353D"/>
    <w:rsid w:val="003A3CB5"/>
    <w:rsid w:val="003A4358"/>
    <w:rsid w:val="003A4783"/>
    <w:rsid w:val="003A4BA3"/>
    <w:rsid w:val="003A50F7"/>
    <w:rsid w:val="003A5C4B"/>
    <w:rsid w:val="003A60E7"/>
    <w:rsid w:val="003A6460"/>
    <w:rsid w:val="003A6782"/>
    <w:rsid w:val="003A698A"/>
    <w:rsid w:val="003A73E9"/>
    <w:rsid w:val="003B07D2"/>
    <w:rsid w:val="003B0D50"/>
    <w:rsid w:val="003B0DDD"/>
    <w:rsid w:val="003B196E"/>
    <w:rsid w:val="003B31A5"/>
    <w:rsid w:val="003B34E4"/>
    <w:rsid w:val="003B41BA"/>
    <w:rsid w:val="003B4A34"/>
    <w:rsid w:val="003B4BDD"/>
    <w:rsid w:val="003B4C98"/>
    <w:rsid w:val="003B61EE"/>
    <w:rsid w:val="003B6758"/>
    <w:rsid w:val="003B6A74"/>
    <w:rsid w:val="003B6B9D"/>
    <w:rsid w:val="003B6CF3"/>
    <w:rsid w:val="003B6EFE"/>
    <w:rsid w:val="003B6F1A"/>
    <w:rsid w:val="003B7AEB"/>
    <w:rsid w:val="003B7D2A"/>
    <w:rsid w:val="003C0289"/>
    <w:rsid w:val="003C0965"/>
    <w:rsid w:val="003C0A77"/>
    <w:rsid w:val="003C0B90"/>
    <w:rsid w:val="003C186E"/>
    <w:rsid w:val="003C1C72"/>
    <w:rsid w:val="003C21AB"/>
    <w:rsid w:val="003C2375"/>
    <w:rsid w:val="003C27D5"/>
    <w:rsid w:val="003C323F"/>
    <w:rsid w:val="003C36A7"/>
    <w:rsid w:val="003C3979"/>
    <w:rsid w:val="003C3BDB"/>
    <w:rsid w:val="003C3F02"/>
    <w:rsid w:val="003C43A3"/>
    <w:rsid w:val="003C4BB4"/>
    <w:rsid w:val="003C4C13"/>
    <w:rsid w:val="003C4DE2"/>
    <w:rsid w:val="003C5096"/>
    <w:rsid w:val="003C528D"/>
    <w:rsid w:val="003C57A1"/>
    <w:rsid w:val="003C582C"/>
    <w:rsid w:val="003C5969"/>
    <w:rsid w:val="003C59A2"/>
    <w:rsid w:val="003C5FA3"/>
    <w:rsid w:val="003C62BB"/>
    <w:rsid w:val="003C6944"/>
    <w:rsid w:val="003C6E26"/>
    <w:rsid w:val="003C7134"/>
    <w:rsid w:val="003C732E"/>
    <w:rsid w:val="003C756A"/>
    <w:rsid w:val="003C75CD"/>
    <w:rsid w:val="003D06E2"/>
    <w:rsid w:val="003D0AC2"/>
    <w:rsid w:val="003D0B32"/>
    <w:rsid w:val="003D0D76"/>
    <w:rsid w:val="003D0E02"/>
    <w:rsid w:val="003D13AE"/>
    <w:rsid w:val="003D142D"/>
    <w:rsid w:val="003D1D7E"/>
    <w:rsid w:val="003D1F46"/>
    <w:rsid w:val="003D2237"/>
    <w:rsid w:val="003D244F"/>
    <w:rsid w:val="003D25CF"/>
    <w:rsid w:val="003D33C3"/>
    <w:rsid w:val="003D4085"/>
    <w:rsid w:val="003D42A9"/>
    <w:rsid w:val="003D44F1"/>
    <w:rsid w:val="003D45E4"/>
    <w:rsid w:val="003D45E5"/>
    <w:rsid w:val="003D4A1D"/>
    <w:rsid w:val="003D4BA4"/>
    <w:rsid w:val="003D5046"/>
    <w:rsid w:val="003D5648"/>
    <w:rsid w:val="003D5900"/>
    <w:rsid w:val="003D59B8"/>
    <w:rsid w:val="003D5C3F"/>
    <w:rsid w:val="003D5E87"/>
    <w:rsid w:val="003D5F46"/>
    <w:rsid w:val="003D649E"/>
    <w:rsid w:val="003D659A"/>
    <w:rsid w:val="003D6C7E"/>
    <w:rsid w:val="003D6CEE"/>
    <w:rsid w:val="003D6FD4"/>
    <w:rsid w:val="003D7769"/>
    <w:rsid w:val="003D792C"/>
    <w:rsid w:val="003D7A00"/>
    <w:rsid w:val="003E0210"/>
    <w:rsid w:val="003E070B"/>
    <w:rsid w:val="003E0768"/>
    <w:rsid w:val="003E1032"/>
    <w:rsid w:val="003E16F9"/>
    <w:rsid w:val="003E1CEA"/>
    <w:rsid w:val="003E1D61"/>
    <w:rsid w:val="003E1D78"/>
    <w:rsid w:val="003E1E05"/>
    <w:rsid w:val="003E2107"/>
    <w:rsid w:val="003E2440"/>
    <w:rsid w:val="003E2643"/>
    <w:rsid w:val="003E2ACB"/>
    <w:rsid w:val="003E2C00"/>
    <w:rsid w:val="003E36B0"/>
    <w:rsid w:val="003E3C97"/>
    <w:rsid w:val="003E3DBF"/>
    <w:rsid w:val="003E3E21"/>
    <w:rsid w:val="003E403E"/>
    <w:rsid w:val="003E4483"/>
    <w:rsid w:val="003E52FF"/>
    <w:rsid w:val="003E563C"/>
    <w:rsid w:val="003E57E6"/>
    <w:rsid w:val="003E5E9B"/>
    <w:rsid w:val="003E6802"/>
    <w:rsid w:val="003E68DE"/>
    <w:rsid w:val="003E7256"/>
    <w:rsid w:val="003E76EE"/>
    <w:rsid w:val="003E7745"/>
    <w:rsid w:val="003E794C"/>
    <w:rsid w:val="003E7B78"/>
    <w:rsid w:val="003F00DC"/>
    <w:rsid w:val="003F04FD"/>
    <w:rsid w:val="003F066D"/>
    <w:rsid w:val="003F075C"/>
    <w:rsid w:val="003F0DD8"/>
    <w:rsid w:val="003F0E7D"/>
    <w:rsid w:val="003F126F"/>
    <w:rsid w:val="003F20EA"/>
    <w:rsid w:val="003F2299"/>
    <w:rsid w:val="003F23EA"/>
    <w:rsid w:val="003F274D"/>
    <w:rsid w:val="003F29A1"/>
    <w:rsid w:val="003F2F94"/>
    <w:rsid w:val="003F3113"/>
    <w:rsid w:val="003F35AB"/>
    <w:rsid w:val="003F38F6"/>
    <w:rsid w:val="003F3A1F"/>
    <w:rsid w:val="003F41A5"/>
    <w:rsid w:val="003F4270"/>
    <w:rsid w:val="003F4495"/>
    <w:rsid w:val="003F477B"/>
    <w:rsid w:val="003F492F"/>
    <w:rsid w:val="003F509F"/>
    <w:rsid w:val="003F5373"/>
    <w:rsid w:val="003F56FB"/>
    <w:rsid w:val="003F594D"/>
    <w:rsid w:val="003F5B52"/>
    <w:rsid w:val="003F5C04"/>
    <w:rsid w:val="003F636E"/>
    <w:rsid w:val="003F6678"/>
    <w:rsid w:val="003F6C65"/>
    <w:rsid w:val="003F72D7"/>
    <w:rsid w:val="003F754C"/>
    <w:rsid w:val="003F76D0"/>
    <w:rsid w:val="003F78C5"/>
    <w:rsid w:val="0040071C"/>
    <w:rsid w:val="0040073D"/>
    <w:rsid w:val="00400A27"/>
    <w:rsid w:val="00400C85"/>
    <w:rsid w:val="00400D40"/>
    <w:rsid w:val="00400DBA"/>
    <w:rsid w:val="00400E25"/>
    <w:rsid w:val="00400E6C"/>
    <w:rsid w:val="00401795"/>
    <w:rsid w:val="00402472"/>
    <w:rsid w:val="00402763"/>
    <w:rsid w:val="00402795"/>
    <w:rsid w:val="00402B66"/>
    <w:rsid w:val="00402BCB"/>
    <w:rsid w:val="00402F3D"/>
    <w:rsid w:val="004034C5"/>
    <w:rsid w:val="004036D3"/>
    <w:rsid w:val="004038FC"/>
    <w:rsid w:val="004039E0"/>
    <w:rsid w:val="00403E60"/>
    <w:rsid w:val="00403FEC"/>
    <w:rsid w:val="004041A1"/>
    <w:rsid w:val="00404506"/>
    <w:rsid w:val="00404A0E"/>
    <w:rsid w:val="00404A1E"/>
    <w:rsid w:val="00404E4B"/>
    <w:rsid w:val="00404FE6"/>
    <w:rsid w:val="00405271"/>
    <w:rsid w:val="00405383"/>
    <w:rsid w:val="00405480"/>
    <w:rsid w:val="004055B8"/>
    <w:rsid w:val="00405DDD"/>
    <w:rsid w:val="00406A19"/>
    <w:rsid w:val="00406B2A"/>
    <w:rsid w:val="00406C0F"/>
    <w:rsid w:val="00406E9D"/>
    <w:rsid w:val="00407426"/>
    <w:rsid w:val="004078AC"/>
    <w:rsid w:val="00407BCE"/>
    <w:rsid w:val="00407D67"/>
    <w:rsid w:val="00407F84"/>
    <w:rsid w:val="00410496"/>
    <w:rsid w:val="004108F8"/>
    <w:rsid w:val="00410DC5"/>
    <w:rsid w:val="00411272"/>
    <w:rsid w:val="0041127D"/>
    <w:rsid w:val="0041138A"/>
    <w:rsid w:val="00411E1C"/>
    <w:rsid w:val="00411FB4"/>
    <w:rsid w:val="00412507"/>
    <w:rsid w:val="00412631"/>
    <w:rsid w:val="00412ACC"/>
    <w:rsid w:val="004131A9"/>
    <w:rsid w:val="00413A51"/>
    <w:rsid w:val="00413AA0"/>
    <w:rsid w:val="00413DD6"/>
    <w:rsid w:val="004145AE"/>
    <w:rsid w:val="00414B7D"/>
    <w:rsid w:val="004153E4"/>
    <w:rsid w:val="004154D0"/>
    <w:rsid w:val="00416581"/>
    <w:rsid w:val="004168A7"/>
    <w:rsid w:val="00417022"/>
    <w:rsid w:val="00417415"/>
    <w:rsid w:val="004175BE"/>
    <w:rsid w:val="004175E7"/>
    <w:rsid w:val="004177EB"/>
    <w:rsid w:val="00417B4E"/>
    <w:rsid w:val="00417E7E"/>
    <w:rsid w:val="00420149"/>
    <w:rsid w:val="0042068B"/>
    <w:rsid w:val="004206DA"/>
    <w:rsid w:val="00420B5C"/>
    <w:rsid w:val="00420BB3"/>
    <w:rsid w:val="00420CDF"/>
    <w:rsid w:val="004210AA"/>
    <w:rsid w:val="00421AAA"/>
    <w:rsid w:val="00421C96"/>
    <w:rsid w:val="0042208B"/>
    <w:rsid w:val="00422191"/>
    <w:rsid w:val="0042223D"/>
    <w:rsid w:val="004226EC"/>
    <w:rsid w:val="0042271C"/>
    <w:rsid w:val="00422D80"/>
    <w:rsid w:val="00422E5E"/>
    <w:rsid w:val="00423292"/>
    <w:rsid w:val="004233C5"/>
    <w:rsid w:val="00423501"/>
    <w:rsid w:val="004237A6"/>
    <w:rsid w:val="00424091"/>
    <w:rsid w:val="0042449E"/>
    <w:rsid w:val="0042513A"/>
    <w:rsid w:val="004259DA"/>
    <w:rsid w:val="00425AF5"/>
    <w:rsid w:val="00425C2E"/>
    <w:rsid w:val="0042628B"/>
    <w:rsid w:val="00426A79"/>
    <w:rsid w:val="00426FD3"/>
    <w:rsid w:val="00427C52"/>
    <w:rsid w:val="00427CA2"/>
    <w:rsid w:val="004308F4"/>
    <w:rsid w:val="00430EE6"/>
    <w:rsid w:val="0043124D"/>
    <w:rsid w:val="00432752"/>
    <w:rsid w:val="00433310"/>
    <w:rsid w:val="00433403"/>
    <w:rsid w:val="00433C5D"/>
    <w:rsid w:val="0043403C"/>
    <w:rsid w:val="00434DF9"/>
    <w:rsid w:val="00434E20"/>
    <w:rsid w:val="004353A2"/>
    <w:rsid w:val="00435D33"/>
    <w:rsid w:val="004361B0"/>
    <w:rsid w:val="00436767"/>
    <w:rsid w:val="0043698B"/>
    <w:rsid w:val="00436ABD"/>
    <w:rsid w:val="00436BC4"/>
    <w:rsid w:val="004373A9"/>
    <w:rsid w:val="004376A0"/>
    <w:rsid w:val="00437923"/>
    <w:rsid w:val="00437AE2"/>
    <w:rsid w:val="004403D6"/>
    <w:rsid w:val="004407EC"/>
    <w:rsid w:val="00440D68"/>
    <w:rsid w:val="00441254"/>
    <w:rsid w:val="0044193A"/>
    <w:rsid w:val="00441C67"/>
    <w:rsid w:val="0044236A"/>
    <w:rsid w:val="00442391"/>
    <w:rsid w:val="004424EC"/>
    <w:rsid w:val="00442805"/>
    <w:rsid w:val="00442906"/>
    <w:rsid w:val="00442C20"/>
    <w:rsid w:val="00442F5B"/>
    <w:rsid w:val="00443140"/>
    <w:rsid w:val="004433BD"/>
    <w:rsid w:val="00443820"/>
    <w:rsid w:val="00444561"/>
    <w:rsid w:val="0044488E"/>
    <w:rsid w:val="004449A9"/>
    <w:rsid w:val="00444D71"/>
    <w:rsid w:val="00444F9E"/>
    <w:rsid w:val="004452EB"/>
    <w:rsid w:val="0044616A"/>
    <w:rsid w:val="004469C7"/>
    <w:rsid w:val="004469FB"/>
    <w:rsid w:val="00446DB6"/>
    <w:rsid w:val="00446E56"/>
    <w:rsid w:val="00446FDE"/>
    <w:rsid w:val="004474E9"/>
    <w:rsid w:val="004478C3"/>
    <w:rsid w:val="004479B3"/>
    <w:rsid w:val="004501FA"/>
    <w:rsid w:val="00450382"/>
    <w:rsid w:val="0045047C"/>
    <w:rsid w:val="00450546"/>
    <w:rsid w:val="00450714"/>
    <w:rsid w:val="00450B07"/>
    <w:rsid w:val="00450CF8"/>
    <w:rsid w:val="00450E3F"/>
    <w:rsid w:val="004514BA"/>
    <w:rsid w:val="00451555"/>
    <w:rsid w:val="00451BC1"/>
    <w:rsid w:val="00452266"/>
    <w:rsid w:val="004524EF"/>
    <w:rsid w:val="004525D6"/>
    <w:rsid w:val="004526F3"/>
    <w:rsid w:val="0045279C"/>
    <w:rsid w:val="004528D8"/>
    <w:rsid w:val="0045300E"/>
    <w:rsid w:val="00453429"/>
    <w:rsid w:val="00453C7A"/>
    <w:rsid w:val="00453D2A"/>
    <w:rsid w:val="004540C2"/>
    <w:rsid w:val="00454534"/>
    <w:rsid w:val="0045470B"/>
    <w:rsid w:val="0045491F"/>
    <w:rsid w:val="00454A04"/>
    <w:rsid w:val="00454E40"/>
    <w:rsid w:val="0045535C"/>
    <w:rsid w:val="0045565D"/>
    <w:rsid w:val="00455B60"/>
    <w:rsid w:val="00455FAA"/>
    <w:rsid w:val="004562ED"/>
    <w:rsid w:val="004562F6"/>
    <w:rsid w:val="00456540"/>
    <w:rsid w:val="00456755"/>
    <w:rsid w:val="0045683F"/>
    <w:rsid w:val="00456BD5"/>
    <w:rsid w:val="00456DC8"/>
    <w:rsid w:val="00456DF6"/>
    <w:rsid w:val="00460210"/>
    <w:rsid w:val="0046022E"/>
    <w:rsid w:val="004602B1"/>
    <w:rsid w:val="00460A41"/>
    <w:rsid w:val="00460DBD"/>
    <w:rsid w:val="00461225"/>
    <w:rsid w:val="00461351"/>
    <w:rsid w:val="004614AC"/>
    <w:rsid w:val="00461804"/>
    <w:rsid w:val="00462512"/>
    <w:rsid w:val="00462BDC"/>
    <w:rsid w:val="00464405"/>
    <w:rsid w:val="0046475B"/>
    <w:rsid w:val="00464986"/>
    <w:rsid w:val="00464F8D"/>
    <w:rsid w:val="004650FC"/>
    <w:rsid w:val="00465799"/>
    <w:rsid w:val="00465F37"/>
    <w:rsid w:val="00466314"/>
    <w:rsid w:val="00466B05"/>
    <w:rsid w:val="00467505"/>
    <w:rsid w:val="00467560"/>
    <w:rsid w:val="0046772A"/>
    <w:rsid w:val="004678F1"/>
    <w:rsid w:val="00470290"/>
    <w:rsid w:val="0047069C"/>
    <w:rsid w:val="00470F3C"/>
    <w:rsid w:val="0047121A"/>
    <w:rsid w:val="004713BF"/>
    <w:rsid w:val="00472A06"/>
    <w:rsid w:val="004731C0"/>
    <w:rsid w:val="00473C05"/>
    <w:rsid w:val="00473DB1"/>
    <w:rsid w:val="0047409D"/>
    <w:rsid w:val="004741A2"/>
    <w:rsid w:val="0047430E"/>
    <w:rsid w:val="004746ED"/>
    <w:rsid w:val="0047471F"/>
    <w:rsid w:val="00474A79"/>
    <w:rsid w:val="00474EC3"/>
    <w:rsid w:val="00475786"/>
    <w:rsid w:val="00475E52"/>
    <w:rsid w:val="004761E3"/>
    <w:rsid w:val="00476390"/>
    <w:rsid w:val="004763E2"/>
    <w:rsid w:val="004764B0"/>
    <w:rsid w:val="00476916"/>
    <w:rsid w:val="004769E8"/>
    <w:rsid w:val="00477214"/>
    <w:rsid w:val="004772CA"/>
    <w:rsid w:val="004773CE"/>
    <w:rsid w:val="00477AB0"/>
    <w:rsid w:val="00477B72"/>
    <w:rsid w:val="00480211"/>
    <w:rsid w:val="004803BB"/>
    <w:rsid w:val="00480C1B"/>
    <w:rsid w:val="00480C84"/>
    <w:rsid w:val="00480CC0"/>
    <w:rsid w:val="00480D04"/>
    <w:rsid w:val="00480E4D"/>
    <w:rsid w:val="0048112E"/>
    <w:rsid w:val="00481C23"/>
    <w:rsid w:val="00481DBE"/>
    <w:rsid w:val="00481E5D"/>
    <w:rsid w:val="004823F8"/>
    <w:rsid w:val="00482AFE"/>
    <w:rsid w:val="00482ED2"/>
    <w:rsid w:val="004836A5"/>
    <w:rsid w:val="00483E7A"/>
    <w:rsid w:val="00483F55"/>
    <w:rsid w:val="0048453C"/>
    <w:rsid w:val="0048457A"/>
    <w:rsid w:val="0048469C"/>
    <w:rsid w:val="00484919"/>
    <w:rsid w:val="00484CC8"/>
    <w:rsid w:val="00484E80"/>
    <w:rsid w:val="00485171"/>
    <w:rsid w:val="00485256"/>
    <w:rsid w:val="00485F5E"/>
    <w:rsid w:val="004863E1"/>
    <w:rsid w:val="004863F2"/>
    <w:rsid w:val="00486B61"/>
    <w:rsid w:val="00486DCF"/>
    <w:rsid w:val="00486E10"/>
    <w:rsid w:val="00486E5B"/>
    <w:rsid w:val="00487271"/>
    <w:rsid w:val="004876B1"/>
    <w:rsid w:val="004877B1"/>
    <w:rsid w:val="0049003B"/>
    <w:rsid w:val="00490279"/>
    <w:rsid w:val="00490602"/>
    <w:rsid w:val="0049062C"/>
    <w:rsid w:val="0049082F"/>
    <w:rsid w:val="0049105B"/>
    <w:rsid w:val="00491482"/>
    <w:rsid w:val="0049166B"/>
    <w:rsid w:val="00491CF7"/>
    <w:rsid w:val="00491FB8"/>
    <w:rsid w:val="00492041"/>
    <w:rsid w:val="004922AC"/>
    <w:rsid w:val="004923D2"/>
    <w:rsid w:val="00492594"/>
    <w:rsid w:val="00492C3A"/>
    <w:rsid w:val="00492C4C"/>
    <w:rsid w:val="00492E5E"/>
    <w:rsid w:val="00493083"/>
    <w:rsid w:val="0049352A"/>
    <w:rsid w:val="00493A86"/>
    <w:rsid w:val="00493DB9"/>
    <w:rsid w:val="00493EAA"/>
    <w:rsid w:val="004940F8"/>
    <w:rsid w:val="004943EC"/>
    <w:rsid w:val="00494D08"/>
    <w:rsid w:val="00495CDF"/>
    <w:rsid w:val="00496704"/>
    <w:rsid w:val="00497083"/>
    <w:rsid w:val="00497348"/>
    <w:rsid w:val="004973F6"/>
    <w:rsid w:val="00497839"/>
    <w:rsid w:val="00497A31"/>
    <w:rsid w:val="00497EC0"/>
    <w:rsid w:val="004A07BD"/>
    <w:rsid w:val="004A1589"/>
    <w:rsid w:val="004A1E0D"/>
    <w:rsid w:val="004A2557"/>
    <w:rsid w:val="004A2BBE"/>
    <w:rsid w:val="004A3255"/>
    <w:rsid w:val="004A32BB"/>
    <w:rsid w:val="004A375D"/>
    <w:rsid w:val="004A39AE"/>
    <w:rsid w:val="004A4121"/>
    <w:rsid w:val="004A432D"/>
    <w:rsid w:val="004A48FA"/>
    <w:rsid w:val="004A49EC"/>
    <w:rsid w:val="004A4BEC"/>
    <w:rsid w:val="004A5310"/>
    <w:rsid w:val="004A53AA"/>
    <w:rsid w:val="004A555F"/>
    <w:rsid w:val="004A57A1"/>
    <w:rsid w:val="004A5AE8"/>
    <w:rsid w:val="004A5CCB"/>
    <w:rsid w:val="004A5F0C"/>
    <w:rsid w:val="004A6093"/>
    <w:rsid w:val="004A6790"/>
    <w:rsid w:val="004A6904"/>
    <w:rsid w:val="004A6FD5"/>
    <w:rsid w:val="004A7080"/>
    <w:rsid w:val="004A7F46"/>
    <w:rsid w:val="004A7F51"/>
    <w:rsid w:val="004B0265"/>
    <w:rsid w:val="004B058A"/>
    <w:rsid w:val="004B0D45"/>
    <w:rsid w:val="004B10E6"/>
    <w:rsid w:val="004B124F"/>
    <w:rsid w:val="004B14C7"/>
    <w:rsid w:val="004B15E2"/>
    <w:rsid w:val="004B19E3"/>
    <w:rsid w:val="004B1B34"/>
    <w:rsid w:val="004B1C21"/>
    <w:rsid w:val="004B1D10"/>
    <w:rsid w:val="004B1DB6"/>
    <w:rsid w:val="004B25A3"/>
    <w:rsid w:val="004B28C6"/>
    <w:rsid w:val="004B2E3B"/>
    <w:rsid w:val="004B3099"/>
    <w:rsid w:val="004B3636"/>
    <w:rsid w:val="004B3658"/>
    <w:rsid w:val="004B3F09"/>
    <w:rsid w:val="004B4A0E"/>
    <w:rsid w:val="004B4FC5"/>
    <w:rsid w:val="004B5C4C"/>
    <w:rsid w:val="004B6504"/>
    <w:rsid w:val="004B71F1"/>
    <w:rsid w:val="004B7282"/>
    <w:rsid w:val="004B7976"/>
    <w:rsid w:val="004C0E38"/>
    <w:rsid w:val="004C1092"/>
    <w:rsid w:val="004C1482"/>
    <w:rsid w:val="004C1684"/>
    <w:rsid w:val="004C1B29"/>
    <w:rsid w:val="004C1B94"/>
    <w:rsid w:val="004C24D8"/>
    <w:rsid w:val="004C2ADB"/>
    <w:rsid w:val="004C2C89"/>
    <w:rsid w:val="004C337F"/>
    <w:rsid w:val="004C33C1"/>
    <w:rsid w:val="004C34E9"/>
    <w:rsid w:val="004C350D"/>
    <w:rsid w:val="004C360C"/>
    <w:rsid w:val="004C3DC8"/>
    <w:rsid w:val="004C3F02"/>
    <w:rsid w:val="004C45C1"/>
    <w:rsid w:val="004C4A89"/>
    <w:rsid w:val="004C4F0F"/>
    <w:rsid w:val="004C53A5"/>
    <w:rsid w:val="004C558C"/>
    <w:rsid w:val="004C58E5"/>
    <w:rsid w:val="004C5AA1"/>
    <w:rsid w:val="004C60F0"/>
    <w:rsid w:val="004C7540"/>
    <w:rsid w:val="004C7642"/>
    <w:rsid w:val="004C7935"/>
    <w:rsid w:val="004C7950"/>
    <w:rsid w:val="004C7DB7"/>
    <w:rsid w:val="004D07A9"/>
    <w:rsid w:val="004D0CD2"/>
    <w:rsid w:val="004D11D3"/>
    <w:rsid w:val="004D172E"/>
    <w:rsid w:val="004D18BE"/>
    <w:rsid w:val="004D1AFB"/>
    <w:rsid w:val="004D1DA7"/>
    <w:rsid w:val="004D1E13"/>
    <w:rsid w:val="004D1E82"/>
    <w:rsid w:val="004D1F1F"/>
    <w:rsid w:val="004D22F2"/>
    <w:rsid w:val="004D2481"/>
    <w:rsid w:val="004D24DA"/>
    <w:rsid w:val="004D2867"/>
    <w:rsid w:val="004D2DF3"/>
    <w:rsid w:val="004D43F3"/>
    <w:rsid w:val="004D4782"/>
    <w:rsid w:val="004D4B44"/>
    <w:rsid w:val="004D4E73"/>
    <w:rsid w:val="004D5169"/>
    <w:rsid w:val="004D5223"/>
    <w:rsid w:val="004D52B5"/>
    <w:rsid w:val="004D5B41"/>
    <w:rsid w:val="004D620F"/>
    <w:rsid w:val="004D631E"/>
    <w:rsid w:val="004D6720"/>
    <w:rsid w:val="004D695F"/>
    <w:rsid w:val="004D6A4B"/>
    <w:rsid w:val="004D732F"/>
    <w:rsid w:val="004D7C35"/>
    <w:rsid w:val="004E00F3"/>
    <w:rsid w:val="004E068C"/>
    <w:rsid w:val="004E14B1"/>
    <w:rsid w:val="004E16F9"/>
    <w:rsid w:val="004E1996"/>
    <w:rsid w:val="004E1CA6"/>
    <w:rsid w:val="004E211B"/>
    <w:rsid w:val="004E22AD"/>
    <w:rsid w:val="004E2E0C"/>
    <w:rsid w:val="004E378A"/>
    <w:rsid w:val="004E38FA"/>
    <w:rsid w:val="004E3969"/>
    <w:rsid w:val="004E3BFB"/>
    <w:rsid w:val="004E3D08"/>
    <w:rsid w:val="004E406F"/>
    <w:rsid w:val="004E4EBF"/>
    <w:rsid w:val="004E4F2B"/>
    <w:rsid w:val="004E58C9"/>
    <w:rsid w:val="004E5E44"/>
    <w:rsid w:val="004E5F80"/>
    <w:rsid w:val="004E5FD8"/>
    <w:rsid w:val="004E6023"/>
    <w:rsid w:val="004E61CE"/>
    <w:rsid w:val="004E6445"/>
    <w:rsid w:val="004E6563"/>
    <w:rsid w:val="004E6656"/>
    <w:rsid w:val="004E6A1C"/>
    <w:rsid w:val="004E6B85"/>
    <w:rsid w:val="004E6CEE"/>
    <w:rsid w:val="004E6F20"/>
    <w:rsid w:val="004F0208"/>
    <w:rsid w:val="004F0342"/>
    <w:rsid w:val="004F04E3"/>
    <w:rsid w:val="004F0660"/>
    <w:rsid w:val="004F0AB2"/>
    <w:rsid w:val="004F0CFE"/>
    <w:rsid w:val="004F1262"/>
    <w:rsid w:val="004F1628"/>
    <w:rsid w:val="004F187E"/>
    <w:rsid w:val="004F1C02"/>
    <w:rsid w:val="004F215F"/>
    <w:rsid w:val="004F2221"/>
    <w:rsid w:val="004F26BF"/>
    <w:rsid w:val="004F2DA3"/>
    <w:rsid w:val="004F3515"/>
    <w:rsid w:val="004F3A31"/>
    <w:rsid w:val="004F3E30"/>
    <w:rsid w:val="004F3F87"/>
    <w:rsid w:val="004F4592"/>
    <w:rsid w:val="004F47B7"/>
    <w:rsid w:val="004F48A7"/>
    <w:rsid w:val="004F524B"/>
    <w:rsid w:val="004F59FE"/>
    <w:rsid w:val="004F5B1D"/>
    <w:rsid w:val="004F5E09"/>
    <w:rsid w:val="004F6278"/>
    <w:rsid w:val="004F65F0"/>
    <w:rsid w:val="004F66A4"/>
    <w:rsid w:val="004F68EE"/>
    <w:rsid w:val="004F6DCC"/>
    <w:rsid w:val="004F6DFE"/>
    <w:rsid w:val="004F6FDD"/>
    <w:rsid w:val="004F7247"/>
    <w:rsid w:val="004F72E0"/>
    <w:rsid w:val="004F7321"/>
    <w:rsid w:val="004F73E2"/>
    <w:rsid w:val="004F75E4"/>
    <w:rsid w:val="004F7A73"/>
    <w:rsid w:val="004F7C83"/>
    <w:rsid w:val="0050008C"/>
    <w:rsid w:val="00500126"/>
    <w:rsid w:val="005006BB"/>
    <w:rsid w:val="005007C3"/>
    <w:rsid w:val="005009BA"/>
    <w:rsid w:val="00500DC0"/>
    <w:rsid w:val="00501096"/>
    <w:rsid w:val="00501315"/>
    <w:rsid w:val="00501944"/>
    <w:rsid w:val="00501B05"/>
    <w:rsid w:val="00502087"/>
    <w:rsid w:val="00502F31"/>
    <w:rsid w:val="00503448"/>
    <w:rsid w:val="00503ACA"/>
    <w:rsid w:val="00503F1D"/>
    <w:rsid w:val="00504423"/>
    <w:rsid w:val="00504803"/>
    <w:rsid w:val="00504CCB"/>
    <w:rsid w:val="00504DC7"/>
    <w:rsid w:val="0050514B"/>
    <w:rsid w:val="00505AC3"/>
    <w:rsid w:val="0050654F"/>
    <w:rsid w:val="00506633"/>
    <w:rsid w:val="00506704"/>
    <w:rsid w:val="005068C1"/>
    <w:rsid w:val="005075F8"/>
    <w:rsid w:val="00507608"/>
    <w:rsid w:val="00507863"/>
    <w:rsid w:val="005078EF"/>
    <w:rsid w:val="00507929"/>
    <w:rsid w:val="00507DE1"/>
    <w:rsid w:val="005101AE"/>
    <w:rsid w:val="005103CB"/>
    <w:rsid w:val="00510766"/>
    <w:rsid w:val="00510884"/>
    <w:rsid w:val="00510D4F"/>
    <w:rsid w:val="00510F46"/>
    <w:rsid w:val="005110B4"/>
    <w:rsid w:val="00511B2A"/>
    <w:rsid w:val="00511D44"/>
    <w:rsid w:val="00512549"/>
    <w:rsid w:val="00512913"/>
    <w:rsid w:val="0051312E"/>
    <w:rsid w:val="00513294"/>
    <w:rsid w:val="0051333A"/>
    <w:rsid w:val="005136A8"/>
    <w:rsid w:val="00513CE0"/>
    <w:rsid w:val="00514698"/>
    <w:rsid w:val="005147A3"/>
    <w:rsid w:val="00514FDC"/>
    <w:rsid w:val="00515DBB"/>
    <w:rsid w:val="00515E6D"/>
    <w:rsid w:val="0051665B"/>
    <w:rsid w:val="00516882"/>
    <w:rsid w:val="00516903"/>
    <w:rsid w:val="00516C73"/>
    <w:rsid w:val="00516D5F"/>
    <w:rsid w:val="00516D60"/>
    <w:rsid w:val="00516DD7"/>
    <w:rsid w:val="00516DEB"/>
    <w:rsid w:val="00516E9C"/>
    <w:rsid w:val="005173BF"/>
    <w:rsid w:val="0051749D"/>
    <w:rsid w:val="0052035E"/>
    <w:rsid w:val="005206E2"/>
    <w:rsid w:val="00520C71"/>
    <w:rsid w:val="00521104"/>
    <w:rsid w:val="00521360"/>
    <w:rsid w:val="0052155B"/>
    <w:rsid w:val="00521723"/>
    <w:rsid w:val="00521D33"/>
    <w:rsid w:val="00521D88"/>
    <w:rsid w:val="00521F04"/>
    <w:rsid w:val="005228C5"/>
    <w:rsid w:val="00522BA1"/>
    <w:rsid w:val="0052392A"/>
    <w:rsid w:val="00523D47"/>
    <w:rsid w:val="00524E51"/>
    <w:rsid w:val="00525087"/>
    <w:rsid w:val="00525A5F"/>
    <w:rsid w:val="00525E6D"/>
    <w:rsid w:val="005268D2"/>
    <w:rsid w:val="00526A67"/>
    <w:rsid w:val="00526A77"/>
    <w:rsid w:val="0052740C"/>
    <w:rsid w:val="00527940"/>
    <w:rsid w:val="00527943"/>
    <w:rsid w:val="00527A02"/>
    <w:rsid w:val="0053069B"/>
    <w:rsid w:val="005308CD"/>
    <w:rsid w:val="00530998"/>
    <w:rsid w:val="00530C4C"/>
    <w:rsid w:val="00530DE4"/>
    <w:rsid w:val="005310A9"/>
    <w:rsid w:val="00531741"/>
    <w:rsid w:val="00531EE7"/>
    <w:rsid w:val="00531F12"/>
    <w:rsid w:val="00532283"/>
    <w:rsid w:val="00532644"/>
    <w:rsid w:val="0053281F"/>
    <w:rsid w:val="0053290E"/>
    <w:rsid w:val="00532CC9"/>
    <w:rsid w:val="00532D5B"/>
    <w:rsid w:val="005331F4"/>
    <w:rsid w:val="00533CC5"/>
    <w:rsid w:val="00533F47"/>
    <w:rsid w:val="00534085"/>
    <w:rsid w:val="005349FE"/>
    <w:rsid w:val="005351C6"/>
    <w:rsid w:val="00535401"/>
    <w:rsid w:val="005355DC"/>
    <w:rsid w:val="00535ABD"/>
    <w:rsid w:val="00535B02"/>
    <w:rsid w:val="00536380"/>
    <w:rsid w:val="00536739"/>
    <w:rsid w:val="0053678F"/>
    <w:rsid w:val="00536A52"/>
    <w:rsid w:val="005371A2"/>
    <w:rsid w:val="0053796C"/>
    <w:rsid w:val="00537CDA"/>
    <w:rsid w:val="00537E1D"/>
    <w:rsid w:val="00537FE9"/>
    <w:rsid w:val="0054038F"/>
    <w:rsid w:val="00540652"/>
    <w:rsid w:val="00541C92"/>
    <w:rsid w:val="00541E29"/>
    <w:rsid w:val="00541F0C"/>
    <w:rsid w:val="005424CF"/>
    <w:rsid w:val="00542627"/>
    <w:rsid w:val="00542B4E"/>
    <w:rsid w:val="005431F0"/>
    <w:rsid w:val="00543744"/>
    <w:rsid w:val="005438F0"/>
    <w:rsid w:val="00543A2D"/>
    <w:rsid w:val="00544637"/>
    <w:rsid w:val="0054491A"/>
    <w:rsid w:val="00544AA2"/>
    <w:rsid w:val="00544F8E"/>
    <w:rsid w:val="00545534"/>
    <w:rsid w:val="00545590"/>
    <w:rsid w:val="00546435"/>
    <w:rsid w:val="0054693C"/>
    <w:rsid w:val="00546D94"/>
    <w:rsid w:val="00547148"/>
    <w:rsid w:val="005473DE"/>
    <w:rsid w:val="00547489"/>
    <w:rsid w:val="005478B9"/>
    <w:rsid w:val="00547983"/>
    <w:rsid w:val="005479B9"/>
    <w:rsid w:val="00547A3A"/>
    <w:rsid w:val="0055035F"/>
    <w:rsid w:val="00550467"/>
    <w:rsid w:val="00550AC9"/>
    <w:rsid w:val="00551139"/>
    <w:rsid w:val="005513F9"/>
    <w:rsid w:val="005518F0"/>
    <w:rsid w:val="005519BD"/>
    <w:rsid w:val="00552208"/>
    <w:rsid w:val="005522A6"/>
    <w:rsid w:val="005522E7"/>
    <w:rsid w:val="005530B7"/>
    <w:rsid w:val="00553265"/>
    <w:rsid w:val="005532EF"/>
    <w:rsid w:val="00554B94"/>
    <w:rsid w:val="00554C2D"/>
    <w:rsid w:val="005551C9"/>
    <w:rsid w:val="00555997"/>
    <w:rsid w:val="005568CF"/>
    <w:rsid w:val="005569FF"/>
    <w:rsid w:val="00556DEB"/>
    <w:rsid w:val="00556F58"/>
    <w:rsid w:val="00557333"/>
    <w:rsid w:val="005575B4"/>
    <w:rsid w:val="00557B41"/>
    <w:rsid w:val="00560016"/>
    <w:rsid w:val="00560289"/>
    <w:rsid w:val="005604FF"/>
    <w:rsid w:val="00560EFE"/>
    <w:rsid w:val="00561695"/>
    <w:rsid w:val="005617A3"/>
    <w:rsid w:val="00561B0C"/>
    <w:rsid w:val="0056208D"/>
    <w:rsid w:val="005620C2"/>
    <w:rsid w:val="00562304"/>
    <w:rsid w:val="0056247D"/>
    <w:rsid w:val="005629AB"/>
    <w:rsid w:val="00562C61"/>
    <w:rsid w:val="00562E77"/>
    <w:rsid w:val="00563359"/>
    <w:rsid w:val="00563382"/>
    <w:rsid w:val="005635BC"/>
    <w:rsid w:val="005639ED"/>
    <w:rsid w:val="00563A4D"/>
    <w:rsid w:val="00563DEC"/>
    <w:rsid w:val="00564A78"/>
    <w:rsid w:val="00565071"/>
    <w:rsid w:val="00565565"/>
    <w:rsid w:val="0056574F"/>
    <w:rsid w:val="00565CE1"/>
    <w:rsid w:val="00566554"/>
    <w:rsid w:val="0056673C"/>
    <w:rsid w:val="00566B70"/>
    <w:rsid w:val="00566D34"/>
    <w:rsid w:val="00566FDD"/>
    <w:rsid w:val="00567AD1"/>
    <w:rsid w:val="00567CE4"/>
    <w:rsid w:val="00567CFF"/>
    <w:rsid w:val="00567D0F"/>
    <w:rsid w:val="00567D4B"/>
    <w:rsid w:val="00567FA6"/>
    <w:rsid w:val="005700F9"/>
    <w:rsid w:val="00570247"/>
    <w:rsid w:val="005704F4"/>
    <w:rsid w:val="005705A3"/>
    <w:rsid w:val="00570853"/>
    <w:rsid w:val="005709F8"/>
    <w:rsid w:val="00570C5F"/>
    <w:rsid w:val="00570E88"/>
    <w:rsid w:val="00570F20"/>
    <w:rsid w:val="005712FB"/>
    <w:rsid w:val="00571471"/>
    <w:rsid w:val="0057181E"/>
    <w:rsid w:val="00571D1E"/>
    <w:rsid w:val="00571F39"/>
    <w:rsid w:val="005721D3"/>
    <w:rsid w:val="005724FE"/>
    <w:rsid w:val="005726A5"/>
    <w:rsid w:val="00572AD7"/>
    <w:rsid w:val="00572AEB"/>
    <w:rsid w:val="00572B6B"/>
    <w:rsid w:val="00572BF3"/>
    <w:rsid w:val="00572C63"/>
    <w:rsid w:val="00572E53"/>
    <w:rsid w:val="005730B1"/>
    <w:rsid w:val="00573437"/>
    <w:rsid w:val="005737FC"/>
    <w:rsid w:val="00573BE5"/>
    <w:rsid w:val="00573C92"/>
    <w:rsid w:val="00573D11"/>
    <w:rsid w:val="00573F3C"/>
    <w:rsid w:val="00574278"/>
    <w:rsid w:val="005749D3"/>
    <w:rsid w:val="00574C1C"/>
    <w:rsid w:val="0057523A"/>
    <w:rsid w:val="00575748"/>
    <w:rsid w:val="00575BCE"/>
    <w:rsid w:val="00575C1B"/>
    <w:rsid w:val="00576274"/>
    <w:rsid w:val="005762EA"/>
    <w:rsid w:val="005762EF"/>
    <w:rsid w:val="005764F7"/>
    <w:rsid w:val="005769FC"/>
    <w:rsid w:val="00576B42"/>
    <w:rsid w:val="00576F89"/>
    <w:rsid w:val="00577CA9"/>
    <w:rsid w:val="00577E28"/>
    <w:rsid w:val="00577E51"/>
    <w:rsid w:val="00577F8D"/>
    <w:rsid w:val="00580518"/>
    <w:rsid w:val="00580A4D"/>
    <w:rsid w:val="00580F88"/>
    <w:rsid w:val="005819E5"/>
    <w:rsid w:val="00582184"/>
    <w:rsid w:val="0058247B"/>
    <w:rsid w:val="005827D9"/>
    <w:rsid w:val="00582BB5"/>
    <w:rsid w:val="005836F3"/>
    <w:rsid w:val="0058385C"/>
    <w:rsid w:val="005841F6"/>
    <w:rsid w:val="00584664"/>
    <w:rsid w:val="00585531"/>
    <w:rsid w:val="005858DE"/>
    <w:rsid w:val="00585C1B"/>
    <w:rsid w:val="00585CE8"/>
    <w:rsid w:val="00585EB6"/>
    <w:rsid w:val="00585F30"/>
    <w:rsid w:val="0058602E"/>
    <w:rsid w:val="00586124"/>
    <w:rsid w:val="0058698A"/>
    <w:rsid w:val="005869C6"/>
    <w:rsid w:val="00586B9A"/>
    <w:rsid w:val="00586EDC"/>
    <w:rsid w:val="00586FBC"/>
    <w:rsid w:val="00587240"/>
    <w:rsid w:val="00587784"/>
    <w:rsid w:val="00587B54"/>
    <w:rsid w:val="00587F72"/>
    <w:rsid w:val="005903C0"/>
    <w:rsid w:val="00590A44"/>
    <w:rsid w:val="00590ADE"/>
    <w:rsid w:val="00590DD3"/>
    <w:rsid w:val="005912C9"/>
    <w:rsid w:val="00591358"/>
    <w:rsid w:val="00591400"/>
    <w:rsid w:val="005917C1"/>
    <w:rsid w:val="0059182D"/>
    <w:rsid w:val="005919F7"/>
    <w:rsid w:val="005927AC"/>
    <w:rsid w:val="00592F67"/>
    <w:rsid w:val="00593505"/>
    <w:rsid w:val="005937CD"/>
    <w:rsid w:val="00593AC8"/>
    <w:rsid w:val="00594462"/>
    <w:rsid w:val="00594905"/>
    <w:rsid w:val="00594C95"/>
    <w:rsid w:val="00594CA4"/>
    <w:rsid w:val="00594D1D"/>
    <w:rsid w:val="00595547"/>
    <w:rsid w:val="00595690"/>
    <w:rsid w:val="00596107"/>
    <w:rsid w:val="0059634A"/>
    <w:rsid w:val="005963FF"/>
    <w:rsid w:val="00596727"/>
    <w:rsid w:val="0059695C"/>
    <w:rsid w:val="00596B89"/>
    <w:rsid w:val="00596F21"/>
    <w:rsid w:val="0059700B"/>
    <w:rsid w:val="00597238"/>
    <w:rsid w:val="0059764B"/>
    <w:rsid w:val="00597CCC"/>
    <w:rsid w:val="005A0175"/>
    <w:rsid w:val="005A0295"/>
    <w:rsid w:val="005A0675"/>
    <w:rsid w:val="005A097F"/>
    <w:rsid w:val="005A1142"/>
    <w:rsid w:val="005A1294"/>
    <w:rsid w:val="005A13E8"/>
    <w:rsid w:val="005A179C"/>
    <w:rsid w:val="005A1809"/>
    <w:rsid w:val="005A1C7D"/>
    <w:rsid w:val="005A1E8C"/>
    <w:rsid w:val="005A24EB"/>
    <w:rsid w:val="005A2B96"/>
    <w:rsid w:val="005A2F16"/>
    <w:rsid w:val="005A311C"/>
    <w:rsid w:val="005A334E"/>
    <w:rsid w:val="005A34CA"/>
    <w:rsid w:val="005A3737"/>
    <w:rsid w:val="005A3903"/>
    <w:rsid w:val="005A3B24"/>
    <w:rsid w:val="005A4A27"/>
    <w:rsid w:val="005A53E3"/>
    <w:rsid w:val="005A55AE"/>
    <w:rsid w:val="005A585C"/>
    <w:rsid w:val="005A60A6"/>
    <w:rsid w:val="005A615F"/>
    <w:rsid w:val="005A6229"/>
    <w:rsid w:val="005A6492"/>
    <w:rsid w:val="005A6A79"/>
    <w:rsid w:val="005A6C28"/>
    <w:rsid w:val="005A6FD1"/>
    <w:rsid w:val="005A704B"/>
    <w:rsid w:val="005A71CA"/>
    <w:rsid w:val="005A7576"/>
    <w:rsid w:val="005A7620"/>
    <w:rsid w:val="005A7D97"/>
    <w:rsid w:val="005B01F0"/>
    <w:rsid w:val="005B066B"/>
    <w:rsid w:val="005B0B36"/>
    <w:rsid w:val="005B133F"/>
    <w:rsid w:val="005B2110"/>
    <w:rsid w:val="005B2193"/>
    <w:rsid w:val="005B22A1"/>
    <w:rsid w:val="005B28CA"/>
    <w:rsid w:val="005B2E4D"/>
    <w:rsid w:val="005B32E1"/>
    <w:rsid w:val="005B3649"/>
    <w:rsid w:val="005B37B3"/>
    <w:rsid w:val="005B3813"/>
    <w:rsid w:val="005B3877"/>
    <w:rsid w:val="005B3A4C"/>
    <w:rsid w:val="005B3B1C"/>
    <w:rsid w:val="005B3CA5"/>
    <w:rsid w:val="005B3F5E"/>
    <w:rsid w:val="005B3F9C"/>
    <w:rsid w:val="005B401E"/>
    <w:rsid w:val="005B42DC"/>
    <w:rsid w:val="005B4399"/>
    <w:rsid w:val="005B4869"/>
    <w:rsid w:val="005B48FD"/>
    <w:rsid w:val="005B4F8E"/>
    <w:rsid w:val="005B5892"/>
    <w:rsid w:val="005B5FF4"/>
    <w:rsid w:val="005B61F7"/>
    <w:rsid w:val="005B656E"/>
    <w:rsid w:val="005B66FA"/>
    <w:rsid w:val="005B70B7"/>
    <w:rsid w:val="005B71B5"/>
    <w:rsid w:val="005B7995"/>
    <w:rsid w:val="005C0235"/>
    <w:rsid w:val="005C04AD"/>
    <w:rsid w:val="005C0AE2"/>
    <w:rsid w:val="005C1595"/>
    <w:rsid w:val="005C16EA"/>
    <w:rsid w:val="005C186A"/>
    <w:rsid w:val="005C1A62"/>
    <w:rsid w:val="005C1C54"/>
    <w:rsid w:val="005C1D81"/>
    <w:rsid w:val="005C1E25"/>
    <w:rsid w:val="005C2020"/>
    <w:rsid w:val="005C25F6"/>
    <w:rsid w:val="005C2BEC"/>
    <w:rsid w:val="005C3135"/>
    <w:rsid w:val="005C3160"/>
    <w:rsid w:val="005C31F2"/>
    <w:rsid w:val="005C3205"/>
    <w:rsid w:val="005C325B"/>
    <w:rsid w:val="005C32D6"/>
    <w:rsid w:val="005C331A"/>
    <w:rsid w:val="005C348E"/>
    <w:rsid w:val="005C36E0"/>
    <w:rsid w:val="005C3C4C"/>
    <w:rsid w:val="005C3F1A"/>
    <w:rsid w:val="005C430C"/>
    <w:rsid w:val="005C45D7"/>
    <w:rsid w:val="005C4645"/>
    <w:rsid w:val="005C4A77"/>
    <w:rsid w:val="005C511E"/>
    <w:rsid w:val="005C537A"/>
    <w:rsid w:val="005C5BFF"/>
    <w:rsid w:val="005C6044"/>
    <w:rsid w:val="005C60E8"/>
    <w:rsid w:val="005C64ED"/>
    <w:rsid w:val="005C65D3"/>
    <w:rsid w:val="005C6A19"/>
    <w:rsid w:val="005C7241"/>
    <w:rsid w:val="005C729E"/>
    <w:rsid w:val="005C72BE"/>
    <w:rsid w:val="005C794E"/>
    <w:rsid w:val="005C7D20"/>
    <w:rsid w:val="005C7E14"/>
    <w:rsid w:val="005C7E8D"/>
    <w:rsid w:val="005D158E"/>
    <w:rsid w:val="005D15E3"/>
    <w:rsid w:val="005D18A5"/>
    <w:rsid w:val="005D1AAC"/>
    <w:rsid w:val="005D1D8B"/>
    <w:rsid w:val="005D1DD9"/>
    <w:rsid w:val="005D209B"/>
    <w:rsid w:val="005D20F8"/>
    <w:rsid w:val="005D2182"/>
    <w:rsid w:val="005D289D"/>
    <w:rsid w:val="005D3353"/>
    <w:rsid w:val="005D3716"/>
    <w:rsid w:val="005D39BC"/>
    <w:rsid w:val="005D41BA"/>
    <w:rsid w:val="005D42FA"/>
    <w:rsid w:val="005D4949"/>
    <w:rsid w:val="005D49F5"/>
    <w:rsid w:val="005D4D0B"/>
    <w:rsid w:val="005D57D0"/>
    <w:rsid w:val="005D5934"/>
    <w:rsid w:val="005D5A05"/>
    <w:rsid w:val="005D5FBD"/>
    <w:rsid w:val="005D5FFF"/>
    <w:rsid w:val="005D60FD"/>
    <w:rsid w:val="005D6A46"/>
    <w:rsid w:val="005D6C5B"/>
    <w:rsid w:val="005D6D12"/>
    <w:rsid w:val="005D7009"/>
    <w:rsid w:val="005D74DB"/>
    <w:rsid w:val="005D76F2"/>
    <w:rsid w:val="005D7727"/>
    <w:rsid w:val="005D7BF3"/>
    <w:rsid w:val="005D7CEB"/>
    <w:rsid w:val="005E043F"/>
    <w:rsid w:val="005E0755"/>
    <w:rsid w:val="005E0A6A"/>
    <w:rsid w:val="005E1047"/>
    <w:rsid w:val="005E17FD"/>
    <w:rsid w:val="005E1F4C"/>
    <w:rsid w:val="005E1FFD"/>
    <w:rsid w:val="005E22AD"/>
    <w:rsid w:val="005E271D"/>
    <w:rsid w:val="005E335A"/>
    <w:rsid w:val="005E33BF"/>
    <w:rsid w:val="005E3841"/>
    <w:rsid w:val="005E38A5"/>
    <w:rsid w:val="005E3905"/>
    <w:rsid w:val="005E3E6E"/>
    <w:rsid w:val="005E43BD"/>
    <w:rsid w:val="005E49B2"/>
    <w:rsid w:val="005E4AB1"/>
    <w:rsid w:val="005E4E29"/>
    <w:rsid w:val="005E53A6"/>
    <w:rsid w:val="005E53C6"/>
    <w:rsid w:val="005E5605"/>
    <w:rsid w:val="005E5755"/>
    <w:rsid w:val="005E61C9"/>
    <w:rsid w:val="005E6580"/>
    <w:rsid w:val="005E65C2"/>
    <w:rsid w:val="005E6BA1"/>
    <w:rsid w:val="005E6F08"/>
    <w:rsid w:val="005E7482"/>
    <w:rsid w:val="005E7A37"/>
    <w:rsid w:val="005E7F76"/>
    <w:rsid w:val="005F04B2"/>
    <w:rsid w:val="005F0CF2"/>
    <w:rsid w:val="005F1156"/>
    <w:rsid w:val="005F11BA"/>
    <w:rsid w:val="005F1EBB"/>
    <w:rsid w:val="005F21F7"/>
    <w:rsid w:val="005F2517"/>
    <w:rsid w:val="005F2829"/>
    <w:rsid w:val="005F2D53"/>
    <w:rsid w:val="005F30C4"/>
    <w:rsid w:val="005F3110"/>
    <w:rsid w:val="005F3288"/>
    <w:rsid w:val="005F3409"/>
    <w:rsid w:val="005F370C"/>
    <w:rsid w:val="005F3A53"/>
    <w:rsid w:val="005F4065"/>
    <w:rsid w:val="005F4311"/>
    <w:rsid w:val="005F43D8"/>
    <w:rsid w:val="005F4462"/>
    <w:rsid w:val="005F447E"/>
    <w:rsid w:val="005F48C9"/>
    <w:rsid w:val="005F4B6E"/>
    <w:rsid w:val="005F52C0"/>
    <w:rsid w:val="005F5308"/>
    <w:rsid w:val="005F55F0"/>
    <w:rsid w:val="005F5792"/>
    <w:rsid w:val="005F5851"/>
    <w:rsid w:val="005F5A09"/>
    <w:rsid w:val="005F5C4F"/>
    <w:rsid w:val="005F655F"/>
    <w:rsid w:val="005F6640"/>
    <w:rsid w:val="005F66A2"/>
    <w:rsid w:val="005F691D"/>
    <w:rsid w:val="005F6EA6"/>
    <w:rsid w:val="005F6F21"/>
    <w:rsid w:val="005F6F62"/>
    <w:rsid w:val="005F78EC"/>
    <w:rsid w:val="005F7997"/>
    <w:rsid w:val="005F79AE"/>
    <w:rsid w:val="005F7AE6"/>
    <w:rsid w:val="005F7BDD"/>
    <w:rsid w:val="005F7DF1"/>
    <w:rsid w:val="006011DB"/>
    <w:rsid w:val="006012D6"/>
    <w:rsid w:val="006013FA"/>
    <w:rsid w:val="00601527"/>
    <w:rsid w:val="006015C4"/>
    <w:rsid w:val="00602188"/>
    <w:rsid w:val="0060238A"/>
    <w:rsid w:val="006024F8"/>
    <w:rsid w:val="00602986"/>
    <w:rsid w:val="00602CB2"/>
    <w:rsid w:val="00603AA2"/>
    <w:rsid w:val="00603B4F"/>
    <w:rsid w:val="00603EA7"/>
    <w:rsid w:val="00604231"/>
    <w:rsid w:val="00604376"/>
    <w:rsid w:val="00604415"/>
    <w:rsid w:val="006044A4"/>
    <w:rsid w:val="00604967"/>
    <w:rsid w:val="00604B95"/>
    <w:rsid w:val="00604C28"/>
    <w:rsid w:val="00604CAC"/>
    <w:rsid w:val="0060542D"/>
    <w:rsid w:val="0060543A"/>
    <w:rsid w:val="00605581"/>
    <w:rsid w:val="00605BE5"/>
    <w:rsid w:val="00605CB1"/>
    <w:rsid w:val="00605D02"/>
    <w:rsid w:val="00605D0C"/>
    <w:rsid w:val="006061C7"/>
    <w:rsid w:val="00606430"/>
    <w:rsid w:val="00606CAC"/>
    <w:rsid w:val="00606E3B"/>
    <w:rsid w:val="006070D4"/>
    <w:rsid w:val="00607487"/>
    <w:rsid w:val="006074BA"/>
    <w:rsid w:val="006074E1"/>
    <w:rsid w:val="00607DF4"/>
    <w:rsid w:val="00610518"/>
    <w:rsid w:val="006107CD"/>
    <w:rsid w:val="00610CB4"/>
    <w:rsid w:val="00610F9A"/>
    <w:rsid w:val="0061120F"/>
    <w:rsid w:val="006112EA"/>
    <w:rsid w:val="00611763"/>
    <w:rsid w:val="00611A14"/>
    <w:rsid w:val="00611C70"/>
    <w:rsid w:val="00612237"/>
    <w:rsid w:val="0061257F"/>
    <w:rsid w:val="00613246"/>
    <w:rsid w:val="0061325E"/>
    <w:rsid w:val="00613736"/>
    <w:rsid w:val="00614535"/>
    <w:rsid w:val="00614589"/>
    <w:rsid w:val="00614744"/>
    <w:rsid w:val="006148F3"/>
    <w:rsid w:val="00614DD1"/>
    <w:rsid w:val="00614F3B"/>
    <w:rsid w:val="0061508B"/>
    <w:rsid w:val="0061583E"/>
    <w:rsid w:val="00615B45"/>
    <w:rsid w:val="00615C6E"/>
    <w:rsid w:val="00615EBD"/>
    <w:rsid w:val="00615ED0"/>
    <w:rsid w:val="006163B3"/>
    <w:rsid w:val="006166CF"/>
    <w:rsid w:val="006168DD"/>
    <w:rsid w:val="00616DC7"/>
    <w:rsid w:val="00616F51"/>
    <w:rsid w:val="006170A1"/>
    <w:rsid w:val="0061723C"/>
    <w:rsid w:val="0061751B"/>
    <w:rsid w:val="00617568"/>
    <w:rsid w:val="006175F1"/>
    <w:rsid w:val="00617ABE"/>
    <w:rsid w:val="00617EC6"/>
    <w:rsid w:val="00617F68"/>
    <w:rsid w:val="006200AE"/>
    <w:rsid w:val="00620EFF"/>
    <w:rsid w:val="006213D6"/>
    <w:rsid w:val="00622077"/>
    <w:rsid w:val="006221B4"/>
    <w:rsid w:val="00622C72"/>
    <w:rsid w:val="00622F5A"/>
    <w:rsid w:val="006230DA"/>
    <w:rsid w:val="006236C0"/>
    <w:rsid w:val="00623A33"/>
    <w:rsid w:val="00623A70"/>
    <w:rsid w:val="00623BC1"/>
    <w:rsid w:val="00623E24"/>
    <w:rsid w:val="00623E76"/>
    <w:rsid w:val="00624708"/>
    <w:rsid w:val="00624952"/>
    <w:rsid w:val="00624D0B"/>
    <w:rsid w:val="00624F6E"/>
    <w:rsid w:val="006251FB"/>
    <w:rsid w:val="00625963"/>
    <w:rsid w:val="00625A5F"/>
    <w:rsid w:val="00625F5F"/>
    <w:rsid w:val="00626415"/>
    <w:rsid w:val="00626A66"/>
    <w:rsid w:val="00626C51"/>
    <w:rsid w:val="00626F31"/>
    <w:rsid w:val="0062740D"/>
    <w:rsid w:val="006300CD"/>
    <w:rsid w:val="006302CD"/>
    <w:rsid w:val="00630324"/>
    <w:rsid w:val="00630484"/>
    <w:rsid w:val="006308D9"/>
    <w:rsid w:val="00630D57"/>
    <w:rsid w:val="0063138A"/>
    <w:rsid w:val="006315A8"/>
    <w:rsid w:val="0063174A"/>
    <w:rsid w:val="00631858"/>
    <w:rsid w:val="0063195C"/>
    <w:rsid w:val="00631A3B"/>
    <w:rsid w:val="00631A49"/>
    <w:rsid w:val="00631FD9"/>
    <w:rsid w:val="006325A8"/>
    <w:rsid w:val="0063261D"/>
    <w:rsid w:val="006330A6"/>
    <w:rsid w:val="00633A3E"/>
    <w:rsid w:val="00633F01"/>
    <w:rsid w:val="006341A1"/>
    <w:rsid w:val="0063473C"/>
    <w:rsid w:val="006349A1"/>
    <w:rsid w:val="00634DFE"/>
    <w:rsid w:val="00634EBC"/>
    <w:rsid w:val="006350C1"/>
    <w:rsid w:val="006351FC"/>
    <w:rsid w:val="00635712"/>
    <w:rsid w:val="00635F9D"/>
    <w:rsid w:val="00636437"/>
    <w:rsid w:val="00636955"/>
    <w:rsid w:val="00636BBD"/>
    <w:rsid w:val="00636D6A"/>
    <w:rsid w:val="006370DE"/>
    <w:rsid w:val="00637860"/>
    <w:rsid w:val="006378C3"/>
    <w:rsid w:val="00637D89"/>
    <w:rsid w:val="00637F7F"/>
    <w:rsid w:val="006405FC"/>
    <w:rsid w:val="00640C3C"/>
    <w:rsid w:val="00640DAF"/>
    <w:rsid w:val="006410AE"/>
    <w:rsid w:val="0064125A"/>
    <w:rsid w:val="00641645"/>
    <w:rsid w:val="00641785"/>
    <w:rsid w:val="00641A8D"/>
    <w:rsid w:val="00642263"/>
    <w:rsid w:val="006423B2"/>
    <w:rsid w:val="00642815"/>
    <w:rsid w:val="00642BA0"/>
    <w:rsid w:val="00642CCA"/>
    <w:rsid w:val="00642FEB"/>
    <w:rsid w:val="006439C8"/>
    <w:rsid w:val="00643D32"/>
    <w:rsid w:val="006441A0"/>
    <w:rsid w:val="006445A1"/>
    <w:rsid w:val="006447CE"/>
    <w:rsid w:val="00644C8F"/>
    <w:rsid w:val="00644E84"/>
    <w:rsid w:val="00645284"/>
    <w:rsid w:val="006462E2"/>
    <w:rsid w:val="00646481"/>
    <w:rsid w:val="00646E31"/>
    <w:rsid w:val="00647090"/>
    <w:rsid w:val="006475F4"/>
    <w:rsid w:val="00650297"/>
    <w:rsid w:val="00650630"/>
    <w:rsid w:val="00650E02"/>
    <w:rsid w:val="006526A2"/>
    <w:rsid w:val="00653EC0"/>
    <w:rsid w:val="00653F5B"/>
    <w:rsid w:val="0065440E"/>
    <w:rsid w:val="006547D9"/>
    <w:rsid w:val="00654F45"/>
    <w:rsid w:val="00654FC1"/>
    <w:rsid w:val="00655146"/>
    <w:rsid w:val="006556B2"/>
    <w:rsid w:val="00655A35"/>
    <w:rsid w:val="00655DA6"/>
    <w:rsid w:val="006560BA"/>
    <w:rsid w:val="006563C7"/>
    <w:rsid w:val="006564B9"/>
    <w:rsid w:val="006564E8"/>
    <w:rsid w:val="006565D2"/>
    <w:rsid w:val="0065729D"/>
    <w:rsid w:val="006574B7"/>
    <w:rsid w:val="00657901"/>
    <w:rsid w:val="0066050B"/>
    <w:rsid w:val="00660853"/>
    <w:rsid w:val="006609F8"/>
    <w:rsid w:val="0066118F"/>
    <w:rsid w:val="00661A82"/>
    <w:rsid w:val="00662F71"/>
    <w:rsid w:val="0066303D"/>
    <w:rsid w:val="0066306B"/>
    <w:rsid w:val="006636E5"/>
    <w:rsid w:val="006637A4"/>
    <w:rsid w:val="00663EDC"/>
    <w:rsid w:val="00664DF8"/>
    <w:rsid w:val="006653B1"/>
    <w:rsid w:val="00665844"/>
    <w:rsid w:val="0066676E"/>
    <w:rsid w:val="00666AC4"/>
    <w:rsid w:val="00667238"/>
    <w:rsid w:val="00667E06"/>
    <w:rsid w:val="00670564"/>
    <w:rsid w:val="006707A0"/>
    <w:rsid w:val="00670AC2"/>
    <w:rsid w:val="00670F3B"/>
    <w:rsid w:val="0067103F"/>
    <w:rsid w:val="006715BF"/>
    <w:rsid w:val="006716AD"/>
    <w:rsid w:val="006716C9"/>
    <w:rsid w:val="0067181A"/>
    <w:rsid w:val="0067181B"/>
    <w:rsid w:val="00671829"/>
    <w:rsid w:val="00671CAA"/>
    <w:rsid w:val="0067289E"/>
    <w:rsid w:val="00672D37"/>
    <w:rsid w:val="00672D92"/>
    <w:rsid w:val="00672E2E"/>
    <w:rsid w:val="00672E6B"/>
    <w:rsid w:val="006730C4"/>
    <w:rsid w:val="00673AD5"/>
    <w:rsid w:val="00673DFD"/>
    <w:rsid w:val="00674123"/>
    <w:rsid w:val="006744A8"/>
    <w:rsid w:val="006744E9"/>
    <w:rsid w:val="00674648"/>
    <w:rsid w:val="00674728"/>
    <w:rsid w:val="00674920"/>
    <w:rsid w:val="00674A52"/>
    <w:rsid w:val="00675AA7"/>
    <w:rsid w:val="00675AD1"/>
    <w:rsid w:val="00675C42"/>
    <w:rsid w:val="006768AC"/>
    <w:rsid w:val="00676FFE"/>
    <w:rsid w:val="00677139"/>
    <w:rsid w:val="00677463"/>
    <w:rsid w:val="00677BC1"/>
    <w:rsid w:val="00677E57"/>
    <w:rsid w:val="00680088"/>
    <w:rsid w:val="00680F41"/>
    <w:rsid w:val="00681720"/>
    <w:rsid w:val="006819F8"/>
    <w:rsid w:val="006826F1"/>
    <w:rsid w:val="0068280E"/>
    <w:rsid w:val="006828AC"/>
    <w:rsid w:val="00682B8A"/>
    <w:rsid w:val="00683124"/>
    <w:rsid w:val="00683714"/>
    <w:rsid w:val="006838B5"/>
    <w:rsid w:val="006839CC"/>
    <w:rsid w:val="0068413C"/>
    <w:rsid w:val="00684413"/>
    <w:rsid w:val="0068478C"/>
    <w:rsid w:val="00684971"/>
    <w:rsid w:val="00684C5E"/>
    <w:rsid w:val="0068520E"/>
    <w:rsid w:val="00685A3E"/>
    <w:rsid w:val="00685BA2"/>
    <w:rsid w:val="0068690D"/>
    <w:rsid w:val="00686BBD"/>
    <w:rsid w:val="00686BF5"/>
    <w:rsid w:val="00687030"/>
    <w:rsid w:val="00687338"/>
    <w:rsid w:val="00687519"/>
    <w:rsid w:val="006875C6"/>
    <w:rsid w:val="006900AC"/>
    <w:rsid w:val="006903C5"/>
    <w:rsid w:val="00690484"/>
    <w:rsid w:val="00690923"/>
    <w:rsid w:val="006909A6"/>
    <w:rsid w:val="00691282"/>
    <w:rsid w:val="006913C3"/>
    <w:rsid w:val="006915A5"/>
    <w:rsid w:val="0069162A"/>
    <w:rsid w:val="00691841"/>
    <w:rsid w:val="00691C15"/>
    <w:rsid w:val="00692275"/>
    <w:rsid w:val="006922A4"/>
    <w:rsid w:val="00692424"/>
    <w:rsid w:val="00692691"/>
    <w:rsid w:val="006929A8"/>
    <w:rsid w:val="00692DD7"/>
    <w:rsid w:val="00692F79"/>
    <w:rsid w:val="00692FBA"/>
    <w:rsid w:val="00693034"/>
    <w:rsid w:val="006934DC"/>
    <w:rsid w:val="006935C2"/>
    <w:rsid w:val="006936C0"/>
    <w:rsid w:val="00693AC6"/>
    <w:rsid w:val="00693EEE"/>
    <w:rsid w:val="0069475C"/>
    <w:rsid w:val="006947CE"/>
    <w:rsid w:val="006949D7"/>
    <w:rsid w:val="00694A2F"/>
    <w:rsid w:val="00694F1F"/>
    <w:rsid w:val="0069548D"/>
    <w:rsid w:val="00696283"/>
    <w:rsid w:val="006962DF"/>
    <w:rsid w:val="00696484"/>
    <w:rsid w:val="0069671A"/>
    <w:rsid w:val="00696772"/>
    <w:rsid w:val="0069690F"/>
    <w:rsid w:val="0069692B"/>
    <w:rsid w:val="00696B00"/>
    <w:rsid w:val="0069702E"/>
    <w:rsid w:val="006970AD"/>
    <w:rsid w:val="00697AC9"/>
    <w:rsid w:val="00697B2C"/>
    <w:rsid w:val="00697E5E"/>
    <w:rsid w:val="00697FF8"/>
    <w:rsid w:val="006A00BF"/>
    <w:rsid w:val="006A03BE"/>
    <w:rsid w:val="006A0521"/>
    <w:rsid w:val="006A068E"/>
    <w:rsid w:val="006A07BF"/>
    <w:rsid w:val="006A0821"/>
    <w:rsid w:val="006A1A05"/>
    <w:rsid w:val="006A223E"/>
    <w:rsid w:val="006A2CF5"/>
    <w:rsid w:val="006A30A2"/>
    <w:rsid w:val="006A3DCA"/>
    <w:rsid w:val="006A521D"/>
    <w:rsid w:val="006A5714"/>
    <w:rsid w:val="006A5A70"/>
    <w:rsid w:val="006A6763"/>
    <w:rsid w:val="006A6764"/>
    <w:rsid w:val="006A69D6"/>
    <w:rsid w:val="006A6AB0"/>
    <w:rsid w:val="006A6ADA"/>
    <w:rsid w:val="006A72C6"/>
    <w:rsid w:val="006A75DD"/>
    <w:rsid w:val="006A7CB3"/>
    <w:rsid w:val="006B09FC"/>
    <w:rsid w:val="006B0D35"/>
    <w:rsid w:val="006B1737"/>
    <w:rsid w:val="006B1910"/>
    <w:rsid w:val="006B1FAA"/>
    <w:rsid w:val="006B1FCA"/>
    <w:rsid w:val="006B219A"/>
    <w:rsid w:val="006B2BFF"/>
    <w:rsid w:val="006B35D7"/>
    <w:rsid w:val="006B35F7"/>
    <w:rsid w:val="006B367A"/>
    <w:rsid w:val="006B3837"/>
    <w:rsid w:val="006B3D30"/>
    <w:rsid w:val="006B3DD7"/>
    <w:rsid w:val="006B46C3"/>
    <w:rsid w:val="006B4C19"/>
    <w:rsid w:val="006B4C71"/>
    <w:rsid w:val="006B4E53"/>
    <w:rsid w:val="006B5097"/>
    <w:rsid w:val="006B52E4"/>
    <w:rsid w:val="006B5816"/>
    <w:rsid w:val="006B5B1F"/>
    <w:rsid w:val="006B5B7A"/>
    <w:rsid w:val="006B5CAF"/>
    <w:rsid w:val="006B5F45"/>
    <w:rsid w:val="006B624C"/>
    <w:rsid w:val="006B6503"/>
    <w:rsid w:val="006B6576"/>
    <w:rsid w:val="006B6724"/>
    <w:rsid w:val="006B72EA"/>
    <w:rsid w:val="006B7453"/>
    <w:rsid w:val="006B7B47"/>
    <w:rsid w:val="006B7C02"/>
    <w:rsid w:val="006B7F25"/>
    <w:rsid w:val="006C00D5"/>
    <w:rsid w:val="006C071A"/>
    <w:rsid w:val="006C105C"/>
    <w:rsid w:val="006C133D"/>
    <w:rsid w:val="006C1343"/>
    <w:rsid w:val="006C13B0"/>
    <w:rsid w:val="006C2102"/>
    <w:rsid w:val="006C3A0F"/>
    <w:rsid w:val="006C3E92"/>
    <w:rsid w:val="006C42AB"/>
    <w:rsid w:val="006C43E1"/>
    <w:rsid w:val="006C45DB"/>
    <w:rsid w:val="006C465A"/>
    <w:rsid w:val="006C4704"/>
    <w:rsid w:val="006C4DB2"/>
    <w:rsid w:val="006C4E65"/>
    <w:rsid w:val="006C52E2"/>
    <w:rsid w:val="006C5692"/>
    <w:rsid w:val="006C5C61"/>
    <w:rsid w:val="006C6964"/>
    <w:rsid w:val="006C6D95"/>
    <w:rsid w:val="006C739C"/>
    <w:rsid w:val="006C7C36"/>
    <w:rsid w:val="006D0501"/>
    <w:rsid w:val="006D09A0"/>
    <w:rsid w:val="006D0AA3"/>
    <w:rsid w:val="006D0D1C"/>
    <w:rsid w:val="006D0FF9"/>
    <w:rsid w:val="006D1126"/>
    <w:rsid w:val="006D1EB5"/>
    <w:rsid w:val="006D1F99"/>
    <w:rsid w:val="006D1FA3"/>
    <w:rsid w:val="006D2226"/>
    <w:rsid w:val="006D31A8"/>
    <w:rsid w:val="006D34FE"/>
    <w:rsid w:val="006D3572"/>
    <w:rsid w:val="006D3613"/>
    <w:rsid w:val="006D396F"/>
    <w:rsid w:val="006D39A3"/>
    <w:rsid w:val="006D3A07"/>
    <w:rsid w:val="006D4056"/>
    <w:rsid w:val="006D41E6"/>
    <w:rsid w:val="006D46E6"/>
    <w:rsid w:val="006D528B"/>
    <w:rsid w:val="006D58A4"/>
    <w:rsid w:val="006D59D7"/>
    <w:rsid w:val="006D6088"/>
    <w:rsid w:val="006D61B2"/>
    <w:rsid w:val="006D6291"/>
    <w:rsid w:val="006D6402"/>
    <w:rsid w:val="006D64C6"/>
    <w:rsid w:val="006D6FC0"/>
    <w:rsid w:val="006D74C0"/>
    <w:rsid w:val="006D74D6"/>
    <w:rsid w:val="006D76FE"/>
    <w:rsid w:val="006D793A"/>
    <w:rsid w:val="006D7F3F"/>
    <w:rsid w:val="006E030E"/>
    <w:rsid w:val="006E0976"/>
    <w:rsid w:val="006E100B"/>
    <w:rsid w:val="006E101F"/>
    <w:rsid w:val="006E11AA"/>
    <w:rsid w:val="006E1440"/>
    <w:rsid w:val="006E159C"/>
    <w:rsid w:val="006E1960"/>
    <w:rsid w:val="006E199A"/>
    <w:rsid w:val="006E1FFB"/>
    <w:rsid w:val="006E24B2"/>
    <w:rsid w:val="006E26A7"/>
    <w:rsid w:val="006E2B5B"/>
    <w:rsid w:val="006E2CAB"/>
    <w:rsid w:val="006E2EF7"/>
    <w:rsid w:val="006E31D3"/>
    <w:rsid w:val="006E337B"/>
    <w:rsid w:val="006E3658"/>
    <w:rsid w:val="006E3FD8"/>
    <w:rsid w:val="006E42A1"/>
    <w:rsid w:val="006E42A2"/>
    <w:rsid w:val="006E441E"/>
    <w:rsid w:val="006E457D"/>
    <w:rsid w:val="006E49A0"/>
    <w:rsid w:val="006E4C3D"/>
    <w:rsid w:val="006E4C83"/>
    <w:rsid w:val="006E4EC6"/>
    <w:rsid w:val="006E531E"/>
    <w:rsid w:val="006E537E"/>
    <w:rsid w:val="006E56B6"/>
    <w:rsid w:val="006E5734"/>
    <w:rsid w:val="006E5A70"/>
    <w:rsid w:val="006E5C20"/>
    <w:rsid w:val="006E66D5"/>
    <w:rsid w:val="006E69D3"/>
    <w:rsid w:val="006E6A32"/>
    <w:rsid w:val="006E7370"/>
    <w:rsid w:val="006E75D9"/>
    <w:rsid w:val="006E78EA"/>
    <w:rsid w:val="006F0ADF"/>
    <w:rsid w:val="006F0B1F"/>
    <w:rsid w:val="006F0CE8"/>
    <w:rsid w:val="006F19EB"/>
    <w:rsid w:val="006F1B3B"/>
    <w:rsid w:val="006F1D34"/>
    <w:rsid w:val="006F231D"/>
    <w:rsid w:val="006F2A14"/>
    <w:rsid w:val="006F3130"/>
    <w:rsid w:val="006F3247"/>
    <w:rsid w:val="006F32C3"/>
    <w:rsid w:val="006F454A"/>
    <w:rsid w:val="006F46DC"/>
    <w:rsid w:val="006F47F6"/>
    <w:rsid w:val="006F4C32"/>
    <w:rsid w:val="006F5429"/>
    <w:rsid w:val="006F62AF"/>
    <w:rsid w:val="006F695C"/>
    <w:rsid w:val="006F6A12"/>
    <w:rsid w:val="006F6FB6"/>
    <w:rsid w:val="006F7335"/>
    <w:rsid w:val="006F73DC"/>
    <w:rsid w:val="006F761A"/>
    <w:rsid w:val="006F7C6E"/>
    <w:rsid w:val="006F7CD2"/>
    <w:rsid w:val="006F7EB6"/>
    <w:rsid w:val="007000CE"/>
    <w:rsid w:val="0070046A"/>
    <w:rsid w:val="007004D0"/>
    <w:rsid w:val="007012BD"/>
    <w:rsid w:val="00701380"/>
    <w:rsid w:val="007021AA"/>
    <w:rsid w:val="007025D7"/>
    <w:rsid w:val="00702AFF"/>
    <w:rsid w:val="00702C44"/>
    <w:rsid w:val="00703306"/>
    <w:rsid w:val="00703457"/>
    <w:rsid w:val="0070369C"/>
    <w:rsid w:val="00704B40"/>
    <w:rsid w:val="0070520B"/>
    <w:rsid w:val="00705481"/>
    <w:rsid w:val="00705890"/>
    <w:rsid w:val="007058C1"/>
    <w:rsid w:val="007061EA"/>
    <w:rsid w:val="0070648B"/>
    <w:rsid w:val="007066BD"/>
    <w:rsid w:val="00707000"/>
    <w:rsid w:val="00707118"/>
    <w:rsid w:val="00707515"/>
    <w:rsid w:val="00707A81"/>
    <w:rsid w:val="00707B96"/>
    <w:rsid w:val="00707C0E"/>
    <w:rsid w:val="0071011F"/>
    <w:rsid w:val="007104EA"/>
    <w:rsid w:val="007112DA"/>
    <w:rsid w:val="00711325"/>
    <w:rsid w:val="007113C7"/>
    <w:rsid w:val="00711C7F"/>
    <w:rsid w:val="00711F1C"/>
    <w:rsid w:val="00712AD3"/>
    <w:rsid w:val="00712B26"/>
    <w:rsid w:val="00712BC9"/>
    <w:rsid w:val="00712FBC"/>
    <w:rsid w:val="00713738"/>
    <w:rsid w:val="0071394D"/>
    <w:rsid w:val="00713DDB"/>
    <w:rsid w:val="0071408D"/>
    <w:rsid w:val="007155A3"/>
    <w:rsid w:val="007157E9"/>
    <w:rsid w:val="0071594D"/>
    <w:rsid w:val="00715B5C"/>
    <w:rsid w:val="00715FDB"/>
    <w:rsid w:val="007160F3"/>
    <w:rsid w:val="00716180"/>
    <w:rsid w:val="0071618C"/>
    <w:rsid w:val="00716987"/>
    <w:rsid w:val="00717260"/>
    <w:rsid w:val="00720228"/>
    <w:rsid w:val="007208AE"/>
    <w:rsid w:val="007209CE"/>
    <w:rsid w:val="00720C57"/>
    <w:rsid w:val="00720E04"/>
    <w:rsid w:val="00720EE3"/>
    <w:rsid w:val="00721CFA"/>
    <w:rsid w:val="007223E2"/>
    <w:rsid w:val="007225F6"/>
    <w:rsid w:val="00722642"/>
    <w:rsid w:val="00722AB7"/>
    <w:rsid w:val="00723088"/>
    <w:rsid w:val="00723720"/>
    <w:rsid w:val="00723BCE"/>
    <w:rsid w:val="00723EA5"/>
    <w:rsid w:val="00723EB7"/>
    <w:rsid w:val="00724418"/>
    <w:rsid w:val="00724C46"/>
    <w:rsid w:val="00724DE3"/>
    <w:rsid w:val="0072561E"/>
    <w:rsid w:val="00725ED8"/>
    <w:rsid w:val="00726494"/>
    <w:rsid w:val="00726504"/>
    <w:rsid w:val="007265FE"/>
    <w:rsid w:val="00726602"/>
    <w:rsid w:val="00726C6F"/>
    <w:rsid w:val="00726D5C"/>
    <w:rsid w:val="0072708C"/>
    <w:rsid w:val="00727187"/>
    <w:rsid w:val="0072780B"/>
    <w:rsid w:val="007279CA"/>
    <w:rsid w:val="00727D0B"/>
    <w:rsid w:val="00727E27"/>
    <w:rsid w:val="00727F54"/>
    <w:rsid w:val="00727F58"/>
    <w:rsid w:val="00730551"/>
    <w:rsid w:val="0073099F"/>
    <w:rsid w:val="007309D0"/>
    <w:rsid w:val="00730C14"/>
    <w:rsid w:val="007313B8"/>
    <w:rsid w:val="0073159A"/>
    <w:rsid w:val="007316B7"/>
    <w:rsid w:val="007318E5"/>
    <w:rsid w:val="00731E43"/>
    <w:rsid w:val="00731FE2"/>
    <w:rsid w:val="007321CA"/>
    <w:rsid w:val="0073291F"/>
    <w:rsid w:val="00732C14"/>
    <w:rsid w:val="00732F2E"/>
    <w:rsid w:val="0073390E"/>
    <w:rsid w:val="00733A41"/>
    <w:rsid w:val="00734392"/>
    <w:rsid w:val="0073486E"/>
    <w:rsid w:val="007348D1"/>
    <w:rsid w:val="00734AFE"/>
    <w:rsid w:val="0073519F"/>
    <w:rsid w:val="007354BD"/>
    <w:rsid w:val="00735514"/>
    <w:rsid w:val="00735661"/>
    <w:rsid w:val="0073574A"/>
    <w:rsid w:val="007358CE"/>
    <w:rsid w:val="00735E5E"/>
    <w:rsid w:val="00736042"/>
    <w:rsid w:val="007366D9"/>
    <w:rsid w:val="007367C6"/>
    <w:rsid w:val="00736C23"/>
    <w:rsid w:val="00736F5E"/>
    <w:rsid w:val="00736F7F"/>
    <w:rsid w:val="00737030"/>
    <w:rsid w:val="00737396"/>
    <w:rsid w:val="00737500"/>
    <w:rsid w:val="00737982"/>
    <w:rsid w:val="00737D59"/>
    <w:rsid w:val="00737EAB"/>
    <w:rsid w:val="007402F3"/>
    <w:rsid w:val="00740728"/>
    <w:rsid w:val="007408D7"/>
    <w:rsid w:val="00740933"/>
    <w:rsid w:val="00740A53"/>
    <w:rsid w:val="00740CC5"/>
    <w:rsid w:val="00741404"/>
    <w:rsid w:val="00741466"/>
    <w:rsid w:val="0074165B"/>
    <w:rsid w:val="0074172B"/>
    <w:rsid w:val="00741B59"/>
    <w:rsid w:val="007423A3"/>
    <w:rsid w:val="00742732"/>
    <w:rsid w:val="00742BC3"/>
    <w:rsid w:val="00743256"/>
    <w:rsid w:val="007438C2"/>
    <w:rsid w:val="00744213"/>
    <w:rsid w:val="007447EE"/>
    <w:rsid w:val="00744866"/>
    <w:rsid w:val="007449C6"/>
    <w:rsid w:val="00744B85"/>
    <w:rsid w:val="00744E9B"/>
    <w:rsid w:val="00744F27"/>
    <w:rsid w:val="007456D7"/>
    <w:rsid w:val="00745E42"/>
    <w:rsid w:val="00746196"/>
    <w:rsid w:val="007461B0"/>
    <w:rsid w:val="007465DD"/>
    <w:rsid w:val="00746864"/>
    <w:rsid w:val="00746889"/>
    <w:rsid w:val="007469EB"/>
    <w:rsid w:val="00746A98"/>
    <w:rsid w:val="00746D54"/>
    <w:rsid w:val="00747333"/>
    <w:rsid w:val="00747A90"/>
    <w:rsid w:val="007500CD"/>
    <w:rsid w:val="00750241"/>
    <w:rsid w:val="007517E6"/>
    <w:rsid w:val="00751A8B"/>
    <w:rsid w:val="00751A8F"/>
    <w:rsid w:val="00751C58"/>
    <w:rsid w:val="00751D6C"/>
    <w:rsid w:val="00752104"/>
    <w:rsid w:val="007524B2"/>
    <w:rsid w:val="00752B03"/>
    <w:rsid w:val="007530B9"/>
    <w:rsid w:val="0075336C"/>
    <w:rsid w:val="00753F16"/>
    <w:rsid w:val="0075405B"/>
    <w:rsid w:val="0075423B"/>
    <w:rsid w:val="007546C6"/>
    <w:rsid w:val="0075479E"/>
    <w:rsid w:val="007547D0"/>
    <w:rsid w:val="007560D8"/>
    <w:rsid w:val="0075681F"/>
    <w:rsid w:val="00756F7A"/>
    <w:rsid w:val="00757088"/>
    <w:rsid w:val="0075753D"/>
    <w:rsid w:val="00757584"/>
    <w:rsid w:val="00757789"/>
    <w:rsid w:val="00757935"/>
    <w:rsid w:val="007601E3"/>
    <w:rsid w:val="007601ED"/>
    <w:rsid w:val="00760218"/>
    <w:rsid w:val="007603E0"/>
    <w:rsid w:val="007607E3"/>
    <w:rsid w:val="007609F2"/>
    <w:rsid w:val="00760AFF"/>
    <w:rsid w:val="00761E5C"/>
    <w:rsid w:val="00761F91"/>
    <w:rsid w:val="007620D1"/>
    <w:rsid w:val="007621CE"/>
    <w:rsid w:val="0076280E"/>
    <w:rsid w:val="00762A2F"/>
    <w:rsid w:val="00762B9E"/>
    <w:rsid w:val="00762D6A"/>
    <w:rsid w:val="00762DB2"/>
    <w:rsid w:val="00762F3D"/>
    <w:rsid w:val="007633E4"/>
    <w:rsid w:val="00763DAF"/>
    <w:rsid w:val="00764228"/>
    <w:rsid w:val="007642A1"/>
    <w:rsid w:val="0076484D"/>
    <w:rsid w:val="00764CDB"/>
    <w:rsid w:val="0076589B"/>
    <w:rsid w:val="007662BD"/>
    <w:rsid w:val="007663F9"/>
    <w:rsid w:val="00766401"/>
    <w:rsid w:val="0076652F"/>
    <w:rsid w:val="00766682"/>
    <w:rsid w:val="00767491"/>
    <w:rsid w:val="00767544"/>
    <w:rsid w:val="007679F6"/>
    <w:rsid w:val="00767A44"/>
    <w:rsid w:val="00767BCA"/>
    <w:rsid w:val="00767BFB"/>
    <w:rsid w:val="007705D8"/>
    <w:rsid w:val="00770945"/>
    <w:rsid w:val="00770BBA"/>
    <w:rsid w:val="00770D4F"/>
    <w:rsid w:val="0077104D"/>
    <w:rsid w:val="00771275"/>
    <w:rsid w:val="00771691"/>
    <w:rsid w:val="00771743"/>
    <w:rsid w:val="00771FB2"/>
    <w:rsid w:val="00772054"/>
    <w:rsid w:val="0077245F"/>
    <w:rsid w:val="00772D93"/>
    <w:rsid w:val="00772EA0"/>
    <w:rsid w:val="00773BD4"/>
    <w:rsid w:val="00773CE8"/>
    <w:rsid w:val="00773D1B"/>
    <w:rsid w:val="007741F9"/>
    <w:rsid w:val="0077439F"/>
    <w:rsid w:val="00774673"/>
    <w:rsid w:val="007746C5"/>
    <w:rsid w:val="00774DF5"/>
    <w:rsid w:val="007750D6"/>
    <w:rsid w:val="00775A88"/>
    <w:rsid w:val="00775A99"/>
    <w:rsid w:val="00775D08"/>
    <w:rsid w:val="00776449"/>
    <w:rsid w:val="00776C48"/>
    <w:rsid w:val="00776F3F"/>
    <w:rsid w:val="00777125"/>
    <w:rsid w:val="007779E0"/>
    <w:rsid w:val="00777AB8"/>
    <w:rsid w:val="00777E9F"/>
    <w:rsid w:val="00780241"/>
    <w:rsid w:val="00780CB2"/>
    <w:rsid w:val="0078102E"/>
    <w:rsid w:val="00781209"/>
    <w:rsid w:val="007815E1"/>
    <w:rsid w:val="007821B2"/>
    <w:rsid w:val="00782D88"/>
    <w:rsid w:val="007830A9"/>
    <w:rsid w:val="007830E2"/>
    <w:rsid w:val="007831D2"/>
    <w:rsid w:val="00783800"/>
    <w:rsid w:val="007839BF"/>
    <w:rsid w:val="00783A24"/>
    <w:rsid w:val="00783CBF"/>
    <w:rsid w:val="00783DAE"/>
    <w:rsid w:val="00783E1C"/>
    <w:rsid w:val="00783F69"/>
    <w:rsid w:val="0078498B"/>
    <w:rsid w:val="00784C5C"/>
    <w:rsid w:val="007853A0"/>
    <w:rsid w:val="007857EC"/>
    <w:rsid w:val="00785C38"/>
    <w:rsid w:val="00785F1F"/>
    <w:rsid w:val="00786520"/>
    <w:rsid w:val="00786764"/>
    <w:rsid w:val="00786A9E"/>
    <w:rsid w:val="00786C6B"/>
    <w:rsid w:val="00786D26"/>
    <w:rsid w:val="00786F19"/>
    <w:rsid w:val="00786FED"/>
    <w:rsid w:val="00787492"/>
    <w:rsid w:val="00790056"/>
    <w:rsid w:val="007901B0"/>
    <w:rsid w:val="00790374"/>
    <w:rsid w:val="00790387"/>
    <w:rsid w:val="007906BB"/>
    <w:rsid w:val="007909F0"/>
    <w:rsid w:val="00790F28"/>
    <w:rsid w:val="00790FF7"/>
    <w:rsid w:val="00791025"/>
    <w:rsid w:val="0079138D"/>
    <w:rsid w:val="0079178A"/>
    <w:rsid w:val="00791B87"/>
    <w:rsid w:val="00791C59"/>
    <w:rsid w:val="00791DCC"/>
    <w:rsid w:val="00791DF2"/>
    <w:rsid w:val="00791EC6"/>
    <w:rsid w:val="00792B4D"/>
    <w:rsid w:val="00792CAC"/>
    <w:rsid w:val="00792D4B"/>
    <w:rsid w:val="00792FA3"/>
    <w:rsid w:val="00793579"/>
    <w:rsid w:val="00793E76"/>
    <w:rsid w:val="00793FCF"/>
    <w:rsid w:val="00794594"/>
    <w:rsid w:val="0079487E"/>
    <w:rsid w:val="00794C2F"/>
    <w:rsid w:val="00794C88"/>
    <w:rsid w:val="00794D4E"/>
    <w:rsid w:val="00795365"/>
    <w:rsid w:val="00795D0B"/>
    <w:rsid w:val="00795D99"/>
    <w:rsid w:val="00796D2C"/>
    <w:rsid w:val="007976ED"/>
    <w:rsid w:val="00797C00"/>
    <w:rsid w:val="00797D55"/>
    <w:rsid w:val="007A012A"/>
    <w:rsid w:val="007A0668"/>
    <w:rsid w:val="007A07A6"/>
    <w:rsid w:val="007A0A4D"/>
    <w:rsid w:val="007A0B71"/>
    <w:rsid w:val="007A0E10"/>
    <w:rsid w:val="007A12D1"/>
    <w:rsid w:val="007A143B"/>
    <w:rsid w:val="007A1627"/>
    <w:rsid w:val="007A1C7E"/>
    <w:rsid w:val="007A1D0E"/>
    <w:rsid w:val="007A1D3B"/>
    <w:rsid w:val="007A1EEE"/>
    <w:rsid w:val="007A2625"/>
    <w:rsid w:val="007A2977"/>
    <w:rsid w:val="007A38EB"/>
    <w:rsid w:val="007A3B0E"/>
    <w:rsid w:val="007A3BDE"/>
    <w:rsid w:val="007A4270"/>
    <w:rsid w:val="007A4640"/>
    <w:rsid w:val="007A4BAB"/>
    <w:rsid w:val="007A4C16"/>
    <w:rsid w:val="007A4CCA"/>
    <w:rsid w:val="007A5976"/>
    <w:rsid w:val="007A5E6E"/>
    <w:rsid w:val="007A6911"/>
    <w:rsid w:val="007A697D"/>
    <w:rsid w:val="007A6A36"/>
    <w:rsid w:val="007A6C5F"/>
    <w:rsid w:val="007A6CB8"/>
    <w:rsid w:val="007A6D3E"/>
    <w:rsid w:val="007A6D94"/>
    <w:rsid w:val="007A7137"/>
    <w:rsid w:val="007A72E6"/>
    <w:rsid w:val="007A76F1"/>
    <w:rsid w:val="007B0229"/>
    <w:rsid w:val="007B043A"/>
    <w:rsid w:val="007B0477"/>
    <w:rsid w:val="007B05B9"/>
    <w:rsid w:val="007B1062"/>
    <w:rsid w:val="007B1976"/>
    <w:rsid w:val="007B1C48"/>
    <w:rsid w:val="007B1CB8"/>
    <w:rsid w:val="007B26E8"/>
    <w:rsid w:val="007B2733"/>
    <w:rsid w:val="007B2D7B"/>
    <w:rsid w:val="007B2F62"/>
    <w:rsid w:val="007B3233"/>
    <w:rsid w:val="007B36D2"/>
    <w:rsid w:val="007B3DAF"/>
    <w:rsid w:val="007B4096"/>
    <w:rsid w:val="007B43B6"/>
    <w:rsid w:val="007B4B89"/>
    <w:rsid w:val="007B5370"/>
    <w:rsid w:val="007B5482"/>
    <w:rsid w:val="007B56D1"/>
    <w:rsid w:val="007B59DB"/>
    <w:rsid w:val="007B5AFE"/>
    <w:rsid w:val="007B61F1"/>
    <w:rsid w:val="007B630F"/>
    <w:rsid w:val="007B6882"/>
    <w:rsid w:val="007B70F1"/>
    <w:rsid w:val="007B719B"/>
    <w:rsid w:val="007B71BE"/>
    <w:rsid w:val="007B7980"/>
    <w:rsid w:val="007B7E71"/>
    <w:rsid w:val="007B7F40"/>
    <w:rsid w:val="007C00F9"/>
    <w:rsid w:val="007C0CCA"/>
    <w:rsid w:val="007C10EF"/>
    <w:rsid w:val="007C15B8"/>
    <w:rsid w:val="007C1796"/>
    <w:rsid w:val="007C1A27"/>
    <w:rsid w:val="007C24B6"/>
    <w:rsid w:val="007C3033"/>
    <w:rsid w:val="007C313E"/>
    <w:rsid w:val="007C36D4"/>
    <w:rsid w:val="007C36E5"/>
    <w:rsid w:val="007C3F7F"/>
    <w:rsid w:val="007C41C9"/>
    <w:rsid w:val="007C4420"/>
    <w:rsid w:val="007C47CD"/>
    <w:rsid w:val="007C4A58"/>
    <w:rsid w:val="007C508D"/>
    <w:rsid w:val="007C52B9"/>
    <w:rsid w:val="007C5364"/>
    <w:rsid w:val="007C6020"/>
    <w:rsid w:val="007C6125"/>
    <w:rsid w:val="007C666A"/>
    <w:rsid w:val="007C6C63"/>
    <w:rsid w:val="007C6E54"/>
    <w:rsid w:val="007C7108"/>
    <w:rsid w:val="007C7670"/>
    <w:rsid w:val="007C767E"/>
    <w:rsid w:val="007D00AC"/>
    <w:rsid w:val="007D0342"/>
    <w:rsid w:val="007D093D"/>
    <w:rsid w:val="007D14B0"/>
    <w:rsid w:val="007D16E3"/>
    <w:rsid w:val="007D39DB"/>
    <w:rsid w:val="007D3A37"/>
    <w:rsid w:val="007D4110"/>
    <w:rsid w:val="007D44C1"/>
    <w:rsid w:val="007D50D7"/>
    <w:rsid w:val="007D5106"/>
    <w:rsid w:val="007D51C8"/>
    <w:rsid w:val="007D523F"/>
    <w:rsid w:val="007D5642"/>
    <w:rsid w:val="007D5D1F"/>
    <w:rsid w:val="007D62B8"/>
    <w:rsid w:val="007D636C"/>
    <w:rsid w:val="007D65E7"/>
    <w:rsid w:val="007D674E"/>
    <w:rsid w:val="007E02B2"/>
    <w:rsid w:val="007E07B1"/>
    <w:rsid w:val="007E0B99"/>
    <w:rsid w:val="007E0C73"/>
    <w:rsid w:val="007E0D9D"/>
    <w:rsid w:val="007E0F41"/>
    <w:rsid w:val="007E0F8D"/>
    <w:rsid w:val="007E10C2"/>
    <w:rsid w:val="007E136B"/>
    <w:rsid w:val="007E173D"/>
    <w:rsid w:val="007E1AF3"/>
    <w:rsid w:val="007E1D8A"/>
    <w:rsid w:val="007E1E77"/>
    <w:rsid w:val="007E223B"/>
    <w:rsid w:val="007E2452"/>
    <w:rsid w:val="007E39BF"/>
    <w:rsid w:val="007E3CEB"/>
    <w:rsid w:val="007E4A59"/>
    <w:rsid w:val="007E5F24"/>
    <w:rsid w:val="007E6191"/>
    <w:rsid w:val="007E61F0"/>
    <w:rsid w:val="007E6658"/>
    <w:rsid w:val="007E6ACF"/>
    <w:rsid w:val="007E6E0F"/>
    <w:rsid w:val="007E6EDB"/>
    <w:rsid w:val="007E72F0"/>
    <w:rsid w:val="007E73A3"/>
    <w:rsid w:val="007E7561"/>
    <w:rsid w:val="007E7750"/>
    <w:rsid w:val="007F02D7"/>
    <w:rsid w:val="007F088E"/>
    <w:rsid w:val="007F0F3C"/>
    <w:rsid w:val="007F101A"/>
    <w:rsid w:val="007F1027"/>
    <w:rsid w:val="007F1262"/>
    <w:rsid w:val="007F1E63"/>
    <w:rsid w:val="007F27B0"/>
    <w:rsid w:val="007F2FE8"/>
    <w:rsid w:val="007F34E2"/>
    <w:rsid w:val="007F3597"/>
    <w:rsid w:val="007F39F9"/>
    <w:rsid w:val="007F3AE3"/>
    <w:rsid w:val="007F42EB"/>
    <w:rsid w:val="007F4564"/>
    <w:rsid w:val="007F493F"/>
    <w:rsid w:val="007F496D"/>
    <w:rsid w:val="007F4EBE"/>
    <w:rsid w:val="007F5209"/>
    <w:rsid w:val="007F526C"/>
    <w:rsid w:val="007F5801"/>
    <w:rsid w:val="007F5DD2"/>
    <w:rsid w:val="007F6527"/>
    <w:rsid w:val="007F6540"/>
    <w:rsid w:val="007F6987"/>
    <w:rsid w:val="007F77B7"/>
    <w:rsid w:val="007F7AAB"/>
    <w:rsid w:val="007F7C86"/>
    <w:rsid w:val="008002B7"/>
    <w:rsid w:val="008004FF"/>
    <w:rsid w:val="0080073D"/>
    <w:rsid w:val="00800C20"/>
    <w:rsid w:val="00800D9F"/>
    <w:rsid w:val="00801156"/>
    <w:rsid w:val="008013E8"/>
    <w:rsid w:val="0080199E"/>
    <w:rsid w:val="008022EA"/>
    <w:rsid w:val="00802F0C"/>
    <w:rsid w:val="0080319B"/>
    <w:rsid w:val="0080350D"/>
    <w:rsid w:val="00803D20"/>
    <w:rsid w:val="00803E1E"/>
    <w:rsid w:val="00804255"/>
    <w:rsid w:val="008047D8"/>
    <w:rsid w:val="00804A8E"/>
    <w:rsid w:val="00804BE0"/>
    <w:rsid w:val="00804C64"/>
    <w:rsid w:val="00804F29"/>
    <w:rsid w:val="0080545C"/>
    <w:rsid w:val="008055CA"/>
    <w:rsid w:val="00805D50"/>
    <w:rsid w:val="00805E10"/>
    <w:rsid w:val="0080602F"/>
    <w:rsid w:val="00806714"/>
    <w:rsid w:val="00806DDE"/>
    <w:rsid w:val="00806DED"/>
    <w:rsid w:val="00807289"/>
    <w:rsid w:val="00807389"/>
    <w:rsid w:val="0080755D"/>
    <w:rsid w:val="00807734"/>
    <w:rsid w:val="00807806"/>
    <w:rsid w:val="00807A51"/>
    <w:rsid w:val="00810B4F"/>
    <w:rsid w:val="00810C04"/>
    <w:rsid w:val="0081259E"/>
    <w:rsid w:val="008125CB"/>
    <w:rsid w:val="008127CC"/>
    <w:rsid w:val="00812908"/>
    <w:rsid w:val="00812A5C"/>
    <w:rsid w:val="00813244"/>
    <w:rsid w:val="0081344F"/>
    <w:rsid w:val="00813652"/>
    <w:rsid w:val="00813AA1"/>
    <w:rsid w:val="00813BBD"/>
    <w:rsid w:val="00813F6A"/>
    <w:rsid w:val="0081423C"/>
    <w:rsid w:val="00814423"/>
    <w:rsid w:val="008145C8"/>
    <w:rsid w:val="00814AEC"/>
    <w:rsid w:val="00814D33"/>
    <w:rsid w:val="00814D96"/>
    <w:rsid w:val="008153C3"/>
    <w:rsid w:val="00815BDE"/>
    <w:rsid w:val="00815C9B"/>
    <w:rsid w:val="0081615C"/>
    <w:rsid w:val="00816316"/>
    <w:rsid w:val="00816328"/>
    <w:rsid w:val="0081646E"/>
    <w:rsid w:val="008167E5"/>
    <w:rsid w:val="00816CBB"/>
    <w:rsid w:val="00816D2E"/>
    <w:rsid w:val="00817538"/>
    <w:rsid w:val="0081775D"/>
    <w:rsid w:val="008179A2"/>
    <w:rsid w:val="008207E4"/>
    <w:rsid w:val="0082083B"/>
    <w:rsid w:val="00820A1D"/>
    <w:rsid w:val="00820EFE"/>
    <w:rsid w:val="00820EFF"/>
    <w:rsid w:val="008211E2"/>
    <w:rsid w:val="00821233"/>
    <w:rsid w:val="008217B6"/>
    <w:rsid w:val="00821EDF"/>
    <w:rsid w:val="00822686"/>
    <w:rsid w:val="00822E82"/>
    <w:rsid w:val="00823062"/>
    <w:rsid w:val="0082373E"/>
    <w:rsid w:val="00823A7F"/>
    <w:rsid w:val="00823D43"/>
    <w:rsid w:val="00823FBE"/>
    <w:rsid w:val="00823FFF"/>
    <w:rsid w:val="0082436F"/>
    <w:rsid w:val="00824D48"/>
    <w:rsid w:val="00824F8B"/>
    <w:rsid w:val="0082505C"/>
    <w:rsid w:val="008250FA"/>
    <w:rsid w:val="00825255"/>
    <w:rsid w:val="0082554A"/>
    <w:rsid w:val="008256A9"/>
    <w:rsid w:val="00825DD9"/>
    <w:rsid w:val="00825F0E"/>
    <w:rsid w:val="00826303"/>
    <w:rsid w:val="008264EC"/>
    <w:rsid w:val="00826DBB"/>
    <w:rsid w:val="00826E86"/>
    <w:rsid w:val="00826F1E"/>
    <w:rsid w:val="00827215"/>
    <w:rsid w:val="008272F2"/>
    <w:rsid w:val="00827561"/>
    <w:rsid w:val="00827A5A"/>
    <w:rsid w:val="00827BBF"/>
    <w:rsid w:val="00827BD0"/>
    <w:rsid w:val="0083015B"/>
    <w:rsid w:val="00830A7E"/>
    <w:rsid w:val="00830FF9"/>
    <w:rsid w:val="008310C6"/>
    <w:rsid w:val="00831620"/>
    <w:rsid w:val="00831682"/>
    <w:rsid w:val="008319AC"/>
    <w:rsid w:val="00831AF8"/>
    <w:rsid w:val="00831DAE"/>
    <w:rsid w:val="0083223C"/>
    <w:rsid w:val="00832333"/>
    <w:rsid w:val="00832452"/>
    <w:rsid w:val="00832689"/>
    <w:rsid w:val="00832739"/>
    <w:rsid w:val="0083286B"/>
    <w:rsid w:val="00832C78"/>
    <w:rsid w:val="00832F9E"/>
    <w:rsid w:val="008331A5"/>
    <w:rsid w:val="008334B2"/>
    <w:rsid w:val="00833870"/>
    <w:rsid w:val="00833A49"/>
    <w:rsid w:val="00833EF9"/>
    <w:rsid w:val="0083417A"/>
    <w:rsid w:val="008350A7"/>
    <w:rsid w:val="0083581F"/>
    <w:rsid w:val="0083654F"/>
    <w:rsid w:val="0083673E"/>
    <w:rsid w:val="008379BD"/>
    <w:rsid w:val="00840513"/>
    <w:rsid w:val="0084068C"/>
    <w:rsid w:val="008406B7"/>
    <w:rsid w:val="00840B13"/>
    <w:rsid w:val="00840EAD"/>
    <w:rsid w:val="00841743"/>
    <w:rsid w:val="008418A9"/>
    <w:rsid w:val="00841977"/>
    <w:rsid w:val="00841A54"/>
    <w:rsid w:val="008422F7"/>
    <w:rsid w:val="008424EF"/>
    <w:rsid w:val="008426AA"/>
    <w:rsid w:val="00842A75"/>
    <w:rsid w:val="00842ADD"/>
    <w:rsid w:val="00842CC2"/>
    <w:rsid w:val="00842E55"/>
    <w:rsid w:val="00843EA9"/>
    <w:rsid w:val="0084490A"/>
    <w:rsid w:val="00844B94"/>
    <w:rsid w:val="008450AA"/>
    <w:rsid w:val="008452AC"/>
    <w:rsid w:val="00845CC3"/>
    <w:rsid w:val="00845E4B"/>
    <w:rsid w:val="0084617E"/>
    <w:rsid w:val="008468D8"/>
    <w:rsid w:val="0084691D"/>
    <w:rsid w:val="00847096"/>
    <w:rsid w:val="008472CE"/>
    <w:rsid w:val="008473F8"/>
    <w:rsid w:val="008476F5"/>
    <w:rsid w:val="008477AE"/>
    <w:rsid w:val="00847DAA"/>
    <w:rsid w:val="00850043"/>
    <w:rsid w:val="008501A4"/>
    <w:rsid w:val="00850655"/>
    <w:rsid w:val="008506B9"/>
    <w:rsid w:val="00850A92"/>
    <w:rsid w:val="00850E3D"/>
    <w:rsid w:val="008510E6"/>
    <w:rsid w:val="0085131B"/>
    <w:rsid w:val="008524D4"/>
    <w:rsid w:val="00852674"/>
    <w:rsid w:val="0085336E"/>
    <w:rsid w:val="008538E6"/>
    <w:rsid w:val="00853CE3"/>
    <w:rsid w:val="0085406D"/>
    <w:rsid w:val="008541BD"/>
    <w:rsid w:val="00854438"/>
    <w:rsid w:val="00855667"/>
    <w:rsid w:val="00855927"/>
    <w:rsid w:val="00855A7D"/>
    <w:rsid w:val="0085663A"/>
    <w:rsid w:val="0085663F"/>
    <w:rsid w:val="00856A84"/>
    <w:rsid w:val="00856ABF"/>
    <w:rsid w:val="00856C85"/>
    <w:rsid w:val="00856FCC"/>
    <w:rsid w:val="00857278"/>
    <w:rsid w:val="0085743A"/>
    <w:rsid w:val="008574AB"/>
    <w:rsid w:val="00857BA8"/>
    <w:rsid w:val="00857E00"/>
    <w:rsid w:val="0086015D"/>
    <w:rsid w:val="00860360"/>
    <w:rsid w:val="0086058A"/>
    <w:rsid w:val="00860678"/>
    <w:rsid w:val="00861C7B"/>
    <w:rsid w:val="00861FE1"/>
    <w:rsid w:val="0086201C"/>
    <w:rsid w:val="0086221C"/>
    <w:rsid w:val="0086235C"/>
    <w:rsid w:val="00862C20"/>
    <w:rsid w:val="00863170"/>
    <w:rsid w:val="008633CB"/>
    <w:rsid w:val="00863EC2"/>
    <w:rsid w:val="00863ED3"/>
    <w:rsid w:val="008650AE"/>
    <w:rsid w:val="008650DA"/>
    <w:rsid w:val="00866033"/>
    <w:rsid w:val="008660EF"/>
    <w:rsid w:val="00866332"/>
    <w:rsid w:val="00866633"/>
    <w:rsid w:val="00866DC0"/>
    <w:rsid w:val="008679E8"/>
    <w:rsid w:val="00870416"/>
    <w:rsid w:val="0087075D"/>
    <w:rsid w:val="0087084B"/>
    <w:rsid w:val="0087137B"/>
    <w:rsid w:val="00871989"/>
    <w:rsid w:val="00871FDC"/>
    <w:rsid w:val="008721C8"/>
    <w:rsid w:val="0087260E"/>
    <w:rsid w:val="00872B85"/>
    <w:rsid w:val="0087304A"/>
    <w:rsid w:val="008737DA"/>
    <w:rsid w:val="008738D2"/>
    <w:rsid w:val="00873D7D"/>
    <w:rsid w:val="00873EEF"/>
    <w:rsid w:val="0087441B"/>
    <w:rsid w:val="008747E0"/>
    <w:rsid w:val="00874A56"/>
    <w:rsid w:val="00874B8D"/>
    <w:rsid w:val="00874DAD"/>
    <w:rsid w:val="0087518C"/>
    <w:rsid w:val="008751A4"/>
    <w:rsid w:val="008756E4"/>
    <w:rsid w:val="008757AE"/>
    <w:rsid w:val="008759A6"/>
    <w:rsid w:val="00875C5C"/>
    <w:rsid w:val="00875D48"/>
    <w:rsid w:val="00875DF7"/>
    <w:rsid w:val="008760E2"/>
    <w:rsid w:val="008773BD"/>
    <w:rsid w:val="008774DA"/>
    <w:rsid w:val="00877DC5"/>
    <w:rsid w:val="00877F2D"/>
    <w:rsid w:val="00880396"/>
    <w:rsid w:val="0088053E"/>
    <w:rsid w:val="0088054A"/>
    <w:rsid w:val="0088087B"/>
    <w:rsid w:val="00880DAC"/>
    <w:rsid w:val="00880F8E"/>
    <w:rsid w:val="008815C7"/>
    <w:rsid w:val="008820FF"/>
    <w:rsid w:val="0088225B"/>
    <w:rsid w:val="00882839"/>
    <w:rsid w:val="00882A73"/>
    <w:rsid w:val="00882D63"/>
    <w:rsid w:val="00882D8B"/>
    <w:rsid w:val="00882E57"/>
    <w:rsid w:val="008831CE"/>
    <w:rsid w:val="0088335B"/>
    <w:rsid w:val="008837E0"/>
    <w:rsid w:val="0088446C"/>
    <w:rsid w:val="00884BFC"/>
    <w:rsid w:val="00884CD0"/>
    <w:rsid w:val="00885721"/>
    <w:rsid w:val="008857AD"/>
    <w:rsid w:val="008858F7"/>
    <w:rsid w:val="008861AF"/>
    <w:rsid w:val="00886413"/>
    <w:rsid w:val="008865C3"/>
    <w:rsid w:val="00886C57"/>
    <w:rsid w:val="008872E8"/>
    <w:rsid w:val="0088781B"/>
    <w:rsid w:val="00887959"/>
    <w:rsid w:val="00887DE3"/>
    <w:rsid w:val="00887E08"/>
    <w:rsid w:val="008901CC"/>
    <w:rsid w:val="00890308"/>
    <w:rsid w:val="00890517"/>
    <w:rsid w:val="00890E8A"/>
    <w:rsid w:val="00890F2B"/>
    <w:rsid w:val="008916A8"/>
    <w:rsid w:val="00891867"/>
    <w:rsid w:val="00891C69"/>
    <w:rsid w:val="00891F67"/>
    <w:rsid w:val="0089223A"/>
    <w:rsid w:val="0089258E"/>
    <w:rsid w:val="00892775"/>
    <w:rsid w:val="00892AD8"/>
    <w:rsid w:val="00892F39"/>
    <w:rsid w:val="0089321E"/>
    <w:rsid w:val="0089342E"/>
    <w:rsid w:val="0089370C"/>
    <w:rsid w:val="0089402F"/>
    <w:rsid w:val="00894328"/>
    <w:rsid w:val="008943E4"/>
    <w:rsid w:val="00894687"/>
    <w:rsid w:val="008955E6"/>
    <w:rsid w:val="008957DC"/>
    <w:rsid w:val="008958A9"/>
    <w:rsid w:val="00895953"/>
    <w:rsid w:val="00895D03"/>
    <w:rsid w:val="00896097"/>
    <w:rsid w:val="0089645C"/>
    <w:rsid w:val="0089660A"/>
    <w:rsid w:val="0089675C"/>
    <w:rsid w:val="0089684A"/>
    <w:rsid w:val="00896F74"/>
    <w:rsid w:val="00896FE0"/>
    <w:rsid w:val="0089743B"/>
    <w:rsid w:val="0089775D"/>
    <w:rsid w:val="00897C3F"/>
    <w:rsid w:val="008A02B6"/>
    <w:rsid w:val="008A04E5"/>
    <w:rsid w:val="008A09C0"/>
    <w:rsid w:val="008A1000"/>
    <w:rsid w:val="008A1BBD"/>
    <w:rsid w:val="008A2409"/>
    <w:rsid w:val="008A29E1"/>
    <w:rsid w:val="008A29E2"/>
    <w:rsid w:val="008A2D5B"/>
    <w:rsid w:val="008A2E4C"/>
    <w:rsid w:val="008A317E"/>
    <w:rsid w:val="008A35BE"/>
    <w:rsid w:val="008A3DBE"/>
    <w:rsid w:val="008A4013"/>
    <w:rsid w:val="008A4066"/>
    <w:rsid w:val="008A4992"/>
    <w:rsid w:val="008A52BA"/>
    <w:rsid w:val="008A537F"/>
    <w:rsid w:val="008A53D9"/>
    <w:rsid w:val="008A58CD"/>
    <w:rsid w:val="008A59F9"/>
    <w:rsid w:val="008A59FA"/>
    <w:rsid w:val="008A5C71"/>
    <w:rsid w:val="008A66AD"/>
    <w:rsid w:val="008A6F16"/>
    <w:rsid w:val="008A70B8"/>
    <w:rsid w:val="008A71E6"/>
    <w:rsid w:val="008A7E6E"/>
    <w:rsid w:val="008A7E82"/>
    <w:rsid w:val="008B0289"/>
    <w:rsid w:val="008B05B6"/>
    <w:rsid w:val="008B0AD9"/>
    <w:rsid w:val="008B0ED0"/>
    <w:rsid w:val="008B0F63"/>
    <w:rsid w:val="008B12EB"/>
    <w:rsid w:val="008B15FD"/>
    <w:rsid w:val="008B17AA"/>
    <w:rsid w:val="008B184F"/>
    <w:rsid w:val="008B1E46"/>
    <w:rsid w:val="008B2267"/>
    <w:rsid w:val="008B2637"/>
    <w:rsid w:val="008B2A5B"/>
    <w:rsid w:val="008B2AFF"/>
    <w:rsid w:val="008B2BDB"/>
    <w:rsid w:val="008B2FFE"/>
    <w:rsid w:val="008B30A5"/>
    <w:rsid w:val="008B3BEA"/>
    <w:rsid w:val="008B3FB6"/>
    <w:rsid w:val="008B4225"/>
    <w:rsid w:val="008B457E"/>
    <w:rsid w:val="008B48CA"/>
    <w:rsid w:val="008B4B2B"/>
    <w:rsid w:val="008B4D43"/>
    <w:rsid w:val="008B4DA0"/>
    <w:rsid w:val="008B4F72"/>
    <w:rsid w:val="008B51D9"/>
    <w:rsid w:val="008B572A"/>
    <w:rsid w:val="008B5A4E"/>
    <w:rsid w:val="008B5EE2"/>
    <w:rsid w:val="008B6077"/>
    <w:rsid w:val="008B60B3"/>
    <w:rsid w:val="008B61F0"/>
    <w:rsid w:val="008B61F8"/>
    <w:rsid w:val="008B66FA"/>
    <w:rsid w:val="008B6761"/>
    <w:rsid w:val="008B69EF"/>
    <w:rsid w:val="008B6D97"/>
    <w:rsid w:val="008B6F78"/>
    <w:rsid w:val="008B6F8C"/>
    <w:rsid w:val="008B76CF"/>
    <w:rsid w:val="008B7BCB"/>
    <w:rsid w:val="008C0347"/>
    <w:rsid w:val="008C045E"/>
    <w:rsid w:val="008C04AB"/>
    <w:rsid w:val="008C0587"/>
    <w:rsid w:val="008C0C5F"/>
    <w:rsid w:val="008C0E8F"/>
    <w:rsid w:val="008C0FAF"/>
    <w:rsid w:val="008C1CC5"/>
    <w:rsid w:val="008C203D"/>
    <w:rsid w:val="008C2327"/>
    <w:rsid w:val="008C2627"/>
    <w:rsid w:val="008C277B"/>
    <w:rsid w:val="008C295C"/>
    <w:rsid w:val="008C36E7"/>
    <w:rsid w:val="008C37E2"/>
    <w:rsid w:val="008C3F3E"/>
    <w:rsid w:val="008C3FEC"/>
    <w:rsid w:val="008C4331"/>
    <w:rsid w:val="008C437F"/>
    <w:rsid w:val="008C587B"/>
    <w:rsid w:val="008C5E96"/>
    <w:rsid w:val="008C607A"/>
    <w:rsid w:val="008C6535"/>
    <w:rsid w:val="008C66F6"/>
    <w:rsid w:val="008C6712"/>
    <w:rsid w:val="008C68B7"/>
    <w:rsid w:val="008C68EC"/>
    <w:rsid w:val="008C6B05"/>
    <w:rsid w:val="008C6E6A"/>
    <w:rsid w:val="008C6F86"/>
    <w:rsid w:val="008C7867"/>
    <w:rsid w:val="008C7960"/>
    <w:rsid w:val="008C7AD2"/>
    <w:rsid w:val="008C7AEE"/>
    <w:rsid w:val="008C7B6A"/>
    <w:rsid w:val="008D0468"/>
    <w:rsid w:val="008D0761"/>
    <w:rsid w:val="008D0AAF"/>
    <w:rsid w:val="008D0C26"/>
    <w:rsid w:val="008D0D61"/>
    <w:rsid w:val="008D1420"/>
    <w:rsid w:val="008D1707"/>
    <w:rsid w:val="008D1C8B"/>
    <w:rsid w:val="008D1F68"/>
    <w:rsid w:val="008D2696"/>
    <w:rsid w:val="008D2A4F"/>
    <w:rsid w:val="008D314A"/>
    <w:rsid w:val="008D37A8"/>
    <w:rsid w:val="008D3C9E"/>
    <w:rsid w:val="008D4130"/>
    <w:rsid w:val="008D4282"/>
    <w:rsid w:val="008D42F6"/>
    <w:rsid w:val="008D4A16"/>
    <w:rsid w:val="008D4AB0"/>
    <w:rsid w:val="008D4AB5"/>
    <w:rsid w:val="008D4CC9"/>
    <w:rsid w:val="008D4CDF"/>
    <w:rsid w:val="008D4D21"/>
    <w:rsid w:val="008D4D8B"/>
    <w:rsid w:val="008D5158"/>
    <w:rsid w:val="008D5351"/>
    <w:rsid w:val="008D53A2"/>
    <w:rsid w:val="008D5842"/>
    <w:rsid w:val="008D59E4"/>
    <w:rsid w:val="008D5F25"/>
    <w:rsid w:val="008D6467"/>
    <w:rsid w:val="008D647B"/>
    <w:rsid w:val="008D6C19"/>
    <w:rsid w:val="008D700E"/>
    <w:rsid w:val="008D70BF"/>
    <w:rsid w:val="008D71A0"/>
    <w:rsid w:val="008E0608"/>
    <w:rsid w:val="008E08B5"/>
    <w:rsid w:val="008E0916"/>
    <w:rsid w:val="008E0B59"/>
    <w:rsid w:val="008E0B92"/>
    <w:rsid w:val="008E0DFB"/>
    <w:rsid w:val="008E0F4D"/>
    <w:rsid w:val="008E1FCC"/>
    <w:rsid w:val="008E23F1"/>
    <w:rsid w:val="008E260D"/>
    <w:rsid w:val="008E2821"/>
    <w:rsid w:val="008E2F4A"/>
    <w:rsid w:val="008E2F89"/>
    <w:rsid w:val="008E30A3"/>
    <w:rsid w:val="008E3279"/>
    <w:rsid w:val="008E385A"/>
    <w:rsid w:val="008E3A4D"/>
    <w:rsid w:val="008E3B38"/>
    <w:rsid w:val="008E3FF6"/>
    <w:rsid w:val="008E4404"/>
    <w:rsid w:val="008E4791"/>
    <w:rsid w:val="008E4C6E"/>
    <w:rsid w:val="008E5059"/>
    <w:rsid w:val="008E50EC"/>
    <w:rsid w:val="008E5472"/>
    <w:rsid w:val="008E5903"/>
    <w:rsid w:val="008E62A7"/>
    <w:rsid w:val="008E6B9F"/>
    <w:rsid w:val="008E6F86"/>
    <w:rsid w:val="008E772B"/>
    <w:rsid w:val="008E7A6C"/>
    <w:rsid w:val="008F01A8"/>
    <w:rsid w:val="008F07EA"/>
    <w:rsid w:val="008F0849"/>
    <w:rsid w:val="008F0CC0"/>
    <w:rsid w:val="008F0CC5"/>
    <w:rsid w:val="008F0EBC"/>
    <w:rsid w:val="008F0FAD"/>
    <w:rsid w:val="008F0FB7"/>
    <w:rsid w:val="008F134B"/>
    <w:rsid w:val="008F13B4"/>
    <w:rsid w:val="008F15A2"/>
    <w:rsid w:val="008F180C"/>
    <w:rsid w:val="008F1B39"/>
    <w:rsid w:val="008F1C1F"/>
    <w:rsid w:val="008F1E01"/>
    <w:rsid w:val="008F1FD0"/>
    <w:rsid w:val="008F20FC"/>
    <w:rsid w:val="008F2557"/>
    <w:rsid w:val="008F26EA"/>
    <w:rsid w:val="008F2B17"/>
    <w:rsid w:val="008F3447"/>
    <w:rsid w:val="008F3CBF"/>
    <w:rsid w:val="008F3F01"/>
    <w:rsid w:val="008F446B"/>
    <w:rsid w:val="008F4689"/>
    <w:rsid w:val="008F4922"/>
    <w:rsid w:val="008F4EEB"/>
    <w:rsid w:val="008F55FB"/>
    <w:rsid w:val="008F59A4"/>
    <w:rsid w:val="008F5E83"/>
    <w:rsid w:val="008F64AA"/>
    <w:rsid w:val="008F6A71"/>
    <w:rsid w:val="008F6B08"/>
    <w:rsid w:val="008F729A"/>
    <w:rsid w:val="008F73CA"/>
    <w:rsid w:val="008F7D67"/>
    <w:rsid w:val="008F7DD0"/>
    <w:rsid w:val="008F7E80"/>
    <w:rsid w:val="00900216"/>
    <w:rsid w:val="0090025D"/>
    <w:rsid w:val="0090034F"/>
    <w:rsid w:val="00900480"/>
    <w:rsid w:val="009006F7"/>
    <w:rsid w:val="00900805"/>
    <w:rsid w:val="00900BC5"/>
    <w:rsid w:val="00900CB7"/>
    <w:rsid w:val="00900E3D"/>
    <w:rsid w:val="00901626"/>
    <w:rsid w:val="00901891"/>
    <w:rsid w:val="00901967"/>
    <w:rsid w:val="00902198"/>
    <w:rsid w:val="00902426"/>
    <w:rsid w:val="009024E4"/>
    <w:rsid w:val="009027AB"/>
    <w:rsid w:val="00902C59"/>
    <w:rsid w:val="009036F2"/>
    <w:rsid w:val="00903872"/>
    <w:rsid w:val="00903C54"/>
    <w:rsid w:val="00903CE7"/>
    <w:rsid w:val="00903E91"/>
    <w:rsid w:val="00904387"/>
    <w:rsid w:val="00904819"/>
    <w:rsid w:val="00904AF8"/>
    <w:rsid w:val="0090532E"/>
    <w:rsid w:val="00905375"/>
    <w:rsid w:val="009053EF"/>
    <w:rsid w:val="00905409"/>
    <w:rsid w:val="009057B0"/>
    <w:rsid w:val="00905EB2"/>
    <w:rsid w:val="00906AFB"/>
    <w:rsid w:val="00906F71"/>
    <w:rsid w:val="0090747B"/>
    <w:rsid w:val="00907619"/>
    <w:rsid w:val="00907637"/>
    <w:rsid w:val="00907CAF"/>
    <w:rsid w:val="00910208"/>
    <w:rsid w:val="00910300"/>
    <w:rsid w:val="0091077B"/>
    <w:rsid w:val="00910D3A"/>
    <w:rsid w:val="009117DE"/>
    <w:rsid w:val="00911D12"/>
    <w:rsid w:val="009124E1"/>
    <w:rsid w:val="009126A8"/>
    <w:rsid w:val="00912B00"/>
    <w:rsid w:val="00912E04"/>
    <w:rsid w:val="00913BD2"/>
    <w:rsid w:val="00913C20"/>
    <w:rsid w:val="00913E55"/>
    <w:rsid w:val="0091441D"/>
    <w:rsid w:val="00914457"/>
    <w:rsid w:val="009145D1"/>
    <w:rsid w:val="00914DA1"/>
    <w:rsid w:val="00914EE1"/>
    <w:rsid w:val="0091507B"/>
    <w:rsid w:val="00915219"/>
    <w:rsid w:val="00915709"/>
    <w:rsid w:val="00915784"/>
    <w:rsid w:val="00915A88"/>
    <w:rsid w:val="00915BDF"/>
    <w:rsid w:val="00915D51"/>
    <w:rsid w:val="00915E70"/>
    <w:rsid w:val="00915FCA"/>
    <w:rsid w:val="00916339"/>
    <w:rsid w:val="00916352"/>
    <w:rsid w:val="009169B4"/>
    <w:rsid w:val="009171BD"/>
    <w:rsid w:val="009173B7"/>
    <w:rsid w:val="009175DB"/>
    <w:rsid w:val="00917AF1"/>
    <w:rsid w:val="00920447"/>
    <w:rsid w:val="009204CF"/>
    <w:rsid w:val="00921167"/>
    <w:rsid w:val="00921462"/>
    <w:rsid w:val="0092197F"/>
    <w:rsid w:val="00921A09"/>
    <w:rsid w:val="00921CD8"/>
    <w:rsid w:val="00921E7C"/>
    <w:rsid w:val="00921FFD"/>
    <w:rsid w:val="00922B68"/>
    <w:rsid w:val="00922D9C"/>
    <w:rsid w:val="009234BD"/>
    <w:rsid w:val="00923E96"/>
    <w:rsid w:val="00924152"/>
    <w:rsid w:val="0092434C"/>
    <w:rsid w:val="00924A94"/>
    <w:rsid w:val="00924FC7"/>
    <w:rsid w:val="00925A46"/>
    <w:rsid w:val="00925B34"/>
    <w:rsid w:val="00925F28"/>
    <w:rsid w:val="0092603E"/>
    <w:rsid w:val="009260FD"/>
    <w:rsid w:val="00926A83"/>
    <w:rsid w:val="00926BB2"/>
    <w:rsid w:val="0092709D"/>
    <w:rsid w:val="0092735C"/>
    <w:rsid w:val="009276DE"/>
    <w:rsid w:val="009276F7"/>
    <w:rsid w:val="0093001C"/>
    <w:rsid w:val="00930194"/>
    <w:rsid w:val="00930242"/>
    <w:rsid w:val="009304AA"/>
    <w:rsid w:val="00930B6B"/>
    <w:rsid w:val="00930CF8"/>
    <w:rsid w:val="0093108E"/>
    <w:rsid w:val="0093121C"/>
    <w:rsid w:val="00931855"/>
    <w:rsid w:val="00931861"/>
    <w:rsid w:val="00931A9C"/>
    <w:rsid w:val="00931FD8"/>
    <w:rsid w:val="009321B2"/>
    <w:rsid w:val="00932285"/>
    <w:rsid w:val="0093257B"/>
    <w:rsid w:val="009327FA"/>
    <w:rsid w:val="0093316A"/>
    <w:rsid w:val="00933763"/>
    <w:rsid w:val="009337BF"/>
    <w:rsid w:val="00933A57"/>
    <w:rsid w:val="00933DBB"/>
    <w:rsid w:val="00934272"/>
    <w:rsid w:val="0093481A"/>
    <w:rsid w:val="009357D4"/>
    <w:rsid w:val="00936A32"/>
    <w:rsid w:val="00936CF8"/>
    <w:rsid w:val="00937055"/>
    <w:rsid w:val="00937076"/>
    <w:rsid w:val="009370B1"/>
    <w:rsid w:val="00937760"/>
    <w:rsid w:val="00937802"/>
    <w:rsid w:val="0093785D"/>
    <w:rsid w:val="009379E8"/>
    <w:rsid w:val="00937CAB"/>
    <w:rsid w:val="009401CE"/>
    <w:rsid w:val="009401D9"/>
    <w:rsid w:val="009407C2"/>
    <w:rsid w:val="009408B9"/>
    <w:rsid w:val="00940FC4"/>
    <w:rsid w:val="009413A2"/>
    <w:rsid w:val="00941946"/>
    <w:rsid w:val="00941C05"/>
    <w:rsid w:val="00941DEE"/>
    <w:rsid w:val="00941F11"/>
    <w:rsid w:val="009423C2"/>
    <w:rsid w:val="0094298C"/>
    <w:rsid w:val="00942C84"/>
    <w:rsid w:val="00942F94"/>
    <w:rsid w:val="00943003"/>
    <w:rsid w:val="00943B8E"/>
    <w:rsid w:val="00943BD6"/>
    <w:rsid w:val="00944232"/>
    <w:rsid w:val="00944261"/>
    <w:rsid w:val="009443D7"/>
    <w:rsid w:val="00944497"/>
    <w:rsid w:val="00944516"/>
    <w:rsid w:val="00944E57"/>
    <w:rsid w:val="009450F8"/>
    <w:rsid w:val="00945169"/>
    <w:rsid w:val="00945443"/>
    <w:rsid w:val="009461DA"/>
    <w:rsid w:val="009462C3"/>
    <w:rsid w:val="00946332"/>
    <w:rsid w:val="00946973"/>
    <w:rsid w:val="00946C1E"/>
    <w:rsid w:val="00946D44"/>
    <w:rsid w:val="00946DC6"/>
    <w:rsid w:val="009470CB"/>
    <w:rsid w:val="0094745B"/>
    <w:rsid w:val="0094753F"/>
    <w:rsid w:val="00947B9D"/>
    <w:rsid w:val="00947D89"/>
    <w:rsid w:val="00947EE3"/>
    <w:rsid w:val="00950E22"/>
    <w:rsid w:val="00950EE5"/>
    <w:rsid w:val="009514B2"/>
    <w:rsid w:val="00951880"/>
    <w:rsid w:val="009518B1"/>
    <w:rsid w:val="00951BCE"/>
    <w:rsid w:val="00951C4E"/>
    <w:rsid w:val="00951C6F"/>
    <w:rsid w:val="00951E14"/>
    <w:rsid w:val="00951EA4"/>
    <w:rsid w:val="00952162"/>
    <w:rsid w:val="009521E8"/>
    <w:rsid w:val="0095249D"/>
    <w:rsid w:val="00952735"/>
    <w:rsid w:val="009529FC"/>
    <w:rsid w:val="00952BE5"/>
    <w:rsid w:val="00952C12"/>
    <w:rsid w:val="00952C1A"/>
    <w:rsid w:val="00952C6A"/>
    <w:rsid w:val="00952EDC"/>
    <w:rsid w:val="009547DA"/>
    <w:rsid w:val="00954C40"/>
    <w:rsid w:val="00955161"/>
    <w:rsid w:val="00955473"/>
    <w:rsid w:val="00955574"/>
    <w:rsid w:val="00955A21"/>
    <w:rsid w:val="00955E26"/>
    <w:rsid w:val="00956314"/>
    <w:rsid w:val="00956355"/>
    <w:rsid w:val="009567A3"/>
    <w:rsid w:val="0095692E"/>
    <w:rsid w:val="00956A1F"/>
    <w:rsid w:val="00956FB2"/>
    <w:rsid w:val="00957292"/>
    <w:rsid w:val="00957602"/>
    <w:rsid w:val="00957DAF"/>
    <w:rsid w:val="009601A4"/>
    <w:rsid w:val="009606F2"/>
    <w:rsid w:val="00960AFF"/>
    <w:rsid w:val="00960CA5"/>
    <w:rsid w:val="009610C8"/>
    <w:rsid w:val="009614F0"/>
    <w:rsid w:val="0096186A"/>
    <w:rsid w:val="00961CD1"/>
    <w:rsid w:val="00961E14"/>
    <w:rsid w:val="00961F11"/>
    <w:rsid w:val="009624C1"/>
    <w:rsid w:val="0096296A"/>
    <w:rsid w:val="00962F7B"/>
    <w:rsid w:val="009636E7"/>
    <w:rsid w:val="009638C2"/>
    <w:rsid w:val="00963CD2"/>
    <w:rsid w:val="00963D5A"/>
    <w:rsid w:val="00964288"/>
    <w:rsid w:val="00964CE1"/>
    <w:rsid w:val="0096523A"/>
    <w:rsid w:val="00966593"/>
    <w:rsid w:val="00966618"/>
    <w:rsid w:val="009672B0"/>
    <w:rsid w:val="0096740D"/>
    <w:rsid w:val="0096741E"/>
    <w:rsid w:val="009679DA"/>
    <w:rsid w:val="00967B27"/>
    <w:rsid w:val="00967C12"/>
    <w:rsid w:val="00967CAD"/>
    <w:rsid w:val="00967D11"/>
    <w:rsid w:val="00970870"/>
    <w:rsid w:val="00970A57"/>
    <w:rsid w:val="00970C6D"/>
    <w:rsid w:val="00970F8C"/>
    <w:rsid w:val="0097104A"/>
    <w:rsid w:val="009711BB"/>
    <w:rsid w:val="009711F3"/>
    <w:rsid w:val="00971895"/>
    <w:rsid w:val="00971934"/>
    <w:rsid w:val="00971C35"/>
    <w:rsid w:val="00971CEB"/>
    <w:rsid w:val="0097265D"/>
    <w:rsid w:val="0097288C"/>
    <w:rsid w:val="009728F0"/>
    <w:rsid w:val="00972CBE"/>
    <w:rsid w:val="00973086"/>
    <w:rsid w:val="0097311D"/>
    <w:rsid w:val="00973391"/>
    <w:rsid w:val="0097340B"/>
    <w:rsid w:val="0097371C"/>
    <w:rsid w:val="00973999"/>
    <w:rsid w:val="00973CDC"/>
    <w:rsid w:val="00973E72"/>
    <w:rsid w:val="00974651"/>
    <w:rsid w:val="00974D78"/>
    <w:rsid w:val="009750BE"/>
    <w:rsid w:val="00975446"/>
    <w:rsid w:val="00976511"/>
    <w:rsid w:val="009769F7"/>
    <w:rsid w:val="00976CD0"/>
    <w:rsid w:val="009777C6"/>
    <w:rsid w:val="00977AD4"/>
    <w:rsid w:val="0098030F"/>
    <w:rsid w:val="009803D3"/>
    <w:rsid w:val="00980526"/>
    <w:rsid w:val="00980B91"/>
    <w:rsid w:val="00981071"/>
    <w:rsid w:val="00981120"/>
    <w:rsid w:val="00981421"/>
    <w:rsid w:val="00981F45"/>
    <w:rsid w:val="009828CB"/>
    <w:rsid w:val="009829D4"/>
    <w:rsid w:val="009830ED"/>
    <w:rsid w:val="009834D4"/>
    <w:rsid w:val="009836B1"/>
    <w:rsid w:val="00984173"/>
    <w:rsid w:val="00984709"/>
    <w:rsid w:val="00984BC2"/>
    <w:rsid w:val="00984C5C"/>
    <w:rsid w:val="0098516C"/>
    <w:rsid w:val="00985650"/>
    <w:rsid w:val="00985AC4"/>
    <w:rsid w:val="00985E7B"/>
    <w:rsid w:val="009862E1"/>
    <w:rsid w:val="0098669C"/>
    <w:rsid w:val="00986C18"/>
    <w:rsid w:val="00986DD1"/>
    <w:rsid w:val="00987540"/>
    <w:rsid w:val="00987BF3"/>
    <w:rsid w:val="00987E3F"/>
    <w:rsid w:val="00990406"/>
    <w:rsid w:val="0099090D"/>
    <w:rsid w:val="00990A59"/>
    <w:rsid w:val="00990C04"/>
    <w:rsid w:val="00990F3A"/>
    <w:rsid w:val="009913A6"/>
    <w:rsid w:val="00991D62"/>
    <w:rsid w:val="00991E43"/>
    <w:rsid w:val="00992103"/>
    <w:rsid w:val="00992192"/>
    <w:rsid w:val="009927B6"/>
    <w:rsid w:val="009928A9"/>
    <w:rsid w:val="00992CDA"/>
    <w:rsid w:val="00992E18"/>
    <w:rsid w:val="00993023"/>
    <w:rsid w:val="0099302B"/>
    <w:rsid w:val="00993113"/>
    <w:rsid w:val="009933B6"/>
    <w:rsid w:val="0099371D"/>
    <w:rsid w:val="009939D2"/>
    <w:rsid w:val="00993C50"/>
    <w:rsid w:val="00993DF5"/>
    <w:rsid w:val="009945FD"/>
    <w:rsid w:val="0099499A"/>
    <w:rsid w:val="00995095"/>
    <w:rsid w:val="00995260"/>
    <w:rsid w:val="00995451"/>
    <w:rsid w:val="009955AE"/>
    <w:rsid w:val="00995CD1"/>
    <w:rsid w:val="00995DF3"/>
    <w:rsid w:val="00995E92"/>
    <w:rsid w:val="00995EA6"/>
    <w:rsid w:val="00995EC6"/>
    <w:rsid w:val="009964F7"/>
    <w:rsid w:val="009967D6"/>
    <w:rsid w:val="00996D12"/>
    <w:rsid w:val="00996F10"/>
    <w:rsid w:val="00997167"/>
    <w:rsid w:val="009971DA"/>
    <w:rsid w:val="009973A1"/>
    <w:rsid w:val="009976EB"/>
    <w:rsid w:val="00997EF7"/>
    <w:rsid w:val="009A022F"/>
    <w:rsid w:val="009A031D"/>
    <w:rsid w:val="009A08DF"/>
    <w:rsid w:val="009A1108"/>
    <w:rsid w:val="009A12CF"/>
    <w:rsid w:val="009A13AF"/>
    <w:rsid w:val="009A1437"/>
    <w:rsid w:val="009A1A82"/>
    <w:rsid w:val="009A250F"/>
    <w:rsid w:val="009A252E"/>
    <w:rsid w:val="009A2939"/>
    <w:rsid w:val="009A29C1"/>
    <w:rsid w:val="009A2ED3"/>
    <w:rsid w:val="009A3115"/>
    <w:rsid w:val="009A35CF"/>
    <w:rsid w:val="009A3AB0"/>
    <w:rsid w:val="009A42D1"/>
    <w:rsid w:val="009A4C6A"/>
    <w:rsid w:val="009A4F50"/>
    <w:rsid w:val="009A4FEA"/>
    <w:rsid w:val="009A5297"/>
    <w:rsid w:val="009A55D0"/>
    <w:rsid w:val="009A5666"/>
    <w:rsid w:val="009A56BE"/>
    <w:rsid w:val="009A5FAB"/>
    <w:rsid w:val="009A6905"/>
    <w:rsid w:val="009A6BC9"/>
    <w:rsid w:val="009A7508"/>
    <w:rsid w:val="009A7986"/>
    <w:rsid w:val="009A79DB"/>
    <w:rsid w:val="009B0A6D"/>
    <w:rsid w:val="009B0A86"/>
    <w:rsid w:val="009B0B35"/>
    <w:rsid w:val="009B0B36"/>
    <w:rsid w:val="009B0B8E"/>
    <w:rsid w:val="009B116A"/>
    <w:rsid w:val="009B15AC"/>
    <w:rsid w:val="009B17CA"/>
    <w:rsid w:val="009B1A85"/>
    <w:rsid w:val="009B1A8C"/>
    <w:rsid w:val="009B2104"/>
    <w:rsid w:val="009B220F"/>
    <w:rsid w:val="009B2483"/>
    <w:rsid w:val="009B2705"/>
    <w:rsid w:val="009B2CFB"/>
    <w:rsid w:val="009B304A"/>
    <w:rsid w:val="009B3876"/>
    <w:rsid w:val="009B4881"/>
    <w:rsid w:val="009B4AE5"/>
    <w:rsid w:val="009B4CE5"/>
    <w:rsid w:val="009B52E6"/>
    <w:rsid w:val="009B5344"/>
    <w:rsid w:val="009B5977"/>
    <w:rsid w:val="009B5BA5"/>
    <w:rsid w:val="009B5E29"/>
    <w:rsid w:val="009B63AD"/>
    <w:rsid w:val="009B6416"/>
    <w:rsid w:val="009B677E"/>
    <w:rsid w:val="009B6B7A"/>
    <w:rsid w:val="009B78C3"/>
    <w:rsid w:val="009B7C1A"/>
    <w:rsid w:val="009B7F5B"/>
    <w:rsid w:val="009C0B6C"/>
    <w:rsid w:val="009C16CB"/>
    <w:rsid w:val="009C19B6"/>
    <w:rsid w:val="009C1E3D"/>
    <w:rsid w:val="009C2B24"/>
    <w:rsid w:val="009C31FD"/>
    <w:rsid w:val="009C348C"/>
    <w:rsid w:val="009C361A"/>
    <w:rsid w:val="009C378F"/>
    <w:rsid w:val="009C3946"/>
    <w:rsid w:val="009C3B65"/>
    <w:rsid w:val="009C3FD3"/>
    <w:rsid w:val="009C41A9"/>
    <w:rsid w:val="009C43D8"/>
    <w:rsid w:val="009C4D29"/>
    <w:rsid w:val="009C4D49"/>
    <w:rsid w:val="009C4D4B"/>
    <w:rsid w:val="009C4F81"/>
    <w:rsid w:val="009C54BE"/>
    <w:rsid w:val="009C6063"/>
    <w:rsid w:val="009C6438"/>
    <w:rsid w:val="009C668B"/>
    <w:rsid w:val="009C67AA"/>
    <w:rsid w:val="009C67D3"/>
    <w:rsid w:val="009C74CE"/>
    <w:rsid w:val="009C754E"/>
    <w:rsid w:val="009C764C"/>
    <w:rsid w:val="009C779D"/>
    <w:rsid w:val="009C78F1"/>
    <w:rsid w:val="009C7A0A"/>
    <w:rsid w:val="009C7AA1"/>
    <w:rsid w:val="009C7D6C"/>
    <w:rsid w:val="009D046A"/>
    <w:rsid w:val="009D0825"/>
    <w:rsid w:val="009D08B7"/>
    <w:rsid w:val="009D09A0"/>
    <w:rsid w:val="009D0B1D"/>
    <w:rsid w:val="009D0EC9"/>
    <w:rsid w:val="009D1024"/>
    <w:rsid w:val="009D11C6"/>
    <w:rsid w:val="009D1C31"/>
    <w:rsid w:val="009D1EDB"/>
    <w:rsid w:val="009D22C3"/>
    <w:rsid w:val="009D26F1"/>
    <w:rsid w:val="009D2AAF"/>
    <w:rsid w:val="009D374E"/>
    <w:rsid w:val="009D3750"/>
    <w:rsid w:val="009D38B5"/>
    <w:rsid w:val="009D3982"/>
    <w:rsid w:val="009D3D8A"/>
    <w:rsid w:val="009D40C7"/>
    <w:rsid w:val="009D446A"/>
    <w:rsid w:val="009D4647"/>
    <w:rsid w:val="009D477E"/>
    <w:rsid w:val="009D4AE6"/>
    <w:rsid w:val="009D4F50"/>
    <w:rsid w:val="009D4F62"/>
    <w:rsid w:val="009D64A0"/>
    <w:rsid w:val="009D746F"/>
    <w:rsid w:val="009D74E9"/>
    <w:rsid w:val="009D750C"/>
    <w:rsid w:val="009D753C"/>
    <w:rsid w:val="009D76A3"/>
    <w:rsid w:val="009D76EA"/>
    <w:rsid w:val="009E00BF"/>
    <w:rsid w:val="009E02BA"/>
    <w:rsid w:val="009E02F9"/>
    <w:rsid w:val="009E04C4"/>
    <w:rsid w:val="009E099F"/>
    <w:rsid w:val="009E09D0"/>
    <w:rsid w:val="009E0CA9"/>
    <w:rsid w:val="009E13DD"/>
    <w:rsid w:val="009E15C3"/>
    <w:rsid w:val="009E16AA"/>
    <w:rsid w:val="009E1C3E"/>
    <w:rsid w:val="009E1EA9"/>
    <w:rsid w:val="009E1FB8"/>
    <w:rsid w:val="009E2008"/>
    <w:rsid w:val="009E2147"/>
    <w:rsid w:val="009E228D"/>
    <w:rsid w:val="009E2807"/>
    <w:rsid w:val="009E2A1A"/>
    <w:rsid w:val="009E2AE5"/>
    <w:rsid w:val="009E3254"/>
    <w:rsid w:val="009E3682"/>
    <w:rsid w:val="009E3BC5"/>
    <w:rsid w:val="009E40BD"/>
    <w:rsid w:val="009E46BC"/>
    <w:rsid w:val="009E47FC"/>
    <w:rsid w:val="009E4CB6"/>
    <w:rsid w:val="009E5202"/>
    <w:rsid w:val="009E54E1"/>
    <w:rsid w:val="009E550D"/>
    <w:rsid w:val="009E5BF6"/>
    <w:rsid w:val="009E5F21"/>
    <w:rsid w:val="009E688C"/>
    <w:rsid w:val="009E6957"/>
    <w:rsid w:val="009E6E16"/>
    <w:rsid w:val="009E7045"/>
    <w:rsid w:val="009E71EB"/>
    <w:rsid w:val="009E73BF"/>
    <w:rsid w:val="009E7589"/>
    <w:rsid w:val="009E7859"/>
    <w:rsid w:val="009E790C"/>
    <w:rsid w:val="009E7F56"/>
    <w:rsid w:val="009F00CA"/>
    <w:rsid w:val="009F00E2"/>
    <w:rsid w:val="009F02FB"/>
    <w:rsid w:val="009F0DBB"/>
    <w:rsid w:val="009F0E08"/>
    <w:rsid w:val="009F13C7"/>
    <w:rsid w:val="009F1CB9"/>
    <w:rsid w:val="009F1FB4"/>
    <w:rsid w:val="009F2269"/>
    <w:rsid w:val="009F24B7"/>
    <w:rsid w:val="009F28F3"/>
    <w:rsid w:val="009F2A90"/>
    <w:rsid w:val="009F2C88"/>
    <w:rsid w:val="009F2F7B"/>
    <w:rsid w:val="009F34C9"/>
    <w:rsid w:val="009F3544"/>
    <w:rsid w:val="009F384D"/>
    <w:rsid w:val="009F3A2A"/>
    <w:rsid w:val="009F3B5C"/>
    <w:rsid w:val="009F3C3F"/>
    <w:rsid w:val="009F40AE"/>
    <w:rsid w:val="009F43D2"/>
    <w:rsid w:val="009F51DB"/>
    <w:rsid w:val="009F6068"/>
    <w:rsid w:val="009F614B"/>
    <w:rsid w:val="009F6375"/>
    <w:rsid w:val="009F6558"/>
    <w:rsid w:val="009F65C7"/>
    <w:rsid w:val="009F666D"/>
    <w:rsid w:val="009F6B95"/>
    <w:rsid w:val="009F6E62"/>
    <w:rsid w:val="009F6FFD"/>
    <w:rsid w:val="009F7326"/>
    <w:rsid w:val="009F7BF4"/>
    <w:rsid w:val="009F7EC5"/>
    <w:rsid w:val="009F7FF8"/>
    <w:rsid w:val="00A00149"/>
    <w:rsid w:val="00A0056E"/>
    <w:rsid w:val="00A00584"/>
    <w:rsid w:val="00A007B6"/>
    <w:rsid w:val="00A00BE7"/>
    <w:rsid w:val="00A01045"/>
    <w:rsid w:val="00A010C7"/>
    <w:rsid w:val="00A01121"/>
    <w:rsid w:val="00A01234"/>
    <w:rsid w:val="00A01316"/>
    <w:rsid w:val="00A01D11"/>
    <w:rsid w:val="00A01E24"/>
    <w:rsid w:val="00A02531"/>
    <w:rsid w:val="00A0266E"/>
    <w:rsid w:val="00A02AEA"/>
    <w:rsid w:val="00A033FB"/>
    <w:rsid w:val="00A040D2"/>
    <w:rsid w:val="00A05566"/>
    <w:rsid w:val="00A05AA0"/>
    <w:rsid w:val="00A06992"/>
    <w:rsid w:val="00A07803"/>
    <w:rsid w:val="00A0795C"/>
    <w:rsid w:val="00A07CA0"/>
    <w:rsid w:val="00A07E84"/>
    <w:rsid w:val="00A10158"/>
    <w:rsid w:val="00A102F4"/>
    <w:rsid w:val="00A10810"/>
    <w:rsid w:val="00A108AA"/>
    <w:rsid w:val="00A112CB"/>
    <w:rsid w:val="00A115EB"/>
    <w:rsid w:val="00A1166B"/>
    <w:rsid w:val="00A11779"/>
    <w:rsid w:val="00A118A5"/>
    <w:rsid w:val="00A1235F"/>
    <w:rsid w:val="00A125C2"/>
    <w:rsid w:val="00A12F3A"/>
    <w:rsid w:val="00A130D6"/>
    <w:rsid w:val="00A1331F"/>
    <w:rsid w:val="00A13A95"/>
    <w:rsid w:val="00A13CF7"/>
    <w:rsid w:val="00A13D43"/>
    <w:rsid w:val="00A143D5"/>
    <w:rsid w:val="00A14C63"/>
    <w:rsid w:val="00A15996"/>
    <w:rsid w:val="00A15E85"/>
    <w:rsid w:val="00A15ECC"/>
    <w:rsid w:val="00A164E2"/>
    <w:rsid w:val="00A164E6"/>
    <w:rsid w:val="00A166B5"/>
    <w:rsid w:val="00A166EF"/>
    <w:rsid w:val="00A168AE"/>
    <w:rsid w:val="00A16A0B"/>
    <w:rsid w:val="00A16F4C"/>
    <w:rsid w:val="00A17319"/>
    <w:rsid w:val="00A179E3"/>
    <w:rsid w:val="00A17AB3"/>
    <w:rsid w:val="00A203C8"/>
    <w:rsid w:val="00A20BEB"/>
    <w:rsid w:val="00A2112B"/>
    <w:rsid w:val="00A217C5"/>
    <w:rsid w:val="00A21B8F"/>
    <w:rsid w:val="00A21FF7"/>
    <w:rsid w:val="00A2205C"/>
    <w:rsid w:val="00A22370"/>
    <w:rsid w:val="00A2244E"/>
    <w:rsid w:val="00A22761"/>
    <w:rsid w:val="00A23151"/>
    <w:rsid w:val="00A2350E"/>
    <w:rsid w:val="00A236CB"/>
    <w:rsid w:val="00A2385A"/>
    <w:rsid w:val="00A23AD9"/>
    <w:rsid w:val="00A24828"/>
    <w:rsid w:val="00A24A79"/>
    <w:rsid w:val="00A24C8E"/>
    <w:rsid w:val="00A24D73"/>
    <w:rsid w:val="00A250F7"/>
    <w:rsid w:val="00A25120"/>
    <w:rsid w:val="00A25678"/>
    <w:rsid w:val="00A262BB"/>
    <w:rsid w:val="00A26A29"/>
    <w:rsid w:val="00A26B44"/>
    <w:rsid w:val="00A2724D"/>
    <w:rsid w:val="00A27260"/>
    <w:rsid w:val="00A27FD2"/>
    <w:rsid w:val="00A302B6"/>
    <w:rsid w:val="00A304FC"/>
    <w:rsid w:val="00A306CA"/>
    <w:rsid w:val="00A3082F"/>
    <w:rsid w:val="00A30D06"/>
    <w:rsid w:val="00A30DD7"/>
    <w:rsid w:val="00A30F8D"/>
    <w:rsid w:val="00A3121F"/>
    <w:rsid w:val="00A312D3"/>
    <w:rsid w:val="00A314BB"/>
    <w:rsid w:val="00A3170F"/>
    <w:rsid w:val="00A3225D"/>
    <w:rsid w:val="00A322F1"/>
    <w:rsid w:val="00A327A0"/>
    <w:rsid w:val="00A32D8A"/>
    <w:rsid w:val="00A32EFB"/>
    <w:rsid w:val="00A334D7"/>
    <w:rsid w:val="00A335C4"/>
    <w:rsid w:val="00A33A31"/>
    <w:rsid w:val="00A346AE"/>
    <w:rsid w:val="00A34728"/>
    <w:rsid w:val="00A347B3"/>
    <w:rsid w:val="00A34861"/>
    <w:rsid w:val="00A34FCF"/>
    <w:rsid w:val="00A35C6F"/>
    <w:rsid w:val="00A35D59"/>
    <w:rsid w:val="00A35F80"/>
    <w:rsid w:val="00A35FA4"/>
    <w:rsid w:val="00A363FC"/>
    <w:rsid w:val="00A37850"/>
    <w:rsid w:val="00A37F85"/>
    <w:rsid w:val="00A4011A"/>
    <w:rsid w:val="00A40364"/>
    <w:rsid w:val="00A403C4"/>
    <w:rsid w:val="00A40D48"/>
    <w:rsid w:val="00A422AE"/>
    <w:rsid w:val="00A422D4"/>
    <w:rsid w:val="00A42C49"/>
    <w:rsid w:val="00A42E95"/>
    <w:rsid w:val="00A42FD8"/>
    <w:rsid w:val="00A432B4"/>
    <w:rsid w:val="00A43788"/>
    <w:rsid w:val="00A438C9"/>
    <w:rsid w:val="00A4428E"/>
    <w:rsid w:val="00A444CA"/>
    <w:rsid w:val="00A444E5"/>
    <w:rsid w:val="00A44BF6"/>
    <w:rsid w:val="00A44C2E"/>
    <w:rsid w:val="00A450B1"/>
    <w:rsid w:val="00A45667"/>
    <w:rsid w:val="00A4582B"/>
    <w:rsid w:val="00A45839"/>
    <w:rsid w:val="00A45A00"/>
    <w:rsid w:val="00A46476"/>
    <w:rsid w:val="00A464B0"/>
    <w:rsid w:val="00A46604"/>
    <w:rsid w:val="00A46A21"/>
    <w:rsid w:val="00A46C88"/>
    <w:rsid w:val="00A46CAD"/>
    <w:rsid w:val="00A46CCD"/>
    <w:rsid w:val="00A46ED4"/>
    <w:rsid w:val="00A47022"/>
    <w:rsid w:val="00A47918"/>
    <w:rsid w:val="00A47E05"/>
    <w:rsid w:val="00A50010"/>
    <w:rsid w:val="00A501E7"/>
    <w:rsid w:val="00A5061E"/>
    <w:rsid w:val="00A5079F"/>
    <w:rsid w:val="00A50CED"/>
    <w:rsid w:val="00A51DC1"/>
    <w:rsid w:val="00A52943"/>
    <w:rsid w:val="00A52B2A"/>
    <w:rsid w:val="00A52E20"/>
    <w:rsid w:val="00A52EB6"/>
    <w:rsid w:val="00A53396"/>
    <w:rsid w:val="00A53913"/>
    <w:rsid w:val="00A53D38"/>
    <w:rsid w:val="00A54C1E"/>
    <w:rsid w:val="00A55ECC"/>
    <w:rsid w:val="00A5666D"/>
    <w:rsid w:val="00A56A77"/>
    <w:rsid w:val="00A56C6F"/>
    <w:rsid w:val="00A56CB7"/>
    <w:rsid w:val="00A57735"/>
    <w:rsid w:val="00A578E0"/>
    <w:rsid w:val="00A57978"/>
    <w:rsid w:val="00A6025C"/>
    <w:rsid w:val="00A6073A"/>
    <w:rsid w:val="00A6082C"/>
    <w:rsid w:val="00A609D5"/>
    <w:rsid w:val="00A60CF6"/>
    <w:rsid w:val="00A60F13"/>
    <w:rsid w:val="00A61CE6"/>
    <w:rsid w:val="00A61ED6"/>
    <w:rsid w:val="00A62270"/>
    <w:rsid w:val="00A623B5"/>
    <w:rsid w:val="00A62BDD"/>
    <w:rsid w:val="00A62D24"/>
    <w:rsid w:val="00A633B7"/>
    <w:rsid w:val="00A6341D"/>
    <w:rsid w:val="00A63868"/>
    <w:rsid w:val="00A641BB"/>
    <w:rsid w:val="00A644E4"/>
    <w:rsid w:val="00A650E9"/>
    <w:rsid w:val="00A6512D"/>
    <w:rsid w:val="00A65131"/>
    <w:rsid w:val="00A65175"/>
    <w:rsid w:val="00A65179"/>
    <w:rsid w:val="00A656BA"/>
    <w:rsid w:val="00A65A4A"/>
    <w:rsid w:val="00A66110"/>
    <w:rsid w:val="00A661D6"/>
    <w:rsid w:val="00A663C8"/>
    <w:rsid w:val="00A66DBF"/>
    <w:rsid w:val="00A66EF9"/>
    <w:rsid w:val="00A67926"/>
    <w:rsid w:val="00A67F13"/>
    <w:rsid w:val="00A70018"/>
    <w:rsid w:val="00A70276"/>
    <w:rsid w:val="00A70418"/>
    <w:rsid w:val="00A70796"/>
    <w:rsid w:val="00A7088F"/>
    <w:rsid w:val="00A7122D"/>
    <w:rsid w:val="00A7191A"/>
    <w:rsid w:val="00A71BCC"/>
    <w:rsid w:val="00A71DEF"/>
    <w:rsid w:val="00A71FF7"/>
    <w:rsid w:val="00A72379"/>
    <w:rsid w:val="00A72669"/>
    <w:rsid w:val="00A72813"/>
    <w:rsid w:val="00A72BDC"/>
    <w:rsid w:val="00A72F6D"/>
    <w:rsid w:val="00A7308F"/>
    <w:rsid w:val="00A7342B"/>
    <w:rsid w:val="00A73477"/>
    <w:rsid w:val="00A73B8D"/>
    <w:rsid w:val="00A73CAB"/>
    <w:rsid w:val="00A73F59"/>
    <w:rsid w:val="00A74B4E"/>
    <w:rsid w:val="00A74EB3"/>
    <w:rsid w:val="00A754EA"/>
    <w:rsid w:val="00A75555"/>
    <w:rsid w:val="00A75587"/>
    <w:rsid w:val="00A75820"/>
    <w:rsid w:val="00A75B86"/>
    <w:rsid w:val="00A7642A"/>
    <w:rsid w:val="00A764A8"/>
    <w:rsid w:val="00A765E5"/>
    <w:rsid w:val="00A7695B"/>
    <w:rsid w:val="00A76C4B"/>
    <w:rsid w:val="00A7702D"/>
    <w:rsid w:val="00A7713B"/>
    <w:rsid w:val="00A779EB"/>
    <w:rsid w:val="00A77D6E"/>
    <w:rsid w:val="00A77E25"/>
    <w:rsid w:val="00A807EE"/>
    <w:rsid w:val="00A80A43"/>
    <w:rsid w:val="00A81387"/>
    <w:rsid w:val="00A815C4"/>
    <w:rsid w:val="00A815F7"/>
    <w:rsid w:val="00A81812"/>
    <w:rsid w:val="00A81964"/>
    <w:rsid w:val="00A81AD6"/>
    <w:rsid w:val="00A82169"/>
    <w:rsid w:val="00A824C3"/>
    <w:rsid w:val="00A8276F"/>
    <w:rsid w:val="00A82926"/>
    <w:rsid w:val="00A82AAD"/>
    <w:rsid w:val="00A82B7E"/>
    <w:rsid w:val="00A82C5E"/>
    <w:rsid w:val="00A82C97"/>
    <w:rsid w:val="00A83061"/>
    <w:rsid w:val="00A83276"/>
    <w:rsid w:val="00A8336B"/>
    <w:rsid w:val="00A83AA0"/>
    <w:rsid w:val="00A83CF0"/>
    <w:rsid w:val="00A84636"/>
    <w:rsid w:val="00A848E5"/>
    <w:rsid w:val="00A8536C"/>
    <w:rsid w:val="00A85A4B"/>
    <w:rsid w:val="00A8604F"/>
    <w:rsid w:val="00A8655C"/>
    <w:rsid w:val="00A8683D"/>
    <w:rsid w:val="00A86BAD"/>
    <w:rsid w:val="00A87651"/>
    <w:rsid w:val="00A87D1A"/>
    <w:rsid w:val="00A9001C"/>
    <w:rsid w:val="00A90383"/>
    <w:rsid w:val="00A90C2D"/>
    <w:rsid w:val="00A90E03"/>
    <w:rsid w:val="00A91119"/>
    <w:rsid w:val="00A91437"/>
    <w:rsid w:val="00A91526"/>
    <w:rsid w:val="00A9161E"/>
    <w:rsid w:val="00A9196F"/>
    <w:rsid w:val="00A922BD"/>
    <w:rsid w:val="00A92717"/>
    <w:rsid w:val="00A92745"/>
    <w:rsid w:val="00A92748"/>
    <w:rsid w:val="00A9296C"/>
    <w:rsid w:val="00A930B1"/>
    <w:rsid w:val="00A935C9"/>
    <w:rsid w:val="00A936B4"/>
    <w:rsid w:val="00A93CE7"/>
    <w:rsid w:val="00A941A1"/>
    <w:rsid w:val="00A94466"/>
    <w:rsid w:val="00A94B61"/>
    <w:rsid w:val="00A9580B"/>
    <w:rsid w:val="00A95C2A"/>
    <w:rsid w:val="00A96433"/>
    <w:rsid w:val="00A972D0"/>
    <w:rsid w:val="00A977BF"/>
    <w:rsid w:val="00A97A2E"/>
    <w:rsid w:val="00A97B33"/>
    <w:rsid w:val="00AA0009"/>
    <w:rsid w:val="00AA00B4"/>
    <w:rsid w:val="00AA0BB8"/>
    <w:rsid w:val="00AA0D1B"/>
    <w:rsid w:val="00AA1065"/>
    <w:rsid w:val="00AA112D"/>
    <w:rsid w:val="00AA11F9"/>
    <w:rsid w:val="00AA13A6"/>
    <w:rsid w:val="00AA15AF"/>
    <w:rsid w:val="00AA17B4"/>
    <w:rsid w:val="00AA1AEA"/>
    <w:rsid w:val="00AA1BD5"/>
    <w:rsid w:val="00AA24BF"/>
    <w:rsid w:val="00AA2824"/>
    <w:rsid w:val="00AA2C13"/>
    <w:rsid w:val="00AA2E3B"/>
    <w:rsid w:val="00AA2FBA"/>
    <w:rsid w:val="00AA311E"/>
    <w:rsid w:val="00AA3190"/>
    <w:rsid w:val="00AA3407"/>
    <w:rsid w:val="00AA35FD"/>
    <w:rsid w:val="00AA3D1C"/>
    <w:rsid w:val="00AA3FE0"/>
    <w:rsid w:val="00AA406D"/>
    <w:rsid w:val="00AA425A"/>
    <w:rsid w:val="00AA4473"/>
    <w:rsid w:val="00AA4C84"/>
    <w:rsid w:val="00AA4FAC"/>
    <w:rsid w:val="00AA5087"/>
    <w:rsid w:val="00AA537C"/>
    <w:rsid w:val="00AA5413"/>
    <w:rsid w:val="00AA5684"/>
    <w:rsid w:val="00AA5920"/>
    <w:rsid w:val="00AA66FE"/>
    <w:rsid w:val="00AA690D"/>
    <w:rsid w:val="00AA6E4E"/>
    <w:rsid w:val="00AA7327"/>
    <w:rsid w:val="00AA749F"/>
    <w:rsid w:val="00AA7C66"/>
    <w:rsid w:val="00AB0B37"/>
    <w:rsid w:val="00AB0CEB"/>
    <w:rsid w:val="00AB0D86"/>
    <w:rsid w:val="00AB159D"/>
    <w:rsid w:val="00AB1866"/>
    <w:rsid w:val="00AB1C0D"/>
    <w:rsid w:val="00AB1C34"/>
    <w:rsid w:val="00AB23FE"/>
    <w:rsid w:val="00AB2712"/>
    <w:rsid w:val="00AB2722"/>
    <w:rsid w:val="00AB31A6"/>
    <w:rsid w:val="00AB3541"/>
    <w:rsid w:val="00AB38B6"/>
    <w:rsid w:val="00AB3997"/>
    <w:rsid w:val="00AB3B2E"/>
    <w:rsid w:val="00AB4BC1"/>
    <w:rsid w:val="00AB5248"/>
    <w:rsid w:val="00AB54DE"/>
    <w:rsid w:val="00AB5AE3"/>
    <w:rsid w:val="00AB5ECE"/>
    <w:rsid w:val="00AB670A"/>
    <w:rsid w:val="00AB68BD"/>
    <w:rsid w:val="00AB6B05"/>
    <w:rsid w:val="00AB7144"/>
    <w:rsid w:val="00AB71D6"/>
    <w:rsid w:val="00AB7504"/>
    <w:rsid w:val="00AB7E1E"/>
    <w:rsid w:val="00AB7E80"/>
    <w:rsid w:val="00AC0017"/>
    <w:rsid w:val="00AC0469"/>
    <w:rsid w:val="00AC04DA"/>
    <w:rsid w:val="00AC0872"/>
    <w:rsid w:val="00AC0DB7"/>
    <w:rsid w:val="00AC1294"/>
    <w:rsid w:val="00AC12F7"/>
    <w:rsid w:val="00AC18A0"/>
    <w:rsid w:val="00AC1ACE"/>
    <w:rsid w:val="00AC1EA8"/>
    <w:rsid w:val="00AC22F9"/>
    <w:rsid w:val="00AC23AD"/>
    <w:rsid w:val="00AC2634"/>
    <w:rsid w:val="00AC28FC"/>
    <w:rsid w:val="00AC2967"/>
    <w:rsid w:val="00AC2C22"/>
    <w:rsid w:val="00AC4098"/>
    <w:rsid w:val="00AC478E"/>
    <w:rsid w:val="00AC4794"/>
    <w:rsid w:val="00AC48D9"/>
    <w:rsid w:val="00AC4994"/>
    <w:rsid w:val="00AC4BA5"/>
    <w:rsid w:val="00AC4CE6"/>
    <w:rsid w:val="00AC4F10"/>
    <w:rsid w:val="00AC5118"/>
    <w:rsid w:val="00AC5252"/>
    <w:rsid w:val="00AC5FDF"/>
    <w:rsid w:val="00AC62C0"/>
    <w:rsid w:val="00AC6955"/>
    <w:rsid w:val="00AC6C6E"/>
    <w:rsid w:val="00AC7737"/>
    <w:rsid w:val="00AC7B3D"/>
    <w:rsid w:val="00AD05D3"/>
    <w:rsid w:val="00AD0715"/>
    <w:rsid w:val="00AD0AE4"/>
    <w:rsid w:val="00AD17C3"/>
    <w:rsid w:val="00AD1916"/>
    <w:rsid w:val="00AD1A04"/>
    <w:rsid w:val="00AD1DB7"/>
    <w:rsid w:val="00AD2BF1"/>
    <w:rsid w:val="00AD2D53"/>
    <w:rsid w:val="00AD2E2F"/>
    <w:rsid w:val="00AD33F4"/>
    <w:rsid w:val="00AD37B5"/>
    <w:rsid w:val="00AD3A52"/>
    <w:rsid w:val="00AD3BF4"/>
    <w:rsid w:val="00AD401B"/>
    <w:rsid w:val="00AD4702"/>
    <w:rsid w:val="00AD4BDD"/>
    <w:rsid w:val="00AD4CDE"/>
    <w:rsid w:val="00AD538E"/>
    <w:rsid w:val="00AD5911"/>
    <w:rsid w:val="00AD5EE6"/>
    <w:rsid w:val="00AD62E1"/>
    <w:rsid w:val="00AD6783"/>
    <w:rsid w:val="00AD73D6"/>
    <w:rsid w:val="00AD7851"/>
    <w:rsid w:val="00AD7C57"/>
    <w:rsid w:val="00AE07BD"/>
    <w:rsid w:val="00AE0CFD"/>
    <w:rsid w:val="00AE0F27"/>
    <w:rsid w:val="00AE1049"/>
    <w:rsid w:val="00AE10FD"/>
    <w:rsid w:val="00AE11D1"/>
    <w:rsid w:val="00AE1E46"/>
    <w:rsid w:val="00AE2277"/>
    <w:rsid w:val="00AE22FA"/>
    <w:rsid w:val="00AE2971"/>
    <w:rsid w:val="00AE2DDA"/>
    <w:rsid w:val="00AE3435"/>
    <w:rsid w:val="00AE41F5"/>
    <w:rsid w:val="00AE4336"/>
    <w:rsid w:val="00AE5223"/>
    <w:rsid w:val="00AE5564"/>
    <w:rsid w:val="00AE5565"/>
    <w:rsid w:val="00AE5FE5"/>
    <w:rsid w:val="00AE5FF2"/>
    <w:rsid w:val="00AE60E1"/>
    <w:rsid w:val="00AE6260"/>
    <w:rsid w:val="00AE639B"/>
    <w:rsid w:val="00AE6509"/>
    <w:rsid w:val="00AE65D1"/>
    <w:rsid w:val="00AE6B89"/>
    <w:rsid w:val="00AE6D83"/>
    <w:rsid w:val="00AE708D"/>
    <w:rsid w:val="00AE718C"/>
    <w:rsid w:val="00AE71C2"/>
    <w:rsid w:val="00AE75D5"/>
    <w:rsid w:val="00AE79B0"/>
    <w:rsid w:val="00AE7EC6"/>
    <w:rsid w:val="00AE7F95"/>
    <w:rsid w:val="00AF01E6"/>
    <w:rsid w:val="00AF07D3"/>
    <w:rsid w:val="00AF0964"/>
    <w:rsid w:val="00AF0A08"/>
    <w:rsid w:val="00AF0AB6"/>
    <w:rsid w:val="00AF0B4C"/>
    <w:rsid w:val="00AF0D58"/>
    <w:rsid w:val="00AF1123"/>
    <w:rsid w:val="00AF17BD"/>
    <w:rsid w:val="00AF27EA"/>
    <w:rsid w:val="00AF29A9"/>
    <w:rsid w:val="00AF2BC0"/>
    <w:rsid w:val="00AF2C34"/>
    <w:rsid w:val="00AF307F"/>
    <w:rsid w:val="00AF30EC"/>
    <w:rsid w:val="00AF3361"/>
    <w:rsid w:val="00AF33B3"/>
    <w:rsid w:val="00AF3A66"/>
    <w:rsid w:val="00AF3C37"/>
    <w:rsid w:val="00AF3E41"/>
    <w:rsid w:val="00AF4B4D"/>
    <w:rsid w:val="00AF4C14"/>
    <w:rsid w:val="00AF54D6"/>
    <w:rsid w:val="00AF580F"/>
    <w:rsid w:val="00AF5D34"/>
    <w:rsid w:val="00AF770C"/>
    <w:rsid w:val="00AF7895"/>
    <w:rsid w:val="00AF796D"/>
    <w:rsid w:val="00AF7BE1"/>
    <w:rsid w:val="00AF7C26"/>
    <w:rsid w:val="00B001BD"/>
    <w:rsid w:val="00B00463"/>
    <w:rsid w:val="00B008C8"/>
    <w:rsid w:val="00B00C07"/>
    <w:rsid w:val="00B012FD"/>
    <w:rsid w:val="00B018BA"/>
    <w:rsid w:val="00B0195E"/>
    <w:rsid w:val="00B02271"/>
    <w:rsid w:val="00B03212"/>
    <w:rsid w:val="00B0323B"/>
    <w:rsid w:val="00B03F99"/>
    <w:rsid w:val="00B04194"/>
    <w:rsid w:val="00B048B0"/>
    <w:rsid w:val="00B04B6C"/>
    <w:rsid w:val="00B04CAC"/>
    <w:rsid w:val="00B055B1"/>
    <w:rsid w:val="00B0574D"/>
    <w:rsid w:val="00B0591F"/>
    <w:rsid w:val="00B05B42"/>
    <w:rsid w:val="00B05BA9"/>
    <w:rsid w:val="00B05E34"/>
    <w:rsid w:val="00B05FF1"/>
    <w:rsid w:val="00B06528"/>
    <w:rsid w:val="00B068AF"/>
    <w:rsid w:val="00B06B33"/>
    <w:rsid w:val="00B0712D"/>
    <w:rsid w:val="00B072A1"/>
    <w:rsid w:val="00B07956"/>
    <w:rsid w:val="00B07A29"/>
    <w:rsid w:val="00B07B72"/>
    <w:rsid w:val="00B07B7D"/>
    <w:rsid w:val="00B07C46"/>
    <w:rsid w:val="00B07D8D"/>
    <w:rsid w:val="00B1066E"/>
    <w:rsid w:val="00B10741"/>
    <w:rsid w:val="00B10842"/>
    <w:rsid w:val="00B10C6B"/>
    <w:rsid w:val="00B10CCF"/>
    <w:rsid w:val="00B1101B"/>
    <w:rsid w:val="00B115C1"/>
    <w:rsid w:val="00B11748"/>
    <w:rsid w:val="00B11771"/>
    <w:rsid w:val="00B11865"/>
    <w:rsid w:val="00B11CF8"/>
    <w:rsid w:val="00B11F09"/>
    <w:rsid w:val="00B1223E"/>
    <w:rsid w:val="00B122FA"/>
    <w:rsid w:val="00B12869"/>
    <w:rsid w:val="00B12B28"/>
    <w:rsid w:val="00B12E39"/>
    <w:rsid w:val="00B13009"/>
    <w:rsid w:val="00B1304E"/>
    <w:rsid w:val="00B13073"/>
    <w:rsid w:val="00B13709"/>
    <w:rsid w:val="00B137EE"/>
    <w:rsid w:val="00B14084"/>
    <w:rsid w:val="00B143D2"/>
    <w:rsid w:val="00B1457D"/>
    <w:rsid w:val="00B14A9C"/>
    <w:rsid w:val="00B14EBF"/>
    <w:rsid w:val="00B1511F"/>
    <w:rsid w:val="00B151F1"/>
    <w:rsid w:val="00B152A9"/>
    <w:rsid w:val="00B155A3"/>
    <w:rsid w:val="00B160A1"/>
    <w:rsid w:val="00B164E9"/>
    <w:rsid w:val="00B164F6"/>
    <w:rsid w:val="00B16508"/>
    <w:rsid w:val="00B16631"/>
    <w:rsid w:val="00B16952"/>
    <w:rsid w:val="00B1707E"/>
    <w:rsid w:val="00B171B6"/>
    <w:rsid w:val="00B1749A"/>
    <w:rsid w:val="00B174B7"/>
    <w:rsid w:val="00B174C4"/>
    <w:rsid w:val="00B1768C"/>
    <w:rsid w:val="00B17EAB"/>
    <w:rsid w:val="00B20021"/>
    <w:rsid w:val="00B2009A"/>
    <w:rsid w:val="00B20814"/>
    <w:rsid w:val="00B20B1A"/>
    <w:rsid w:val="00B20BA9"/>
    <w:rsid w:val="00B20BC9"/>
    <w:rsid w:val="00B2111A"/>
    <w:rsid w:val="00B2116D"/>
    <w:rsid w:val="00B2186A"/>
    <w:rsid w:val="00B21D69"/>
    <w:rsid w:val="00B21FE3"/>
    <w:rsid w:val="00B223CE"/>
    <w:rsid w:val="00B23479"/>
    <w:rsid w:val="00B23492"/>
    <w:rsid w:val="00B23689"/>
    <w:rsid w:val="00B23D7A"/>
    <w:rsid w:val="00B242DA"/>
    <w:rsid w:val="00B2434B"/>
    <w:rsid w:val="00B2448C"/>
    <w:rsid w:val="00B24F53"/>
    <w:rsid w:val="00B2527A"/>
    <w:rsid w:val="00B252E9"/>
    <w:rsid w:val="00B25D52"/>
    <w:rsid w:val="00B25DD2"/>
    <w:rsid w:val="00B25F6C"/>
    <w:rsid w:val="00B26344"/>
    <w:rsid w:val="00B26955"/>
    <w:rsid w:val="00B26C3C"/>
    <w:rsid w:val="00B26DA1"/>
    <w:rsid w:val="00B26DEF"/>
    <w:rsid w:val="00B272D3"/>
    <w:rsid w:val="00B276CD"/>
    <w:rsid w:val="00B277F6"/>
    <w:rsid w:val="00B27C41"/>
    <w:rsid w:val="00B27CB4"/>
    <w:rsid w:val="00B27EE9"/>
    <w:rsid w:val="00B30668"/>
    <w:rsid w:val="00B3099A"/>
    <w:rsid w:val="00B31397"/>
    <w:rsid w:val="00B3182D"/>
    <w:rsid w:val="00B31A5B"/>
    <w:rsid w:val="00B31D51"/>
    <w:rsid w:val="00B31E4A"/>
    <w:rsid w:val="00B321A9"/>
    <w:rsid w:val="00B322DC"/>
    <w:rsid w:val="00B32694"/>
    <w:rsid w:val="00B32D17"/>
    <w:rsid w:val="00B33828"/>
    <w:rsid w:val="00B33AB3"/>
    <w:rsid w:val="00B33B3C"/>
    <w:rsid w:val="00B33BA5"/>
    <w:rsid w:val="00B33C38"/>
    <w:rsid w:val="00B343A8"/>
    <w:rsid w:val="00B34627"/>
    <w:rsid w:val="00B34BA6"/>
    <w:rsid w:val="00B357AE"/>
    <w:rsid w:val="00B36745"/>
    <w:rsid w:val="00B36A7B"/>
    <w:rsid w:val="00B36AED"/>
    <w:rsid w:val="00B36CE3"/>
    <w:rsid w:val="00B3722B"/>
    <w:rsid w:val="00B375F5"/>
    <w:rsid w:val="00B379F0"/>
    <w:rsid w:val="00B37DCF"/>
    <w:rsid w:val="00B37DD5"/>
    <w:rsid w:val="00B40237"/>
    <w:rsid w:val="00B40602"/>
    <w:rsid w:val="00B408F7"/>
    <w:rsid w:val="00B40B08"/>
    <w:rsid w:val="00B40E9B"/>
    <w:rsid w:val="00B41211"/>
    <w:rsid w:val="00B412F3"/>
    <w:rsid w:val="00B41370"/>
    <w:rsid w:val="00B41727"/>
    <w:rsid w:val="00B41A92"/>
    <w:rsid w:val="00B41B7E"/>
    <w:rsid w:val="00B41E31"/>
    <w:rsid w:val="00B42190"/>
    <w:rsid w:val="00B426D3"/>
    <w:rsid w:val="00B42810"/>
    <w:rsid w:val="00B42FB8"/>
    <w:rsid w:val="00B43144"/>
    <w:rsid w:val="00B435F2"/>
    <w:rsid w:val="00B43646"/>
    <w:rsid w:val="00B438C5"/>
    <w:rsid w:val="00B43904"/>
    <w:rsid w:val="00B44155"/>
    <w:rsid w:val="00B441EA"/>
    <w:rsid w:val="00B443B0"/>
    <w:rsid w:val="00B44737"/>
    <w:rsid w:val="00B44776"/>
    <w:rsid w:val="00B447BF"/>
    <w:rsid w:val="00B448D4"/>
    <w:rsid w:val="00B448E9"/>
    <w:rsid w:val="00B449A9"/>
    <w:rsid w:val="00B44CBB"/>
    <w:rsid w:val="00B44D7F"/>
    <w:rsid w:val="00B453CA"/>
    <w:rsid w:val="00B4542F"/>
    <w:rsid w:val="00B45C8F"/>
    <w:rsid w:val="00B45E65"/>
    <w:rsid w:val="00B45EFB"/>
    <w:rsid w:val="00B46160"/>
    <w:rsid w:val="00B46AD7"/>
    <w:rsid w:val="00B47369"/>
    <w:rsid w:val="00B474F7"/>
    <w:rsid w:val="00B47A7D"/>
    <w:rsid w:val="00B500EB"/>
    <w:rsid w:val="00B50204"/>
    <w:rsid w:val="00B5069A"/>
    <w:rsid w:val="00B50B43"/>
    <w:rsid w:val="00B50B89"/>
    <w:rsid w:val="00B50D3E"/>
    <w:rsid w:val="00B510EA"/>
    <w:rsid w:val="00B513ED"/>
    <w:rsid w:val="00B5154F"/>
    <w:rsid w:val="00B51C7A"/>
    <w:rsid w:val="00B52938"/>
    <w:rsid w:val="00B52B72"/>
    <w:rsid w:val="00B52F6F"/>
    <w:rsid w:val="00B53383"/>
    <w:rsid w:val="00B53664"/>
    <w:rsid w:val="00B544B4"/>
    <w:rsid w:val="00B545CD"/>
    <w:rsid w:val="00B5489B"/>
    <w:rsid w:val="00B54DD2"/>
    <w:rsid w:val="00B54E30"/>
    <w:rsid w:val="00B55313"/>
    <w:rsid w:val="00B55457"/>
    <w:rsid w:val="00B55560"/>
    <w:rsid w:val="00B557B6"/>
    <w:rsid w:val="00B55BDB"/>
    <w:rsid w:val="00B55F25"/>
    <w:rsid w:val="00B5610B"/>
    <w:rsid w:val="00B56B73"/>
    <w:rsid w:val="00B576E4"/>
    <w:rsid w:val="00B57CBC"/>
    <w:rsid w:val="00B57FD4"/>
    <w:rsid w:val="00B60C83"/>
    <w:rsid w:val="00B610BA"/>
    <w:rsid w:val="00B612AB"/>
    <w:rsid w:val="00B61990"/>
    <w:rsid w:val="00B619B4"/>
    <w:rsid w:val="00B61AB4"/>
    <w:rsid w:val="00B61C0E"/>
    <w:rsid w:val="00B620A4"/>
    <w:rsid w:val="00B62241"/>
    <w:rsid w:val="00B6336C"/>
    <w:rsid w:val="00B634C5"/>
    <w:rsid w:val="00B637AB"/>
    <w:rsid w:val="00B63C93"/>
    <w:rsid w:val="00B649D8"/>
    <w:rsid w:val="00B64A59"/>
    <w:rsid w:val="00B64A90"/>
    <w:rsid w:val="00B64C1B"/>
    <w:rsid w:val="00B65664"/>
    <w:rsid w:val="00B65797"/>
    <w:rsid w:val="00B65B06"/>
    <w:rsid w:val="00B65C5E"/>
    <w:rsid w:val="00B65DFC"/>
    <w:rsid w:val="00B66996"/>
    <w:rsid w:val="00B66A09"/>
    <w:rsid w:val="00B66B47"/>
    <w:rsid w:val="00B66C63"/>
    <w:rsid w:val="00B66D33"/>
    <w:rsid w:val="00B6710A"/>
    <w:rsid w:val="00B6726D"/>
    <w:rsid w:val="00B6772C"/>
    <w:rsid w:val="00B67781"/>
    <w:rsid w:val="00B70252"/>
    <w:rsid w:val="00B70612"/>
    <w:rsid w:val="00B70992"/>
    <w:rsid w:val="00B71417"/>
    <w:rsid w:val="00B719B7"/>
    <w:rsid w:val="00B71D71"/>
    <w:rsid w:val="00B71FAE"/>
    <w:rsid w:val="00B7250F"/>
    <w:rsid w:val="00B72B9B"/>
    <w:rsid w:val="00B72C18"/>
    <w:rsid w:val="00B73A69"/>
    <w:rsid w:val="00B73A89"/>
    <w:rsid w:val="00B73B45"/>
    <w:rsid w:val="00B73BF5"/>
    <w:rsid w:val="00B73D67"/>
    <w:rsid w:val="00B74155"/>
    <w:rsid w:val="00B74673"/>
    <w:rsid w:val="00B74955"/>
    <w:rsid w:val="00B74BB7"/>
    <w:rsid w:val="00B74E59"/>
    <w:rsid w:val="00B7594B"/>
    <w:rsid w:val="00B76067"/>
    <w:rsid w:val="00B76C3F"/>
    <w:rsid w:val="00B77178"/>
    <w:rsid w:val="00B774FD"/>
    <w:rsid w:val="00B80365"/>
    <w:rsid w:val="00B80C51"/>
    <w:rsid w:val="00B80FD4"/>
    <w:rsid w:val="00B8109D"/>
    <w:rsid w:val="00B812CA"/>
    <w:rsid w:val="00B81384"/>
    <w:rsid w:val="00B817FF"/>
    <w:rsid w:val="00B81BC6"/>
    <w:rsid w:val="00B81D16"/>
    <w:rsid w:val="00B81D6E"/>
    <w:rsid w:val="00B81F68"/>
    <w:rsid w:val="00B821C0"/>
    <w:rsid w:val="00B822D5"/>
    <w:rsid w:val="00B8290E"/>
    <w:rsid w:val="00B82CDC"/>
    <w:rsid w:val="00B82ECF"/>
    <w:rsid w:val="00B83376"/>
    <w:rsid w:val="00B833BF"/>
    <w:rsid w:val="00B83519"/>
    <w:rsid w:val="00B838DD"/>
    <w:rsid w:val="00B83A8A"/>
    <w:rsid w:val="00B83AE3"/>
    <w:rsid w:val="00B84123"/>
    <w:rsid w:val="00B84B35"/>
    <w:rsid w:val="00B84C4A"/>
    <w:rsid w:val="00B84DA4"/>
    <w:rsid w:val="00B8534F"/>
    <w:rsid w:val="00B85916"/>
    <w:rsid w:val="00B85A82"/>
    <w:rsid w:val="00B85D5D"/>
    <w:rsid w:val="00B8640C"/>
    <w:rsid w:val="00B86696"/>
    <w:rsid w:val="00B86D12"/>
    <w:rsid w:val="00B86F40"/>
    <w:rsid w:val="00B8711B"/>
    <w:rsid w:val="00B87188"/>
    <w:rsid w:val="00B873AD"/>
    <w:rsid w:val="00B8770E"/>
    <w:rsid w:val="00B878F5"/>
    <w:rsid w:val="00B87B2F"/>
    <w:rsid w:val="00B9026F"/>
    <w:rsid w:val="00B905E9"/>
    <w:rsid w:val="00B914CE"/>
    <w:rsid w:val="00B915A2"/>
    <w:rsid w:val="00B91989"/>
    <w:rsid w:val="00B91C3D"/>
    <w:rsid w:val="00B91D3F"/>
    <w:rsid w:val="00B91F12"/>
    <w:rsid w:val="00B92802"/>
    <w:rsid w:val="00B92968"/>
    <w:rsid w:val="00B92A2F"/>
    <w:rsid w:val="00B92DEF"/>
    <w:rsid w:val="00B93876"/>
    <w:rsid w:val="00B93C9D"/>
    <w:rsid w:val="00B93E55"/>
    <w:rsid w:val="00B94810"/>
    <w:rsid w:val="00B94AFA"/>
    <w:rsid w:val="00B94C9E"/>
    <w:rsid w:val="00B95083"/>
    <w:rsid w:val="00B95106"/>
    <w:rsid w:val="00B953EF"/>
    <w:rsid w:val="00B95445"/>
    <w:rsid w:val="00B95521"/>
    <w:rsid w:val="00B95972"/>
    <w:rsid w:val="00B95C75"/>
    <w:rsid w:val="00B95CF9"/>
    <w:rsid w:val="00B95FEC"/>
    <w:rsid w:val="00B96166"/>
    <w:rsid w:val="00B963C6"/>
    <w:rsid w:val="00B964CD"/>
    <w:rsid w:val="00B9653D"/>
    <w:rsid w:val="00B96CB4"/>
    <w:rsid w:val="00B970C7"/>
    <w:rsid w:val="00B97112"/>
    <w:rsid w:val="00B971B5"/>
    <w:rsid w:val="00B97826"/>
    <w:rsid w:val="00B97F22"/>
    <w:rsid w:val="00BA0089"/>
    <w:rsid w:val="00BA016D"/>
    <w:rsid w:val="00BA03EF"/>
    <w:rsid w:val="00BA0621"/>
    <w:rsid w:val="00BA0785"/>
    <w:rsid w:val="00BA0AA4"/>
    <w:rsid w:val="00BA0B4D"/>
    <w:rsid w:val="00BA0CEC"/>
    <w:rsid w:val="00BA0D36"/>
    <w:rsid w:val="00BA1026"/>
    <w:rsid w:val="00BA12F1"/>
    <w:rsid w:val="00BA130D"/>
    <w:rsid w:val="00BA14E4"/>
    <w:rsid w:val="00BA1C58"/>
    <w:rsid w:val="00BA2716"/>
    <w:rsid w:val="00BA2A3E"/>
    <w:rsid w:val="00BA2BC7"/>
    <w:rsid w:val="00BA2D10"/>
    <w:rsid w:val="00BA3100"/>
    <w:rsid w:val="00BA310B"/>
    <w:rsid w:val="00BA3641"/>
    <w:rsid w:val="00BA38CC"/>
    <w:rsid w:val="00BA39F0"/>
    <w:rsid w:val="00BA3E63"/>
    <w:rsid w:val="00BA444A"/>
    <w:rsid w:val="00BA47FA"/>
    <w:rsid w:val="00BA4ED4"/>
    <w:rsid w:val="00BA4FED"/>
    <w:rsid w:val="00BA5A9D"/>
    <w:rsid w:val="00BA5CF7"/>
    <w:rsid w:val="00BA5D4B"/>
    <w:rsid w:val="00BA5E45"/>
    <w:rsid w:val="00BA63BA"/>
    <w:rsid w:val="00BA66F9"/>
    <w:rsid w:val="00BA70B4"/>
    <w:rsid w:val="00BA7179"/>
    <w:rsid w:val="00BA72E0"/>
    <w:rsid w:val="00BA7472"/>
    <w:rsid w:val="00BA7AE0"/>
    <w:rsid w:val="00BB0184"/>
    <w:rsid w:val="00BB071E"/>
    <w:rsid w:val="00BB0726"/>
    <w:rsid w:val="00BB0D86"/>
    <w:rsid w:val="00BB1190"/>
    <w:rsid w:val="00BB1199"/>
    <w:rsid w:val="00BB11E9"/>
    <w:rsid w:val="00BB1359"/>
    <w:rsid w:val="00BB1DEC"/>
    <w:rsid w:val="00BB1F44"/>
    <w:rsid w:val="00BB1FC4"/>
    <w:rsid w:val="00BB21E2"/>
    <w:rsid w:val="00BB23AF"/>
    <w:rsid w:val="00BB2A6C"/>
    <w:rsid w:val="00BB3D16"/>
    <w:rsid w:val="00BB3E9E"/>
    <w:rsid w:val="00BB42B1"/>
    <w:rsid w:val="00BB45FD"/>
    <w:rsid w:val="00BB4AFE"/>
    <w:rsid w:val="00BB53AA"/>
    <w:rsid w:val="00BB540C"/>
    <w:rsid w:val="00BB55D3"/>
    <w:rsid w:val="00BB695D"/>
    <w:rsid w:val="00BB6CCD"/>
    <w:rsid w:val="00BB6D26"/>
    <w:rsid w:val="00BB707D"/>
    <w:rsid w:val="00BB7898"/>
    <w:rsid w:val="00BB7AEA"/>
    <w:rsid w:val="00BB7DDE"/>
    <w:rsid w:val="00BB7E22"/>
    <w:rsid w:val="00BB7F0D"/>
    <w:rsid w:val="00BB7F17"/>
    <w:rsid w:val="00BC004A"/>
    <w:rsid w:val="00BC03DE"/>
    <w:rsid w:val="00BC042A"/>
    <w:rsid w:val="00BC0948"/>
    <w:rsid w:val="00BC0BCA"/>
    <w:rsid w:val="00BC0D1F"/>
    <w:rsid w:val="00BC11C1"/>
    <w:rsid w:val="00BC144D"/>
    <w:rsid w:val="00BC1F53"/>
    <w:rsid w:val="00BC2373"/>
    <w:rsid w:val="00BC23E3"/>
    <w:rsid w:val="00BC284F"/>
    <w:rsid w:val="00BC2CFB"/>
    <w:rsid w:val="00BC380B"/>
    <w:rsid w:val="00BC3ADE"/>
    <w:rsid w:val="00BC41D6"/>
    <w:rsid w:val="00BC45FB"/>
    <w:rsid w:val="00BC4784"/>
    <w:rsid w:val="00BC4A8D"/>
    <w:rsid w:val="00BC4E59"/>
    <w:rsid w:val="00BC5708"/>
    <w:rsid w:val="00BC5A8D"/>
    <w:rsid w:val="00BC64A4"/>
    <w:rsid w:val="00BC6B3C"/>
    <w:rsid w:val="00BC6B8E"/>
    <w:rsid w:val="00BC6E6A"/>
    <w:rsid w:val="00BC745A"/>
    <w:rsid w:val="00BC7574"/>
    <w:rsid w:val="00BC7D39"/>
    <w:rsid w:val="00BC7F4D"/>
    <w:rsid w:val="00BC7F62"/>
    <w:rsid w:val="00BD0093"/>
    <w:rsid w:val="00BD01A8"/>
    <w:rsid w:val="00BD0450"/>
    <w:rsid w:val="00BD056D"/>
    <w:rsid w:val="00BD05E7"/>
    <w:rsid w:val="00BD0FB2"/>
    <w:rsid w:val="00BD19A7"/>
    <w:rsid w:val="00BD1D14"/>
    <w:rsid w:val="00BD1EBE"/>
    <w:rsid w:val="00BD2839"/>
    <w:rsid w:val="00BD2BC4"/>
    <w:rsid w:val="00BD2D6F"/>
    <w:rsid w:val="00BD30F7"/>
    <w:rsid w:val="00BD336D"/>
    <w:rsid w:val="00BD3C9E"/>
    <w:rsid w:val="00BD438A"/>
    <w:rsid w:val="00BD4E2A"/>
    <w:rsid w:val="00BD528C"/>
    <w:rsid w:val="00BD5420"/>
    <w:rsid w:val="00BD544F"/>
    <w:rsid w:val="00BD5589"/>
    <w:rsid w:val="00BD57A6"/>
    <w:rsid w:val="00BD592B"/>
    <w:rsid w:val="00BD5D69"/>
    <w:rsid w:val="00BD5D8B"/>
    <w:rsid w:val="00BD60F5"/>
    <w:rsid w:val="00BD6CCD"/>
    <w:rsid w:val="00BD73EB"/>
    <w:rsid w:val="00BD7674"/>
    <w:rsid w:val="00BD7851"/>
    <w:rsid w:val="00BD792C"/>
    <w:rsid w:val="00BD7ADE"/>
    <w:rsid w:val="00BE00D4"/>
    <w:rsid w:val="00BE02C3"/>
    <w:rsid w:val="00BE050F"/>
    <w:rsid w:val="00BE0642"/>
    <w:rsid w:val="00BE06FD"/>
    <w:rsid w:val="00BE0B19"/>
    <w:rsid w:val="00BE0F8E"/>
    <w:rsid w:val="00BE0FBC"/>
    <w:rsid w:val="00BE103C"/>
    <w:rsid w:val="00BE148F"/>
    <w:rsid w:val="00BE200E"/>
    <w:rsid w:val="00BE2102"/>
    <w:rsid w:val="00BE299A"/>
    <w:rsid w:val="00BE2AE4"/>
    <w:rsid w:val="00BE3704"/>
    <w:rsid w:val="00BE3792"/>
    <w:rsid w:val="00BE38AA"/>
    <w:rsid w:val="00BE39AD"/>
    <w:rsid w:val="00BE3A54"/>
    <w:rsid w:val="00BE3D27"/>
    <w:rsid w:val="00BE3D58"/>
    <w:rsid w:val="00BE40DE"/>
    <w:rsid w:val="00BE451A"/>
    <w:rsid w:val="00BE5559"/>
    <w:rsid w:val="00BE58CD"/>
    <w:rsid w:val="00BE5BE4"/>
    <w:rsid w:val="00BE6014"/>
    <w:rsid w:val="00BE64B6"/>
    <w:rsid w:val="00BE64F6"/>
    <w:rsid w:val="00BE6F03"/>
    <w:rsid w:val="00BE6F89"/>
    <w:rsid w:val="00BE73F9"/>
    <w:rsid w:val="00BE7541"/>
    <w:rsid w:val="00BF00FD"/>
    <w:rsid w:val="00BF0753"/>
    <w:rsid w:val="00BF0B48"/>
    <w:rsid w:val="00BF10E6"/>
    <w:rsid w:val="00BF10FD"/>
    <w:rsid w:val="00BF13CD"/>
    <w:rsid w:val="00BF140B"/>
    <w:rsid w:val="00BF1931"/>
    <w:rsid w:val="00BF1A17"/>
    <w:rsid w:val="00BF1D6E"/>
    <w:rsid w:val="00BF2070"/>
    <w:rsid w:val="00BF2B6A"/>
    <w:rsid w:val="00BF2D7D"/>
    <w:rsid w:val="00BF31FA"/>
    <w:rsid w:val="00BF32DC"/>
    <w:rsid w:val="00BF3939"/>
    <w:rsid w:val="00BF3A2E"/>
    <w:rsid w:val="00BF408E"/>
    <w:rsid w:val="00BF4DB5"/>
    <w:rsid w:val="00BF4E0B"/>
    <w:rsid w:val="00BF5421"/>
    <w:rsid w:val="00BF54EE"/>
    <w:rsid w:val="00BF5533"/>
    <w:rsid w:val="00BF5B76"/>
    <w:rsid w:val="00BF5D41"/>
    <w:rsid w:val="00BF603F"/>
    <w:rsid w:val="00BF62F4"/>
    <w:rsid w:val="00BF6812"/>
    <w:rsid w:val="00BF6E1C"/>
    <w:rsid w:val="00BF729F"/>
    <w:rsid w:val="00BF7314"/>
    <w:rsid w:val="00C000C3"/>
    <w:rsid w:val="00C0025E"/>
    <w:rsid w:val="00C009DC"/>
    <w:rsid w:val="00C01285"/>
    <w:rsid w:val="00C01468"/>
    <w:rsid w:val="00C01719"/>
    <w:rsid w:val="00C01FB5"/>
    <w:rsid w:val="00C02303"/>
    <w:rsid w:val="00C0236D"/>
    <w:rsid w:val="00C029F3"/>
    <w:rsid w:val="00C02B0F"/>
    <w:rsid w:val="00C02FC9"/>
    <w:rsid w:val="00C0318C"/>
    <w:rsid w:val="00C03A1F"/>
    <w:rsid w:val="00C04151"/>
    <w:rsid w:val="00C04185"/>
    <w:rsid w:val="00C045BD"/>
    <w:rsid w:val="00C04A50"/>
    <w:rsid w:val="00C05C5C"/>
    <w:rsid w:val="00C05F30"/>
    <w:rsid w:val="00C06734"/>
    <w:rsid w:val="00C06AEB"/>
    <w:rsid w:val="00C06B3F"/>
    <w:rsid w:val="00C06B6E"/>
    <w:rsid w:val="00C06BAE"/>
    <w:rsid w:val="00C06CFB"/>
    <w:rsid w:val="00C06F58"/>
    <w:rsid w:val="00C0788D"/>
    <w:rsid w:val="00C07AF1"/>
    <w:rsid w:val="00C07CF9"/>
    <w:rsid w:val="00C10413"/>
    <w:rsid w:val="00C106C9"/>
    <w:rsid w:val="00C10ADB"/>
    <w:rsid w:val="00C10BBB"/>
    <w:rsid w:val="00C10CDB"/>
    <w:rsid w:val="00C1100F"/>
    <w:rsid w:val="00C11409"/>
    <w:rsid w:val="00C1197D"/>
    <w:rsid w:val="00C124A2"/>
    <w:rsid w:val="00C1285E"/>
    <w:rsid w:val="00C12899"/>
    <w:rsid w:val="00C12A4F"/>
    <w:rsid w:val="00C12E00"/>
    <w:rsid w:val="00C1308F"/>
    <w:rsid w:val="00C1315A"/>
    <w:rsid w:val="00C135B5"/>
    <w:rsid w:val="00C13CD1"/>
    <w:rsid w:val="00C1542B"/>
    <w:rsid w:val="00C15A59"/>
    <w:rsid w:val="00C15C4A"/>
    <w:rsid w:val="00C15FE5"/>
    <w:rsid w:val="00C16151"/>
    <w:rsid w:val="00C1622C"/>
    <w:rsid w:val="00C1669D"/>
    <w:rsid w:val="00C16814"/>
    <w:rsid w:val="00C16BEC"/>
    <w:rsid w:val="00C171E9"/>
    <w:rsid w:val="00C176B9"/>
    <w:rsid w:val="00C1774C"/>
    <w:rsid w:val="00C20255"/>
    <w:rsid w:val="00C203A3"/>
    <w:rsid w:val="00C2082B"/>
    <w:rsid w:val="00C20E8D"/>
    <w:rsid w:val="00C2105E"/>
    <w:rsid w:val="00C211AA"/>
    <w:rsid w:val="00C21CF2"/>
    <w:rsid w:val="00C22040"/>
    <w:rsid w:val="00C2225B"/>
    <w:rsid w:val="00C227E6"/>
    <w:rsid w:val="00C22E02"/>
    <w:rsid w:val="00C23432"/>
    <w:rsid w:val="00C23AA7"/>
    <w:rsid w:val="00C23DD7"/>
    <w:rsid w:val="00C24552"/>
    <w:rsid w:val="00C2460A"/>
    <w:rsid w:val="00C24734"/>
    <w:rsid w:val="00C24E18"/>
    <w:rsid w:val="00C257D6"/>
    <w:rsid w:val="00C258E7"/>
    <w:rsid w:val="00C26376"/>
    <w:rsid w:val="00C268CA"/>
    <w:rsid w:val="00C270B7"/>
    <w:rsid w:val="00C27224"/>
    <w:rsid w:val="00C2741D"/>
    <w:rsid w:val="00C27D72"/>
    <w:rsid w:val="00C27E24"/>
    <w:rsid w:val="00C27EE5"/>
    <w:rsid w:val="00C27F47"/>
    <w:rsid w:val="00C3010F"/>
    <w:rsid w:val="00C30895"/>
    <w:rsid w:val="00C31096"/>
    <w:rsid w:val="00C3174F"/>
    <w:rsid w:val="00C31BE8"/>
    <w:rsid w:val="00C321B6"/>
    <w:rsid w:val="00C3257E"/>
    <w:rsid w:val="00C32686"/>
    <w:rsid w:val="00C326CA"/>
    <w:rsid w:val="00C327A9"/>
    <w:rsid w:val="00C32C96"/>
    <w:rsid w:val="00C32CFB"/>
    <w:rsid w:val="00C33136"/>
    <w:rsid w:val="00C331D8"/>
    <w:rsid w:val="00C3371A"/>
    <w:rsid w:val="00C33878"/>
    <w:rsid w:val="00C33A2B"/>
    <w:rsid w:val="00C33CD8"/>
    <w:rsid w:val="00C34720"/>
    <w:rsid w:val="00C35108"/>
    <w:rsid w:val="00C35128"/>
    <w:rsid w:val="00C35604"/>
    <w:rsid w:val="00C356DB"/>
    <w:rsid w:val="00C359F7"/>
    <w:rsid w:val="00C35F02"/>
    <w:rsid w:val="00C361AA"/>
    <w:rsid w:val="00C3633E"/>
    <w:rsid w:val="00C369A7"/>
    <w:rsid w:val="00C36D45"/>
    <w:rsid w:val="00C37B89"/>
    <w:rsid w:val="00C37BD8"/>
    <w:rsid w:val="00C403E7"/>
    <w:rsid w:val="00C405E7"/>
    <w:rsid w:val="00C40603"/>
    <w:rsid w:val="00C40EBE"/>
    <w:rsid w:val="00C4131E"/>
    <w:rsid w:val="00C41ED6"/>
    <w:rsid w:val="00C42580"/>
    <w:rsid w:val="00C429D0"/>
    <w:rsid w:val="00C42C44"/>
    <w:rsid w:val="00C430CC"/>
    <w:rsid w:val="00C43503"/>
    <w:rsid w:val="00C436D0"/>
    <w:rsid w:val="00C43E52"/>
    <w:rsid w:val="00C43E60"/>
    <w:rsid w:val="00C442AD"/>
    <w:rsid w:val="00C44A49"/>
    <w:rsid w:val="00C44D93"/>
    <w:rsid w:val="00C45035"/>
    <w:rsid w:val="00C45418"/>
    <w:rsid w:val="00C459D3"/>
    <w:rsid w:val="00C45FD2"/>
    <w:rsid w:val="00C4650F"/>
    <w:rsid w:val="00C4662F"/>
    <w:rsid w:val="00C4676C"/>
    <w:rsid w:val="00C46A88"/>
    <w:rsid w:val="00C46CCB"/>
    <w:rsid w:val="00C46D18"/>
    <w:rsid w:val="00C46D3C"/>
    <w:rsid w:val="00C4723F"/>
    <w:rsid w:val="00C47AE3"/>
    <w:rsid w:val="00C47B5A"/>
    <w:rsid w:val="00C5032E"/>
    <w:rsid w:val="00C5038F"/>
    <w:rsid w:val="00C5084B"/>
    <w:rsid w:val="00C50A17"/>
    <w:rsid w:val="00C50B9C"/>
    <w:rsid w:val="00C50CC1"/>
    <w:rsid w:val="00C517C3"/>
    <w:rsid w:val="00C520C0"/>
    <w:rsid w:val="00C525DA"/>
    <w:rsid w:val="00C52704"/>
    <w:rsid w:val="00C528F7"/>
    <w:rsid w:val="00C52CC6"/>
    <w:rsid w:val="00C52E18"/>
    <w:rsid w:val="00C52F3A"/>
    <w:rsid w:val="00C531EE"/>
    <w:rsid w:val="00C5327A"/>
    <w:rsid w:val="00C53A14"/>
    <w:rsid w:val="00C53A3C"/>
    <w:rsid w:val="00C53AFA"/>
    <w:rsid w:val="00C53BDF"/>
    <w:rsid w:val="00C53D95"/>
    <w:rsid w:val="00C54B26"/>
    <w:rsid w:val="00C54DD2"/>
    <w:rsid w:val="00C557EB"/>
    <w:rsid w:val="00C55C7F"/>
    <w:rsid w:val="00C55F13"/>
    <w:rsid w:val="00C561BA"/>
    <w:rsid w:val="00C56231"/>
    <w:rsid w:val="00C567C9"/>
    <w:rsid w:val="00C56BC1"/>
    <w:rsid w:val="00C56ECF"/>
    <w:rsid w:val="00C57697"/>
    <w:rsid w:val="00C57C4F"/>
    <w:rsid w:val="00C60057"/>
    <w:rsid w:val="00C60149"/>
    <w:rsid w:val="00C603A2"/>
    <w:rsid w:val="00C6043D"/>
    <w:rsid w:val="00C60491"/>
    <w:rsid w:val="00C60699"/>
    <w:rsid w:val="00C6087B"/>
    <w:rsid w:val="00C60C4E"/>
    <w:rsid w:val="00C60DB2"/>
    <w:rsid w:val="00C614D0"/>
    <w:rsid w:val="00C618F5"/>
    <w:rsid w:val="00C61D57"/>
    <w:rsid w:val="00C62902"/>
    <w:rsid w:val="00C62F99"/>
    <w:rsid w:val="00C630AD"/>
    <w:rsid w:val="00C63556"/>
    <w:rsid w:val="00C6384C"/>
    <w:rsid w:val="00C6398E"/>
    <w:rsid w:val="00C63A69"/>
    <w:rsid w:val="00C63FA8"/>
    <w:rsid w:val="00C643CB"/>
    <w:rsid w:val="00C65564"/>
    <w:rsid w:val="00C65BF4"/>
    <w:rsid w:val="00C65E55"/>
    <w:rsid w:val="00C66165"/>
    <w:rsid w:val="00C6621E"/>
    <w:rsid w:val="00C66444"/>
    <w:rsid w:val="00C66AF1"/>
    <w:rsid w:val="00C66E4B"/>
    <w:rsid w:val="00C679E8"/>
    <w:rsid w:val="00C67A69"/>
    <w:rsid w:val="00C67B31"/>
    <w:rsid w:val="00C70958"/>
    <w:rsid w:val="00C70BEB"/>
    <w:rsid w:val="00C70DF4"/>
    <w:rsid w:val="00C7127D"/>
    <w:rsid w:val="00C715AF"/>
    <w:rsid w:val="00C71C82"/>
    <w:rsid w:val="00C72B02"/>
    <w:rsid w:val="00C72C57"/>
    <w:rsid w:val="00C72F23"/>
    <w:rsid w:val="00C73165"/>
    <w:rsid w:val="00C73469"/>
    <w:rsid w:val="00C742B9"/>
    <w:rsid w:val="00C749FD"/>
    <w:rsid w:val="00C74B4D"/>
    <w:rsid w:val="00C74F6A"/>
    <w:rsid w:val="00C7543C"/>
    <w:rsid w:val="00C75878"/>
    <w:rsid w:val="00C758AE"/>
    <w:rsid w:val="00C75B69"/>
    <w:rsid w:val="00C760E8"/>
    <w:rsid w:val="00C76593"/>
    <w:rsid w:val="00C76A94"/>
    <w:rsid w:val="00C76B24"/>
    <w:rsid w:val="00C76C3B"/>
    <w:rsid w:val="00C7745E"/>
    <w:rsid w:val="00C774D0"/>
    <w:rsid w:val="00C77506"/>
    <w:rsid w:val="00C77643"/>
    <w:rsid w:val="00C77884"/>
    <w:rsid w:val="00C77F34"/>
    <w:rsid w:val="00C8049D"/>
    <w:rsid w:val="00C807F7"/>
    <w:rsid w:val="00C8115C"/>
    <w:rsid w:val="00C81356"/>
    <w:rsid w:val="00C816CA"/>
    <w:rsid w:val="00C8198F"/>
    <w:rsid w:val="00C819EA"/>
    <w:rsid w:val="00C81C21"/>
    <w:rsid w:val="00C81DCB"/>
    <w:rsid w:val="00C81E2B"/>
    <w:rsid w:val="00C81EAA"/>
    <w:rsid w:val="00C82BFA"/>
    <w:rsid w:val="00C830A8"/>
    <w:rsid w:val="00C835F6"/>
    <w:rsid w:val="00C836F1"/>
    <w:rsid w:val="00C83A58"/>
    <w:rsid w:val="00C83A7D"/>
    <w:rsid w:val="00C83B9B"/>
    <w:rsid w:val="00C83C7D"/>
    <w:rsid w:val="00C83D7D"/>
    <w:rsid w:val="00C841AD"/>
    <w:rsid w:val="00C84CCB"/>
    <w:rsid w:val="00C84CF3"/>
    <w:rsid w:val="00C85884"/>
    <w:rsid w:val="00C85C66"/>
    <w:rsid w:val="00C865F0"/>
    <w:rsid w:val="00C868F1"/>
    <w:rsid w:val="00C868F9"/>
    <w:rsid w:val="00C8692F"/>
    <w:rsid w:val="00C86A49"/>
    <w:rsid w:val="00C86D88"/>
    <w:rsid w:val="00C872AA"/>
    <w:rsid w:val="00C873E8"/>
    <w:rsid w:val="00C87653"/>
    <w:rsid w:val="00C87787"/>
    <w:rsid w:val="00C878F4"/>
    <w:rsid w:val="00C905B9"/>
    <w:rsid w:val="00C91070"/>
    <w:rsid w:val="00C91160"/>
    <w:rsid w:val="00C91498"/>
    <w:rsid w:val="00C916A2"/>
    <w:rsid w:val="00C916EF"/>
    <w:rsid w:val="00C9180C"/>
    <w:rsid w:val="00C91C48"/>
    <w:rsid w:val="00C91C9E"/>
    <w:rsid w:val="00C91E7A"/>
    <w:rsid w:val="00C92717"/>
    <w:rsid w:val="00C92740"/>
    <w:rsid w:val="00C92855"/>
    <w:rsid w:val="00C92C97"/>
    <w:rsid w:val="00C92F95"/>
    <w:rsid w:val="00C930E7"/>
    <w:rsid w:val="00C931E8"/>
    <w:rsid w:val="00C93CB0"/>
    <w:rsid w:val="00C94024"/>
    <w:rsid w:val="00C94126"/>
    <w:rsid w:val="00C9415F"/>
    <w:rsid w:val="00C943B3"/>
    <w:rsid w:val="00C94D08"/>
    <w:rsid w:val="00C94E6D"/>
    <w:rsid w:val="00C94E7E"/>
    <w:rsid w:val="00C94F55"/>
    <w:rsid w:val="00C95029"/>
    <w:rsid w:val="00C9529D"/>
    <w:rsid w:val="00C95438"/>
    <w:rsid w:val="00C9622D"/>
    <w:rsid w:val="00C966E3"/>
    <w:rsid w:val="00C96A8F"/>
    <w:rsid w:val="00C9714B"/>
    <w:rsid w:val="00C97586"/>
    <w:rsid w:val="00C975CA"/>
    <w:rsid w:val="00C97A27"/>
    <w:rsid w:val="00C97A68"/>
    <w:rsid w:val="00CA0685"/>
    <w:rsid w:val="00CA09B4"/>
    <w:rsid w:val="00CA0A97"/>
    <w:rsid w:val="00CA1387"/>
    <w:rsid w:val="00CA15AE"/>
    <w:rsid w:val="00CA192A"/>
    <w:rsid w:val="00CA262A"/>
    <w:rsid w:val="00CA271E"/>
    <w:rsid w:val="00CA3774"/>
    <w:rsid w:val="00CA3C5B"/>
    <w:rsid w:val="00CA4104"/>
    <w:rsid w:val="00CA4778"/>
    <w:rsid w:val="00CA495B"/>
    <w:rsid w:val="00CA4BE3"/>
    <w:rsid w:val="00CA4D43"/>
    <w:rsid w:val="00CA4E92"/>
    <w:rsid w:val="00CA5874"/>
    <w:rsid w:val="00CA589B"/>
    <w:rsid w:val="00CA5E88"/>
    <w:rsid w:val="00CA6A4B"/>
    <w:rsid w:val="00CA6AA0"/>
    <w:rsid w:val="00CA6C00"/>
    <w:rsid w:val="00CA6EFD"/>
    <w:rsid w:val="00CA729B"/>
    <w:rsid w:val="00CA7D1A"/>
    <w:rsid w:val="00CA7FAA"/>
    <w:rsid w:val="00CB0455"/>
    <w:rsid w:val="00CB103E"/>
    <w:rsid w:val="00CB1480"/>
    <w:rsid w:val="00CB17DC"/>
    <w:rsid w:val="00CB188E"/>
    <w:rsid w:val="00CB1CE4"/>
    <w:rsid w:val="00CB1DF3"/>
    <w:rsid w:val="00CB1E4F"/>
    <w:rsid w:val="00CB2C20"/>
    <w:rsid w:val="00CB34F8"/>
    <w:rsid w:val="00CB3D07"/>
    <w:rsid w:val="00CB4041"/>
    <w:rsid w:val="00CB45E5"/>
    <w:rsid w:val="00CB4A45"/>
    <w:rsid w:val="00CB4C03"/>
    <w:rsid w:val="00CB5700"/>
    <w:rsid w:val="00CB5D8A"/>
    <w:rsid w:val="00CB63EF"/>
    <w:rsid w:val="00CB6786"/>
    <w:rsid w:val="00CB70BC"/>
    <w:rsid w:val="00CC028F"/>
    <w:rsid w:val="00CC038E"/>
    <w:rsid w:val="00CC0425"/>
    <w:rsid w:val="00CC0582"/>
    <w:rsid w:val="00CC0898"/>
    <w:rsid w:val="00CC0C20"/>
    <w:rsid w:val="00CC0C7C"/>
    <w:rsid w:val="00CC11EE"/>
    <w:rsid w:val="00CC1374"/>
    <w:rsid w:val="00CC14E9"/>
    <w:rsid w:val="00CC17AA"/>
    <w:rsid w:val="00CC1BEC"/>
    <w:rsid w:val="00CC245B"/>
    <w:rsid w:val="00CC274C"/>
    <w:rsid w:val="00CC2B42"/>
    <w:rsid w:val="00CC2EE0"/>
    <w:rsid w:val="00CC32CB"/>
    <w:rsid w:val="00CC3660"/>
    <w:rsid w:val="00CC3C03"/>
    <w:rsid w:val="00CC3CE1"/>
    <w:rsid w:val="00CC4040"/>
    <w:rsid w:val="00CC4759"/>
    <w:rsid w:val="00CC477E"/>
    <w:rsid w:val="00CC4A70"/>
    <w:rsid w:val="00CC4B9A"/>
    <w:rsid w:val="00CC4FF8"/>
    <w:rsid w:val="00CC513D"/>
    <w:rsid w:val="00CC53AC"/>
    <w:rsid w:val="00CC5A86"/>
    <w:rsid w:val="00CC5AB5"/>
    <w:rsid w:val="00CC5F92"/>
    <w:rsid w:val="00CC6CB6"/>
    <w:rsid w:val="00CC76D8"/>
    <w:rsid w:val="00CC76DB"/>
    <w:rsid w:val="00CC76E0"/>
    <w:rsid w:val="00CC7AC8"/>
    <w:rsid w:val="00CC7DC5"/>
    <w:rsid w:val="00CD0234"/>
    <w:rsid w:val="00CD0238"/>
    <w:rsid w:val="00CD0330"/>
    <w:rsid w:val="00CD0A53"/>
    <w:rsid w:val="00CD0AD0"/>
    <w:rsid w:val="00CD0B52"/>
    <w:rsid w:val="00CD1043"/>
    <w:rsid w:val="00CD11DD"/>
    <w:rsid w:val="00CD1201"/>
    <w:rsid w:val="00CD18CE"/>
    <w:rsid w:val="00CD1DCA"/>
    <w:rsid w:val="00CD20D5"/>
    <w:rsid w:val="00CD29F4"/>
    <w:rsid w:val="00CD316F"/>
    <w:rsid w:val="00CD3C73"/>
    <w:rsid w:val="00CD46CD"/>
    <w:rsid w:val="00CD46D6"/>
    <w:rsid w:val="00CD482E"/>
    <w:rsid w:val="00CD546A"/>
    <w:rsid w:val="00CD54A1"/>
    <w:rsid w:val="00CD5717"/>
    <w:rsid w:val="00CD5B5B"/>
    <w:rsid w:val="00CD5D64"/>
    <w:rsid w:val="00CD66FF"/>
    <w:rsid w:val="00CD6D80"/>
    <w:rsid w:val="00CD70E4"/>
    <w:rsid w:val="00CD734B"/>
    <w:rsid w:val="00CD7507"/>
    <w:rsid w:val="00CD7A9D"/>
    <w:rsid w:val="00CD7EEB"/>
    <w:rsid w:val="00CE015E"/>
    <w:rsid w:val="00CE0295"/>
    <w:rsid w:val="00CE035B"/>
    <w:rsid w:val="00CE0C84"/>
    <w:rsid w:val="00CE0D66"/>
    <w:rsid w:val="00CE0ECB"/>
    <w:rsid w:val="00CE1043"/>
    <w:rsid w:val="00CE1D3F"/>
    <w:rsid w:val="00CE1DDB"/>
    <w:rsid w:val="00CE2087"/>
    <w:rsid w:val="00CE23BD"/>
    <w:rsid w:val="00CE26FC"/>
    <w:rsid w:val="00CE2795"/>
    <w:rsid w:val="00CE288E"/>
    <w:rsid w:val="00CE2ABC"/>
    <w:rsid w:val="00CE2F13"/>
    <w:rsid w:val="00CE32B1"/>
    <w:rsid w:val="00CE32F1"/>
    <w:rsid w:val="00CE37CC"/>
    <w:rsid w:val="00CE37FD"/>
    <w:rsid w:val="00CE3973"/>
    <w:rsid w:val="00CE39FF"/>
    <w:rsid w:val="00CE3B37"/>
    <w:rsid w:val="00CE3B92"/>
    <w:rsid w:val="00CE3FBB"/>
    <w:rsid w:val="00CE45F5"/>
    <w:rsid w:val="00CE49A6"/>
    <w:rsid w:val="00CE4D29"/>
    <w:rsid w:val="00CE4E86"/>
    <w:rsid w:val="00CE4EF2"/>
    <w:rsid w:val="00CE4F4A"/>
    <w:rsid w:val="00CE4FBA"/>
    <w:rsid w:val="00CE53C2"/>
    <w:rsid w:val="00CE582E"/>
    <w:rsid w:val="00CE605B"/>
    <w:rsid w:val="00CE65FC"/>
    <w:rsid w:val="00CE675F"/>
    <w:rsid w:val="00CE69C2"/>
    <w:rsid w:val="00CE6A55"/>
    <w:rsid w:val="00CE6A84"/>
    <w:rsid w:val="00CE72E1"/>
    <w:rsid w:val="00CE72FF"/>
    <w:rsid w:val="00CE746D"/>
    <w:rsid w:val="00CE7475"/>
    <w:rsid w:val="00CE75F6"/>
    <w:rsid w:val="00CE7A81"/>
    <w:rsid w:val="00CE7CA2"/>
    <w:rsid w:val="00CF02A8"/>
    <w:rsid w:val="00CF0AEC"/>
    <w:rsid w:val="00CF1380"/>
    <w:rsid w:val="00CF13AF"/>
    <w:rsid w:val="00CF155B"/>
    <w:rsid w:val="00CF1C06"/>
    <w:rsid w:val="00CF1D0C"/>
    <w:rsid w:val="00CF21E2"/>
    <w:rsid w:val="00CF2A36"/>
    <w:rsid w:val="00CF2A56"/>
    <w:rsid w:val="00CF2E5B"/>
    <w:rsid w:val="00CF31E1"/>
    <w:rsid w:val="00CF393D"/>
    <w:rsid w:val="00CF3A05"/>
    <w:rsid w:val="00CF3E66"/>
    <w:rsid w:val="00CF42C3"/>
    <w:rsid w:val="00CF451A"/>
    <w:rsid w:val="00CF47BF"/>
    <w:rsid w:val="00CF4A57"/>
    <w:rsid w:val="00CF4BDB"/>
    <w:rsid w:val="00CF4BFD"/>
    <w:rsid w:val="00CF4E37"/>
    <w:rsid w:val="00CF4F7B"/>
    <w:rsid w:val="00CF5537"/>
    <w:rsid w:val="00CF57E5"/>
    <w:rsid w:val="00CF5E79"/>
    <w:rsid w:val="00CF5EED"/>
    <w:rsid w:val="00CF5FC6"/>
    <w:rsid w:val="00CF63D1"/>
    <w:rsid w:val="00CF6406"/>
    <w:rsid w:val="00CF65DE"/>
    <w:rsid w:val="00CF65E2"/>
    <w:rsid w:val="00CF7285"/>
    <w:rsid w:val="00D0041A"/>
    <w:rsid w:val="00D004BB"/>
    <w:rsid w:val="00D00606"/>
    <w:rsid w:val="00D0117A"/>
    <w:rsid w:val="00D01965"/>
    <w:rsid w:val="00D01A18"/>
    <w:rsid w:val="00D01B29"/>
    <w:rsid w:val="00D01EA1"/>
    <w:rsid w:val="00D02E41"/>
    <w:rsid w:val="00D032E9"/>
    <w:rsid w:val="00D03A04"/>
    <w:rsid w:val="00D041F4"/>
    <w:rsid w:val="00D043DD"/>
    <w:rsid w:val="00D0444A"/>
    <w:rsid w:val="00D04677"/>
    <w:rsid w:val="00D046CE"/>
    <w:rsid w:val="00D04A4C"/>
    <w:rsid w:val="00D04FC9"/>
    <w:rsid w:val="00D051B0"/>
    <w:rsid w:val="00D05594"/>
    <w:rsid w:val="00D05AE2"/>
    <w:rsid w:val="00D05D96"/>
    <w:rsid w:val="00D06002"/>
    <w:rsid w:val="00D0637F"/>
    <w:rsid w:val="00D06A3F"/>
    <w:rsid w:val="00D06CCA"/>
    <w:rsid w:val="00D071CD"/>
    <w:rsid w:val="00D071D1"/>
    <w:rsid w:val="00D07A1E"/>
    <w:rsid w:val="00D07CE3"/>
    <w:rsid w:val="00D07CF1"/>
    <w:rsid w:val="00D07EE9"/>
    <w:rsid w:val="00D10066"/>
    <w:rsid w:val="00D10333"/>
    <w:rsid w:val="00D10BD6"/>
    <w:rsid w:val="00D10EDB"/>
    <w:rsid w:val="00D10F43"/>
    <w:rsid w:val="00D10F4A"/>
    <w:rsid w:val="00D11081"/>
    <w:rsid w:val="00D1139C"/>
    <w:rsid w:val="00D114BF"/>
    <w:rsid w:val="00D11BA4"/>
    <w:rsid w:val="00D12288"/>
    <w:rsid w:val="00D12A48"/>
    <w:rsid w:val="00D13880"/>
    <w:rsid w:val="00D1388B"/>
    <w:rsid w:val="00D139D1"/>
    <w:rsid w:val="00D139F8"/>
    <w:rsid w:val="00D13A4D"/>
    <w:rsid w:val="00D1419F"/>
    <w:rsid w:val="00D142C7"/>
    <w:rsid w:val="00D1492E"/>
    <w:rsid w:val="00D1525F"/>
    <w:rsid w:val="00D15496"/>
    <w:rsid w:val="00D1622D"/>
    <w:rsid w:val="00D16890"/>
    <w:rsid w:val="00D1747E"/>
    <w:rsid w:val="00D1779D"/>
    <w:rsid w:val="00D17861"/>
    <w:rsid w:val="00D17F0B"/>
    <w:rsid w:val="00D20000"/>
    <w:rsid w:val="00D203A4"/>
    <w:rsid w:val="00D20439"/>
    <w:rsid w:val="00D20472"/>
    <w:rsid w:val="00D20512"/>
    <w:rsid w:val="00D21419"/>
    <w:rsid w:val="00D214FD"/>
    <w:rsid w:val="00D217E5"/>
    <w:rsid w:val="00D218AF"/>
    <w:rsid w:val="00D21CC7"/>
    <w:rsid w:val="00D21F42"/>
    <w:rsid w:val="00D221B9"/>
    <w:rsid w:val="00D2225C"/>
    <w:rsid w:val="00D227E1"/>
    <w:rsid w:val="00D22B88"/>
    <w:rsid w:val="00D22CED"/>
    <w:rsid w:val="00D22E6F"/>
    <w:rsid w:val="00D22EC6"/>
    <w:rsid w:val="00D22F2E"/>
    <w:rsid w:val="00D22FC4"/>
    <w:rsid w:val="00D23362"/>
    <w:rsid w:val="00D23430"/>
    <w:rsid w:val="00D234FE"/>
    <w:rsid w:val="00D236D1"/>
    <w:rsid w:val="00D2384F"/>
    <w:rsid w:val="00D23AB6"/>
    <w:rsid w:val="00D23D6D"/>
    <w:rsid w:val="00D240BE"/>
    <w:rsid w:val="00D241EA"/>
    <w:rsid w:val="00D2425B"/>
    <w:rsid w:val="00D2493D"/>
    <w:rsid w:val="00D24979"/>
    <w:rsid w:val="00D249BB"/>
    <w:rsid w:val="00D2554E"/>
    <w:rsid w:val="00D25857"/>
    <w:rsid w:val="00D279DA"/>
    <w:rsid w:val="00D27AFD"/>
    <w:rsid w:val="00D27C32"/>
    <w:rsid w:val="00D27EAE"/>
    <w:rsid w:val="00D27F8C"/>
    <w:rsid w:val="00D309E7"/>
    <w:rsid w:val="00D30E2A"/>
    <w:rsid w:val="00D31507"/>
    <w:rsid w:val="00D317C4"/>
    <w:rsid w:val="00D31D11"/>
    <w:rsid w:val="00D32198"/>
    <w:rsid w:val="00D32207"/>
    <w:rsid w:val="00D32403"/>
    <w:rsid w:val="00D3245E"/>
    <w:rsid w:val="00D32E96"/>
    <w:rsid w:val="00D331E4"/>
    <w:rsid w:val="00D333D9"/>
    <w:rsid w:val="00D333F5"/>
    <w:rsid w:val="00D338C6"/>
    <w:rsid w:val="00D33B9D"/>
    <w:rsid w:val="00D33C2C"/>
    <w:rsid w:val="00D33E52"/>
    <w:rsid w:val="00D34ABD"/>
    <w:rsid w:val="00D3525F"/>
    <w:rsid w:val="00D35466"/>
    <w:rsid w:val="00D35468"/>
    <w:rsid w:val="00D35633"/>
    <w:rsid w:val="00D3586C"/>
    <w:rsid w:val="00D35DE6"/>
    <w:rsid w:val="00D3666F"/>
    <w:rsid w:val="00D36B1E"/>
    <w:rsid w:val="00D36C53"/>
    <w:rsid w:val="00D36CF3"/>
    <w:rsid w:val="00D36D22"/>
    <w:rsid w:val="00D37085"/>
    <w:rsid w:val="00D370FB"/>
    <w:rsid w:val="00D373C5"/>
    <w:rsid w:val="00D374B9"/>
    <w:rsid w:val="00D377E5"/>
    <w:rsid w:val="00D37D4B"/>
    <w:rsid w:val="00D40371"/>
    <w:rsid w:val="00D40620"/>
    <w:rsid w:val="00D40CEA"/>
    <w:rsid w:val="00D40EF7"/>
    <w:rsid w:val="00D40FCB"/>
    <w:rsid w:val="00D41029"/>
    <w:rsid w:val="00D415F3"/>
    <w:rsid w:val="00D41BD7"/>
    <w:rsid w:val="00D41CB1"/>
    <w:rsid w:val="00D41E18"/>
    <w:rsid w:val="00D41FED"/>
    <w:rsid w:val="00D422CE"/>
    <w:rsid w:val="00D42573"/>
    <w:rsid w:val="00D42C7B"/>
    <w:rsid w:val="00D4321D"/>
    <w:rsid w:val="00D43315"/>
    <w:rsid w:val="00D436E5"/>
    <w:rsid w:val="00D43E47"/>
    <w:rsid w:val="00D440C4"/>
    <w:rsid w:val="00D4430F"/>
    <w:rsid w:val="00D448E9"/>
    <w:rsid w:val="00D44951"/>
    <w:rsid w:val="00D44A5A"/>
    <w:rsid w:val="00D44AC2"/>
    <w:rsid w:val="00D44B0D"/>
    <w:rsid w:val="00D44B86"/>
    <w:rsid w:val="00D44DBF"/>
    <w:rsid w:val="00D44F28"/>
    <w:rsid w:val="00D451E3"/>
    <w:rsid w:val="00D455F0"/>
    <w:rsid w:val="00D46230"/>
    <w:rsid w:val="00D46A02"/>
    <w:rsid w:val="00D47976"/>
    <w:rsid w:val="00D5022F"/>
    <w:rsid w:val="00D502A9"/>
    <w:rsid w:val="00D5055D"/>
    <w:rsid w:val="00D50EE8"/>
    <w:rsid w:val="00D51D7F"/>
    <w:rsid w:val="00D51ED6"/>
    <w:rsid w:val="00D535DF"/>
    <w:rsid w:val="00D53645"/>
    <w:rsid w:val="00D53693"/>
    <w:rsid w:val="00D5369F"/>
    <w:rsid w:val="00D54068"/>
    <w:rsid w:val="00D54339"/>
    <w:rsid w:val="00D54959"/>
    <w:rsid w:val="00D549D4"/>
    <w:rsid w:val="00D54A48"/>
    <w:rsid w:val="00D5500D"/>
    <w:rsid w:val="00D55612"/>
    <w:rsid w:val="00D556CA"/>
    <w:rsid w:val="00D55DF5"/>
    <w:rsid w:val="00D56630"/>
    <w:rsid w:val="00D5664B"/>
    <w:rsid w:val="00D567AC"/>
    <w:rsid w:val="00D56E8A"/>
    <w:rsid w:val="00D56FCD"/>
    <w:rsid w:val="00D56FDC"/>
    <w:rsid w:val="00D579F3"/>
    <w:rsid w:val="00D57DA1"/>
    <w:rsid w:val="00D57F50"/>
    <w:rsid w:val="00D602CF"/>
    <w:rsid w:val="00D6081F"/>
    <w:rsid w:val="00D60A72"/>
    <w:rsid w:val="00D60CD2"/>
    <w:rsid w:val="00D60D46"/>
    <w:rsid w:val="00D61283"/>
    <w:rsid w:val="00D612C1"/>
    <w:rsid w:val="00D61D4E"/>
    <w:rsid w:val="00D61FF2"/>
    <w:rsid w:val="00D62077"/>
    <w:rsid w:val="00D62638"/>
    <w:rsid w:val="00D62991"/>
    <w:rsid w:val="00D629AF"/>
    <w:rsid w:val="00D62B00"/>
    <w:rsid w:val="00D62B6B"/>
    <w:rsid w:val="00D6330B"/>
    <w:rsid w:val="00D63347"/>
    <w:rsid w:val="00D63417"/>
    <w:rsid w:val="00D642E5"/>
    <w:rsid w:val="00D6500F"/>
    <w:rsid w:val="00D652FB"/>
    <w:rsid w:val="00D655D0"/>
    <w:rsid w:val="00D65954"/>
    <w:rsid w:val="00D65C11"/>
    <w:rsid w:val="00D6612A"/>
    <w:rsid w:val="00D66653"/>
    <w:rsid w:val="00D66C52"/>
    <w:rsid w:val="00D66D88"/>
    <w:rsid w:val="00D66F1E"/>
    <w:rsid w:val="00D66FF1"/>
    <w:rsid w:val="00D6720C"/>
    <w:rsid w:val="00D67920"/>
    <w:rsid w:val="00D679FE"/>
    <w:rsid w:val="00D67E55"/>
    <w:rsid w:val="00D7017E"/>
    <w:rsid w:val="00D702A0"/>
    <w:rsid w:val="00D702D0"/>
    <w:rsid w:val="00D7046F"/>
    <w:rsid w:val="00D70530"/>
    <w:rsid w:val="00D70750"/>
    <w:rsid w:val="00D707C3"/>
    <w:rsid w:val="00D707E5"/>
    <w:rsid w:val="00D70AB1"/>
    <w:rsid w:val="00D7110E"/>
    <w:rsid w:val="00D71172"/>
    <w:rsid w:val="00D71F18"/>
    <w:rsid w:val="00D72088"/>
    <w:rsid w:val="00D722F4"/>
    <w:rsid w:val="00D726BC"/>
    <w:rsid w:val="00D7323C"/>
    <w:rsid w:val="00D732C2"/>
    <w:rsid w:val="00D733CB"/>
    <w:rsid w:val="00D73D29"/>
    <w:rsid w:val="00D73D2B"/>
    <w:rsid w:val="00D73EEB"/>
    <w:rsid w:val="00D744FE"/>
    <w:rsid w:val="00D746B1"/>
    <w:rsid w:val="00D74B51"/>
    <w:rsid w:val="00D74D90"/>
    <w:rsid w:val="00D75079"/>
    <w:rsid w:val="00D7537F"/>
    <w:rsid w:val="00D75A58"/>
    <w:rsid w:val="00D75B0D"/>
    <w:rsid w:val="00D75F13"/>
    <w:rsid w:val="00D75FF0"/>
    <w:rsid w:val="00D7650C"/>
    <w:rsid w:val="00D76B9B"/>
    <w:rsid w:val="00D76E07"/>
    <w:rsid w:val="00D7700F"/>
    <w:rsid w:val="00D775B5"/>
    <w:rsid w:val="00D77605"/>
    <w:rsid w:val="00D7783D"/>
    <w:rsid w:val="00D801ED"/>
    <w:rsid w:val="00D80349"/>
    <w:rsid w:val="00D80A71"/>
    <w:rsid w:val="00D80C08"/>
    <w:rsid w:val="00D80DDA"/>
    <w:rsid w:val="00D816BB"/>
    <w:rsid w:val="00D81715"/>
    <w:rsid w:val="00D81737"/>
    <w:rsid w:val="00D821C3"/>
    <w:rsid w:val="00D825DF"/>
    <w:rsid w:val="00D82856"/>
    <w:rsid w:val="00D82A09"/>
    <w:rsid w:val="00D82A23"/>
    <w:rsid w:val="00D82CD5"/>
    <w:rsid w:val="00D841CA"/>
    <w:rsid w:val="00D845D4"/>
    <w:rsid w:val="00D846A1"/>
    <w:rsid w:val="00D84844"/>
    <w:rsid w:val="00D84923"/>
    <w:rsid w:val="00D84A9D"/>
    <w:rsid w:val="00D84CC7"/>
    <w:rsid w:val="00D85004"/>
    <w:rsid w:val="00D851ED"/>
    <w:rsid w:val="00D859F8"/>
    <w:rsid w:val="00D85B5F"/>
    <w:rsid w:val="00D85BAD"/>
    <w:rsid w:val="00D85BB9"/>
    <w:rsid w:val="00D85FC6"/>
    <w:rsid w:val="00D86224"/>
    <w:rsid w:val="00D8661D"/>
    <w:rsid w:val="00D86BC2"/>
    <w:rsid w:val="00D86C4F"/>
    <w:rsid w:val="00D86D6C"/>
    <w:rsid w:val="00D86F43"/>
    <w:rsid w:val="00D87099"/>
    <w:rsid w:val="00D873E4"/>
    <w:rsid w:val="00D8749C"/>
    <w:rsid w:val="00D875E0"/>
    <w:rsid w:val="00D87C84"/>
    <w:rsid w:val="00D90104"/>
    <w:rsid w:val="00D9012A"/>
    <w:rsid w:val="00D90691"/>
    <w:rsid w:val="00D91331"/>
    <w:rsid w:val="00D9178F"/>
    <w:rsid w:val="00D9193E"/>
    <w:rsid w:val="00D9194B"/>
    <w:rsid w:val="00D920FD"/>
    <w:rsid w:val="00D9284D"/>
    <w:rsid w:val="00D92B91"/>
    <w:rsid w:val="00D936DD"/>
    <w:rsid w:val="00D94BC2"/>
    <w:rsid w:val="00D94C5C"/>
    <w:rsid w:val="00D94D17"/>
    <w:rsid w:val="00D94F02"/>
    <w:rsid w:val="00D94F09"/>
    <w:rsid w:val="00D9514D"/>
    <w:rsid w:val="00D954BC"/>
    <w:rsid w:val="00D9573D"/>
    <w:rsid w:val="00D95984"/>
    <w:rsid w:val="00D95C4F"/>
    <w:rsid w:val="00D95D3A"/>
    <w:rsid w:val="00D95EA3"/>
    <w:rsid w:val="00D95EB7"/>
    <w:rsid w:val="00D96280"/>
    <w:rsid w:val="00D963CE"/>
    <w:rsid w:val="00D96537"/>
    <w:rsid w:val="00D96596"/>
    <w:rsid w:val="00D96A2C"/>
    <w:rsid w:val="00D96AFF"/>
    <w:rsid w:val="00D96E76"/>
    <w:rsid w:val="00D96F55"/>
    <w:rsid w:val="00D96FEC"/>
    <w:rsid w:val="00D974CF"/>
    <w:rsid w:val="00DA00CD"/>
    <w:rsid w:val="00DA16CA"/>
    <w:rsid w:val="00DA1BDD"/>
    <w:rsid w:val="00DA2023"/>
    <w:rsid w:val="00DA21D7"/>
    <w:rsid w:val="00DA2461"/>
    <w:rsid w:val="00DA27C3"/>
    <w:rsid w:val="00DA2884"/>
    <w:rsid w:val="00DA2D1B"/>
    <w:rsid w:val="00DA3153"/>
    <w:rsid w:val="00DA31B1"/>
    <w:rsid w:val="00DA33D5"/>
    <w:rsid w:val="00DA36A7"/>
    <w:rsid w:val="00DA38F5"/>
    <w:rsid w:val="00DA4643"/>
    <w:rsid w:val="00DA4F08"/>
    <w:rsid w:val="00DA4F75"/>
    <w:rsid w:val="00DA502C"/>
    <w:rsid w:val="00DA5042"/>
    <w:rsid w:val="00DA5198"/>
    <w:rsid w:val="00DA5861"/>
    <w:rsid w:val="00DA61C7"/>
    <w:rsid w:val="00DA6242"/>
    <w:rsid w:val="00DA644B"/>
    <w:rsid w:val="00DA69D0"/>
    <w:rsid w:val="00DA71B9"/>
    <w:rsid w:val="00DA7BD2"/>
    <w:rsid w:val="00DB008D"/>
    <w:rsid w:val="00DB0953"/>
    <w:rsid w:val="00DB0979"/>
    <w:rsid w:val="00DB1A9D"/>
    <w:rsid w:val="00DB219F"/>
    <w:rsid w:val="00DB22E2"/>
    <w:rsid w:val="00DB256A"/>
    <w:rsid w:val="00DB2FFF"/>
    <w:rsid w:val="00DB30A6"/>
    <w:rsid w:val="00DB3298"/>
    <w:rsid w:val="00DB3689"/>
    <w:rsid w:val="00DB3DA8"/>
    <w:rsid w:val="00DB3DE8"/>
    <w:rsid w:val="00DB402E"/>
    <w:rsid w:val="00DB539C"/>
    <w:rsid w:val="00DB56FA"/>
    <w:rsid w:val="00DB5998"/>
    <w:rsid w:val="00DB5B0A"/>
    <w:rsid w:val="00DB5BB2"/>
    <w:rsid w:val="00DB5BD4"/>
    <w:rsid w:val="00DB609E"/>
    <w:rsid w:val="00DB63BB"/>
    <w:rsid w:val="00DB6506"/>
    <w:rsid w:val="00DB65E8"/>
    <w:rsid w:val="00DB682D"/>
    <w:rsid w:val="00DB6E5F"/>
    <w:rsid w:val="00DB6F19"/>
    <w:rsid w:val="00DB760C"/>
    <w:rsid w:val="00DB7B56"/>
    <w:rsid w:val="00DB7DD8"/>
    <w:rsid w:val="00DC10C6"/>
    <w:rsid w:val="00DC18ED"/>
    <w:rsid w:val="00DC1C18"/>
    <w:rsid w:val="00DC1C2F"/>
    <w:rsid w:val="00DC1F43"/>
    <w:rsid w:val="00DC28AD"/>
    <w:rsid w:val="00DC2955"/>
    <w:rsid w:val="00DC2BE5"/>
    <w:rsid w:val="00DC2D23"/>
    <w:rsid w:val="00DC2E7D"/>
    <w:rsid w:val="00DC3224"/>
    <w:rsid w:val="00DC3510"/>
    <w:rsid w:val="00DC386D"/>
    <w:rsid w:val="00DC3B5A"/>
    <w:rsid w:val="00DC3BC9"/>
    <w:rsid w:val="00DC3D18"/>
    <w:rsid w:val="00DC4292"/>
    <w:rsid w:val="00DC4654"/>
    <w:rsid w:val="00DC4C55"/>
    <w:rsid w:val="00DC4D08"/>
    <w:rsid w:val="00DC5125"/>
    <w:rsid w:val="00DC549D"/>
    <w:rsid w:val="00DC55FA"/>
    <w:rsid w:val="00DC571A"/>
    <w:rsid w:val="00DC66FF"/>
    <w:rsid w:val="00DC6DD0"/>
    <w:rsid w:val="00DC6E0E"/>
    <w:rsid w:val="00DC7315"/>
    <w:rsid w:val="00DC74E3"/>
    <w:rsid w:val="00DC7B5A"/>
    <w:rsid w:val="00DC7B61"/>
    <w:rsid w:val="00DC7C5F"/>
    <w:rsid w:val="00DC7D83"/>
    <w:rsid w:val="00DD028E"/>
    <w:rsid w:val="00DD02EA"/>
    <w:rsid w:val="00DD089F"/>
    <w:rsid w:val="00DD0BB3"/>
    <w:rsid w:val="00DD0EDD"/>
    <w:rsid w:val="00DD10F0"/>
    <w:rsid w:val="00DD169E"/>
    <w:rsid w:val="00DD1723"/>
    <w:rsid w:val="00DD1779"/>
    <w:rsid w:val="00DD218F"/>
    <w:rsid w:val="00DD2819"/>
    <w:rsid w:val="00DD2A3F"/>
    <w:rsid w:val="00DD2BBD"/>
    <w:rsid w:val="00DD2C94"/>
    <w:rsid w:val="00DD2D9D"/>
    <w:rsid w:val="00DD2F95"/>
    <w:rsid w:val="00DD3206"/>
    <w:rsid w:val="00DD3AF5"/>
    <w:rsid w:val="00DD3D3F"/>
    <w:rsid w:val="00DD445E"/>
    <w:rsid w:val="00DD4720"/>
    <w:rsid w:val="00DD4C05"/>
    <w:rsid w:val="00DD5300"/>
    <w:rsid w:val="00DD5537"/>
    <w:rsid w:val="00DD5777"/>
    <w:rsid w:val="00DD5AB5"/>
    <w:rsid w:val="00DD5E72"/>
    <w:rsid w:val="00DD6790"/>
    <w:rsid w:val="00DD6D98"/>
    <w:rsid w:val="00DD72F3"/>
    <w:rsid w:val="00DD741E"/>
    <w:rsid w:val="00DD76E1"/>
    <w:rsid w:val="00DD7E9C"/>
    <w:rsid w:val="00DD7F31"/>
    <w:rsid w:val="00DE010C"/>
    <w:rsid w:val="00DE011A"/>
    <w:rsid w:val="00DE10A4"/>
    <w:rsid w:val="00DE10B2"/>
    <w:rsid w:val="00DE10F5"/>
    <w:rsid w:val="00DE111A"/>
    <w:rsid w:val="00DE117D"/>
    <w:rsid w:val="00DE11A2"/>
    <w:rsid w:val="00DE18ED"/>
    <w:rsid w:val="00DE23CA"/>
    <w:rsid w:val="00DE2687"/>
    <w:rsid w:val="00DE2735"/>
    <w:rsid w:val="00DE2865"/>
    <w:rsid w:val="00DE2B79"/>
    <w:rsid w:val="00DE329B"/>
    <w:rsid w:val="00DE3F97"/>
    <w:rsid w:val="00DE418F"/>
    <w:rsid w:val="00DE424D"/>
    <w:rsid w:val="00DE42A3"/>
    <w:rsid w:val="00DE47FD"/>
    <w:rsid w:val="00DE4C91"/>
    <w:rsid w:val="00DE4D67"/>
    <w:rsid w:val="00DE5279"/>
    <w:rsid w:val="00DE6423"/>
    <w:rsid w:val="00DE64CE"/>
    <w:rsid w:val="00DE6E16"/>
    <w:rsid w:val="00DE6EAB"/>
    <w:rsid w:val="00DE719B"/>
    <w:rsid w:val="00DE7475"/>
    <w:rsid w:val="00DE76DA"/>
    <w:rsid w:val="00DE77D4"/>
    <w:rsid w:val="00DE7F6E"/>
    <w:rsid w:val="00DF13DE"/>
    <w:rsid w:val="00DF1434"/>
    <w:rsid w:val="00DF146B"/>
    <w:rsid w:val="00DF1EAF"/>
    <w:rsid w:val="00DF1EEC"/>
    <w:rsid w:val="00DF1F47"/>
    <w:rsid w:val="00DF225D"/>
    <w:rsid w:val="00DF2787"/>
    <w:rsid w:val="00DF2921"/>
    <w:rsid w:val="00DF2B51"/>
    <w:rsid w:val="00DF2D42"/>
    <w:rsid w:val="00DF32F3"/>
    <w:rsid w:val="00DF343C"/>
    <w:rsid w:val="00DF35CA"/>
    <w:rsid w:val="00DF3877"/>
    <w:rsid w:val="00DF3AAC"/>
    <w:rsid w:val="00DF3D85"/>
    <w:rsid w:val="00DF3EC2"/>
    <w:rsid w:val="00DF3F92"/>
    <w:rsid w:val="00DF45DF"/>
    <w:rsid w:val="00DF52E4"/>
    <w:rsid w:val="00DF53C9"/>
    <w:rsid w:val="00DF55A8"/>
    <w:rsid w:val="00DF55C2"/>
    <w:rsid w:val="00DF5886"/>
    <w:rsid w:val="00DF5BFE"/>
    <w:rsid w:val="00DF6397"/>
    <w:rsid w:val="00DF67E4"/>
    <w:rsid w:val="00DF6C6F"/>
    <w:rsid w:val="00DF6FF6"/>
    <w:rsid w:val="00DF74D3"/>
    <w:rsid w:val="00DF7E87"/>
    <w:rsid w:val="00E00038"/>
    <w:rsid w:val="00E00368"/>
    <w:rsid w:val="00E00A2F"/>
    <w:rsid w:val="00E00A93"/>
    <w:rsid w:val="00E00C19"/>
    <w:rsid w:val="00E00FC8"/>
    <w:rsid w:val="00E01088"/>
    <w:rsid w:val="00E010F2"/>
    <w:rsid w:val="00E0174F"/>
    <w:rsid w:val="00E01ADC"/>
    <w:rsid w:val="00E01CB1"/>
    <w:rsid w:val="00E01F1A"/>
    <w:rsid w:val="00E0205B"/>
    <w:rsid w:val="00E02483"/>
    <w:rsid w:val="00E0249E"/>
    <w:rsid w:val="00E02C42"/>
    <w:rsid w:val="00E02DFD"/>
    <w:rsid w:val="00E0301E"/>
    <w:rsid w:val="00E030D0"/>
    <w:rsid w:val="00E0343E"/>
    <w:rsid w:val="00E03BE7"/>
    <w:rsid w:val="00E03D47"/>
    <w:rsid w:val="00E03F60"/>
    <w:rsid w:val="00E03FDC"/>
    <w:rsid w:val="00E043BB"/>
    <w:rsid w:val="00E0471C"/>
    <w:rsid w:val="00E048BF"/>
    <w:rsid w:val="00E04F76"/>
    <w:rsid w:val="00E0528B"/>
    <w:rsid w:val="00E053D6"/>
    <w:rsid w:val="00E05811"/>
    <w:rsid w:val="00E0595B"/>
    <w:rsid w:val="00E05B78"/>
    <w:rsid w:val="00E05BBC"/>
    <w:rsid w:val="00E05D5F"/>
    <w:rsid w:val="00E05DB8"/>
    <w:rsid w:val="00E05DFC"/>
    <w:rsid w:val="00E05F1B"/>
    <w:rsid w:val="00E060A4"/>
    <w:rsid w:val="00E06725"/>
    <w:rsid w:val="00E067B7"/>
    <w:rsid w:val="00E06AD9"/>
    <w:rsid w:val="00E07517"/>
    <w:rsid w:val="00E07611"/>
    <w:rsid w:val="00E076E8"/>
    <w:rsid w:val="00E07B24"/>
    <w:rsid w:val="00E102B2"/>
    <w:rsid w:val="00E10641"/>
    <w:rsid w:val="00E10A9D"/>
    <w:rsid w:val="00E11045"/>
    <w:rsid w:val="00E115DC"/>
    <w:rsid w:val="00E11705"/>
    <w:rsid w:val="00E11F88"/>
    <w:rsid w:val="00E12BCD"/>
    <w:rsid w:val="00E12EDC"/>
    <w:rsid w:val="00E12F7A"/>
    <w:rsid w:val="00E13077"/>
    <w:rsid w:val="00E13665"/>
    <w:rsid w:val="00E1417D"/>
    <w:rsid w:val="00E14268"/>
    <w:rsid w:val="00E14341"/>
    <w:rsid w:val="00E14A0D"/>
    <w:rsid w:val="00E154DC"/>
    <w:rsid w:val="00E1551C"/>
    <w:rsid w:val="00E155F1"/>
    <w:rsid w:val="00E156BC"/>
    <w:rsid w:val="00E15796"/>
    <w:rsid w:val="00E15A34"/>
    <w:rsid w:val="00E15A85"/>
    <w:rsid w:val="00E15C99"/>
    <w:rsid w:val="00E160F4"/>
    <w:rsid w:val="00E162C2"/>
    <w:rsid w:val="00E16448"/>
    <w:rsid w:val="00E1644F"/>
    <w:rsid w:val="00E168F5"/>
    <w:rsid w:val="00E1699C"/>
    <w:rsid w:val="00E16A47"/>
    <w:rsid w:val="00E1707A"/>
    <w:rsid w:val="00E170D8"/>
    <w:rsid w:val="00E1743C"/>
    <w:rsid w:val="00E17558"/>
    <w:rsid w:val="00E17995"/>
    <w:rsid w:val="00E17DAD"/>
    <w:rsid w:val="00E20356"/>
    <w:rsid w:val="00E20A7F"/>
    <w:rsid w:val="00E20B7D"/>
    <w:rsid w:val="00E21F25"/>
    <w:rsid w:val="00E21F8B"/>
    <w:rsid w:val="00E22100"/>
    <w:rsid w:val="00E22900"/>
    <w:rsid w:val="00E22953"/>
    <w:rsid w:val="00E22A80"/>
    <w:rsid w:val="00E22C59"/>
    <w:rsid w:val="00E22D99"/>
    <w:rsid w:val="00E22DC9"/>
    <w:rsid w:val="00E22E3B"/>
    <w:rsid w:val="00E22EA2"/>
    <w:rsid w:val="00E23440"/>
    <w:rsid w:val="00E234D9"/>
    <w:rsid w:val="00E23AEB"/>
    <w:rsid w:val="00E2464F"/>
    <w:rsid w:val="00E24665"/>
    <w:rsid w:val="00E2484A"/>
    <w:rsid w:val="00E24A62"/>
    <w:rsid w:val="00E24AEC"/>
    <w:rsid w:val="00E24CBE"/>
    <w:rsid w:val="00E24CC9"/>
    <w:rsid w:val="00E24FCC"/>
    <w:rsid w:val="00E255DC"/>
    <w:rsid w:val="00E26227"/>
    <w:rsid w:val="00E26660"/>
    <w:rsid w:val="00E26D29"/>
    <w:rsid w:val="00E26F89"/>
    <w:rsid w:val="00E277A2"/>
    <w:rsid w:val="00E27977"/>
    <w:rsid w:val="00E27B06"/>
    <w:rsid w:val="00E30110"/>
    <w:rsid w:val="00E30563"/>
    <w:rsid w:val="00E30572"/>
    <w:rsid w:val="00E30B13"/>
    <w:rsid w:val="00E31139"/>
    <w:rsid w:val="00E31215"/>
    <w:rsid w:val="00E3159B"/>
    <w:rsid w:val="00E31979"/>
    <w:rsid w:val="00E31AB9"/>
    <w:rsid w:val="00E31AE2"/>
    <w:rsid w:val="00E31B3C"/>
    <w:rsid w:val="00E322B3"/>
    <w:rsid w:val="00E322B9"/>
    <w:rsid w:val="00E32707"/>
    <w:rsid w:val="00E333DB"/>
    <w:rsid w:val="00E33B54"/>
    <w:rsid w:val="00E33D18"/>
    <w:rsid w:val="00E33F1E"/>
    <w:rsid w:val="00E345AA"/>
    <w:rsid w:val="00E348D8"/>
    <w:rsid w:val="00E34A5B"/>
    <w:rsid w:val="00E34BCB"/>
    <w:rsid w:val="00E34D2A"/>
    <w:rsid w:val="00E35820"/>
    <w:rsid w:val="00E35A66"/>
    <w:rsid w:val="00E35E4E"/>
    <w:rsid w:val="00E35EE4"/>
    <w:rsid w:val="00E36069"/>
    <w:rsid w:val="00E369C7"/>
    <w:rsid w:val="00E369F6"/>
    <w:rsid w:val="00E369F9"/>
    <w:rsid w:val="00E36B80"/>
    <w:rsid w:val="00E37A50"/>
    <w:rsid w:val="00E37C74"/>
    <w:rsid w:val="00E40460"/>
    <w:rsid w:val="00E404D5"/>
    <w:rsid w:val="00E40C7A"/>
    <w:rsid w:val="00E40D48"/>
    <w:rsid w:val="00E4176C"/>
    <w:rsid w:val="00E41B70"/>
    <w:rsid w:val="00E41C27"/>
    <w:rsid w:val="00E41EEB"/>
    <w:rsid w:val="00E42815"/>
    <w:rsid w:val="00E43819"/>
    <w:rsid w:val="00E448C0"/>
    <w:rsid w:val="00E44EF1"/>
    <w:rsid w:val="00E45531"/>
    <w:rsid w:val="00E45666"/>
    <w:rsid w:val="00E45DC6"/>
    <w:rsid w:val="00E45FF9"/>
    <w:rsid w:val="00E462CA"/>
    <w:rsid w:val="00E46D17"/>
    <w:rsid w:val="00E46E2C"/>
    <w:rsid w:val="00E46FD6"/>
    <w:rsid w:val="00E47450"/>
    <w:rsid w:val="00E474BB"/>
    <w:rsid w:val="00E47812"/>
    <w:rsid w:val="00E4793B"/>
    <w:rsid w:val="00E479DE"/>
    <w:rsid w:val="00E47C87"/>
    <w:rsid w:val="00E5009B"/>
    <w:rsid w:val="00E50425"/>
    <w:rsid w:val="00E50609"/>
    <w:rsid w:val="00E50AF6"/>
    <w:rsid w:val="00E513A1"/>
    <w:rsid w:val="00E5189F"/>
    <w:rsid w:val="00E51AD6"/>
    <w:rsid w:val="00E52601"/>
    <w:rsid w:val="00E52F74"/>
    <w:rsid w:val="00E53206"/>
    <w:rsid w:val="00E53400"/>
    <w:rsid w:val="00E53D44"/>
    <w:rsid w:val="00E53DFC"/>
    <w:rsid w:val="00E540D9"/>
    <w:rsid w:val="00E54385"/>
    <w:rsid w:val="00E543C6"/>
    <w:rsid w:val="00E548F7"/>
    <w:rsid w:val="00E54B99"/>
    <w:rsid w:val="00E54D52"/>
    <w:rsid w:val="00E55051"/>
    <w:rsid w:val="00E5588B"/>
    <w:rsid w:val="00E56430"/>
    <w:rsid w:val="00E56E5B"/>
    <w:rsid w:val="00E56FCC"/>
    <w:rsid w:val="00E57850"/>
    <w:rsid w:val="00E578FE"/>
    <w:rsid w:val="00E57AAB"/>
    <w:rsid w:val="00E57B8A"/>
    <w:rsid w:val="00E57FBD"/>
    <w:rsid w:val="00E60189"/>
    <w:rsid w:val="00E6045B"/>
    <w:rsid w:val="00E60466"/>
    <w:rsid w:val="00E6054C"/>
    <w:rsid w:val="00E60819"/>
    <w:rsid w:val="00E60A14"/>
    <w:rsid w:val="00E60D42"/>
    <w:rsid w:val="00E60F32"/>
    <w:rsid w:val="00E61436"/>
    <w:rsid w:val="00E616A0"/>
    <w:rsid w:val="00E61AC8"/>
    <w:rsid w:val="00E61AF2"/>
    <w:rsid w:val="00E61B55"/>
    <w:rsid w:val="00E62677"/>
    <w:rsid w:val="00E6319C"/>
    <w:rsid w:val="00E6344E"/>
    <w:rsid w:val="00E63479"/>
    <w:rsid w:val="00E635A9"/>
    <w:rsid w:val="00E635AB"/>
    <w:rsid w:val="00E63611"/>
    <w:rsid w:val="00E63AD8"/>
    <w:rsid w:val="00E63FDC"/>
    <w:rsid w:val="00E646C4"/>
    <w:rsid w:val="00E64937"/>
    <w:rsid w:val="00E64B9A"/>
    <w:rsid w:val="00E64D46"/>
    <w:rsid w:val="00E654E6"/>
    <w:rsid w:val="00E65E2D"/>
    <w:rsid w:val="00E6614F"/>
    <w:rsid w:val="00E66151"/>
    <w:rsid w:val="00E66745"/>
    <w:rsid w:val="00E66754"/>
    <w:rsid w:val="00E66BC5"/>
    <w:rsid w:val="00E66EAC"/>
    <w:rsid w:val="00E674FD"/>
    <w:rsid w:val="00E6752F"/>
    <w:rsid w:val="00E67A5C"/>
    <w:rsid w:val="00E7021A"/>
    <w:rsid w:val="00E70838"/>
    <w:rsid w:val="00E70CF5"/>
    <w:rsid w:val="00E711ED"/>
    <w:rsid w:val="00E71696"/>
    <w:rsid w:val="00E71A79"/>
    <w:rsid w:val="00E721E7"/>
    <w:rsid w:val="00E72484"/>
    <w:rsid w:val="00E728E0"/>
    <w:rsid w:val="00E72F75"/>
    <w:rsid w:val="00E734EF"/>
    <w:rsid w:val="00E73B8F"/>
    <w:rsid w:val="00E73C17"/>
    <w:rsid w:val="00E73DCF"/>
    <w:rsid w:val="00E73E71"/>
    <w:rsid w:val="00E74291"/>
    <w:rsid w:val="00E742D0"/>
    <w:rsid w:val="00E744A4"/>
    <w:rsid w:val="00E756B1"/>
    <w:rsid w:val="00E759E5"/>
    <w:rsid w:val="00E75D82"/>
    <w:rsid w:val="00E75D93"/>
    <w:rsid w:val="00E75F68"/>
    <w:rsid w:val="00E76205"/>
    <w:rsid w:val="00E768D0"/>
    <w:rsid w:val="00E76A5C"/>
    <w:rsid w:val="00E7713F"/>
    <w:rsid w:val="00E776A1"/>
    <w:rsid w:val="00E777FA"/>
    <w:rsid w:val="00E77B66"/>
    <w:rsid w:val="00E77BE7"/>
    <w:rsid w:val="00E77EF2"/>
    <w:rsid w:val="00E800A1"/>
    <w:rsid w:val="00E800E6"/>
    <w:rsid w:val="00E80A37"/>
    <w:rsid w:val="00E80B25"/>
    <w:rsid w:val="00E80D84"/>
    <w:rsid w:val="00E80ED2"/>
    <w:rsid w:val="00E80F50"/>
    <w:rsid w:val="00E810CA"/>
    <w:rsid w:val="00E81415"/>
    <w:rsid w:val="00E815F2"/>
    <w:rsid w:val="00E81DFA"/>
    <w:rsid w:val="00E81F9F"/>
    <w:rsid w:val="00E82348"/>
    <w:rsid w:val="00E823FB"/>
    <w:rsid w:val="00E824BF"/>
    <w:rsid w:val="00E82CA4"/>
    <w:rsid w:val="00E837F8"/>
    <w:rsid w:val="00E83882"/>
    <w:rsid w:val="00E83AB5"/>
    <w:rsid w:val="00E840ED"/>
    <w:rsid w:val="00E8485A"/>
    <w:rsid w:val="00E8486E"/>
    <w:rsid w:val="00E84965"/>
    <w:rsid w:val="00E84A1D"/>
    <w:rsid w:val="00E84A80"/>
    <w:rsid w:val="00E84ACA"/>
    <w:rsid w:val="00E84AE6"/>
    <w:rsid w:val="00E84BD5"/>
    <w:rsid w:val="00E84D49"/>
    <w:rsid w:val="00E8515F"/>
    <w:rsid w:val="00E85302"/>
    <w:rsid w:val="00E8575A"/>
    <w:rsid w:val="00E858C1"/>
    <w:rsid w:val="00E862EA"/>
    <w:rsid w:val="00E8646F"/>
    <w:rsid w:val="00E8671A"/>
    <w:rsid w:val="00E86731"/>
    <w:rsid w:val="00E87182"/>
    <w:rsid w:val="00E874EA"/>
    <w:rsid w:val="00E87525"/>
    <w:rsid w:val="00E876D3"/>
    <w:rsid w:val="00E901C9"/>
    <w:rsid w:val="00E90DD9"/>
    <w:rsid w:val="00E916B5"/>
    <w:rsid w:val="00E9226F"/>
    <w:rsid w:val="00E932C9"/>
    <w:rsid w:val="00E94427"/>
    <w:rsid w:val="00E945FC"/>
    <w:rsid w:val="00E94B46"/>
    <w:rsid w:val="00E94B63"/>
    <w:rsid w:val="00E94F3D"/>
    <w:rsid w:val="00E95388"/>
    <w:rsid w:val="00E95438"/>
    <w:rsid w:val="00E954BF"/>
    <w:rsid w:val="00E95837"/>
    <w:rsid w:val="00E95854"/>
    <w:rsid w:val="00E9586E"/>
    <w:rsid w:val="00E95A8E"/>
    <w:rsid w:val="00E95DCE"/>
    <w:rsid w:val="00E96265"/>
    <w:rsid w:val="00E96376"/>
    <w:rsid w:val="00E96577"/>
    <w:rsid w:val="00E967B4"/>
    <w:rsid w:val="00E96890"/>
    <w:rsid w:val="00E970F9"/>
    <w:rsid w:val="00E9729E"/>
    <w:rsid w:val="00E97779"/>
    <w:rsid w:val="00E97D69"/>
    <w:rsid w:val="00E97E9F"/>
    <w:rsid w:val="00EA016F"/>
    <w:rsid w:val="00EA04C5"/>
    <w:rsid w:val="00EA142C"/>
    <w:rsid w:val="00EA16FA"/>
    <w:rsid w:val="00EA190F"/>
    <w:rsid w:val="00EA19E0"/>
    <w:rsid w:val="00EA1FBC"/>
    <w:rsid w:val="00EA1FDF"/>
    <w:rsid w:val="00EA2648"/>
    <w:rsid w:val="00EA2946"/>
    <w:rsid w:val="00EA3079"/>
    <w:rsid w:val="00EA3299"/>
    <w:rsid w:val="00EA35CA"/>
    <w:rsid w:val="00EA3630"/>
    <w:rsid w:val="00EA3834"/>
    <w:rsid w:val="00EA38DD"/>
    <w:rsid w:val="00EA3F1D"/>
    <w:rsid w:val="00EA3F9E"/>
    <w:rsid w:val="00EA4007"/>
    <w:rsid w:val="00EA419D"/>
    <w:rsid w:val="00EA4321"/>
    <w:rsid w:val="00EA4518"/>
    <w:rsid w:val="00EA4655"/>
    <w:rsid w:val="00EA4859"/>
    <w:rsid w:val="00EA4A81"/>
    <w:rsid w:val="00EA4B58"/>
    <w:rsid w:val="00EA4BB0"/>
    <w:rsid w:val="00EA50B0"/>
    <w:rsid w:val="00EA50C2"/>
    <w:rsid w:val="00EA52D4"/>
    <w:rsid w:val="00EA5644"/>
    <w:rsid w:val="00EA59E4"/>
    <w:rsid w:val="00EA5A92"/>
    <w:rsid w:val="00EA5F10"/>
    <w:rsid w:val="00EA6163"/>
    <w:rsid w:val="00EA6C84"/>
    <w:rsid w:val="00EA6F58"/>
    <w:rsid w:val="00EA7013"/>
    <w:rsid w:val="00EA71A6"/>
    <w:rsid w:val="00EA71F2"/>
    <w:rsid w:val="00EA7441"/>
    <w:rsid w:val="00EA77A0"/>
    <w:rsid w:val="00EB010B"/>
    <w:rsid w:val="00EB10B3"/>
    <w:rsid w:val="00EB125D"/>
    <w:rsid w:val="00EB19F0"/>
    <w:rsid w:val="00EB1A0A"/>
    <w:rsid w:val="00EB1CC1"/>
    <w:rsid w:val="00EB1D50"/>
    <w:rsid w:val="00EB1F1D"/>
    <w:rsid w:val="00EB1FFC"/>
    <w:rsid w:val="00EB244C"/>
    <w:rsid w:val="00EB24C2"/>
    <w:rsid w:val="00EB2539"/>
    <w:rsid w:val="00EB2910"/>
    <w:rsid w:val="00EB309A"/>
    <w:rsid w:val="00EB3C38"/>
    <w:rsid w:val="00EB3F2D"/>
    <w:rsid w:val="00EB3F8A"/>
    <w:rsid w:val="00EB4158"/>
    <w:rsid w:val="00EB4340"/>
    <w:rsid w:val="00EB4665"/>
    <w:rsid w:val="00EB4BA5"/>
    <w:rsid w:val="00EB52DD"/>
    <w:rsid w:val="00EB5942"/>
    <w:rsid w:val="00EB5B56"/>
    <w:rsid w:val="00EB6444"/>
    <w:rsid w:val="00EB6931"/>
    <w:rsid w:val="00EB6C04"/>
    <w:rsid w:val="00EB6EF5"/>
    <w:rsid w:val="00EB6FDE"/>
    <w:rsid w:val="00EB782C"/>
    <w:rsid w:val="00EB7B09"/>
    <w:rsid w:val="00EB7B9F"/>
    <w:rsid w:val="00EC01FD"/>
    <w:rsid w:val="00EC0234"/>
    <w:rsid w:val="00EC02E8"/>
    <w:rsid w:val="00EC03BF"/>
    <w:rsid w:val="00EC0FAF"/>
    <w:rsid w:val="00EC1099"/>
    <w:rsid w:val="00EC1464"/>
    <w:rsid w:val="00EC1F02"/>
    <w:rsid w:val="00EC211E"/>
    <w:rsid w:val="00EC2315"/>
    <w:rsid w:val="00EC32C3"/>
    <w:rsid w:val="00EC337A"/>
    <w:rsid w:val="00EC374B"/>
    <w:rsid w:val="00EC3CBD"/>
    <w:rsid w:val="00EC3E5C"/>
    <w:rsid w:val="00EC453E"/>
    <w:rsid w:val="00EC4B73"/>
    <w:rsid w:val="00EC4D85"/>
    <w:rsid w:val="00EC56DE"/>
    <w:rsid w:val="00EC5C65"/>
    <w:rsid w:val="00EC662C"/>
    <w:rsid w:val="00EC6738"/>
    <w:rsid w:val="00EC69B7"/>
    <w:rsid w:val="00EC6FFD"/>
    <w:rsid w:val="00EC7246"/>
    <w:rsid w:val="00EC7428"/>
    <w:rsid w:val="00EC7811"/>
    <w:rsid w:val="00EC79AD"/>
    <w:rsid w:val="00EC7AE4"/>
    <w:rsid w:val="00EC7B5C"/>
    <w:rsid w:val="00ED0877"/>
    <w:rsid w:val="00ED0C9C"/>
    <w:rsid w:val="00ED12EC"/>
    <w:rsid w:val="00ED190A"/>
    <w:rsid w:val="00ED1D64"/>
    <w:rsid w:val="00ED1F6D"/>
    <w:rsid w:val="00ED2133"/>
    <w:rsid w:val="00ED2AE4"/>
    <w:rsid w:val="00ED39EC"/>
    <w:rsid w:val="00ED429A"/>
    <w:rsid w:val="00ED42C8"/>
    <w:rsid w:val="00ED4A7B"/>
    <w:rsid w:val="00ED4EC6"/>
    <w:rsid w:val="00ED4F2B"/>
    <w:rsid w:val="00ED53CE"/>
    <w:rsid w:val="00ED59AB"/>
    <w:rsid w:val="00ED5BEE"/>
    <w:rsid w:val="00ED619C"/>
    <w:rsid w:val="00ED6693"/>
    <w:rsid w:val="00ED71F5"/>
    <w:rsid w:val="00ED754C"/>
    <w:rsid w:val="00ED76A0"/>
    <w:rsid w:val="00EE0007"/>
    <w:rsid w:val="00EE0412"/>
    <w:rsid w:val="00EE0EED"/>
    <w:rsid w:val="00EE1321"/>
    <w:rsid w:val="00EE1498"/>
    <w:rsid w:val="00EE1EFD"/>
    <w:rsid w:val="00EE1F85"/>
    <w:rsid w:val="00EE27D3"/>
    <w:rsid w:val="00EE27D6"/>
    <w:rsid w:val="00EE297F"/>
    <w:rsid w:val="00EE2B9F"/>
    <w:rsid w:val="00EE2FF7"/>
    <w:rsid w:val="00EE3CFF"/>
    <w:rsid w:val="00EE3F04"/>
    <w:rsid w:val="00EE457A"/>
    <w:rsid w:val="00EE4A19"/>
    <w:rsid w:val="00EE4A1F"/>
    <w:rsid w:val="00EE4E3C"/>
    <w:rsid w:val="00EE5067"/>
    <w:rsid w:val="00EE57D9"/>
    <w:rsid w:val="00EE596B"/>
    <w:rsid w:val="00EE5A7F"/>
    <w:rsid w:val="00EE5C01"/>
    <w:rsid w:val="00EE61FE"/>
    <w:rsid w:val="00EE6926"/>
    <w:rsid w:val="00EE6B03"/>
    <w:rsid w:val="00EE6D44"/>
    <w:rsid w:val="00EE6ECC"/>
    <w:rsid w:val="00EE7667"/>
    <w:rsid w:val="00EE791F"/>
    <w:rsid w:val="00EE7D24"/>
    <w:rsid w:val="00EF01A0"/>
    <w:rsid w:val="00EF0567"/>
    <w:rsid w:val="00EF0693"/>
    <w:rsid w:val="00EF0B2A"/>
    <w:rsid w:val="00EF21D4"/>
    <w:rsid w:val="00EF274C"/>
    <w:rsid w:val="00EF2A45"/>
    <w:rsid w:val="00EF2E24"/>
    <w:rsid w:val="00EF30D9"/>
    <w:rsid w:val="00EF3F79"/>
    <w:rsid w:val="00EF4073"/>
    <w:rsid w:val="00EF418A"/>
    <w:rsid w:val="00EF4359"/>
    <w:rsid w:val="00EF4594"/>
    <w:rsid w:val="00EF47FC"/>
    <w:rsid w:val="00EF4F30"/>
    <w:rsid w:val="00EF5B6E"/>
    <w:rsid w:val="00EF64AB"/>
    <w:rsid w:val="00EF6ED0"/>
    <w:rsid w:val="00EF78A4"/>
    <w:rsid w:val="00F0039F"/>
    <w:rsid w:val="00F00636"/>
    <w:rsid w:val="00F0069B"/>
    <w:rsid w:val="00F00931"/>
    <w:rsid w:val="00F00A2D"/>
    <w:rsid w:val="00F00B4C"/>
    <w:rsid w:val="00F00C19"/>
    <w:rsid w:val="00F00D19"/>
    <w:rsid w:val="00F00D2C"/>
    <w:rsid w:val="00F010E2"/>
    <w:rsid w:val="00F011C8"/>
    <w:rsid w:val="00F01C31"/>
    <w:rsid w:val="00F01C9C"/>
    <w:rsid w:val="00F020D6"/>
    <w:rsid w:val="00F02682"/>
    <w:rsid w:val="00F0280D"/>
    <w:rsid w:val="00F02836"/>
    <w:rsid w:val="00F02A9F"/>
    <w:rsid w:val="00F02D13"/>
    <w:rsid w:val="00F02FB0"/>
    <w:rsid w:val="00F033D2"/>
    <w:rsid w:val="00F0395D"/>
    <w:rsid w:val="00F04285"/>
    <w:rsid w:val="00F0429D"/>
    <w:rsid w:val="00F042F7"/>
    <w:rsid w:val="00F043E0"/>
    <w:rsid w:val="00F04482"/>
    <w:rsid w:val="00F04878"/>
    <w:rsid w:val="00F04D80"/>
    <w:rsid w:val="00F04DD1"/>
    <w:rsid w:val="00F04FDC"/>
    <w:rsid w:val="00F0526B"/>
    <w:rsid w:val="00F0530A"/>
    <w:rsid w:val="00F05439"/>
    <w:rsid w:val="00F055CA"/>
    <w:rsid w:val="00F0577D"/>
    <w:rsid w:val="00F05E8C"/>
    <w:rsid w:val="00F06132"/>
    <w:rsid w:val="00F067B6"/>
    <w:rsid w:val="00F06C28"/>
    <w:rsid w:val="00F070D4"/>
    <w:rsid w:val="00F0717A"/>
    <w:rsid w:val="00F076E7"/>
    <w:rsid w:val="00F078EC"/>
    <w:rsid w:val="00F07ED5"/>
    <w:rsid w:val="00F07F01"/>
    <w:rsid w:val="00F1005C"/>
    <w:rsid w:val="00F10B14"/>
    <w:rsid w:val="00F10D26"/>
    <w:rsid w:val="00F10E41"/>
    <w:rsid w:val="00F11022"/>
    <w:rsid w:val="00F1108A"/>
    <w:rsid w:val="00F110F1"/>
    <w:rsid w:val="00F11349"/>
    <w:rsid w:val="00F11525"/>
    <w:rsid w:val="00F11647"/>
    <w:rsid w:val="00F116BC"/>
    <w:rsid w:val="00F1199B"/>
    <w:rsid w:val="00F11EFD"/>
    <w:rsid w:val="00F11F77"/>
    <w:rsid w:val="00F11FB8"/>
    <w:rsid w:val="00F12503"/>
    <w:rsid w:val="00F12B0A"/>
    <w:rsid w:val="00F12FCD"/>
    <w:rsid w:val="00F1352C"/>
    <w:rsid w:val="00F1482D"/>
    <w:rsid w:val="00F148B4"/>
    <w:rsid w:val="00F14AF9"/>
    <w:rsid w:val="00F14CCE"/>
    <w:rsid w:val="00F14D10"/>
    <w:rsid w:val="00F14D64"/>
    <w:rsid w:val="00F150C4"/>
    <w:rsid w:val="00F15556"/>
    <w:rsid w:val="00F15749"/>
    <w:rsid w:val="00F15895"/>
    <w:rsid w:val="00F15B62"/>
    <w:rsid w:val="00F162FE"/>
    <w:rsid w:val="00F1653A"/>
    <w:rsid w:val="00F16602"/>
    <w:rsid w:val="00F169FE"/>
    <w:rsid w:val="00F16CB2"/>
    <w:rsid w:val="00F16FB7"/>
    <w:rsid w:val="00F17DC0"/>
    <w:rsid w:val="00F20347"/>
    <w:rsid w:val="00F204FA"/>
    <w:rsid w:val="00F21038"/>
    <w:rsid w:val="00F210A6"/>
    <w:rsid w:val="00F213C0"/>
    <w:rsid w:val="00F21623"/>
    <w:rsid w:val="00F21781"/>
    <w:rsid w:val="00F21ABD"/>
    <w:rsid w:val="00F21BF5"/>
    <w:rsid w:val="00F22189"/>
    <w:rsid w:val="00F228D8"/>
    <w:rsid w:val="00F2290C"/>
    <w:rsid w:val="00F22E8B"/>
    <w:rsid w:val="00F22F78"/>
    <w:rsid w:val="00F23163"/>
    <w:rsid w:val="00F231B7"/>
    <w:rsid w:val="00F236E7"/>
    <w:rsid w:val="00F238B9"/>
    <w:rsid w:val="00F239AC"/>
    <w:rsid w:val="00F239D0"/>
    <w:rsid w:val="00F23CF1"/>
    <w:rsid w:val="00F24042"/>
    <w:rsid w:val="00F243E1"/>
    <w:rsid w:val="00F24BDE"/>
    <w:rsid w:val="00F24E79"/>
    <w:rsid w:val="00F24ECC"/>
    <w:rsid w:val="00F25331"/>
    <w:rsid w:val="00F254F2"/>
    <w:rsid w:val="00F2583B"/>
    <w:rsid w:val="00F259E4"/>
    <w:rsid w:val="00F25C46"/>
    <w:rsid w:val="00F26196"/>
    <w:rsid w:val="00F26826"/>
    <w:rsid w:val="00F26E6B"/>
    <w:rsid w:val="00F275E1"/>
    <w:rsid w:val="00F275E3"/>
    <w:rsid w:val="00F27904"/>
    <w:rsid w:val="00F2798E"/>
    <w:rsid w:val="00F27B56"/>
    <w:rsid w:val="00F3001A"/>
    <w:rsid w:val="00F3029D"/>
    <w:rsid w:val="00F303D9"/>
    <w:rsid w:val="00F306AF"/>
    <w:rsid w:val="00F3072B"/>
    <w:rsid w:val="00F30849"/>
    <w:rsid w:val="00F308A0"/>
    <w:rsid w:val="00F311C3"/>
    <w:rsid w:val="00F313A0"/>
    <w:rsid w:val="00F31B24"/>
    <w:rsid w:val="00F31FD5"/>
    <w:rsid w:val="00F3231E"/>
    <w:rsid w:val="00F32498"/>
    <w:rsid w:val="00F3257E"/>
    <w:rsid w:val="00F326BA"/>
    <w:rsid w:val="00F32958"/>
    <w:rsid w:val="00F32D66"/>
    <w:rsid w:val="00F32F6F"/>
    <w:rsid w:val="00F33C68"/>
    <w:rsid w:val="00F33E38"/>
    <w:rsid w:val="00F3471D"/>
    <w:rsid w:val="00F34C64"/>
    <w:rsid w:val="00F35371"/>
    <w:rsid w:val="00F35AA8"/>
    <w:rsid w:val="00F35CBC"/>
    <w:rsid w:val="00F35E1B"/>
    <w:rsid w:val="00F36003"/>
    <w:rsid w:val="00F36062"/>
    <w:rsid w:val="00F366A7"/>
    <w:rsid w:val="00F3700B"/>
    <w:rsid w:val="00F372B2"/>
    <w:rsid w:val="00F37397"/>
    <w:rsid w:val="00F37AB8"/>
    <w:rsid w:val="00F37E0A"/>
    <w:rsid w:val="00F402C3"/>
    <w:rsid w:val="00F403D3"/>
    <w:rsid w:val="00F40458"/>
    <w:rsid w:val="00F404E1"/>
    <w:rsid w:val="00F40677"/>
    <w:rsid w:val="00F40ECA"/>
    <w:rsid w:val="00F41311"/>
    <w:rsid w:val="00F417DA"/>
    <w:rsid w:val="00F41865"/>
    <w:rsid w:val="00F41ED7"/>
    <w:rsid w:val="00F420F8"/>
    <w:rsid w:val="00F429C2"/>
    <w:rsid w:val="00F42C1B"/>
    <w:rsid w:val="00F42C32"/>
    <w:rsid w:val="00F42DD6"/>
    <w:rsid w:val="00F43101"/>
    <w:rsid w:val="00F43576"/>
    <w:rsid w:val="00F4372B"/>
    <w:rsid w:val="00F4386C"/>
    <w:rsid w:val="00F43A0B"/>
    <w:rsid w:val="00F43F03"/>
    <w:rsid w:val="00F43FBD"/>
    <w:rsid w:val="00F4414F"/>
    <w:rsid w:val="00F44255"/>
    <w:rsid w:val="00F4469C"/>
    <w:rsid w:val="00F44A20"/>
    <w:rsid w:val="00F45C1B"/>
    <w:rsid w:val="00F46137"/>
    <w:rsid w:val="00F4655B"/>
    <w:rsid w:val="00F46891"/>
    <w:rsid w:val="00F46CB6"/>
    <w:rsid w:val="00F46DD2"/>
    <w:rsid w:val="00F4746C"/>
    <w:rsid w:val="00F47627"/>
    <w:rsid w:val="00F47A74"/>
    <w:rsid w:val="00F47D96"/>
    <w:rsid w:val="00F47F56"/>
    <w:rsid w:val="00F50148"/>
    <w:rsid w:val="00F50624"/>
    <w:rsid w:val="00F51001"/>
    <w:rsid w:val="00F516D4"/>
    <w:rsid w:val="00F518D4"/>
    <w:rsid w:val="00F520A0"/>
    <w:rsid w:val="00F525CA"/>
    <w:rsid w:val="00F52BE1"/>
    <w:rsid w:val="00F53500"/>
    <w:rsid w:val="00F535CA"/>
    <w:rsid w:val="00F54083"/>
    <w:rsid w:val="00F54C8E"/>
    <w:rsid w:val="00F5508F"/>
    <w:rsid w:val="00F5576C"/>
    <w:rsid w:val="00F55883"/>
    <w:rsid w:val="00F56342"/>
    <w:rsid w:val="00F56900"/>
    <w:rsid w:val="00F56F07"/>
    <w:rsid w:val="00F56F6D"/>
    <w:rsid w:val="00F56FC2"/>
    <w:rsid w:val="00F57380"/>
    <w:rsid w:val="00F573B2"/>
    <w:rsid w:val="00F5761F"/>
    <w:rsid w:val="00F6027F"/>
    <w:rsid w:val="00F60501"/>
    <w:rsid w:val="00F60A3B"/>
    <w:rsid w:val="00F60B00"/>
    <w:rsid w:val="00F60CE9"/>
    <w:rsid w:val="00F61729"/>
    <w:rsid w:val="00F617FC"/>
    <w:rsid w:val="00F620A6"/>
    <w:rsid w:val="00F62346"/>
    <w:rsid w:val="00F62933"/>
    <w:rsid w:val="00F6319E"/>
    <w:rsid w:val="00F632B9"/>
    <w:rsid w:val="00F63444"/>
    <w:rsid w:val="00F636F7"/>
    <w:rsid w:val="00F63B54"/>
    <w:rsid w:val="00F63F39"/>
    <w:rsid w:val="00F63F9D"/>
    <w:rsid w:val="00F64360"/>
    <w:rsid w:val="00F644DA"/>
    <w:rsid w:val="00F64507"/>
    <w:rsid w:val="00F647C4"/>
    <w:rsid w:val="00F648BE"/>
    <w:rsid w:val="00F64CDB"/>
    <w:rsid w:val="00F65928"/>
    <w:rsid w:val="00F65A4D"/>
    <w:rsid w:val="00F65E12"/>
    <w:rsid w:val="00F65EEE"/>
    <w:rsid w:val="00F66413"/>
    <w:rsid w:val="00F6648E"/>
    <w:rsid w:val="00F66557"/>
    <w:rsid w:val="00F66E74"/>
    <w:rsid w:val="00F67AF7"/>
    <w:rsid w:val="00F67DED"/>
    <w:rsid w:val="00F67F08"/>
    <w:rsid w:val="00F701EE"/>
    <w:rsid w:val="00F70264"/>
    <w:rsid w:val="00F70543"/>
    <w:rsid w:val="00F706EC"/>
    <w:rsid w:val="00F70BCC"/>
    <w:rsid w:val="00F710F1"/>
    <w:rsid w:val="00F71147"/>
    <w:rsid w:val="00F7141B"/>
    <w:rsid w:val="00F715E5"/>
    <w:rsid w:val="00F71C2F"/>
    <w:rsid w:val="00F72789"/>
    <w:rsid w:val="00F7307A"/>
    <w:rsid w:val="00F730B1"/>
    <w:rsid w:val="00F73839"/>
    <w:rsid w:val="00F73E1F"/>
    <w:rsid w:val="00F73EDC"/>
    <w:rsid w:val="00F74006"/>
    <w:rsid w:val="00F7429D"/>
    <w:rsid w:val="00F7466B"/>
    <w:rsid w:val="00F74EF1"/>
    <w:rsid w:val="00F75489"/>
    <w:rsid w:val="00F754A0"/>
    <w:rsid w:val="00F758C2"/>
    <w:rsid w:val="00F758E2"/>
    <w:rsid w:val="00F75B9B"/>
    <w:rsid w:val="00F75C01"/>
    <w:rsid w:val="00F76C46"/>
    <w:rsid w:val="00F76CAB"/>
    <w:rsid w:val="00F77143"/>
    <w:rsid w:val="00F7733E"/>
    <w:rsid w:val="00F77A5F"/>
    <w:rsid w:val="00F77BCB"/>
    <w:rsid w:val="00F77DB7"/>
    <w:rsid w:val="00F80422"/>
    <w:rsid w:val="00F808B6"/>
    <w:rsid w:val="00F80BDD"/>
    <w:rsid w:val="00F80C50"/>
    <w:rsid w:val="00F81171"/>
    <w:rsid w:val="00F811EC"/>
    <w:rsid w:val="00F813A4"/>
    <w:rsid w:val="00F81A80"/>
    <w:rsid w:val="00F82205"/>
    <w:rsid w:val="00F82676"/>
    <w:rsid w:val="00F827F0"/>
    <w:rsid w:val="00F82964"/>
    <w:rsid w:val="00F83282"/>
    <w:rsid w:val="00F83507"/>
    <w:rsid w:val="00F835BA"/>
    <w:rsid w:val="00F83663"/>
    <w:rsid w:val="00F83A9E"/>
    <w:rsid w:val="00F83C75"/>
    <w:rsid w:val="00F83C7F"/>
    <w:rsid w:val="00F8442B"/>
    <w:rsid w:val="00F84A51"/>
    <w:rsid w:val="00F84A62"/>
    <w:rsid w:val="00F84B9E"/>
    <w:rsid w:val="00F8580B"/>
    <w:rsid w:val="00F85857"/>
    <w:rsid w:val="00F858B8"/>
    <w:rsid w:val="00F8595B"/>
    <w:rsid w:val="00F85985"/>
    <w:rsid w:val="00F85DBC"/>
    <w:rsid w:val="00F8777F"/>
    <w:rsid w:val="00F87DED"/>
    <w:rsid w:val="00F87F10"/>
    <w:rsid w:val="00F901EA"/>
    <w:rsid w:val="00F903BB"/>
    <w:rsid w:val="00F904D3"/>
    <w:rsid w:val="00F905E6"/>
    <w:rsid w:val="00F9081B"/>
    <w:rsid w:val="00F90996"/>
    <w:rsid w:val="00F90D41"/>
    <w:rsid w:val="00F9166C"/>
    <w:rsid w:val="00F9183D"/>
    <w:rsid w:val="00F91BA5"/>
    <w:rsid w:val="00F91E15"/>
    <w:rsid w:val="00F91F71"/>
    <w:rsid w:val="00F91FF2"/>
    <w:rsid w:val="00F92335"/>
    <w:rsid w:val="00F92699"/>
    <w:rsid w:val="00F92945"/>
    <w:rsid w:val="00F93017"/>
    <w:rsid w:val="00F9304D"/>
    <w:rsid w:val="00F9375C"/>
    <w:rsid w:val="00F943DD"/>
    <w:rsid w:val="00F94438"/>
    <w:rsid w:val="00F95027"/>
    <w:rsid w:val="00F950F6"/>
    <w:rsid w:val="00F95902"/>
    <w:rsid w:val="00F96F60"/>
    <w:rsid w:val="00F971D9"/>
    <w:rsid w:val="00F97877"/>
    <w:rsid w:val="00F9797A"/>
    <w:rsid w:val="00F97F56"/>
    <w:rsid w:val="00FA04D4"/>
    <w:rsid w:val="00FA05E2"/>
    <w:rsid w:val="00FA09E7"/>
    <w:rsid w:val="00FA0D41"/>
    <w:rsid w:val="00FA1245"/>
    <w:rsid w:val="00FA1454"/>
    <w:rsid w:val="00FA14DF"/>
    <w:rsid w:val="00FA16B0"/>
    <w:rsid w:val="00FA17FB"/>
    <w:rsid w:val="00FA18AC"/>
    <w:rsid w:val="00FA280F"/>
    <w:rsid w:val="00FA3488"/>
    <w:rsid w:val="00FA385F"/>
    <w:rsid w:val="00FA39E8"/>
    <w:rsid w:val="00FA3BA4"/>
    <w:rsid w:val="00FA3D26"/>
    <w:rsid w:val="00FA4018"/>
    <w:rsid w:val="00FA42E2"/>
    <w:rsid w:val="00FA4E0F"/>
    <w:rsid w:val="00FA606D"/>
    <w:rsid w:val="00FA654B"/>
    <w:rsid w:val="00FA68FC"/>
    <w:rsid w:val="00FA6930"/>
    <w:rsid w:val="00FA69F6"/>
    <w:rsid w:val="00FA7256"/>
    <w:rsid w:val="00FA7473"/>
    <w:rsid w:val="00FA777A"/>
    <w:rsid w:val="00FA7802"/>
    <w:rsid w:val="00FA7F0C"/>
    <w:rsid w:val="00FB0165"/>
    <w:rsid w:val="00FB082D"/>
    <w:rsid w:val="00FB0B6E"/>
    <w:rsid w:val="00FB144A"/>
    <w:rsid w:val="00FB15C4"/>
    <w:rsid w:val="00FB20F2"/>
    <w:rsid w:val="00FB30CD"/>
    <w:rsid w:val="00FB399B"/>
    <w:rsid w:val="00FB3A88"/>
    <w:rsid w:val="00FB3B2F"/>
    <w:rsid w:val="00FB42D8"/>
    <w:rsid w:val="00FB45C1"/>
    <w:rsid w:val="00FB4756"/>
    <w:rsid w:val="00FB4DFE"/>
    <w:rsid w:val="00FB4F91"/>
    <w:rsid w:val="00FB5171"/>
    <w:rsid w:val="00FB5255"/>
    <w:rsid w:val="00FB54D5"/>
    <w:rsid w:val="00FB6010"/>
    <w:rsid w:val="00FB682F"/>
    <w:rsid w:val="00FB79F1"/>
    <w:rsid w:val="00FB7A05"/>
    <w:rsid w:val="00FB7E84"/>
    <w:rsid w:val="00FC0218"/>
    <w:rsid w:val="00FC02BD"/>
    <w:rsid w:val="00FC071F"/>
    <w:rsid w:val="00FC0C1A"/>
    <w:rsid w:val="00FC0E87"/>
    <w:rsid w:val="00FC13DB"/>
    <w:rsid w:val="00FC1C3C"/>
    <w:rsid w:val="00FC1F46"/>
    <w:rsid w:val="00FC353D"/>
    <w:rsid w:val="00FC356C"/>
    <w:rsid w:val="00FC35FD"/>
    <w:rsid w:val="00FC441E"/>
    <w:rsid w:val="00FC4559"/>
    <w:rsid w:val="00FC45BF"/>
    <w:rsid w:val="00FC4982"/>
    <w:rsid w:val="00FC4B44"/>
    <w:rsid w:val="00FC4EF5"/>
    <w:rsid w:val="00FC55FC"/>
    <w:rsid w:val="00FC5EDC"/>
    <w:rsid w:val="00FC6B7F"/>
    <w:rsid w:val="00FC6FDC"/>
    <w:rsid w:val="00FC74AC"/>
    <w:rsid w:val="00FC7735"/>
    <w:rsid w:val="00FC79BF"/>
    <w:rsid w:val="00FC79CD"/>
    <w:rsid w:val="00FC7BD9"/>
    <w:rsid w:val="00FC7E5C"/>
    <w:rsid w:val="00FD03C0"/>
    <w:rsid w:val="00FD03E7"/>
    <w:rsid w:val="00FD0677"/>
    <w:rsid w:val="00FD0FB6"/>
    <w:rsid w:val="00FD0FED"/>
    <w:rsid w:val="00FD100E"/>
    <w:rsid w:val="00FD12D3"/>
    <w:rsid w:val="00FD151D"/>
    <w:rsid w:val="00FD1578"/>
    <w:rsid w:val="00FD2163"/>
    <w:rsid w:val="00FD2F79"/>
    <w:rsid w:val="00FD3016"/>
    <w:rsid w:val="00FD36DD"/>
    <w:rsid w:val="00FD40C3"/>
    <w:rsid w:val="00FD42DB"/>
    <w:rsid w:val="00FD4836"/>
    <w:rsid w:val="00FD4C43"/>
    <w:rsid w:val="00FD5963"/>
    <w:rsid w:val="00FD5ECD"/>
    <w:rsid w:val="00FD6516"/>
    <w:rsid w:val="00FD6AB9"/>
    <w:rsid w:val="00FD6ADB"/>
    <w:rsid w:val="00FD6AF4"/>
    <w:rsid w:val="00FD6B56"/>
    <w:rsid w:val="00FD6F15"/>
    <w:rsid w:val="00FD727F"/>
    <w:rsid w:val="00FD73B7"/>
    <w:rsid w:val="00FD7934"/>
    <w:rsid w:val="00FD7CF1"/>
    <w:rsid w:val="00FD7E92"/>
    <w:rsid w:val="00FE09F4"/>
    <w:rsid w:val="00FE1651"/>
    <w:rsid w:val="00FE1B0D"/>
    <w:rsid w:val="00FE1CC5"/>
    <w:rsid w:val="00FE1D5F"/>
    <w:rsid w:val="00FE1EF3"/>
    <w:rsid w:val="00FE2E6A"/>
    <w:rsid w:val="00FE2FDE"/>
    <w:rsid w:val="00FE30F6"/>
    <w:rsid w:val="00FE3799"/>
    <w:rsid w:val="00FE3FF7"/>
    <w:rsid w:val="00FE44D2"/>
    <w:rsid w:val="00FE492F"/>
    <w:rsid w:val="00FE4AE3"/>
    <w:rsid w:val="00FE4CEE"/>
    <w:rsid w:val="00FE4D77"/>
    <w:rsid w:val="00FE5415"/>
    <w:rsid w:val="00FE5864"/>
    <w:rsid w:val="00FE592C"/>
    <w:rsid w:val="00FE5CDC"/>
    <w:rsid w:val="00FE6042"/>
    <w:rsid w:val="00FE61A8"/>
    <w:rsid w:val="00FE65C1"/>
    <w:rsid w:val="00FE6BE7"/>
    <w:rsid w:val="00FE6E8C"/>
    <w:rsid w:val="00FE72FB"/>
    <w:rsid w:val="00FE76F8"/>
    <w:rsid w:val="00FE789B"/>
    <w:rsid w:val="00FF019D"/>
    <w:rsid w:val="00FF01F0"/>
    <w:rsid w:val="00FF0621"/>
    <w:rsid w:val="00FF08CE"/>
    <w:rsid w:val="00FF0A73"/>
    <w:rsid w:val="00FF0C28"/>
    <w:rsid w:val="00FF1DDA"/>
    <w:rsid w:val="00FF22F8"/>
    <w:rsid w:val="00FF2AD9"/>
    <w:rsid w:val="00FF2BC1"/>
    <w:rsid w:val="00FF2C9F"/>
    <w:rsid w:val="00FF2E80"/>
    <w:rsid w:val="00FF348F"/>
    <w:rsid w:val="00FF3783"/>
    <w:rsid w:val="00FF4501"/>
    <w:rsid w:val="00FF4E4C"/>
    <w:rsid w:val="00FF55C1"/>
    <w:rsid w:val="00FF5824"/>
    <w:rsid w:val="00FF5AFC"/>
    <w:rsid w:val="00FF5B25"/>
    <w:rsid w:val="00FF5B86"/>
    <w:rsid w:val="00FF60E1"/>
    <w:rsid w:val="00FF648A"/>
    <w:rsid w:val="00FF69C5"/>
    <w:rsid w:val="00FF6AA6"/>
    <w:rsid w:val="00FF6FB4"/>
    <w:rsid w:val="00FF7168"/>
    <w:rsid w:val="00FF719B"/>
    <w:rsid w:val="00FF7275"/>
    <w:rsid w:val="00FF728D"/>
    <w:rsid w:val="00FF77C2"/>
    <w:rsid w:val="00FF78B3"/>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0C8E69A"/>
  <w15:docId w15:val="{269C4E56-5568-4F93-A255-817665119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163"/>
  </w:style>
  <w:style w:type="paragraph" w:styleId="Heading1">
    <w:name w:val="heading 1"/>
    <w:basedOn w:val="Normal"/>
    <w:next w:val="Normal"/>
    <w:link w:val="Heading1Char"/>
    <w:uiPriority w:val="9"/>
    <w:qFormat/>
    <w:rsid w:val="00FB54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966E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7C4420"/>
    <w:pPr>
      <w:keepNext/>
      <w:keepLines/>
      <w:spacing w:before="40" w:after="0"/>
      <w:outlineLvl w:val="3"/>
    </w:pPr>
    <w:rPr>
      <w:rFonts w:ascii="Cambria" w:eastAsia="Times New Roman" w:hAnsi="Cambria" w:cs="Times New Roman"/>
      <w:i/>
      <w:iCs/>
      <w:color w:val="365F9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00606"/>
    <w:pPr>
      <w:spacing w:after="0" w:line="240" w:lineRule="auto"/>
    </w:pPr>
    <w:rPr>
      <w:sz w:val="20"/>
      <w:szCs w:val="20"/>
    </w:rPr>
  </w:style>
  <w:style w:type="character" w:customStyle="1" w:styleId="FootnoteTextChar">
    <w:name w:val="Footnote Text Char"/>
    <w:basedOn w:val="DefaultParagraphFont"/>
    <w:link w:val="FootnoteText"/>
    <w:uiPriority w:val="99"/>
    <w:rsid w:val="00D00606"/>
    <w:rPr>
      <w:sz w:val="20"/>
      <w:szCs w:val="20"/>
    </w:rPr>
  </w:style>
  <w:style w:type="character" w:styleId="FootnoteReference">
    <w:name w:val="footnote reference"/>
    <w:basedOn w:val="DefaultParagraphFont"/>
    <w:unhideWhenUsed/>
    <w:rsid w:val="00D00606"/>
    <w:rPr>
      <w:vertAlign w:val="superscript"/>
    </w:rPr>
  </w:style>
  <w:style w:type="numbering" w:customStyle="1" w:styleId="NoList1">
    <w:name w:val="No List1"/>
    <w:next w:val="NoList"/>
    <w:uiPriority w:val="99"/>
    <w:semiHidden/>
    <w:unhideWhenUsed/>
    <w:rsid w:val="00D00606"/>
  </w:style>
  <w:style w:type="character" w:customStyle="1" w:styleId="apple-converted-space">
    <w:name w:val="apple-converted-space"/>
    <w:basedOn w:val="DefaultParagraphFont"/>
    <w:rsid w:val="00D00606"/>
  </w:style>
  <w:style w:type="character" w:customStyle="1" w:styleId="Hyperlink1">
    <w:name w:val="Hyperlink1"/>
    <w:basedOn w:val="DefaultParagraphFont"/>
    <w:uiPriority w:val="99"/>
    <w:unhideWhenUsed/>
    <w:rsid w:val="00D00606"/>
    <w:rPr>
      <w:color w:val="0000FF"/>
      <w:u w:val="single"/>
    </w:rPr>
  </w:style>
  <w:style w:type="paragraph" w:styleId="Header">
    <w:name w:val="header"/>
    <w:basedOn w:val="Normal"/>
    <w:link w:val="HeaderChar"/>
    <w:uiPriority w:val="99"/>
    <w:unhideWhenUsed/>
    <w:rsid w:val="00D00606"/>
    <w:pPr>
      <w:tabs>
        <w:tab w:val="center" w:pos="4513"/>
        <w:tab w:val="right" w:pos="9026"/>
      </w:tabs>
      <w:bidi/>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D00606"/>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00606"/>
    <w:pPr>
      <w:tabs>
        <w:tab w:val="center" w:pos="4513"/>
        <w:tab w:val="right" w:pos="9026"/>
      </w:tabs>
      <w:bidi/>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D00606"/>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00606"/>
    <w:pPr>
      <w:bidi/>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D00606"/>
    <w:rPr>
      <w:rFonts w:ascii="Tahoma" w:eastAsia="Times New Roman" w:hAnsi="Tahoma" w:cs="Tahoma"/>
      <w:sz w:val="16"/>
      <w:szCs w:val="16"/>
      <w:lang w:val="en-US"/>
    </w:rPr>
  </w:style>
  <w:style w:type="table" w:styleId="TableGrid">
    <w:name w:val="Table Grid"/>
    <w:basedOn w:val="TableNormal"/>
    <w:uiPriority w:val="59"/>
    <w:rsid w:val="00D006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0606"/>
    <w:pPr>
      <w:bidi/>
      <w:spacing w:after="0" w:line="240" w:lineRule="auto"/>
      <w:ind w:left="720"/>
      <w:contextualSpacing/>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D00606"/>
    <w:rPr>
      <w:sz w:val="16"/>
      <w:szCs w:val="16"/>
    </w:rPr>
  </w:style>
  <w:style w:type="paragraph" w:styleId="CommentText">
    <w:name w:val="annotation text"/>
    <w:basedOn w:val="Normal"/>
    <w:link w:val="CommentTextChar"/>
    <w:semiHidden/>
    <w:unhideWhenUsed/>
    <w:rsid w:val="00D00606"/>
    <w:pPr>
      <w:bidi/>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D00606"/>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00606"/>
    <w:rPr>
      <w:b/>
      <w:bCs/>
    </w:rPr>
  </w:style>
  <w:style w:type="character" w:customStyle="1" w:styleId="CommentSubjectChar">
    <w:name w:val="Comment Subject Char"/>
    <w:basedOn w:val="CommentTextChar"/>
    <w:link w:val="CommentSubject"/>
    <w:uiPriority w:val="99"/>
    <w:semiHidden/>
    <w:rsid w:val="00D00606"/>
    <w:rPr>
      <w:rFonts w:ascii="Times New Roman" w:eastAsia="Times New Roman" w:hAnsi="Times New Roman" w:cs="Times New Roman"/>
      <w:b/>
      <w:bCs/>
      <w:sz w:val="20"/>
      <w:szCs w:val="20"/>
      <w:lang w:val="en-US"/>
    </w:rPr>
  </w:style>
  <w:style w:type="character" w:customStyle="1" w:styleId="rwrro">
    <w:name w:val="rwrro"/>
    <w:basedOn w:val="DefaultParagraphFont"/>
    <w:rsid w:val="00D00606"/>
  </w:style>
  <w:style w:type="paragraph" w:styleId="Revision">
    <w:name w:val="Revision"/>
    <w:hidden/>
    <w:uiPriority w:val="99"/>
    <w:semiHidden/>
    <w:rsid w:val="00D00606"/>
    <w:pPr>
      <w:spacing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D00606"/>
    <w:rPr>
      <w:color w:val="0000FF" w:themeColor="hyperlink"/>
      <w:u w:val="single"/>
    </w:rPr>
  </w:style>
  <w:style w:type="character" w:customStyle="1" w:styleId="Heading1Char">
    <w:name w:val="Heading 1 Char"/>
    <w:basedOn w:val="DefaultParagraphFont"/>
    <w:link w:val="Heading1"/>
    <w:uiPriority w:val="9"/>
    <w:rsid w:val="00FB54D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966E3"/>
    <w:rPr>
      <w:rFonts w:asciiTheme="majorHAnsi" w:eastAsiaTheme="majorEastAsia" w:hAnsiTheme="majorHAnsi" w:cstheme="majorBidi"/>
      <w:color w:val="365F91" w:themeColor="accent1" w:themeShade="BF"/>
      <w:sz w:val="26"/>
      <w:szCs w:val="26"/>
    </w:rPr>
  </w:style>
  <w:style w:type="numbering" w:customStyle="1" w:styleId="NoList2">
    <w:name w:val="No List2"/>
    <w:next w:val="NoList"/>
    <w:uiPriority w:val="99"/>
    <w:semiHidden/>
    <w:unhideWhenUsed/>
    <w:rsid w:val="00453D2A"/>
  </w:style>
  <w:style w:type="numbering" w:customStyle="1" w:styleId="NoList11">
    <w:name w:val="No List11"/>
    <w:next w:val="NoList"/>
    <w:uiPriority w:val="99"/>
    <w:semiHidden/>
    <w:unhideWhenUsed/>
    <w:rsid w:val="00453D2A"/>
  </w:style>
  <w:style w:type="table" w:customStyle="1" w:styleId="TableGrid1">
    <w:name w:val="Table Grid1"/>
    <w:basedOn w:val="TableNormal"/>
    <w:next w:val="TableGrid"/>
    <w:uiPriority w:val="39"/>
    <w:rsid w:val="00453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8337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80073D"/>
  </w:style>
  <w:style w:type="character" w:customStyle="1" w:styleId="IntenseEmphasis1">
    <w:name w:val="Intense Emphasis1"/>
    <w:basedOn w:val="DefaultParagraphFont"/>
    <w:uiPriority w:val="21"/>
    <w:qFormat/>
    <w:rsid w:val="0080073D"/>
    <w:rPr>
      <w:i/>
      <w:iCs/>
      <w:color w:val="5B9BD5"/>
    </w:rPr>
  </w:style>
  <w:style w:type="character" w:styleId="IntenseEmphasis">
    <w:name w:val="Intense Emphasis"/>
    <w:basedOn w:val="DefaultParagraphFont"/>
    <w:uiPriority w:val="21"/>
    <w:qFormat/>
    <w:rsid w:val="0080073D"/>
    <w:rPr>
      <w:i/>
      <w:iCs/>
      <w:color w:val="4F81BD" w:themeColor="accent1"/>
    </w:rPr>
  </w:style>
  <w:style w:type="numbering" w:customStyle="1" w:styleId="NoList4">
    <w:name w:val="No List4"/>
    <w:next w:val="NoList"/>
    <w:uiPriority w:val="99"/>
    <w:semiHidden/>
    <w:unhideWhenUsed/>
    <w:rsid w:val="00CF1D0C"/>
  </w:style>
  <w:style w:type="numbering" w:customStyle="1" w:styleId="NoList12">
    <w:name w:val="No List12"/>
    <w:next w:val="NoList"/>
    <w:uiPriority w:val="99"/>
    <w:semiHidden/>
    <w:unhideWhenUsed/>
    <w:rsid w:val="00CF1D0C"/>
  </w:style>
  <w:style w:type="table" w:customStyle="1" w:styleId="TableGrid3">
    <w:name w:val="Table Grid3"/>
    <w:basedOn w:val="TableNormal"/>
    <w:next w:val="TableGrid"/>
    <w:uiPriority w:val="59"/>
    <w:rsid w:val="00CF1D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glehighlightclass">
    <w:name w:val="single_highlight_class"/>
    <w:basedOn w:val="DefaultParagraphFont"/>
    <w:rsid w:val="00080968"/>
  </w:style>
  <w:style w:type="character" w:customStyle="1" w:styleId="Heading4Char">
    <w:name w:val="Heading 4 Char"/>
    <w:basedOn w:val="DefaultParagraphFont"/>
    <w:link w:val="Heading4"/>
    <w:uiPriority w:val="9"/>
    <w:semiHidden/>
    <w:rsid w:val="007C4420"/>
    <w:rPr>
      <w:rFonts w:ascii="Cambria" w:eastAsia="Times New Roman" w:hAnsi="Cambria" w:cs="Times New Roman"/>
      <w:i/>
      <w:iCs/>
      <w:color w:val="365F91"/>
      <w:lang w:eastAsia="en-US"/>
    </w:rPr>
  </w:style>
  <w:style w:type="paragraph" w:customStyle="1" w:styleId="Default">
    <w:name w:val="Default"/>
    <w:rsid w:val="007C442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Heading11">
    <w:name w:val="Heading 11"/>
    <w:basedOn w:val="Normal"/>
    <w:next w:val="Normal"/>
    <w:uiPriority w:val="9"/>
    <w:qFormat/>
    <w:rsid w:val="007C4420"/>
    <w:pPr>
      <w:keepNext/>
      <w:keepLines/>
      <w:spacing w:before="480" w:after="0"/>
      <w:outlineLvl w:val="0"/>
    </w:pPr>
    <w:rPr>
      <w:rFonts w:ascii="Cambria" w:eastAsia="Times New Roman" w:hAnsi="Cambria" w:cs="Times New Roman"/>
      <w:b/>
      <w:bCs/>
      <w:color w:val="365F91"/>
      <w:sz w:val="28"/>
      <w:szCs w:val="28"/>
    </w:rPr>
  </w:style>
  <w:style w:type="character" w:customStyle="1" w:styleId="Hyperlink2">
    <w:name w:val="Hyperlink2"/>
    <w:basedOn w:val="DefaultParagraphFont"/>
    <w:uiPriority w:val="99"/>
    <w:unhideWhenUsed/>
    <w:rsid w:val="007C4420"/>
    <w:rPr>
      <w:color w:val="0000FF"/>
      <w:u w:val="single"/>
    </w:rPr>
  </w:style>
  <w:style w:type="numbering" w:customStyle="1" w:styleId="NoList111">
    <w:name w:val="No List111"/>
    <w:next w:val="NoList"/>
    <w:uiPriority w:val="99"/>
    <w:semiHidden/>
    <w:unhideWhenUsed/>
    <w:rsid w:val="007C4420"/>
  </w:style>
  <w:style w:type="numbering" w:customStyle="1" w:styleId="NoList21">
    <w:name w:val="No List21"/>
    <w:next w:val="NoList"/>
    <w:uiPriority w:val="99"/>
    <w:semiHidden/>
    <w:unhideWhenUsed/>
    <w:rsid w:val="007C4420"/>
  </w:style>
  <w:style w:type="numbering" w:customStyle="1" w:styleId="NoList1111">
    <w:name w:val="No List1111"/>
    <w:next w:val="NoList"/>
    <w:uiPriority w:val="99"/>
    <w:semiHidden/>
    <w:unhideWhenUsed/>
    <w:rsid w:val="007C4420"/>
  </w:style>
  <w:style w:type="table" w:customStyle="1" w:styleId="TableGrid11">
    <w:name w:val="Table Grid11"/>
    <w:basedOn w:val="TableNormal"/>
    <w:next w:val="TableGrid"/>
    <w:uiPriority w:val="59"/>
    <w:rsid w:val="007C4420"/>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basedOn w:val="DefaultParagraphFont"/>
    <w:uiPriority w:val="9"/>
    <w:rsid w:val="007C4420"/>
    <w:rPr>
      <w:rFonts w:asciiTheme="majorHAnsi" w:eastAsiaTheme="majorEastAsia" w:hAnsiTheme="majorHAnsi" w:cstheme="majorBidi"/>
      <w:color w:val="365F91" w:themeColor="accent1" w:themeShade="BF"/>
      <w:sz w:val="32"/>
      <w:szCs w:val="32"/>
    </w:rPr>
  </w:style>
  <w:style w:type="table" w:customStyle="1" w:styleId="TableGrid21">
    <w:name w:val="Table Grid21"/>
    <w:basedOn w:val="TableNormal"/>
    <w:next w:val="TableGrid"/>
    <w:uiPriority w:val="59"/>
    <w:rsid w:val="007C4420"/>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7C4420"/>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C4420"/>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7C4420"/>
  </w:style>
  <w:style w:type="table" w:customStyle="1" w:styleId="TableGrid5">
    <w:name w:val="Table Grid5"/>
    <w:basedOn w:val="TableNormal"/>
    <w:next w:val="TableGrid"/>
    <w:uiPriority w:val="59"/>
    <w:rsid w:val="007C4420"/>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7C4420"/>
  </w:style>
  <w:style w:type="numbering" w:customStyle="1" w:styleId="NoList112">
    <w:name w:val="No List112"/>
    <w:next w:val="NoList"/>
    <w:uiPriority w:val="99"/>
    <w:semiHidden/>
    <w:unhideWhenUsed/>
    <w:rsid w:val="007C4420"/>
  </w:style>
  <w:style w:type="table" w:customStyle="1" w:styleId="TableGrid12">
    <w:name w:val="Table Grid12"/>
    <w:basedOn w:val="TableNormal"/>
    <w:next w:val="TableGrid"/>
    <w:uiPriority w:val="59"/>
    <w:rsid w:val="007C4420"/>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7C4420"/>
  </w:style>
  <w:style w:type="numbering" w:customStyle="1" w:styleId="NoList121">
    <w:name w:val="No List121"/>
    <w:next w:val="NoList"/>
    <w:uiPriority w:val="99"/>
    <w:semiHidden/>
    <w:unhideWhenUsed/>
    <w:rsid w:val="007C4420"/>
  </w:style>
  <w:style w:type="table" w:customStyle="1" w:styleId="TableGrid23">
    <w:name w:val="Table Grid23"/>
    <w:basedOn w:val="TableNormal"/>
    <w:next w:val="TableGrid"/>
    <w:uiPriority w:val="59"/>
    <w:rsid w:val="007C4420"/>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7C4420"/>
  </w:style>
  <w:style w:type="numbering" w:customStyle="1" w:styleId="NoList1112">
    <w:name w:val="No List1112"/>
    <w:next w:val="NoList"/>
    <w:uiPriority w:val="99"/>
    <w:semiHidden/>
    <w:unhideWhenUsed/>
    <w:rsid w:val="007C4420"/>
  </w:style>
  <w:style w:type="table" w:customStyle="1" w:styleId="TableGrid111">
    <w:name w:val="Table Grid111"/>
    <w:basedOn w:val="TableNormal"/>
    <w:next w:val="TableGrid"/>
    <w:uiPriority w:val="59"/>
    <w:rsid w:val="007C4420"/>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C4420"/>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7C4420"/>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7C4420"/>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7C4420"/>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7C4420"/>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Normal"/>
    <w:next w:val="Normal"/>
    <w:uiPriority w:val="9"/>
    <w:semiHidden/>
    <w:unhideWhenUsed/>
    <w:qFormat/>
    <w:rsid w:val="007C4420"/>
    <w:pPr>
      <w:keepNext/>
      <w:keepLines/>
      <w:spacing w:before="40" w:after="0"/>
      <w:outlineLvl w:val="1"/>
    </w:pPr>
    <w:rPr>
      <w:rFonts w:ascii="Cambria" w:eastAsia="Times New Roman" w:hAnsi="Cambria" w:cs="Times New Roman"/>
      <w:color w:val="365F91"/>
      <w:sz w:val="26"/>
      <w:szCs w:val="26"/>
    </w:rPr>
  </w:style>
  <w:style w:type="paragraph" w:customStyle="1" w:styleId="Heading41">
    <w:name w:val="Heading 41"/>
    <w:basedOn w:val="Normal"/>
    <w:next w:val="Normal"/>
    <w:uiPriority w:val="9"/>
    <w:semiHidden/>
    <w:unhideWhenUsed/>
    <w:qFormat/>
    <w:rsid w:val="007C4420"/>
    <w:pPr>
      <w:keepNext/>
      <w:keepLines/>
      <w:spacing w:before="40" w:after="0"/>
      <w:outlineLvl w:val="3"/>
    </w:pPr>
    <w:rPr>
      <w:rFonts w:ascii="Cambria" w:eastAsia="Times New Roman" w:hAnsi="Cambria" w:cs="Times New Roman"/>
      <w:i/>
      <w:iCs/>
      <w:color w:val="365F91"/>
    </w:rPr>
  </w:style>
  <w:style w:type="numbering" w:customStyle="1" w:styleId="NoList5">
    <w:name w:val="No List5"/>
    <w:next w:val="NoList"/>
    <w:uiPriority w:val="99"/>
    <w:semiHidden/>
    <w:unhideWhenUsed/>
    <w:rsid w:val="007C4420"/>
  </w:style>
  <w:style w:type="numbering" w:customStyle="1" w:styleId="NoList14">
    <w:name w:val="No List14"/>
    <w:next w:val="NoList"/>
    <w:uiPriority w:val="99"/>
    <w:semiHidden/>
    <w:unhideWhenUsed/>
    <w:rsid w:val="007C4420"/>
  </w:style>
  <w:style w:type="table" w:customStyle="1" w:styleId="TableGrid9">
    <w:name w:val="Table Grid9"/>
    <w:basedOn w:val="TableNormal"/>
    <w:next w:val="TableGrid"/>
    <w:uiPriority w:val="59"/>
    <w:rsid w:val="007C4420"/>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7C4420"/>
  </w:style>
  <w:style w:type="numbering" w:customStyle="1" w:styleId="NoList113">
    <w:name w:val="No List113"/>
    <w:next w:val="NoList"/>
    <w:uiPriority w:val="99"/>
    <w:semiHidden/>
    <w:unhideWhenUsed/>
    <w:rsid w:val="007C4420"/>
  </w:style>
  <w:style w:type="table" w:customStyle="1" w:styleId="TableGrid15">
    <w:name w:val="Table Grid15"/>
    <w:basedOn w:val="TableNormal"/>
    <w:next w:val="TableGrid"/>
    <w:uiPriority w:val="59"/>
    <w:rsid w:val="007C4420"/>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7C4420"/>
    <w:pPr>
      <w:spacing w:after="0" w:line="240" w:lineRule="auto"/>
    </w:pPr>
    <w:rPr>
      <w:rFonts w:ascii="Calibri" w:eastAsia="Calibri" w:hAnsi="Calibr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7C4420"/>
  </w:style>
  <w:style w:type="character" w:customStyle="1" w:styleId="IntenseEmphasis2">
    <w:name w:val="Intense Emphasis2"/>
    <w:basedOn w:val="DefaultParagraphFont"/>
    <w:uiPriority w:val="21"/>
    <w:qFormat/>
    <w:rsid w:val="007C4420"/>
    <w:rPr>
      <w:i/>
      <w:iCs/>
      <w:color w:val="4F81BD"/>
    </w:rPr>
  </w:style>
  <w:style w:type="character" w:customStyle="1" w:styleId="Heading2Char1">
    <w:name w:val="Heading 2 Char1"/>
    <w:basedOn w:val="DefaultParagraphFont"/>
    <w:uiPriority w:val="9"/>
    <w:semiHidden/>
    <w:rsid w:val="007C4420"/>
    <w:rPr>
      <w:rFonts w:asciiTheme="majorHAnsi" w:eastAsiaTheme="majorEastAsia" w:hAnsiTheme="majorHAnsi" w:cstheme="majorBidi"/>
      <w:color w:val="365F91" w:themeColor="accent1" w:themeShade="BF"/>
      <w:sz w:val="26"/>
      <w:szCs w:val="26"/>
    </w:rPr>
  </w:style>
  <w:style w:type="character" w:customStyle="1" w:styleId="Heading4Char1">
    <w:name w:val="Heading 4 Char1"/>
    <w:basedOn w:val="DefaultParagraphFont"/>
    <w:uiPriority w:val="9"/>
    <w:semiHidden/>
    <w:rsid w:val="007C4420"/>
    <w:rPr>
      <w:rFonts w:asciiTheme="majorHAnsi" w:eastAsiaTheme="majorEastAsia" w:hAnsiTheme="majorHAnsi" w:cstheme="majorBidi"/>
      <w:i/>
      <w:iCs/>
      <w:color w:val="365F91" w:themeColor="accent1" w:themeShade="BF"/>
    </w:rPr>
  </w:style>
  <w:style w:type="table" w:customStyle="1" w:styleId="TableGrid10">
    <w:name w:val="Table Grid10"/>
    <w:basedOn w:val="TableNormal"/>
    <w:next w:val="TableGrid"/>
    <w:uiPriority w:val="59"/>
    <w:rsid w:val="007C4420"/>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7C4420"/>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7C4420"/>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7C4420"/>
  </w:style>
  <w:style w:type="numbering" w:customStyle="1" w:styleId="NoList15">
    <w:name w:val="No List15"/>
    <w:next w:val="NoList"/>
    <w:uiPriority w:val="99"/>
    <w:semiHidden/>
    <w:unhideWhenUsed/>
    <w:rsid w:val="007C4420"/>
  </w:style>
  <w:style w:type="table" w:customStyle="1" w:styleId="TableGrid18">
    <w:name w:val="Table Grid18"/>
    <w:basedOn w:val="TableNormal"/>
    <w:next w:val="TableGrid"/>
    <w:uiPriority w:val="59"/>
    <w:rsid w:val="007C4420"/>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7C4420"/>
  </w:style>
  <w:style w:type="numbering" w:customStyle="1" w:styleId="NoList114">
    <w:name w:val="No List114"/>
    <w:next w:val="NoList"/>
    <w:uiPriority w:val="99"/>
    <w:semiHidden/>
    <w:unhideWhenUsed/>
    <w:rsid w:val="007C4420"/>
  </w:style>
  <w:style w:type="table" w:customStyle="1" w:styleId="TableGrid19">
    <w:name w:val="Table Grid19"/>
    <w:basedOn w:val="TableNormal"/>
    <w:next w:val="TableGrid"/>
    <w:uiPriority w:val="59"/>
    <w:rsid w:val="007C4420"/>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7C4420"/>
    <w:pPr>
      <w:spacing w:after="0" w:line="240" w:lineRule="auto"/>
    </w:pPr>
    <w:rPr>
      <w:rFonts w:ascii="Calibri" w:eastAsia="Calibri" w:hAnsi="Calibr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7C4420"/>
  </w:style>
  <w:style w:type="table" w:customStyle="1" w:styleId="TableGrid26">
    <w:name w:val="Table Grid26"/>
    <w:basedOn w:val="TableNormal"/>
    <w:next w:val="TableGrid"/>
    <w:uiPriority w:val="39"/>
    <w:rsid w:val="007C4420"/>
    <w:pPr>
      <w:spacing w:after="0" w:line="240" w:lineRule="auto"/>
    </w:pPr>
    <w:rPr>
      <w:rFonts w:ascii="Calibri" w:eastAsia="Calibri" w:hAnsi="Calibr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7C4420"/>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7C4420"/>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7C4420"/>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7C4420"/>
  </w:style>
  <w:style w:type="numbering" w:customStyle="1" w:styleId="NoList16">
    <w:name w:val="No List16"/>
    <w:next w:val="NoList"/>
    <w:uiPriority w:val="99"/>
    <w:semiHidden/>
    <w:unhideWhenUsed/>
    <w:rsid w:val="007C4420"/>
  </w:style>
  <w:style w:type="table" w:customStyle="1" w:styleId="TableGrid29">
    <w:name w:val="Table Grid29"/>
    <w:basedOn w:val="TableNormal"/>
    <w:next w:val="TableGrid"/>
    <w:uiPriority w:val="59"/>
    <w:rsid w:val="007C4420"/>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7C4420"/>
  </w:style>
  <w:style w:type="numbering" w:customStyle="1" w:styleId="NoList115">
    <w:name w:val="No List115"/>
    <w:next w:val="NoList"/>
    <w:uiPriority w:val="99"/>
    <w:semiHidden/>
    <w:unhideWhenUsed/>
    <w:rsid w:val="007C4420"/>
  </w:style>
  <w:style w:type="table" w:customStyle="1" w:styleId="TableGrid110">
    <w:name w:val="Table Grid110"/>
    <w:basedOn w:val="TableNormal"/>
    <w:next w:val="TableGrid"/>
    <w:uiPriority w:val="59"/>
    <w:rsid w:val="007C4420"/>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39"/>
    <w:rsid w:val="007C4420"/>
    <w:pPr>
      <w:spacing w:after="0" w:line="240" w:lineRule="auto"/>
    </w:pPr>
    <w:rPr>
      <w:rFonts w:ascii="Calibri" w:eastAsia="Calibri" w:hAnsi="Calibr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7C4420"/>
  </w:style>
  <w:style w:type="numbering" w:customStyle="1" w:styleId="NoList41">
    <w:name w:val="No List41"/>
    <w:next w:val="NoList"/>
    <w:uiPriority w:val="99"/>
    <w:semiHidden/>
    <w:unhideWhenUsed/>
    <w:rsid w:val="007C4420"/>
  </w:style>
  <w:style w:type="numbering" w:customStyle="1" w:styleId="NoList122">
    <w:name w:val="No List122"/>
    <w:next w:val="NoList"/>
    <w:uiPriority w:val="99"/>
    <w:semiHidden/>
    <w:unhideWhenUsed/>
    <w:rsid w:val="007C4420"/>
  </w:style>
  <w:style w:type="table" w:customStyle="1" w:styleId="TableGrid31">
    <w:name w:val="Table Grid31"/>
    <w:basedOn w:val="TableNormal"/>
    <w:next w:val="TableGrid"/>
    <w:uiPriority w:val="59"/>
    <w:rsid w:val="007C4420"/>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7C4420"/>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7C4420"/>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7C4420"/>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7C4420"/>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7C4420"/>
  </w:style>
  <w:style w:type="numbering" w:customStyle="1" w:styleId="NoList17">
    <w:name w:val="No List17"/>
    <w:next w:val="NoList"/>
    <w:uiPriority w:val="99"/>
    <w:semiHidden/>
    <w:unhideWhenUsed/>
    <w:rsid w:val="007C4420"/>
  </w:style>
  <w:style w:type="table" w:customStyle="1" w:styleId="TableGrid34">
    <w:name w:val="Table Grid34"/>
    <w:basedOn w:val="TableNormal"/>
    <w:next w:val="TableGrid"/>
    <w:uiPriority w:val="59"/>
    <w:rsid w:val="007C4420"/>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7C4420"/>
  </w:style>
  <w:style w:type="numbering" w:customStyle="1" w:styleId="NoList116">
    <w:name w:val="No List116"/>
    <w:next w:val="NoList"/>
    <w:uiPriority w:val="99"/>
    <w:semiHidden/>
    <w:unhideWhenUsed/>
    <w:rsid w:val="007C4420"/>
  </w:style>
  <w:style w:type="table" w:customStyle="1" w:styleId="TableGrid113">
    <w:name w:val="Table Grid113"/>
    <w:basedOn w:val="TableNormal"/>
    <w:next w:val="TableGrid"/>
    <w:uiPriority w:val="59"/>
    <w:rsid w:val="007C4420"/>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7C4420"/>
  </w:style>
  <w:style w:type="numbering" w:customStyle="1" w:styleId="NoList123">
    <w:name w:val="No List123"/>
    <w:next w:val="NoList"/>
    <w:uiPriority w:val="99"/>
    <w:semiHidden/>
    <w:unhideWhenUsed/>
    <w:rsid w:val="007C4420"/>
  </w:style>
  <w:style w:type="table" w:customStyle="1" w:styleId="TableGrid211">
    <w:name w:val="Table Grid211"/>
    <w:basedOn w:val="TableNormal"/>
    <w:next w:val="TableGrid"/>
    <w:uiPriority w:val="59"/>
    <w:rsid w:val="007C4420"/>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7C4420"/>
  </w:style>
  <w:style w:type="numbering" w:customStyle="1" w:styleId="NoList1113">
    <w:name w:val="No List1113"/>
    <w:next w:val="NoList"/>
    <w:uiPriority w:val="99"/>
    <w:semiHidden/>
    <w:unhideWhenUsed/>
    <w:rsid w:val="007C4420"/>
  </w:style>
  <w:style w:type="table" w:customStyle="1" w:styleId="TableGrid114">
    <w:name w:val="Table Grid114"/>
    <w:basedOn w:val="TableNormal"/>
    <w:next w:val="TableGrid"/>
    <w:uiPriority w:val="59"/>
    <w:rsid w:val="007C4420"/>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7C4420"/>
  </w:style>
  <w:style w:type="numbering" w:customStyle="1" w:styleId="NoList18">
    <w:name w:val="No List18"/>
    <w:next w:val="NoList"/>
    <w:uiPriority w:val="99"/>
    <w:semiHidden/>
    <w:unhideWhenUsed/>
    <w:rsid w:val="007C4420"/>
  </w:style>
  <w:style w:type="table" w:customStyle="1" w:styleId="TableGrid35">
    <w:name w:val="Table Grid35"/>
    <w:basedOn w:val="TableNormal"/>
    <w:next w:val="TableGrid"/>
    <w:uiPriority w:val="59"/>
    <w:rsid w:val="007C4420"/>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7C4420"/>
  </w:style>
  <w:style w:type="numbering" w:customStyle="1" w:styleId="NoList117">
    <w:name w:val="No List117"/>
    <w:next w:val="NoList"/>
    <w:uiPriority w:val="99"/>
    <w:semiHidden/>
    <w:unhideWhenUsed/>
    <w:rsid w:val="007C4420"/>
  </w:style>
  <w:style w:type="table" w:customStyle="1" w:styleId="TableGrid115">
    <w:name w:val="Table Grid115"/>
    <w:basedOn w:val="TableNormal"/>
    <w:next w:val="TableGrid"/>
    <w:uiPriority w:val="59"/>
    <w:rsid w:val="007C4420"/>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7C4420"/>
    <w:pPr>
      <w:spacing w:after="0" w:line="240" w:lineRule="auto"/>
    </w:pPr>
    <w:rPr>
      <w:rFonts w:ascii="Calibri" w:eastAsia="Calibri" w:hAnsi="Calibr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7C4420"/>
  </w:style>
  <w:style w:type="paragraph" w:customStyle="1" w:styleId="EndNoteBibliography">
    <w:name w:val="EndNote Bibliography"/>
    <w:basedOn w:val="Normal"/>
    <w:link w:val="EndNoteBibliographyChar"/>
    <w:rsid w:val="007C4420"/>
    <w:pPr>
      <w:spacing w:line="240" w:lineRule="auto"/>
      <w:jc w:val="both"/>
    </w:pPr>
    <w:rPr>
      <w:rFonts w:ascii="Times New Roman" w:eastAsiaTheme="minorHAnsi" w:hAnsi="Times New Roman" w:cs="Times New Roman"/>
      <w:noProof/>
      <w:sz w:val="24"/>
      <w:lang w:val="en-US" w:eastAsia="en-US"/>
    </w:rPr>
  </w:style>
  <w:style w:type="character" w:customStyle="1" w:styleId="EndNoteBibliographyChar">
    <w:name w:val="EndNote Bibliography Char"/>
    <w:basedOn w:val="DefaultParagraphFont"/>
    <w:link w:val="EndNoteBibliography"/>
    <w:rsid w:val="007C4420"/>
    <w:rPr>
      <w:rFonts w:ascii="Times New Roman" w:eastAsiaTheme="minorHAnsi" w:hAnsi="Times New Roman" w:cs="Times New Roman"/>
      <w:noProof/>
      <w:sz w:val="24"/>
      <w:lang w:val="en-US" w:eastAsia="en-US"/>
    </w:rPr>
  </w:style>
  <w:style w:type="table" w:customStyle="1" w:styleId="TableGrid36">
    <w:name w:val="Table Grid36"/>
    <w:basedOn w:val="TableNormal"/>
    <w:next w:val="TableGrid"/>
    <w:uiPriority w:val="59"/>
    <w:rsid w:val="007C4420"/>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7C4420"/>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7C4420"/>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7C4420"/>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7C4420"/>
  </w:style>
  <w:style w:type="numbering" w:customStyle="1" w:styleId="NoList19">
    <w:name w:val="No List19"/>
    <w:next w:val="NoList"/>
    <w:uiPriority w:val="99"/>
    <w:semiHidden/>
    <w:unhideWhenUsed/>
    <w:rsid w:val="007C4420"/>
  </w:style>
  <w:style w:type="table" w:customStyle="1" w:styleId="TableGrid39">
    <w:name w:val="Table Grid39"/>
    <w:basedOn w:val="TableNormal"/>
    <w:next w:val="TableGrid"/>
    <w:uiPriority w:val="59"/>
    <w:rsid w:val="007C4420"/>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7C4420"/>
  </w:style>
  <w:style w:type="numbering" w:customStyle="1" w:styleId="NoList118">
    <w:name w:val="No List118"/>
    <w:next w:val="NoList"/>
    <w:uiPriority w:val="99"/>
    <w:semiHidden/>
    <w:unhideWhenUsed/>
    <w:rsid w:val="007C4420"/>
  </w:style>
  <w:style w:type="table" w:customStyle="1" w:styleId="TableGrid117">
    <w:name w:val="Table Grid117"/>
    <w:basedOn w:val="TableNormal"/>
    <w:next w:val="TableGrid"/>
    <w:uiPriority w:val="59"/>
    <w:rsid w:val="007C4420"/>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39"/>
    <w:rsid w:val="007C4420"/>
    <w:pPr>
      <w:spacing w:after="0" w:line="240" w:lineRule="auto"/>
    </w:pPr>
    <w:rPr>
      <w:rFonts w:ascii="Calibri" w:eastAsia="Calibri" w:hAnsi="Calibr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
    <w:name w:val="No List37"/>
    <w:next w:val="NoList"/>
    <w:uiPriority w:val="99"/>
    <w:semiHidden/>
    <w:unhideWhenUsed/>
    <w:rsid w:val="007C4420"/>
  </w:style>
  <w:style w:type="numbering" w:customStyle="1" w:styleId="NoList42">
    <w:name w:val="No List42"/>
    <w:next w:val="NoList"/>
    <w:uiPriority w:val="99"/>
    <w:semiHidden/>
    <w:unhideWhenUsed/>
    <w:rsid w:val="007C4420"/>
  </w:style>
  <w:style w:type="numbering" w:customStyle="1" w:styleId="NoList124">
    <w:name w:val="No List124"/>
    <w:next w:val="NoList"/>
    <w:uiPriority w:val="99"/>
    <w:semiHidden/>
    <w:unhideWhenUsed/>
    <w:rsid w:val="007C4420"/>
  </w:style>
  <w:style w:type="table" w:customStyle="1" w:styleId="TableGrid310">
    <w:name w:val="Table Grid310"/>
    <w:basedOn w:val="TableNormal"/>
    <w:next w:val="TableGrid"/>
    <w:uiPriority w:val="59"/>
    <w:rsid w:val="007C4420"/>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93DB0"/>
    <w:rPr>
      <w:color w:val="800080" w:themeColor="followedHyperlink"/>
      <w:u w:val="single"/>
    </w:rPr>
  </w:style>
  <w:style w:type="numbering" w:customStyle="1" w:styleId="NoList20">
    <w:name w:val="No List20"/>
    <w:next w:val="NoList"/>
    <w:uiPriority w:val="99"/>
    <w:semiHidden/>
    <w:unhideWhenUsed/>
    <w:rsid w:val="00F275E1"/>
  </w:style>
  <w:style w:type="numbering" w:customStyle="1" w:styleId="NoList110">
    <w:name w:val="No List110"/>
    <w:next w:val="NoList"/>
    <w:uiPriority w:val="99"/>
    <w:semiHidden/>
    <w:unhideWhenUsed/>
    <w:rsid w:val="00F275E1"/>
  </w:style>
  <w:style w:type="table" w:customStyle="1" w:styleId="TableGrid40">
    <w:name w:val="Table Grid40"/>
    <w:basedOn w:val="TableNormal"/>
    <w:next w:val="TableGrid"/>
    <w:uiPriority w:val="59"/>
    <w:rsid w:val="00F27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F275E1"/>
  </w:style>
  <w:style w:type="numbering" w:customStyle="1" w:styleId="NoList119">
    <w:name w:val="No List119"/>
    <w:next w:val="NoList"/>
    <w:uiPriority w:val="99"/>
    <w:semiHidden/>
    <w:unhideWhenUsed/>
    <w:rsid w:val="00F275E1"/>
  </w:style>
  <w:style w:type="table" w:customStyle="1" w:styleId="TableGrid118">
    <w:name w:val="Table Grid118"/>
    <w:basedOn w:val="TableNormal"/>
    <w:next w:val="TableGrid"/>
    <w:uiPriority w:val="59"/>
    <w:rsid w:val="00F27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F275E1"/>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NoList"/>
    <w:uiPriority w:val="99"/>
    <w:semiHidden/>
    <w:unhideWhenUsed/>
    <w:rsid w:val="00F275E1"/>
  </w:style>
  <w:style w:type="numbering" w:customStyle="1" w:styleId="NoList43">
    <w:name w:val="No List43"/>
    <w:next w:val="NoList"/>
    <w:uiPriority w:val="99"/>
    <w:semiHidden/>
    <w:unhideWhenUsed/>
    <w:rsid w:val="00F275E1"/>
  </w:style>
  <w:style w:type="numbering" w:customStyle="1" w:styleId="NoList125">
    <w:name w:val="No List125"/>
    <w:next w:val="NoList"/>
    <w:uiPriority w:val="99"/>
    <w:semiHidden/>
    <w:unhideWhenUsed/>
    <w:rsid w:val="00F275E1"/>
  </w:style>
  <w:style w:type="table" w:customStyle="1" w:styleId="TableGrid311">
    <w:name w:val="Table Grid311"/>
    <w:basedOn w:val="TableNormal"/>
    <w:next w:val="TableGrid"/>
    <w:uiPriority w:val="59"/>
    <w:rsid w:val="00F27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uiPriority w:val="99"/>
    <w:semiHidden/>
    <w:unhideWhenUsed/>
    <w:rsid w:val="00F275E1"/>
  </w:style>
  <w:style w:type="numbering" w:customStyle="1" w:styleId="NoList213">
    <w:name w:val="No List213"/>
    <w:next w:val="NoList"/>
    <w:uiPriority w:val="99"/>
    <w:semiHidden/>
    <w:unhideWhenUsed/>
    <w:rsid w:val="00F275E1"/>
  </w:style>
  <w:style w:type="numbering" w:customStyle="1" w:styleId="NoList11111">
    <w:name w:val="No List11111"/>
    <w:next w:val="NoList"/>
    <w:uiPriority w:val="99"/>
    <w:semiHidden/>
    <w:unhideWhenUsed/>
    <w:rsid w:val="00F275E1"/>
  </w:style>
  <w:style w:type="table" w:customStyle="1" w:styleId="TableGrid119">
    <w:name w:val="Table Grid119"/>
    <w:basedOn w:val="TableNormal"/>
    <w:next w:val="TableGrid"/>
    <w:uiPriority w:val="59"/>
    <w:rsid w:val="00F275E1"/>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59"/>
    <w:rsid w:val="00F275E1"/>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F275E1"/>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F275E1"/>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F275E1"/>
  </w:style>
  <w:style w:type="table" w:customStyle="1" w:styleId="TableGrid51">
    <w:name w:val="Table Grid51"/>
    <w:basedOn w:val="TableNormal"/>
    <w:next w:val="TableGrid"/>
    <w:uiPriority w:val="59"/>
    <w:rsid w:val="00F275E1"/>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F275E1"/>
  </w:style>
  <w:style w:type="numbering" w:customStyle="1" w:styleId="NoList1121">
    <w:name w:val="No List1121"/>
    <w:next w:val="NoList"/>
    <w:uiPriority w:val="99"/>
    <w:semiHidden/>
    <w:unhideWhenUsed/>
    <w:rsid w:val="00F275E1"/>
  </w:style>
  <w:style w:type="table" w:customStyle="1" w:styleId="TableGrid121">
    <w:name w:val="Table Grid121"/>
    <w:basedOn w:val="TableNormal"/>
    <w:next w:val="TableGrid"/>
    <w:uiPriority w:val="59"/>
    <w:rsid w:val="00F275E1"/>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F275E1"/>
  </w:style>
  <w:style w:type="numbering" w:customStyle="1" w:styleId="NoList1211">
    <w:name w:val="No List1211"/>
    <w:next w:val="NoList"/>
    <w:uiPriority w:val="99"/>
    <w:semiHidden/>
    <w:unhideWhenUsed/>
    <w:rsid w:val="00F275E1"/>
  </w:style>
  <w:style w:type="table" w:customStyle="1" w:styleId="TableGrid231">
    <w:name w:val="Table Grid231"/>
    <w:basedOn w:val="TableNormal"/>
    <w:next w:val="TableGrid"/>
    <w:uiPriority w:val="59"/>
    <w:rsid w:val="00F275E1"/>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uiPriority w:val="99"/>
    <w:semiHidden/>
    <w:unhideWhenUsed/>
    <w:rsid w:val="00F275E1"/>
  </w:style>
  <w:style w:type="numbering" w:customStyle="1" w:styleId="NoList11121">
    <w:name w:val="No List11121"/>
    <w:next w:val="NoList"/>
    <w:uiPriority w:val="99"/>
    <w:semiHidden/>
    <w:unhideWhenUsed/>
    <w:rsid w:val="00F275E1"/>
  </w:style>
  <w:style w:type="table" w:customStyle="1" w:styleId="TableGrid1111">
    <w:name w:val="Table Grid1111"/>
    <w:basedOn w:val="TableNormal"/>
    <w:next w:val="TableGrid"/>
    <w:uiPriority w:val="59"/>
    <w:rsid w:val="00F275E1"/>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F275E1"/>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F275E1"/>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F275E1"/>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F275E1"/>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F275E1"/>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F275E1"/>
  </w:style>
  <w:style w:type="numbering" w:customStyle="1" w:styleId="NoList141">
    <w:name w:val="No List141"/>
    <w:next w:val="NoList"/>
    <w:uiPriority w:val="99"/>
    <w:semiHidden/>
    <w:unhideWhenUsed/>
    <w:rsid w:val="00F275E1"/>
  </w:style>
  <w:style w:type="table" w:customStyle="1" w:styleId="TableGrid91">
    <w:name w:val="Table Grid91"/>
    <w:basedOn w:val="TableNormal"/>
    <w:next w:val="TableGrid"/>
    <w:uiPriority w:val="59"/>
    <w:rsid w:val="00F275E1"/>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uiPriority w:val="99"/>
    <w:semiHidden/>
    <w:unhideWhenUsed/>
    <w:rsid w:val="00F275E1"/>
  </w:style>
  <w:style w:type="numbering" w:customStyle="1" w:styleId="NoList1131">
    <w:name w:val="No List1131"/>
    <w:next w:val="NoList"/>
    <w:uiPriority w:val="99"/>
    <w:semiHidden/>
    <w:unhideWhenUsed/>
    <w:rsid w:val="00F275E1"/>
  </w:style>
  <w:style w:type="table" w:customStyle="1" w:styleId="TableGrid151">
    <w:name w:val="Table Grid151"/>
    <w:basedOn w:val="TableNormal"/>
    <w:next w:val="TableGrid"/>
    <w:uiPriority w:val="59"/>
    <w:rsid w:val="00F275E1"/>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39"/>
    <w:rsid w:val="00F275E1"/>
    <w:pPr>
      <w:spacing w:after="0" w:line="240" w:lineRule="auto"/>
    </w:pPr>
    <w:rPr>
      <w:rFonts w:ascii="Calibri" w:eastAsia="Calibri" w:hAnsi="Calibr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
    <w:name w:val="No List321"/>
    <w:next w:val="NoList"/>
    <w:uiPriority w:val="99"/>
    <w:semiHidden/>
    <w:unhideWhenUsed/>
    <w:rsid w:val="00F275E1"/>
  </w:style>
  <w:style w:type="table" w:customStyle="1" w:styleId="TableGrid101">
    <w:name w:val="Table Grid101"/>
    <w:basedOn w:val="TableNormal"/>
    <w:next w:val="TableGrid"/>
    <w:uiPriority w:val="59"/>
    <w:rsid w:val="00F275E1"/>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F275E1"/>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F275E1"/>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F275E1"/>
  </w:style>
  <w:style w:type="numbering" w:customStyle="1" w:styleId="NoList151">
    <w:name w:val="No List151"/>
    <w:next w:val="NoList"/>
    <w:uiPriority w:val="99"/>
    <w:semiHidden/>
    <w:unhideWhenUsed/>
    <w:rsid w:val="00F275E1"/>
  </w:style>
  <w:style w:type="table" w:customStyle="1" w:styleId="TableGrid181">
    <w:name w:val="Table Grid181"/>
    <w:basedOn w:val="TableNormal"/>
    <w:next w:val="TableGrid"/>
    <w:uiPriority w:val="59"/>
    <w:rsid w:val="00F275E1"/>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uiPriority w:val="99"/>
    <w:semiHidden/>
    <w:unhideWhenUsed/>
    <w:rsid w:val="00F275E1"/>
  </w:style>
  <w:style w:type="numbering" w:customStyle="1" w:styleId="NoList1141">
    <w:name w:val="No List1141"/>
    <w:next w:val="NoList"/>
    <w:uiPriority w:val="99"/>
    <w:semiHidden/>
    <w:unhideWhenUsed/>
    <w:rsid w:val="00F275E1"/>
  </w:style>
  <w:style w:type="table" w:customStyle="1" w:styleId="TableGrid191">
    <w:name w:val="Table Grid191"/>
    <w:basedOn w:val="TableNormal"/>
    <w:next w:val="TableGrid"/>
    <w:uiPriority w:val="59"/>
    <w:rsid w:val="00F275E1"/>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39"/>
    <w:rsid w:val="00F275E1"/>
    <w:pPr>
      <w:spacing w:after="0" w:line="240" w:lineRule="auto"/>
    </w:pPr>
    <w:rPr>
      <w:rFonts w:ascii="Calibri" w:eastAsia="Calibri" w:hAnsi="Calibr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
    <w:name w:val="No List331"/>
    <w:next w:val="NoList"/>
    <w:uiPriority w:val="99"/>
    <w:semiHidden/>
    <w:unhideWhenUsed/>
    <w:rsid w:val="00F275E1"/>
  </w:style>
  <w:style w:type="table" w:customStyle="1" w:styleId="TableGrid261">
    <w:name w:val="Table Grid261"/>
    <w:basedOn w:val="TableNormal"/>
    <w:next w:val="TableGrid"/>
    <w:uiPriority w:val="39"/>
    <w:rsid w:val="00F275E1"/>
    <w:pPr>
      <w:spacing w:after="0" w:line="240" w:lineRule="auto"/>
    </w:pPr>
    <w:rPr>
      <w:rFonts w:ascii="Calibri" w:eastAsia="Calibri" w:hAnsi="Calibr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F275E1"/>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uiPriority w:val="59"/>
    <w:rsid w:val="00F275E1"/>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uiPriority w:val="59"/>
    <w:rsid w:val="00F275E1"/>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F275E1"/>
  </w:style>
  <w:style w:type="numbering" w:customStyle="1" w:styleId="NoList161">
    <w:name w:val="No List161"/>
    <w:next w:val="NoList"/>
    <w:uiPriority w:val="99"/>
    <w:semiHidden/>
    <w:unhideWhenUsed/>
    <w:rsid w:val="00F275E1"/>
  </w:style>
  <w:style w:type="table" w:customStyle="1" w:styleId="TableGrid291">
    <w:name w:val="Table Grid291"/>
    <w:basedOn w:val="TableNormal"/>
    <w:next w:val="TableGrid"/>
    <w:uiPriority w:val="59"/>
    <w:rsid w:val="00F275E1"/>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uiPriority w:val="99"/>
    <w:semiHidden/>
    <w:unhideWhenUsed/>
    <w:rsid w:val="00F275E1"/>
  </w:style>
  <w:style w:type="numbering" w:customStyle="1" w:styleId="NoList1151">
    <w:name w:val="No List1151"/>
    <w:next w:val="NoList"/>
    <w:uiPriority w:val="99"/>
    <w:semiHidden/>
    <w:unhideWhenUsed/>
    <w:rsid w:val="00F275E1"/>
  </w:style>
  <w:style w:type="table" w:customStyle="1" w:styleId="TableGrid1101">
    <w:name w:val="Table Grid1101"/>
    <w:basedOn w:val="TableNormal"/>
    <w:next w:val="TableGrid"/>
    <w:uiPriority w:val="59"/>
    <w:rsid w:val="00F275E1"/>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uiPriority w:val="39"/>
    <w:rsid w:val="00F275E1"/>
    <w:pPr>
      <w:spacing w:after="0" w:line="240" w:lineRule="auto"/>
    </w:pPr>
    <w:rPr>
      <w:rFonts w:ascii="Calibri" w:eastAsia="Calibri" w:hAnsi="Calibr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
    <w:name w:val="No List341"/>
    <w:next w:val="NoList"/>
    <w:uiPriority w:val="99"/>
    <w:semiHidden/>
    <w:unhideWhenUsed/>
    <w:rsid w:val="00F275E1"/>
  </w:style>
  <w:style w:type="numbering" w:customStyle="1" w:styleId="NoList411">
    <w:name w:val="No List411"/>
    <w:next w:val="NoList"/>
    <w:uiPriority w:val="99"/>
    <w:semiHidden/>
    <w:unhideWhenUsed/>
    <w:rsid w:val="00F275E1"/>
  </w:style>
  <w:style w:type="numbering" w:customStyle="1" w:styleId="NoList1221">
    <w:name w:val="No List1221"/>
    <w:next w:val="NoList"/>
    <w:uiPriority w:val="99"/>
    <w:semiHidden/>
    <w:unhideWhenUsed/>
    <w:rsid w:val="00F275E1"/>
  </w:style>
  <w:style w:type="table" w:customStyle="1" w:styleId="TableGrid312">
    <w:name w:val="Table Grid312"/>
    <w:basedOn w:val="TableNormal"/>
    <w:next w:val="TableGrid"/>
    <w:uiPriority w:val="59"/>
    <w:rsid w:val="00F275E1"/>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59"/>
    <w:rsid w:val="00F275E1"/>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uiPriority w:val="59"/>
    <w:rsid w:val="00F275E1"/>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F275E1"/>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F275E1"/>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F275E1"/>
  </w:style>
  <w:style w:type="numbering" w:customStyle="1" w:styleId="NoList171">
    <w:name w:val="No List171"/>
    <w:next w:val="NoList"/>
    <w:uiPriority w:val="99"/>
    <w:semiHidden/>
    <w:unhideWhenUsed/>
    <w:rsid w:val="00F275E1"/>
  </w:style>
  <w:style w:type="table" w:customStyle="1" w:styleId="TableGrid341">
    <w:name w:val="Table Grid341"/>
    <w:basedOn w:val="TableNormal"/>
    <w:next w:val="TableGrid"/>
    <w:uiPriority w:val="59"/>
    <w:rsid w:val="00F275E1"/>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F275E1"/>
  </w:style>
  <w:style w:type="numbering" w:customStyle="1" w:styleId="NoList1161">
    <w:name w:val="No List1161"/>
    <w:next w:val="NoList"/>
    <w:uiPriority w:val="99"/>
    <w:semiHidden/>
    <w:unhideWhenUsed/>
    <w:rsid w:val="00F275E1"/>
  </w:style>
  <w:style w:type="table" w:customStyle="1" w:styleId="TableGrid1131">
    <w:name w:val="Table Grid1131"/>
    <w:basedOn w:val="TableNormal"/>
    <w:next w:val="TableGrid"/>
    <w:uiPriority w:val="59"/>
    <w:rsid w:val="00F275E1"/>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1">
    <w:name w:val="No List351"/>
    <w:next w:val="NoList"/>
    <w:uiPriority w:val="99"/>
    <w:semiHidden/>
    <w:unhideWhenUsed/>
    <w:rsid w:val="00F275E1"/>
  </w:style>
  <w:style w:type="numbering" w:customStyle="1" w:styleId="NoList1231">
    <w:name w:val="No List1231"/>
    <w:next w:val="NoList"/>
    <w:uiPriority w:val="99"/>
    <w:semiHidden/>
    <w:unhideWhenUsed/>
    <w:rsid w:val="00F275E1"/>
  </w:style>
  <w:style w:type="table" w:customStyle="1" w:styleId="TableGrid2111">
    <w:name w:val="Table Grid2111"/>
    <w:basedOn w:val="TableNormal"/>
    <w:next w:val="TableGrid"/>
    <w:uiPriority w:val="59"/>
    <w:rsid w:val="00F275E1"/>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NoList"/>
    <w:uiPriority w:val="99"/>
    <w:semiHidden/>
    <w:unhideWhenUsed/>
    <w:rsid w:val="00F275E1"/>
  </w:style>
  <w:style w:type="numbering" w:customStyle="1" w:styleId="NoList11131">
    <w:name w:val="No List11131"/>
    <w:next w:val="NoList"/>
    <w:uiPriority w:val="99"/>
    <w:semiHidden/>
    <w:unhideWhenUsed/>
    <w:rsid w:val="00F275E1"/>
  </w:style>
  <w:style w:type="table" w:customStyle="1" w:styleId="TableGrid1141">
    <w:name w:val="Table Grid1141"/>
    <w:basedOn w:val="TableNormal"/>
    <w:next w:val="TableGrid"/>
    <w:uiPriority w:val="59"/>
    <w:rsid w:val="00F275E1"/>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F275E1"/>
  </w:style>
  <w:style w:type="numbering" w:customStyle="1" w:styleId="NoList181">
    <w:name w:val="No List181"/>
    <w:next w:val="NoList"/>
    <w:uiPriority w:val="99"/>
    <w:semiHidden/>
    <w:unhideWhenUsed/>
    <w:rsid w:val="00F275E1"/>
  </w:style>
  <w:style w:type="table" w:customStyle="1" w:styleId="TableGrid351">
    <w:name w:val="Table Grid351"/>
    <w:basedOn w:val="TableNormal"/>
    <w:next w:val="TableGrid"/>
    <w:uiPriority w:val="59"/>
    <w:rsid w:val="00F275E1"/>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NoList"/>
    <w:uiPriority w:val="99"/>
    <w:semiHidden/>
    <w:unhideWhenUsed/>
    <w:rsid w:val="00F275E1"/>
  </w:style>
  <w:style w:type="numbering" w:customStyle="1" w:styleId="NoList1171">
    <w:name w:val="No List1171"/>
    <w:next w:val="NoList"/>
    <w:uiPriority w:val="99"/>
    <w:semiHidden/>
    <w:unhideWhenUsed/>
    <w:rsid w:val="00F275E1"/>
  </w:style>
  <w:style w:type="table" w:customStyle="1" w:styleId="TableGrid1151">
    <w:name w:val="Table Grid1151"/>
    <w:basedOn w:val="TableNormal"/>
    <w:next w:val="TableGrid"/>
    <w:uiPriority w:val="59"/>
    <w:rsid w:val="00F275E1"/>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39"/>
    <w:rsid w:val="00F275E1"/>
    <w:pPr>
      <w:spacing w:after="0" w:line="240" w:lineRule="auto"/>
    </w:pPr>
    <w:rPr>
      <w:rFonts w:ascii="Calibri" w:eastAsia="Calibri" w:hAnsi="Calibr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1">
    <w:name w:val="No List361"/>
    <w:next w:val="NoList"/>
    <w:uiPriority w:val="99"/>
    <w:semiHidden/>
    <w:unhideWhenUsed/>
    <w:rsid w:val="00F275E1"/>
  </w:style>
  <w:style w:type="table" w:customStyle="1" w:styleId="TableGrid361">
    <w:name w:val="Table Grid361"/>
    <w:basedOn w:val="TableNormal"/>
    <w:next w:val="TableGrid"/>
    <w:uiPriority w:val="59"/>
    <w:rsid w:val="00F275E1"/>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next w:val="TableGrid"/>
    <w:uiPriority w:val="59"/>
    <w:rsid w:val="00F275E1"/>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uiPriority w:val="59"/>
    <w:rsid w:val="00F275E1"/>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59"/>
    <w:rsid w:val="00F275E1"/>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F275E1"/>
  </w:style>
  <w:style w:type="numbering" w:customStyle="1" w:styleId="NoList191">
    <w:name w:val="No List191"/>
    <w:next w:val="NoList"/>
    <w:uiPriority w:val="99"/>
    <w:semiHidden/>
    <w:unhideWhenUsed/>
    <w:rsid w:val="00F275E1"/>
  </w:style>
  <w:style w:type="table" w:customStyle="1" w:styleId="TableGrid391">
    <w:name w:val="Table Grid391"/>
    <w:basedOn w:val="TableNormal"/>
    <w:next w:val="TableGrid"/>
    <w:uiPriority w:val="59"/>
    <w:rsid w:val="00F275E1"/>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NoList"/>
    <w:uiPriority w:val="99"/>
    <w:semiHidden/>
    <w:unhideWhenUsed/>
    <w:rsid w:val="00F275E1"/>
  </w:style>
  <w:style w:type="numbering" w:customStyle="1" w:styleId="NoList1181">
    <w:name w:val="No List1181"/>
    <w:next w:val="NoList"/>
    <w:uiPriority w:val="99"/>
    <w:semiHidden/>
    <w:unhideWhenUsed/>
    <w:rsid w:val="00F275E1"/>
  </w:style>
  <w:style w:type="table" w:customStyle="1" w:styleId="TableGrid1171">
    <w:name w:val="Table Grid1171"/>
    <w:basedOn w:val="TableNormal"/>
    <w:next w:val="TableGrid"/>
    <w:uiPriority w:val="59"/>
    <w:rsid w:val="00F275E1"/>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uiPriority w:val="39"/>
    <w:rsid w:val="00F275E1"/>
    <w:pPr>
      <w:spacing w:after="0" w:line="240" w:lineRule="auto"/>
    </w:pPr>
    <w:rPr>
      <w:rFonts w:ascii="Calibri" w:eastAsia="Calibri" w:hAnsi="Calibr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1">
    <w:name w:val="No List371"/>
    <w:next w:val="NoList"/>
    <w:uiPriority w:val="99"/>
    <w:semiHidden/>
    <w:unhideWhenUsed/>
    <w:rsid w:val="00F275E1"/>
  </w:style>
  <w:style w:type="numbering" w:customStyle="1" w:styleId="NoList421">
    <w:name w:val="No List421"/>
    <w:next w:val="NoList"/>
    <w:uiPriority w:val="99"/>
    <w:semiHidden/>
    <w:unhideWhenUsed/>
    <w:rsid w:val="00F275E1"/>
  </w:style>
  <w:style w:type="numbering" w:customStyle="1" w:styleId="NoList1241">
    <w:name w:val="No List1241"/>
    <w:next w:val="NoList"/>
    <w:uiPriority w:val="99"/>
    <w:semiHidden/>
    <w:unhideWhenUsed/>
    <w:rsid w:val="00F275E1"/>
  </w:style>
  <w:style w:type="table" w:customStyle="1" w:styleId="TableGrid3101">
    <w:name w:val="Table Grid3101"/>
    <w:basedOn w:val="TableNormal"/>
    <w:next w:val="TableGrid"/>
    <w:uiPriority w:val="59"/>
    <w:rsid w:val="00F275E1"/>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B544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B544B4"/>
  </w:style>
  <w:style w:type="numbering" w:customStyle="1" w:styleId="NoList120">
    <w:name w:val="No List120"/>
    <w:next w:val="NoList"/>
    <w:uiPriority w:val="99"/>
    <w:semiHidden/>
    <w:unhideWhenUsed/>
    <w:rsid w:val="00B544B4"/>
  </w:style>
  <w:style w:type="table" w:customStyle="1" w:styleId="TableGrid42">
    <w:name w:val="Table Grid42"/>
    <w:basedOn w:val="TableNormal"/>
    <w:next w:val="TableGrid"/>
    <w:uiPriority w:val="59"/>
    <w:rsid w:val="00B544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NoList"/>
    <w:uiPriority w:val="99"/>
    <w:semiHidden/>
    <w:unhideWhenUsed/>
    <w:rsid w:val="00B544B4"/>
  </w:style>
  <w:style w:type="numbering" w:customStyle="1" w:styleId="NoList1110">
    <w:name w:val="No List1110"/>
    <w:next w:val="NoList"/>
    <w:uiPriority w:val="99"/>
    <w:semiHidden/>
    <w:unhideWhenUsed/>
    <w:rsid w:val="00B544B4"/>
  </w:style>
  <w:style w:type="table" w:customStyle="1" w:styleId="TableGrid120">
    <w:name w:val="Table Grid120"/>
    <w:basedOn w:val="TableNormal"/>
    <w:next w:val="TableGrid"/>
    <w:uiPriority w:val="59"/>
    <w:rsid w:val="00B544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B544B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9">
    <w:name w:val="No List39"/>
    <w:next w:val="NoList"/>
    <w:uiPriority w:val="99"/>
    <w:semiHidden/>
    <w:unhideWhenUsed/>
    <w:rsid w:val="00B544B4"/>
  </w:style>
  <w:style w:type="numbering" w:customStyle="1" w:styleId="NoList44">
    <w:name w:val="No List44"/>
    <w:next w:val="NoList"/>
    <w:uiPriority w:val="99"/>
    <w:semiHidden/>
    <w:unhideWhenUsed/>
    <w:rsid w:val="00B544B4"/>
  </w:style>
  <w:style w:type="numbering" w:customStyle="1" w:styleId="NoList126">
    <w:name w:val="No List126"/>
    <w:next w:val="NoList"/>
    <w:uiPriority w:val="99"/>
    <w:semiHidden/>
    <w:unhideWhenUsed/>
    <w:rsid w:val="00B544B4"/>
  </w:style>
  <w:style w:type="table" w:customStyle="1" w:styleId="TableGrid314">
    <w:name w:val="Table Grid314"/>
    <w:basedOn w:val="TableNormal"/>
    <w:next w:val="TableGrid"/>
    <w:uiPriority w:val="59"/>
    <w:rsid w:val="00B544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B544B4"/>
  </w:style>
  <w:style w:type="numbering" w:customStyle="1" w:styleId="NoList214">
    <w:name w:val="No List214"/>
    <w:next w:val="NoList"/>
    <w:uiPriority w:val="99"/>
    <w:semiHidden/>
    <w:unhideWhenUsed/>
    <w:rsid w:val="00B544B4"/>
  </w:style>
  <w:style w:type="numbering" w:customStyle="1" w:styleId="NoList11112">
    <w:name w:val="No List11112"/>
    <w:next w:val="NoList"/>
    <w:uiPriority w:val="99"/>
    <w:semiHidden/>
    <w:unhideWhenUsed/>
    <w:rsid w:val="00B544B4"/>
  </w:style>
  <w:style w:type="table" w:customStyle="1" w:styleId="TableGrid1110">
    <w:name w:val="Table Grid1110"/>
    <w:basedOn w:val="TableNormal"/>
    <w:next w:val="TableGrid"/>
    <w:uiPriority w:val="59"/>
    <w:rsid w:val="00B544B4"/>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59"/>
    <w:rsid w:val="00B544B4"/>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B544B4"/>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B544B4"/>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B544B4"/>
  </w:style>
  <w:style w:type="table" w:customStyle="1" w:styleId="TableGrid52">
    <w:name w:val="Table Grid52"/>
    <w:basedOn w:val="TableNormal"/>
    <w:next w:val="TableGrid"/>
    <w:uiPriority w:val="59"/>
    <w:rsid w:val="00B544B4"/>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uiPriority w:val="99"/>
    <w:semiHidden/>
    <w:unhideWhenUsed/>
    <w:rsid w:val="00B544B4"/>
  </w:style>
  <w:style w:type="numbering" w:customStyle="1" w:styleId="NoList1122">
    <w:name w:val="No List1122"/>
    <w:next w:val="NoList"/>
    <w:uiPriority w:val="99"/>
    <w:semiHidden/>
    <w:unhideWhenUsed/>
    <w:rsid w:val="00B544B4"/>
  </w:style>
  <w:style w:type="table" w:customStyle="1" w:styleId="TableGrid122">
    <w:name w:val="Table Grid122"/>
    <w:basedOn w:val="TableNormal"/>
    <w:next w:val="TableGrid"/>
    <w:uiPriority w:val="59"/>
    <w:rsid w:val="00B544B4"/>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B544B4"/>
  </w:style>
  <w:style w:type="numbering" w:customStyle="1" w:styleId="NoList1212">
    <w:name w:val="No List1212"/>
    <w:next w:val="NoList"/>
    <w:uiPriority w:val="99"/>
    <w:semiHidden/>
    <w:unhideWhenUsed/>
    <w:rsid w:val="00B544B4"/>
  </w:style>
  <w:style w:type="table" w:customStyle="1" w:styleId="TableGrid232">
    <w:name w:val="Table Grid232"/>
    <w:basedOn w:val="TableNormal"/>
    <w:next w:val="TableGrid"/>
    <w:uiPriority w:val="59"/>
    <w:rsid w:val="00B544B4"/>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NoList"/>
    <w:uiPriority w:val="99"/>
    <w:semiHidden/>
    <w:unhideWhenUsed/>
    <w:rsid w:val="00B544B4"/>
  </w:style>
  <w:style w:type="numbering" w:customStyle="1" w:styleId="NoList11122">
    <w:name w:val="No List11122"/>
    <w:next w:val="NoList"/>
    <w:uiPriority w:val="99"/>
    <w:semiHidden/>
    <w:unhideWhenUsed/>
    <w:rsid w:val="00B544B4"/>
  </w:style>
  <w:style w:type="table" w:customStyle="1" w:styleId="TableGrid1112">
    <w:name w:val="Table Grid1112"/>
    <w:basedOn w:val="TableNormal"/>
    <w:next w:val="TableGrid"/>
    <w:uiPriority w:val="59"/>
    <w:rsid w:val="00B544B4"/>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B544B4"/>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B544B4"/>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B544B4"/>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B544B4"/>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B544B4"/>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B544B4"/>
  </w:style>
  <w:style w:type="numbering" w:customStyle="1" w:styleId="NoList142">
    <w:name w:val="No List142"/>
    <w:next w:val="NoList"/>
    <w:uiPriority w:val="99"/>
    <w:semiHidden/>
    <w:unhideWhenUsed/>
    <w:rsid w:val="00B544B4"/>
  </w:style>
  <w:style w:type="table" w:customStyle="1" w:styleId="TableGrid92">
    <w:name w:val="Table Grid92"/>
    <w:basedOn w:val="TableNormal"/>
    <w:next w:val="TableGrid"/>
    <w:uiPriority w:val="59"/>
    <w:rsid w:val="00B544B4"/>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uiPriority w:val="99"/>
    <w:semiHidden/>
    <w:unhideWhenUsed/>
    <w:rsid w:val="00B544B4"/>
  </w:style>
  <w:style w:type="numbering" w:customStyle="1" w:styleId="NoList1132">
    <w:name w:val="No List1132"/>
    <w:next w:val="NoList"/>
    <w:uiPriority w:val="99"/>
    <w:semiHidden/>
    <w:unhideWhenUsed/>
    <w:rsid w:val="00B544B4"/>
  </w:style>
  <w:style w:type="table" w:customStyle="1" w:styleId="TableGrid152">
    <w:name w:val="Table Grid152"/>
    <w:basedOn w:val="TableNormal"/>
    <w:next w:val="TableGrid"/>
    <w:uiPriority w:val="59"/>
    <w:rsid w:val="00B544B4"/>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39"/>
    <w:rsid w:val="00B544B4"/>
    <w:pPr>
      <w:spacing w:after="0" w:line="240" w:lineRule="auto"/>
    </w:pPr>
    <w:rPr>
      <w:rFonts w:ascii="Calibri" w:eastAsia="Calibri" w:hAnsi="Calibr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2">
    <w:name w:val="No List322"/>
    <w:next w:val="NoList"/>
    <w:uiPriority w:val="99"/>
    <w:semiHidden/>
    <w:unhideWhenUsed/>
    <w:rsid w:val="00B544B4"/>
  </w:style>
  <w:style w:type="table" w:customStyle="1" w:styleId="TableGrid102">
    <w:name w:val="Table Grid102"/>
    <w:basedOn w:val="TableNormal"/>
    <w:next w:val="TableGrid"/>
    <w:uiPriority w:val="59"/>
    <w:rsid w:val="00B544B4"/>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B544B4"/>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B544B4"/>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B544B4"/>
  </w:style>
  <w:style w:type="numbering" w:customStyle="1" w:styleId="NoList152">
    <w:name w:val="No List152"/>
    <w:next w:val="NoList"/>
    <w:uiPriority w:val="99"/>
    <w:semiHidden/>
    <w:unhideWhenUsed/>
    <w:rsid w:val="00B544B4"/>
  </w:style>
  <w:style w:type="table" w:customStyle="1" w:styleId="TableGrid182">
    <w:name w:val="Table Grid182"/>
    <w:basedOn w:val="TableNormal"/>
    <w:next w:val="TableGrid"/>
    <w:uiPriority w:val="59"/>
    <w:rsid w:val="00B544B4"/>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uiPriority w:val="99"/>
    <w:semiHidden/>
    <w:unhideWhenUsed/>
    <w:rsid w:val="00B544B4"/>
  </w:style>
  <w:style w:type="numbering" w:customStyle="1" w:styleId="NoList1142">
    <w:name w:val="No List1142"/>
    <w:next w:val="NoList"/>
    <w:uiPriority w:val="99"/>
    <w:semiHidden/>
    <w:unhideWhenUsed/>
    <w:rsid w:val="00B544B4"/>
  </w:style>
  <w:style w:type="table" w:customStyle="1" w:styleId="TableGrid192">
    <w:name w:val="Table Grid192"/>
    <w:basedOn w:val="TableNormal"/>
    <w:next w:val="TableGrid"/>
    <w:uiPriority w:val="59"/>
    <w:rsid w:val="00B544B4"/>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uiPriority w:val="39"/>
    <w:rsid w:val="00B544B4"/>
    <w:pPr>
      <w:spacing w:after="0" w:line="240" w:lineRule="auto"/>
    </w:pPr>
    <w:rPr>
      <w:rFonts w:ascii="Calibri" w:eastAsia="Calibri" w:hAnsi="Calibr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NoList"/>
    <w:uiPriority w:val="99"/>
    <w:semiHidden/>
    <w:unhideWhenUsed/>
    <w:rsid w:val="00B544B4"/>
  </w:style>
  <w:style w:type="table" w:customStyle="1" w:styleId="TableGrid262">
    <w:name w:val="Table Grid262"/>
    <w:basedOn w:val="TableNormal"/>
    <w:next w:val="TableGrid"/>
    <w:uiPriority w:val="39"/>
    <w:rsid w:val="00B544B4"/>
    <w:pPr>
      <w:spacing w:after="0" w:line="240" w:lineRule="auto"/>
    </w:pPr>
    <w:rPr>
      <w:rFonts w:ascii="Calibri" w:eastAsia="Calibri" w:hAnsi="Calibr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B544B4"/>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
    <w:name w:val="Table Grid272"/>
    <w:basedOn w:val="TableNormal"/>
    <w:next w:val="TableGrid"/>
    <w:uiPriority w:val="59"/>
    <w:rsid w:val="00B544B4"/>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next w:val="TableGrid"/>
    <w:uiPriority w:val="59"/>
    <w:rsid w:val="00B544B4"/>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B544B4"/>
  </w:style>
  <w:style w:type="numbering" w:customStyle="1" w:styleId="NoList162">
    <w:name w:val="No List162"/>
    <w:next w:val="NoList"/>
    <w:uiPriority w:val="99"/>
    <w:semiHidden/>
    <w:unhideWhenUsed/>
    <w:rsid w:val="00B544B4"/>
  </w:style>
  <w:style w:type="table" w:customStyle="1" w:styleId="TableGrid292">
    <w:name w:val="Table Grid292"/>
    <w:basedOn w:val="TableNormal"/>
    <w:next w:val="TableGrid"/>
    <w:uiPriority w:val="59"/>
    <w:rsid w:val="00B544B4"/>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NoList"/>
    <w:uiPriority w:val="99"/>
    <w:semiHidden/>
    <w:unhideWhenUsed/>
    <w:rsid w:val="00B544B4"/>
  </w:style>
  <w:style w:type="numbering" w:customStyle="1" w:styleId="NoList1152">
    <w:name w:val="No List1152"/>
    <w:next w:val="NoList"/>
    <w:uiPriority w:val="99"/>
    <w:semiHidden/>
    <w:unhideWhenUsed/>
    <w:rsid w:val="00B544B4"/>
  </w:style>
  <w:style w:type="table" w:customStyle="1" w:styleId="TableGrid1102">
    <w:name w:val="Table Grid1102"/>
    <w:basedOn w:val="TableNormal"/>
    <w:next w:val="TableGrid"/>
    <w:uiPriority w:val="59"/>
    <w:rsid w:val="00B544B4"/>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
    <w:name w:val="Table Grid2102"/>
    <w:basedOn w:val="TableNormal"/>
    <w:next w:val="TableGrid"/>
    <w:uiPriority w:val="39"/>
    <w:rsid w:val="00B544B4"/>
    <w:pPr>
      <w:spacing w:after="0" w:line="240" w:lineRule="auto"/>
    </w:pPr>
    <w:rPr>
      <w:rFonts w:ascii="Calibri" w:eastAsia="Calibri" w:hAnsi="Calibr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NoList"/>
    <w:uiPriority w:val="99"/>
    <w:semiHidden/>
    <w:unhideWhenUsed/>
    <w:rsid w:val="00B544B4"/>
  </w:style>
  <w:style w:type="numbering" w:customStyle="1" w:styleId="NoList412">
    <w:name w:val="No List412"/>
    <w:next w:val="NoList"/>
    <w:uiPriority w:val="99"/>
    <w:semiHidden/>
    <w:unhideWhenUsed/>
    <w:rsid w:val="00B544B4"/>
  </w:style>
  <w:style w:type="numbering" w:customStyle="1" w:styleId="NoList1222">
    <w:name w:val="No List1222"/>
    <w:next w:val="NoList"/>
    <w:uiPriority w:val="99"/>
    <w:semiHidden/>
    <w:unhideWhenUsed/>
    <w:rsid w:val="00B544B4"/>
  </w:style>
  <w:style w:type="table" w:customStyle="1" w:styleId="TableGrid315">
    <w:name w:val="Table Grid315"/>
    <w:basedOn w:val="TableNormal"/>
    <w:next w:val="TableGrid"/>
    <w:uiPriority w:val="59"/>
    <w:rsid w:val="00B544B4"/>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uiPriority w:val="59"/>
    <w:rsid w:val="00B544B4"/>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2">
    <w:name w:val="Table Grid302"/>
    <w:basedOn w:val="TableNormal"/>
    <w:next w:val="TableGrid"/>
    <w:uiPriority w:val="59"/>
    <w:rsid w:val="00B544B4"/>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B544B4"/>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B544B4"/>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B544B4"/>
  </w:style>
  <w:style w:type="numbering" w:customStyle="1" w:styleId="NoList172">
    <w:name w:val="No List172"/>
    <w:next w:val="NoList"/>
    <w:uiPriority w:val="99"/>
    <w:semiHidden/>
    <w:unhideWhenUsed/>
    <w:rsid w:val="00B544B4"/>
  </w:style>
  <w:style w:type="table" w:customStyle="1" w:styleId="TableGrid342">
    <w:name w:val="Table Grid342"/>
    <w:basedOn w:val="TableNormal"/>
    <w:next w:val="TableGrid"/>
    <w:uiPriority w:val="59"/>
    <w:rsid w:val="00B544B4"/>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uiPriority w:val="99"/>
    <w:semiHidden/>
    <w:unhideWhenUsed/>
    <w:rsid w:val="00B544B4"/>
  </w:style>
  <w:style w:type="numbering" w:customStyle="1" w:styleId="NoList1162">
    <w:name w:val="No List1162"/>
    <w:next w:val="NoList"/>
    <w:uiPriority w:val="99"/>
    <w:semiHidden/>
    <w:unhideWhenUsed/>
    <w:rsid w:val="00B544B4"/>
  </w:style>
  <w:style w:type="table" w:customStyle="1" w:styleId="TableGrid1132">
    <w:name w:val="Table Grid1132"/>
    <w:basedOn w:val="TableNormal"/>
    <w:next w:val="TableGrid"/>
    <w:uiPriority w:val="59"/>
    <w:rsid w:val="00B544B4"/>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NoList"/>
    <w:uiPriority w:val="99"/>
    <w:semiHidden/>
    <w:unhideWhenUsed/>
    <w:rsid w:val="00B544B4"/>
  </w:style>
  <w:style w:type="numbering" w:customStyle="1" w:styleId="NoList1232">
    <w:name w:val="No List1232"/>
    <w:next w:val="NoList"/>
    <w:uiPriority w:val="99"/>
    <w:semiHidden/>
    <w:unhideWhenUsed/>
    <w:rsid w:val="00B544B4"/>
  </w:style>
  <w:style w:type="table" w:customStyle="1" w:styleId="TableGrid2112">
    <w:name w:val="Table Grid2112"/>
    <w:basedOn w:val="TableNormal"/>
    <w:next w:val="TableGrid"/>
    <w:uiPriority w:val="59"/>
    <w:rsid w:val="00B544B4"/>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
    <w:name w:val="No List2122"/>
    <w:next w:val="NoList"/>
    <w:uiPriority w:val="99"/>
    <w:semiHidden/>
    <w:unhideWhenUsed/>
    <w:rsid w:val="00B544B4"/>
  </w:style>
  <w:style w:type="numbering" w:customStyle="1" w:styleId="NoList11132">
    <w:name w:val="No List11132"/>
    <w:next w:val="NoList"/>
    <w:uiPriority w:val="99"/>
    <w:semiHidden/>
    <w:unhideWhenUsed/>
    <w:rsid w:val="00B544B4"/>
  </w:style>
  <w:style w:type="table" w:customStyle="1" w:styleId="TableGrid1142">
    <w:name w:val="Table Grid1142"/>
    <w:basedOn w:val="TableNormal"/>
    <w:next w:val="TableGrid"/>
    <w:uiPriority w:val="59"/>
    <w:rsid w:val="00B544B4"/>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B544B4"/>
  </w:style>
  <w:style w:type="numbering" w:customStyle="1" w:styleId="NoList182">
    <w:name w:val="No List182"/>
    <w:next w:val="NoList"/>
    <w:uiPriority w:val="99"/>
    <w:semiHidden/>
    <w:unhideWhenUsed/>
    <w:rsid w:val="00B544B4"/>
  </w:style>
  <w:style w:type="table" w:customStyle="1" w:styleId="TableGrid352">
    <w:name w:val="Table Grid352"/>
    <w:basedOn w:val="TableNormal"/>
    <w:next w:val="TableGrid"/>
    <w:uiPriority w:val="59"/>
    <w:rsid w:val="00B544B4"/>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2">
    <w:name w:val="No List272"/>
    <w:next w:val="NoList"/>
    <w:uiPriority w:val="99"/>
    <w:semiHidden/>
    <w:unhideWhenUsed/>
    <w:rsid w:val="00B544B4"/>
  </w:style>
  <w:style w:type="numbering" w:customStyle="1" w:styleId="NoList1172">
    <w:name w:val="No List1172"/>
    <w:next w:val="NoList"/>
    <w:uiPriority w:val="99"/>
    <w:semiHidden/>
    <w:unhideWhenUsed/>
    <w:rsid w:val="00B544B4"/>
  </w:style>
  <w:style w:type="table" w:customStyle="1" w:styleId="TableGrid1152">
    <w:name w:val="Table Grid1152"/>
    <w:basedOn w:val="TableNormal"/>
    <w:next w:val="TableGrid"/>
    <w:uiPriority w:val="59"/>
    <w:rsid w:val="00B544B4"/>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uiPriority w:val="39"/>
    <w:rsid w:val="00B544B4"/>
    <w:pPr>
      <w:spacing w:after="0" w:line="240" w:lineRule="auto"/>
    </w:pPr>
    <w:rPr>
      <w:rFonts w:ascii="Calibri" w:eastAsia="Calibri" w:hAnsi="Calibr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2">
    <w:name w:val="No List362"/>
    <w:next w:val="NoList"/>
    <w:uiPriority w:val="99"/>
    <w:semiHidden/>
    <w:unhideWhenUsed/>
    <w:rsid w:val="00B544B4"/>
  </w:style>
  <w:style w:type="table" w:customStyle="1" w:styleId="TableGrid362">
    <w:name w:val="Table Grid362"/>
    <w:basedOn w:val="TableNormal"/>
    <w:next w:val="TableGrid"/>
    <w:uiPriority w:val="59"/>
    <w:rsid w:val="00B544B4"/>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1162"/>
    <w:basedOn w:val="TableNormal"/>
    <w:next w:val="TableGrid"/>
    <w:uiPriority w:val="59"/>
    <w:rsid w:val="00B544B4"/>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2">
    <w:name w:val="Table Grid372"/>
    <w:basedOn w:val="TableNormal"/>
    <w:next w:val="TableGrid"/>
    <w:uiPriority w:val="59"/>
    <w:rsid w:val="00B544B4"/>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2">
    <w:name w:val="Table Grid382"/>
    <w:basedOn w:val="TableNormal"/>
    <w:next w:val="TableGrid"/>
    <w:uiPriority w:val="59"/>
    <w:rsid w:val="00B544B4"/>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B544B4"/>
  </w:style>
  <w:style w:type="numbering" w:customStyle="1" w:styleId="NoList192">
    <w:name w:val="No List192"/>
    <w:next w:val="NoList"/>
    <w:uiPriority w:val="99"/>
    <w:semiHidden/>
    <w:unhideWhenUsed/>
    <w:rsid w:val="00B544B4"/>
  </w:style>
  <w:style w:type="table" w:customStyle="1" w:styleId="TableGrid392">
    <w:name w:val="Table Grid392"/>
    <w:basedOn w:val="TableNormal"/>
    <w:next w:val="TableGrid"/>
    <w:uiPriority w:val="59"/>
    <w:rsid w:val="00B544B4"/>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
    <w:name w:val="No List282"/>
    <w:next w:val="NoList"/>
    <w:uiPriority w:val="99"/>
    <w:semiHidden/>
    <w:unhideWhenUsed/>
    <w:rsid w:val="00B544B4"/>
  </w:style>
  <w:style w:type="numbering" w:customStyle="1" w:styleId="NoList1182">
    <w:name w:val="No List1182"/>
    <w:next w:val="NoList"/>
    <w:uiPriority w:val="99"/>
    <w:semiHidden/>
    <w:unhideWhenUsed/>
    <w:rsid w:val="00B544B4"/>
  </w:style>
  <w:style w:type="table" w:customStyle="1" w:styleId="TableGrid1172">
    <w:name w:val="Table Grid1172"/>
    <w:basedOn w:val="TableNormal"/>
    <w:next w:val="TableGrid"/>
    <w:uiPriority w:val="59"/>
    <w:rsid w:val="00B544B4"/>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uiPriority w:val="39"/>
    <w:rsid w:val="00B544B4"/>
    <w:pPr>
      <w:spacing w:after="0" w:line="240" w:lineRule="auto"/>
    </w:pPr>
    <w:rPr>
      <w:rFonts w:ascii="Calibri" w:eastAsia="Calibri" w:hAnsi="Calibr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2">
    <w:name w:val="No List372"/>
    <w:next w:val="NoList"/>
    <w:uiPriority w:val="99"/>
    <w:semiHidden/>
    <w:unhideWhenUsed/>
    <w:rsid w:val="00B544B4"/>
  </w:style>
  <w:style w:type="numbering" w:customStyle="1" w:styleId="NoList422">
    <w:name w:val="No List422"/>
    <w:next w:val="NoList"/>
    <w:uiPriority w:val="99"/>
    <w:semiHidden/>
    <w:unhideWhenUsed/>
    <w:rsid w:val="00B544B4"/>
  </w:style>
  <w:style w:type="numbering" w:customStyle="1" w:styleId="NoList1242">
    <w:name w:val="No List1242"/>
    <w:next w:val="NoList"/>
    <w:uiPriority w:val="99"/>
    <w:semiHidden/>
    <w:unhideWhenUsed/>
    <w:rsid w:val="00B544B4"/>
  </w:style>
  <w:style w:type="table" w:customStyle="1" w:styleId="TableGrid3102">
    <w:name w:val="Table Grid3102"/>
    <w:basedOn w:val="TableNormal"/>
    <w:next w:val="TableGrid"/>
    <w:uiPriority w:val="59"/>
    <w:rsid w:val="00B544B4"/>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1537">
      <w:bodyDiv w:val="1"/>
      <w:marLeft w:val="0"/>
      <w:marRight w:val="0"/>
      <w:marTop w:val="0"/>
      <w:marBottom w:val="0"/>
      <w:divBdr>
        <w:top w:val="none" w:sz="0" w:space="0" w:color="auto"/>
        <w:left w:val="none" w:sz="0" w:space="0" w:color="auto"/>
        <w:bottom w:val="none" w:sz="0" w:space="0" w:color="auto"/>
        <w:right w:val="none" w:sz="0" w:space="0" w:color="auto"/>
      </w:divBdr>
      <w:divsChild>
        <w:div w:id="332993814">
          <w:marLeft w:val="0"/>
          <w:marRight w:val="0"/>
          <w:marTop w:val="0"/>
          <w:marBottom w:val="0"/>
          <w:divBdr>
            <w:top w:val="none" w:sz="0" w:space="0" w:color="auto"/>
            <w:left w:val="none" w:sz="0" w:space="0" w:color="auto"/>
            <w:bottom w:val="none" w:sz="0" w:space="0" w:color="auto"/>
            <w:right w:val="none" w:sz="0" w:space="0" w:color="auto"/>
          </w:divBdr>
        </w:div>
      </w:divsChild>
    </w:div>
    <w:div w:id="78413058">
      <w:bodyDiv w:val="1"/>
      <w:marLeft w:val="0"/>
      <w:marRight w:val="0"/>
      <w:marTop w:val="0"/>
      <w:marBottom w:val="0"/>
      <w:divBdr>
        <w:top w:val="none" w:sz="0" w:space="0" w:color="auto"/>
        <w:left w:val="none" w:sz="0" w:space="0" w:color="auto"/>
        <w:bottom w:val="none" w:sz="0" w:space="0" w:color="auto"/>
        <w:right w:val="none" w:sz="0" w:space="0" w:color="auto"/>
      </w:divBdr>
    </w:div>
    <w:div w:id="84350872">
      <w:bodyDiv w:val="1"/>
      <w:marLeft w:val="0"/>
      <w:marRight w:val="0"/>
      <w:marTop w:val="0"/>
      <w:marBottom w:val="0"/>
      <w:divBdr>
        <w:top w:val="none" w:sz="0" w:space="0" w:color="auto"/>
        <w:left w:val="none" w:sz="0" w:space="0" w:color="auto"/>
        <w:bottom w:val="none" w:sz="0" w:space="0" w:color="auto"/>
        <w:right w:val="none" w:sz="0" w:space="0" w:color="auto"/>
      </w:divBdr>
      <w:divsChild>
        <w:div w:id="452016046">
          <w:marLeft w:val="0"/>
          <w:marRight w:val="0"/>
          <w:marTop w:val="0"/>
          <w:marBottom w:val="0"/>
          <w:divBdr>
            <w:top w:val="none" w:sz="0" w:space="0" w:color="auto"/>
            <w:left w:val="none" w:sz="0" w:space="0" w:color="auto"/>
            <w:bottom w:val="none" w:sz="0" w:space="0" w:color="auto"/>
            <w:right w:val="none" w:sz="0" w:space="0" w:color="auto"/>
          </w:divBdr>
        </w:div>
        <w:div w:id="581185556">
          <w:marLeft w:val="0"/>
          <w:marRight w:val="0"/>
          <w:marTop w:val="0"/>
          <w:marBottom w:val="0"/>
          <w:divBdr>
            <w:top w:val="none" w:sz="0" w:space="0" w:color="auto"/>
            <w:left w:val="none" w:sz="0" w:space="0" w:color="auto"/>
            <w:bottom w:val="none" w:sz="0" w:space="0" w:color="auto"/>
            <w:right w:val="none" w:sz="0" w:space="0" w:color="auto"/>
          </w:divBdr>
        </w:div>
        <w:div w:id="28340699">
          <w:marLeft w:val="0"/>
          <w:marRight w:val="0"/>
          <w:marTop w:val="0"/>
          <w:marBottom w:val="0"/>
          <w:divBdr>
            <w:top w:val="none" w:sz="0" w:space="0" w:color="auto"/>
            <w:left w:val="none" w:sz="0" w:space="0" w:color="auto"/>
            <w:bottom w:val="none" w:sz="0" w:space="0" w:color="auto"/>
            <w:right w:val="none" w:sz="0" w:space="0" w:color="auto"/>
          </w:divBdr>
        </w:div>
      </w:divsChild>
    </w:div>
    <w:div w:id="104619877">
      <w:bodyDiv w:val="1"/>
      <w:marLeft w:val="0"/>
      <w:marRight w:val="0"/>
      <w:marTop w:val="0"/>
      <w:marBottom w:val="0"/>
      <w:divBdr>
        <w:top w:val="none" w:sz="0" w:space="0" w:color="auto"/>
        <w:left w:val="none" w:sz="0" w:space="0" w:color="auto"/>
        <w:bottom w:val="none" w:sz="0" w:space="0" w:color="auto"/>
        <w:right w:val="none" w:sz="0" w:space="0" w:color="auto"/>
      </w:divBdr>
    </w:div>
    <w:div w:id="172962516">
      <w:bodyDiv w:val="1"/>
      <w:marLeft w:val="0"/>
      <w:marRight w:val="0"/>
      <w:marTop w:val="0"/>
      <w:marBottom w:val="0"/>
      <w:divBdr>
        <w:top w:val="none" w:sz="0" w:space="0" w:color="auto"/>
        <w:left w:val="none" w:sz="0" w:space="0" w:color="auto"/>
        <w:bottom w:val="none" w:sz="0" w:space="0" w:color="auto"/>
        <w:right w:val="none" w:sz="0" w:space="0" w:color="auto"/>
      </w:divBdr>
    </w:div>
    <w:div w:id="192500461">
      <w:bodyDiv w:val="1"/>
      <w:marLeft w:val="0"/>
      <w:marRight w:val="0"/>
      <w:marTop w:val="0"/>
      <w:marBottom w:val="0"/>
      <w:divBdr>
        <w:top w:val="none" w:sz="0" w:space="0" w:color="auto"/>
        <w:left w:val="none" w:sz="0" w:space="0" w:color="auto"/>
        <w:bottom w:val="none" w:sz="0" w:space="0" w:color="auto"/>
        <w:right w:val="none" w:sz="0" w:space="0" w:color="auto"/>
      </w:divBdr>
    </w:div>
    <w:div w:id="261184164">
      <w:bodyDiv w:val="1"/>
      <w:marLeft w:val="0"/>
      <w:marRight w:val="0"/>
      <w:marTop w:val="0"/>
      <w:marBottom w:val="0"/>
      <w:divBdr>
        <w:top w:val="none" w:sz="0" w:space="0" w:color="auto"/>
        <w:left w:val="none" w:sz="0" w:space="0" w:color="auto"/>
        <w:bottom w:val="none" w:sz="0" w:space="0" w:color="auto"/>
        <w:right w:val="none" w:sz="0" w:space="0" w:color="auto"/>
      </w:divBdr>
    </w:div>
    <w:div w:id="337006709">
      <w:bodyDiv w:val="1"/>
      <w:marLeft w:val="0"/>
      <w:marRight w:val="0"/>
      <w:marTop w:val="0"/>
      <w:marBottom w:val="0"/>
      <w:divBdr>
        <w:top w:val="none" w:sz="0" w:space="0" w:color="auto"/>
        <w:left w:val="none" w:sz="0" w:space="0" w:color="auto"/>
        <w:bottom w:val="none" w:sz="0" w:space="0" w:color="auto"/>
        <w:right w:val="none" w:sz="0" w:space="0" w:color="auto"/>
      </w:divBdr>
    </w:div>
    <w:div w:id="407657751">
      <w:bodyDiv w:val="1"/>
      <w:marLeft w:val="0"/>
      <w:marRight w:val="0"/>
      <w:marTop w:val="0"/>
      <w:marBottom w:val="0"/>
      <w:divBdr>
        <w:top w:val="none" w:sz="0" w:space="0" w:color="auto"/>
        <w:left w:val="none" w:sz="0" w:space="0" w:color="auto"/>
        <w:bottom w:val="none" w:sz="0" w:space="0" w:color="auto"/>
        <w:right w:val="none" w:sz="0" w:space="0" w:color="auto"/>
      </w:divBdr>
    </w:div>
    <w:div w:id="436414539">
      <w:bodyDiv w:val="1"/>
      <w:marLeft w:val="0"/>
      <w:marRight w:val="0"/>
      <w:marTop w:val="0"/>
      <w:marBottom w:val="0"/>
      <w:divBdr>
        <w:top w:val="none" w:sz="0" w:space="0" w:color="auto"/>
        <w:left w:val="none" w:sz="0" w:space="0" w:color="auto"/>
        <w:bottom w:val="none" w:sz="0" w:space="0" w:color="auto"/>
        <w:right w:val="none" w:sz="0" w:space="0" w:color="auto"/>
      </w:divBdr>
      <w:divsChild>
        <w:div w:id="945770275">
          <w:marLeft w:val="0"/>
          <w:marRight w:val="0"/>
          <w:marTop w:val="0"/>
          <w:marBottom w:val="0"/>
          <w:divBdr>
            <w:top w:val="none" w:sz="0" w:space="0" w:color="auto"/>
            <w:left w:val="none" w:sz="0" w:space="0" w:color="auto"/>
            <w:bottom w:val="none" w:sz="0" w:space="0" w:color="auto"/>
            <w:right w:val="none" w:sz="0" w:space="0" w:color="auto"/>
          </w:divBdr>
        </w:div>
      </w:divsChild>
    </w:div>
    <w:div w:id="472984246">
      <w:bodyDiv w:val="1"/>
      <w:marLeft w:val="0"/>
      <w:marRight w:val="0"/>
      <w:marTop w:val="0"/>
      <w:marBottom w:val="0"/>
      <w:divBdr>
        <w:top w:val="none" w:sz="0" w:space="0" w:color="auto"/>
        <w:left w:val="none" w:sz="0" w:space="0" w:color="auto"/>
        <w:bottom w:val="none" w:sz="0" w:space="0" w:color="auto"/>
        <w:right w:val="none" w:sz="0" w:space="0" w:color="auto"/>
      </w:divBdr>
    </w:div>
    <w:div w:id="541483697">
      <w:bodyDiv w:val="1"/>
      <w:marLeft w:val="0"/>
      <w:marRight w:val="0"/>
      <w:marTop w:val="0"/>
      <w:marBottom w:val="0"/>
      <w:divBdr>
        <w:top w:val="none" w:sz="0" w:space="0" w:color="auto"/>
        <w:left w:val="none" w:sz="0" w:space="0" w:color="auto"/>
        <w:bottom w:val="none" w:sz="0" w:space="0" w:color="auto"/>
        <w:right w:val="none" w:sz="0" w:space="0" w:color="auto"/>
      </w:divBdr>
    </w:div>
    <w:div w:id="559829934">
      <w:bodyDiv w:val="1"/>
      <w:marLeft w:val="0"/>
      <w:marRight w:val="0"/>
      <w:marTop w:val="0"/>
      <w:marBottom w:val="0"/>
      <w:divBdr>
        <w:top w:val="none" w:sz="0" w:space="0" w:color="auto"/>
        <w:left w:val="none" w:sz="0" w:space="0" w:color="auto"/>
        <w:bottom w:val="none" w:sz="0" w:space="0" w:color="auto"/>
        <w:right w:val="none" w:sz="0" w:space="0" w:color="auto"/>
      </w:divBdr>
      <w:divsChild>
        <w:div w:id="1167481556">
          <w:marLeft w:val="0"/>
          <w:marRight w:val="0"/>
          <w:marTop w:val="0"/>
          <w:marBottom w:val="0"/>
          <w:divBdr>
            <w:top w:val="none" w:sz="0" w:space="0" w:color="auto"/>
            <w:left w:val="none" w:sz="0" w:space="0" w:color="auto"/>
            <w:bottom w:val="none" w:sz="0" w:space="0" w:color="auto"/>
            <w:right w:val="none" w:sz="0" w:space="0" w:color="auto"/>
          </w:divBdr>
        </w:div>
      </w:divsChild>
    </w:div>
    <w:div w:id="630551364">
      <w:bodyDiv w:val="1"/>
      <w:marLeft w:val="0"/>
      <w:marRight w:val="0"/>
      <w:marTop w:val="0"/>
      <w:marBottom w:val="0"/>
      <w:divBdr>
        <w:top w:val="none" w:sz="0" w:space="0" w:color="auto"/>
        <w:left w:val="none" w:sz="0" w:space="0" w:color="auto"/>
        <w:bottom w:val="none" w:sz="0" w:space="0" w:color="auto"/>
        <w:right w:val="none" w:sz="0" w:space="0" w:color="auto"/>
      </w:divBdr>
    </w:div>
    <w:div w:id="648943915">
      <w:bodyDiv w:val="1"/>
      <w:marLeft w:val="0"/>
      <w:marRight w:val="0"/>
      <w:marTop w:val="0"/>
      <w:marBottom w:val="0"/>
      <w:divBdr>
        <w:top w:val="none" w:sz="0" w:space="0" w:color="auto"/>
        <w:left w:val="none" w:sz="0" w:space="0" w:color="auto"/>
        <w:bottom w:val="none" w:sz="0" w:space="0" w:color="auto"/>
        <w:right w:val="none" w:sz="0" w:space="0" w:color="auto"/>
      </w:divBdr>
    </w:div>
    <w:div w:id="734014200">
      <w:bodyDiv w:val="1"/>
      <w:marLeft w:val="0"/>
      <w:marRight w:val="0"/>
      <w:marTop w:val="0"/>
      <w:marBottom w:val="0"/>
      <w:divBdr>
        <w:top w:val="none" w:sz="0" w:space="0" w:color="auto"/>
        <w:left w:val="none" w:sz="0" w:space="0" w:color="auto"/>
        <w:bottom w:val="none" w:sz="0" w:space="0" w:color="auto"/>
        <w:right w:val="none" w:sz="0" w:space="0" w:color="auto"/>
      </w:divBdr>
      <w:divsChild>
        <w:div w:id="633414966">
          <w:marLeft w:val="0"/>
          <w:marRight w:val="0"/>
          <w:marTop w:val="0"/>
          <w:marBottom w:val="0"/>
          <w:divBdr>
            <w:top w:val="none" w:sz="0" w:space="0" w:color="auto"/>
            <w:left w:val="none" w:sz="0" w:space="0" w:color="auto"/>
            <w:bottom w:val="none" w:sz="0" w:space="0" w:color="auto"/>
            <w:right w:val="none" w:sz="0" w:space="0" w:color="auto"/>
          </w:divBdr>
        </w:div>
      </w:divsChild>
    </w:div>
    <w:div w:id="789595961">
      <w:bodyDiv w:val="1"/>
      <w:marLeft w:val="0"/>
      <w:marRight w:val="0"/>
      <w:marTop w:val="0"/>
      <w:marBottom w:val="0"/>
      <w:divBdr>
        <w:top w:val="none" w:sz="0" w:space="0" w:color="auto"/>
        <w:left w:val="none" w:sz="0" w:space="0" w:color="auto"/>
        <w:bottom w:val="none" w:sz="0" w:space="0" w:color="auto"/>
        <w:right w:val="none" w:sz="0" w:space="0" w:color="auto"/>
      </w:divBdr>
    </w:div>
    <w:div w:id="899484264">
      <w:bodyDiv w:val="1"/>
      <w:marLeft w:val="0"/>
      <w:marRight w:val="0"/>
      <w:marTop w:val="0"/>
      <w:marBottom w:val="0"/>
      <w:divBdr>
        <w:top w:val="none" w:sz="0" w:space="0" w:color="auto"/>
        <w:left w:val="none" w:sz="0" w:space="0" w:color="auto"/>
        <w:bottom w:val="none" w:sz="0" w:space="0" w:color="auto"/>
        <w:right w:val="none" w:sz="0" w:space="0" w:color="auto"/>
      </w:divBdr>
      <w:divsChild>
        <w:div w:id="1754164653">
          <w:marLeft w:val="0"/>
          <w:marRight w:val="0"/>
          <w:marTop w:val="0"/>
          <w:marBottom w:val="0"/>
          <w:divBdr>
            <w:top w:val="none" w:sz="0" w:space="0" w:color="auto"/>
            <w:left w:val="none" w:sz="0" w:space="0" w:color="auto"/>
            <w:bottom w:val="none" w:sz="0" w:space="0" w:color="auto"/>
            <w:right w:val="none" w:sz="0" w:space="0" w:color="auto"/>
          </w:divBdr>
        </w:div>
      </w:divsChild>
    </w:div>
    <w:div w:id="963003627">
      <w:bodyDiv w:val="1"/>
      <w:marLeft w:val="0"/>
      <w:marRight w:val="0"/>
      <w:marTop w:val="0"/>
      <w:marBottom w:val="0"/>
      <w:divBdr>
        <w:top w:val="none" w:sz="0" w:space="0" w:color="auto"/>
        <w:left w:val="none" w:sz="0" w:space="0" w:color="auto"/>
        <w:bottom w:val="none" w:sz="0" w:space="0" w:color="auto"/>
        <w:right w:val="none" w:sz="0" w:space="0" w:color="auto"/>
      </w:divBdr>
    </w:div>
    <w:div w:id="975330399">
      <w:bodyDiv w:val="1"/>
      <w:marLeft w:val="0"/>
      <w:marRight w:val="0"/>
      <w:marTop w:val="0"/>
      <w:marBottom w:val="0"/>
      <w:divBdr>
        <w:top w:val="none" w:sz="0" w:space="0" w:color="auto"/>
        <w:left w:val="none" w:sz="0" w:space="0" w:color="auto"/>
        <w:bottom w:val="none" w:sz="0" w:space="0" w:color="auto"/>
        <w:right w:val="none" w:sz="0" w:space="0" w:color="auto"/>
      </w:divBdr>
      <w:divsChild>
        <w:div w:id="953638102">
          <w:marLeft w:val="0"/>
          <w:marRight w:val="0"/>
          <w:marTop w:val="0"/>
          <w:marBottom w:val="0"/>
          <w:divBdr>
            <w:top w:val="none" w:sz="0" w:space="0" w:color="auto"/>
            <w:left w:val="none" w:sz="0" w:space="0" w:color="auto"/>
            <w:bottom w:val="none" w:sz="0" w:space="0" w:color="auto"/>
            <w:right w:val="none" w:sz="0" w:space="0" w:color="auto"/>
          </w:divBdr>
        </w:div>
      </w:divsChild>
    </w:div>
    <w:div w:id="990451034">
      <w:bodyDiv w:val="1"/>
      <w:marLeft w:val="0"/>
      <w:marRight w:val="0"/>
      <w:marTop w:val="0"/>
      <w:marBottom w:val="0"/>
      <w:divBdr>
        <w:top w:val="none" w:sz="0" w:space="0" w:color="auto"/>
        <w:left w:val="none" w:sz="0" w:space="0" w:color="auto"/>
        <w:bottom w:val="none" w:sz="0" w:space="0" w:color="auto"/>
        <w:right w:val="none" w:sz="0" w:space="0" w:color="auto"/>
      </w:divBdr>
    </w:div>
    <w:div w:id="1008097823">
      <w:bodyDiv w:val="1"/>
      <w:marLeft w:val="0"/>
      <w:marRight w:val="0"/>
      <w:marTop w:val="0"/>
      <w:marBottom w:val="0"/>
      <w:divBdr>
        <w:top w:val="none" w:sz="0" w:space="0" w:color="auto"/>
        <w:left w:val="none" w:sz="0" w:space="0" w:color="auto"/>
        <w:bottom w:val="none" w:sz="0" w:space="0" w:color="auto"/>
        <w:right w:val="none" w:sz="0" w:space="0" w:color="auto"/>
      </w:divBdr>
      <w:divsChild>
        <w:div w:id="311524279">
          <w:marLeft w:val="0"/>
          <w:marRight w:val="0"/>
          <w:marTop w:val="0"/>
          <w:marBottom w:val="0"/>
          <w:divBdr>
            <w:top w:val="none" w:sz="0" w:space="0" w:color="auto"/>
            <w:left w:val="none" w:sz="0" w:space="0" w:color="auto"/>
            <w:bottom w:val="none" w:sz="0" w:space="0" w:color="auto"/>
            <w:right w:val="none" w:sz="0" w:space="0" w:color="auto"/>
          </w:divBdr>
        </w:div>
      </w:divsChild>
    </w:div>
    <w:div w:id="1021131567">
      <w:bodyDiv w:val="1"/>
      <w:marLeft w:val="0"/>
      <w:marRight w:val="0"/>
      <w:marTop w:val="0"/>
      <w:marBottom w:val="0"/>
      <w:divBdr>
        <w:top w:val="none" w:sz="0" w:space="0" w:color="auto"/>
        <w:left w:val="none" w:sz="0" w:space="0" w:color="auto"/>
        <w:bottom w:val="none" w:sz="0" w:space="0" w:color="auto"/>
        <w:right w:val="none" w:sz="0" w:space="0" w:color="auto"/>
      </w:divBdr>
      <w:divsChild>
        <w:div w:id="1337150850">
          <w:marLeft w:val="0"/>
          <w:marRight w:val="0"/>
          <w:marTop w:val="0"/>
          <w:marBottom w:val="0"/>
          <w:divBdr>
            <w:top w:val="none" w:sz="0" w:space="0" w:color="auto"/>
            <w:left w:val="none" w:sz="0" w:space="0" w:color="auto"/>
            <w:bottom w:val="none" w:sz="0" w:space="0" w:color="auto"/>
            <w:right w:val="none" w:sz="0" w:space="0" w:color="auto"/>
          </w:divBdr>
        </w:div>
      </w:divsChild>
    </w:div>
    <w:div w:id="1023365284">
      <w:bodyDiv w:val="1"/>
      <w:marLeft w:val="0"/>
      <w:marRight w:val="0"/>
      <w:marTop w:val="0"/>
      <w:marBottom w:val="0"/>
      <w:divBdr>
        <w:top w:val="none" w:sz="0" w:space="0" w:color="auto"/>
        <w:left w:val="none" w:sz="0" w:space="0" w:color="auto"/>
        <w:bottom w:val="none" w:sz="0" w:space="0" w:color="auto"/>
        <w:right w:val="none" w:sz="0" w:space="0" w:color="auto"/>
      </w:divBdr>
    </w:div>
    <w:div w:id="1089959142">
      <w:bodyDiv w:val="1"/>
      <w:marLeft w:val="0"/>
      <w:marRight w:val="0"/>
      <w:marTop w:val="0"/>
      <w:marBottom w:val="0"/>
      <w:divBdr>
        <w:top w:val="none" w:sz="0" w:space="0" w:color="auto"/>
        <w:left w:val="none" w:sz="0" w:space="0" w:color="auto"/>
        <w:bottom w:val="none" w:sz="0" w:space="0" w:color="auto"/>
        <w:right w:val="none" w:sz="0" w:space="0" w:color="auto"/>
      </w:divBdr>
    </w:div>
    <w:div w:id="1114398300">
      <w:bodyDiv w:val="1"/>
      <w:marLeft w:val="0"/>
      <w:marRight w:val="0"/>
      <w:marTop w:val="0"/>
      <w:marBottom w:val="0"/>
      <w:divBdr>
        <w:top w:val="none" w:sz="0" w:space="0" w:color="auto"/>
        <w:left w:val="none" w:sz="0" w:space="0" w:color="auto"/>
        <w:bottom w:val="none" w:sz="0" w:space="0" w:color="auto"/>
        <w:right w:val="none" w:sz="0" w:space="0" w:color="auto"/>
      </w:divBdr>
    </w:div>
    <w:div w:id="1160191345">
      <w:bodyDiv w:val="1"/>
      <w:marLeft w:val="0"/>
      <w:marRight w:val="0"/>
      <w:marTop w:val="0"/>
      <w:marBottom w:val="0"/>
      <w:divBdr>
        <w:top w:val="none" w:sz="0" w:space="0" w:color="auto"/>
        <w:left w:val="none" w:sz="0" w:space="0" w:color="auto"/>
        <w:bottom w:val="none" w:sz="0" w:space="0" w:color="auto"/>
        <w:right w:val="none" w:sz="0" w:space="0" w:color="auto"/>
      </w:divBdr>
    </w:div>
    <w:div w:id="1195457351">
      <w:bodyDiv w:val="1"/>
      <w:marLeft w:val="0"/>
      <w:marRight w:val="0"/>
      <w:marTop w:val="0"/>
      <w:marBottom w:val="0"/>
      <w:divBdr>
        <w:top w:val="none" w:sz="0" w:space="0" w:color="auto"/>
        <w:left w:val="none" w:sz="0" w:space="0" w:color="auto"/>
        <w:bottom w:val="none" w:sz="0" w:space="0" w:color="auto"/>
        <w:right w:val="none" w:sz="0" w:space="0" w:color="auto"/>
      </w:divBdr>
      <w:divsChild>
        <w:div w:id="1787771683">
          <w:marLeft w:val="0"/>
          <w:marRight w:val="0"/>
          <w:marTop w:val="0"/>
          <w:marBottom w:val="0"/>
          <w:divBdr>
            <w:top w:val="none" w:sz="0" w:space="0" w:color="auto"/>
            <w:left w:val="none" w:sz="0" w:space="0" w:color="auto"/>
            <w:bottom w:val="none" w:sz="0" w:space="0" w:color="auto"/>
            <w:right w:val="none" w:sz="0" w:space="0" w:color="auto"/>
          </w:divBdr>
          <w:divsChild>
            <w:div w:id="1459837594">
              <w:marLeft w:val="0"/>
              <w:marRight w:val="0"/>
              <w:marTop w:val="0"/>
              <w:marBottom w:val="0"/>
              <w:divBdr>
                <w:top w:val="none" w:sz="0" w:space="0" w:color="auto"/>
                <w:left w:val="none" w:sz="0" w:space="0" w:color="auto"/>
                <w:bottom w:val="none" w:sz="0" w:space="0" w:color="auto"/>
                <w:right w:val="none" w:sz="0" w:space="0" w:color="auto"/>
              </w:divBdr>
              <w:divsChild>
                <w:div w:id="41174367">
                  <w:marLeft w:val="0"/>
                  <w:marRight w:val="0"/>
                  <w:marTop w:val="0"/>
                  <w:marBottom w:val="0"/>
                  <w:divBdr>
                    <w:top w:val="none" w:sz="0" w:space="0" w:color="auto"/>
                    <w:left w:val="none" w:sz="0" w:space="0" w:color="auto"/>
                    <w:bottom w:val="none" w:sz="0" w:space="0" w:color="auto"/>
                    <w:right w:val="none" w:sz="0" w:space="0" w:color="auto"/>
                  </w:divBdr>
                  <w:divsChild>
                    <w:div w:id="24091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352336">
      <w:bodyDiv w:val="1"/>
      <w:marLeft w:val="0"/>
      <w:marRight w:val="0"/>
      <w:marTop w:val="0"/>
      <w:marBottom w:val="0"/>
      <w:divBdr>
        <w:top w:val="none" w:sz="0" w:space="0" w:color="auto"/>
        <w:left w:val="none" w:sz="0" w:space="0" w:color="auto"/>
        <w:bottom w:val="none" w:sz="0" w:space="0" w:color="auto"/>
        <w:right w:val="none" w:sz="0" w:space="0" w:color="auto"/>
      </w:divBdr>
    </w:div>
    <w:div w:id="1229072721">
      <w:bodyDiv w:val="1"/>
      <w:marLeft w:val="0"/>
      <w:marRight w:val="0"/>
      <w:marTop w:val="0"/>
      <w:marBottom w:val="0"/>
      <w:divBdr>
        <w:top w:val="none" w:sz="0" w:space="0" w:color="auto"/>
        <w:left w:val="none" w:sz="0" w:space="0" w:color="auto"/>
        <w:bottom w:val="none" w:sz="0" w:space="0" w:color="auto"/>
        <w:right w:val="none" w:sz="0" w:space="0" w:color="auto"/>
      </w:divBdr>
      <w:divsChild>
        <w:div w:id="879902511">
          <w:marLeft w:val="0"/>
          <w:marRight w:val="0"/>
          <w:marTop w:val="0"/>
          <w:marBottom w:val="0"/>
          <w:divBdr>
            <w:top w:val="none" w:sz="0" w:space="0" w:color="auto"/>
            <w:left w:val="none" w:sz="0" w:space="0" w:color="auto"/>
            <w:bottom w:val="none" w:sz="0" w:space="0" w:color="auto"/>
            <w:right w:val="none" w:sz="0" w:space="0" w:color="auto"/>
          </w:divBdr>
        </w:div>
      </w:divsChild>
    </w:div>
    <w:div w:id="1246107717">
      <w:bodyDiv w:val="1"/>
      <w:marLeft w:val="0"/>
      <w:marRight w:val="0"/>
      <w:marTop w:val="0"/>
      <w:marBottom w:val="0"/>
      <w:divBdr>
        <w:top w:val="none" w:sz="0" w:space="0" w:color="auto"/>
        <w:left w:val="none" w:sz="0" w:space="0" w:color="auto"/>
        <w:bottom w:val="none" w:sz="0" w:space="0" w:color="auto"/>
        <w:right w:val="none" w:sz="0" w:space="0" w:color="auto"/>
      </w:divBdr>
    </w:div>
    <w:div w:id="1292857182">
      <w:bodyDiv w:val="1"/>
      <w:marLeft w:val="0"/>
      <w:marRight w:val="0"/>
      <w:marTop w:val="0"/>
      <w:marBottom w:val="0"/>
      <w:divBdr>
        <w:top w:val="none" w:sz="0" w:space="0" w:color="auto"/>
        <w:left w:val="none" w:sz="0" w:space="0" w:color="auto"/>
        <w:bottom w:val="none" w:sz="0" w:space="0" w:color="auto"/>
        <w:right w:val="none" w:sz="0" w:space="0" w:color="auto"/>
      </w:divBdr>
    </w:div>
    <w:div w:id="1297368446">
      <w:bodyDiv w:val="1"/>
      <w:marLeft w:val="0"/>
      <w:marRight w:val="0"/>
      <w:marTop w:val="0"/>
      <w:marBottom w:val="0"/>
      <w:divBdr>
        <w:top w:val="none" w:sz="0" w:space="0" w:color="auto"/>
        <w:left w:val="none" w:sz="0" w:space="0" w:color="auto"/>
        <w:bottom w:val="none" w:sz="0" w:space="0" w:color="auto"/>
        <w:right w:val="none" w:sz="0" w:space="0" w:color="auto"/>
      </w:divBdr>
    </w:div>
    <w:div w:id="1311640587">
      <w:bodyDiv w:val="1"/>
      <w:marLeft w:val="0"/>
      <w:marRight w:val="0"/>
      <w:marTop w:val="0"/>
      <w:marBottom w:val="0"/>
      <w:divBdr>
        <w:top w:val="none" w:sz="0" w:space="0" w:color="auto"/>
        <w:left w:val="none" w:sz="0" w:space="0" w:color="auto"/>
        <w:bottom w:val="none" w:sz="0" w:space="0" w:color="auto"/>
        <w:right w:val="none" w:sz="0" w:space="0" w:color="auto"/>
      </w:divBdr>
    </w:div>
    <w:div w:id="1328558006">
      <w:bodyDiv w:val="1"/>
      <w:marLeft w:val="0"/>
      <w:marRight w:val="0"/>
      <w:marTop w:val="0"/>
      <w:marBottom w:val="0"/>
      <w:divBdr>
        <w:top w:val="none" w:sz="0" w:space="0" w:color="auto"/>
        <w:left w:val="none" w:sz="0" w:space="0" w:color="auto"/>
        <w:bottom w:val="none" w:sz="0" w:space="0" w:color="auto"/>
        <w:right w:val="none" w:sz="0" w:space="0" w:color="auto"/>
      </w:divBdr>
    </w:div>
    <w:div w:id="1360736990">
      <w:bodyDiv w:val="1"/>
      <w:marLeft w:val="0"/>
      <w:marRight w:val="0"/>
      <w:marTop w:val="0"/>
      <w:marBottom w:val="0"/>
      <w:divBdr>
        <w:top w:val="none" w:sz="0" w:space="0" w:color="auto"/>
        <w:left w:val="none" w:sz="0" w:space="0" w:color="auto"/>
        <w:bottom w:val="none" w:sz="0" w:space="0" w:color="auto"/>
        <w:right w:val="none" w:sz="0" w:space="0" w:color="auto"/>
      </w:divBdr>
    </w:div>
    <w:div w:id="1415469669">
      <w:bodyDiv w:val="1"/>
      <w:marLeft w:val="0"/>
      <w:marRight w:val="0"/>
      <w:marTop w:val="0"/>
      <w:marBottom w:val="0"/>
      <w:divBdr>
        <w:top w:val="none" w:sz="0" w:space="0" w:color="auto"/>
        <w:left w:val="none" w:sz="0" w:space="0" w:color="auto"/>
        <w:bottom w:val="none" w:sz="0" w:space="0" w:color="auto"/>
        <w:right w:val="none" w:sz="0" w:space="0" w:color="auto"/>
      </w:divBdr>
    </w:div>
    <w:div w:id="1483958781">
      <w:bodyDiv w:val="1"/>
      <w:marLeft w:val="0"/>
      <w:marRight w:val="0"/>
      <w:marTop w:val="0"/>
      <w:marBottom w:val="0"/>
      <w:divBdr>
        <w:top w:val="none" w:sz="0" w:space="0" w:color="auto"/>
        <w:left w:val="none" w:sz="0" w:space="0" w:color="auto"/>
        <w:bottom w:val="none" w:sz="0" w:space="0" w:color="auto"/>
        <w:right w:val="none" w:sz="0" w:space="0" w:color="auto"/>
      </w:divBdr>
      <w:divsChild>
        <w:div w:id="1041243466">
          <w:marLeft w:val="0"/>
          <w:marRight w:val="0"/>
          <w:marTop w:val="0"/>
          <w:marBottom w:val="0"/>
          <w:divBdr>
            <w:top w:val="none" w:sz="0" w:space="0" w:color="auto"/>
            <w:left w:val="none" w:sz="0" w:space="0" w:color="auto"/>
            <w:bottom w:val="none" w:sz="0" w:space="0" w:color="auto"/>
            <w:right w:val="none" w:sz="0" w:space="0" w:color="auto"/>
          </w:divBdr>
        </w:div>
      </w:divsChild>
    </w:div>
    <w:div w:id="1580365696">
      <w:bodyDiv w:val="1"/>
      <w:marLeft w:val="0"/>
      <w:marRight w:val="0"/>
      <w:marTop w:val="0"/>
      <w:marBottom w:val="0"/>
      <w:divBdr>
        <w:top w:val="none" w:sz="0" w:space="0" w:color="auto"/>
        <w:left w:val="none" w:sz="0" w:space="0" w:color="auto"/>
        <w:bottom w:val="none" w:sz="0" w:space="0" w:color="auto"/>
        <w:right w:val="none" w:sz="0" w:space="0" w:color="auto"/>
      </w:divBdr>
      <w:divsChild>
        <w:div w:id="1510021852">
          <w:marLeft w:val="0"/>
          <w:marRight w:val="0"/>
          <w:marTop w:val="0"/>
          <w:marBottom w:val="0"/>
          <w:divBdr>
            <w:top w:val="none" w:sz="0" w:space="0" w:color="auto"/>
            <w:left w:val="none" w:sz="0" w:space="0" w:color="auto"/>
            <w:bottom w:val="none" w:sz="0" w:space="0" w:color="auto"/>
            <w:right w:val="none" w:sz="0" w:space="0" w:color="auto"/>
          </w:divBdr>
        </w:div>
      </w:divsChild>
    </w:div>
    <w:div w:id="1773433722">
      <w:bodyDiv w:val="1"/>
      <w:marLeft w:val="0"/>
      <w:marRight w:val="0"/>
      <w:marTop w:val="0"/>
      <w:marBottom w:val="0"/>
      <w:divBdr>
        <w:top w:val="none" w:sz="0" w:space="0" w:color="auto"/>
        <w:left w:val="none" w:sz="0" w:space="0" w:color="auto"/>
        <w:bottom w:val="none" w:sz="0" w:space="0" w:color="auto"/>
        <w:right w:val="none" w:sz="0" w:space="0" w:color="auto"/>
      </w:divBdr>
      <w:divsChild>
        <w:div w:id="731540966">
          <w:marLeft w:val="0"/>
          <w:marRight w:val="0"/>
          <w:marTop w:val="0"/>
          <w:marBottom w:val="0"/>
          <w:divBdr>
            <w:top w:val="none" w:sz="0" w:space="0" w:color="auto"/>
            <w:left w:val="none" w:sz="0" w:space="0" w:color="auto"/>
            <w:bottom w:val="none" w:sz="0" w:space="0" w:color="auto"/>
            <w:right w:val="none" w:sz="0" w:space="0" w:color="auto"/>
          </w:divBdr>
        </w:div>
      </w:divsChild>
    </w:div>
    <w:div w:id="1899397118">
      <w:bodyDiv w:val="1"/>
      <w:marLeft w:val="0"/>
      <w:marRight w:val="0"/>
      <w:marTop w:val="0"/>
      <w:marBottom w:val="0"/>
      <w:divBdr>
        <w:top w:val="none" w:sz="0" w:space="0" w:color="auto"/>
        <w:left w:val="none" w:sz="0" w:space="0" w:color="auto"/>
        <w:bottom w:val="none" w:sz="0" w:space="0" w:color="auto"/>
        <w:right w:val="none" w:sz="0" w:space="0" w:color="auto"/>
      </w:divBdr>
    </w:div>
    <w:div w:id="1924029389">
      <w:bodyDiv w:val="1"/>
      <w:marLeft w:val="0"/>
      <w:marRight w:val="0"/>
      <w:marTop w:val="0"/>
      <w:marBottom w:val="0"/>
      <w:divBdr>
        <w:top w:val="none" w:sz="0" w:space="0" w:color="auto"/>
        <w:left w:val="none" w:sz="0" w:space="0" w:color="auto"/>
        <w:bottom w:val="none" w:sz="0" w:space="0" w:color="auto"/>
        <w:right w:val="none" w:sz="0" w:space="0" w:color="auto"/>
      </w:divBdr>
    </w:div>
    <w:div w:id="1956600401">
      <w:bodyDiv w:val="1"/>
      <w:marLeft w:val="0"/>
      <w:marRight w:val="0"/>
      <w:marTop w:val="0"/>
      <w:marBottom w:val="0"/>
      <w:divBdr>
        <w:top w:val="none" w:sz="0" w:space="0" w:color="auto"/>
        <w:left w:val="none" w:sz="0" w:space="0" w:color="auto"/>
        <w:bottom w:val="none" w:sz="0" w:space="0" w:color="auto"/>
        <w:right w:val="none" w:sz="0" w:space="0" w:color="auto"/>
      </w:divBdr>
    </w:div>
    <w:div w:id="205816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arhan@hud.ac.uk" TargetMode="External"/><Relationship Id="rId13" Type="http://schemas.openxmlformats.org/officeDocument/2006/relationships/image" Target="media/image2.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yperlink" Target="http://www.worldbank.org" TargetMode="External"/><Relationship Id="rId10" Type="http://schemas.openxmlformats.org/officeDocument/2006/relationships/hyperlink" Target="mailto:b.al-najjar@hud.ac.uk" TargetMode="External"/><Relationship Id="rId4" Type="http://schemas.openxmlformats.org/officeDocument/2006/relationships/settings" Target="settings.xml"/><Relationship Id="rId9" Type="http://schemas.openxmlformats.org/officeDocument/2006/relationships/hyperlink" Target="mailto:c.g.ntim@soton.ac.uk" TargetMode="Externa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6F00A-45C6-494B-90DD-C080A4BF2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46</Pages>
  <Words>19787</Words>
  <Characters>112787</Characters>
  <Application>Microsoft Office Word</Application>
  <DocSecurity>0</DocSecurity>
  <Lines>939</Lines>
  <Paragraphs>264</Paragraphs>
  <ScaleCrop>false</ScaleCrop>
  <HeadingPairs>
    <vt:vector size="2" baseType="variant">
      <vt:variant>
        <vt:lpstr>Title</vt:lpstr>
      </vt:variant>
      <vt:variant>
        <vt:i4>1</vt:i4>
      </vt:variant>
    </vt:vector>
  </HeadingPairs>
  <TitlesOfParts>
    <vt:vector size="1" baseType="lpstr">
      <vt:lpstr/>
    </vt:vector>
  </TitlesOfParts>
  <Company>University of Huddersfield</Company>
  <LinksUpToDate>false</LinksUpToDate>
  <CharactersWithSpaces>132310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u1574213</dc:creator>
  <cp:lastModifiedBy>Collins Ntim</cp:lastModifiedBy>
  <cp:revision>7</cp:revision>
  <cp:lastPrinted>2018-12-18T14:27:00Z</cp:lastPrinted>
  <dcterms:created xsi:type="dcterms:W3CDTF">2019-04-03T01:28:00Z</dcterms:created>
  <dcterms:modified xsi:type="dcterms:W3CDTF">2019-04-03T01:37:00Z</dcterms:modified>
</cp:coreProperties>
</file>