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D40CA" w14:textId="74D4F274" w:rsidR="00BB31C2" w:rsidRPr="00D33348" w:rsidRDefault="00BB31C2" w:rsidP="00D33348">
      <w:pPr>
        <w:spacing w:line="360" w:lineRule="auto"/>
        <w:jc w:val="both"/>
        <w:rPr>
          <w:rFonts w:cs="Arial"/>
          <w:sz w:val="24"/>
          <w:szCs w:val="24"/>
        </w:rPr>
      </w:pPr>
      <w:bookmarkStart w:id="0" w:name="_GoBack"/>
      <w:bookmarkEnd w:id="0"/>
    </w:p>
    <w:p w14:paraId="796B667D" w14:textId="77777777" w:rsidR="00BB31C2" w:rsidRPr="00D33348" w:rsidRDefault="00BB31C2" w:rsidP="00D33348">
      <w:pPr>
        <w:spacing w:line="360" w:lineRule="auto"/>
        <w:jc w:val="both"/>
        <w:rPr>
          <w:rFonts w:cs="Arial"/>
          <w:sz w:val="24"/>
          <w:szCs w:val="24"/>
        </w:rPr>
      </w:pPr>
    </w:p>
    <w:p w14:paraId="2847B2D6" w14:textId="77777777" w:rsidR="00BB31C2" w:rsidRPr="00D33348" w:rsidRDefault="00BB31C2" w:rsidP="00D33348">
      <w:pPr>
        <w:spacing w:line="360" w:lineRule="auto"/>
        <w:jc w:val="both"/>
        <w:rPr>
          <w:rFonts w:cs="Arial"/>
          <w:sz w:val="24"/>
          <w:szCs w:val="24"/>
        </w:rPr>
      </w:pPr>
    </w:p>
    <w:p w14:paraId="61A48518" w14:textId="7DEE8F99" w:rsidR="001F3E9B" w:rsidRPr="00685573" w:rsidRDefault="00810254" w:rsidP="00D33348">
      <w:pPr>
        <w:spacing w:line="360" w:lineRule="auto"/>
        <w:jc w:val="center"/>
        <w:rPr>
          <w:rFonts w:cs="Arial"/>
          <w:b/>
          <w:sz w:val="28"/>
          <w:szCs w:val="28"/>
        </w:rPr>
      </w:pPr>
      <w:r w:rsidRPr="00685573">
        <w:rPr>
          <w:rFonts w:cs="Arial"/>
          <w:b/>
          <w:sz w:val="28"/>
          <w:szCs w:val="28"/>
        </w:rPr>
        <w:t xml:space="preserve">Fracture risk </w:t>
      </w:r>
      <w:r w:rsidR="00AA0832" w:rsidRPr="00685573">
        <w:rPr>
          <w:rFonts w:cs="Arial"/>
          <w:b/>
          <w:sz w:val="28"/>
          <w:szCs w:val="28"/>
        </w:rPr>
        <w:t>following intermission of</w:t>
      </w:r>
      <w:r w:rsidRPr="00685573">
        <w:rPr>
          <w:rFonts w:cs="Arial"/>
          <w:b/>
          <w:sz w:val="28"/>
          <w:szCs w:val="28"/>
        </w:rPr>
        <w:t xml:space="preserve"> osteoporosis therapy</w:t>
      </w:r>
    </w:p>
    <w:p w14:paraId="7F92E340" w14:textId="77777777" w:rsidR="00A72BA1" w:rsidRPr="00685573" w:rsidRDefault="00A72BA1" w:rsidP="00D33348">
      <w:pPr>
        <w:spacing w:line="360" w:lineRule="auto"/>
        <w:jc w:val="both"/>
        <w:rPr>
          <w:rFonts w:cs="Arial"/>
          <w:b/>
          <w:sz w:val="24"/>
          <w:szCs w:val="24"/>
        </w:rPr>
      </w:pPr>
    </w:p>
    <w:p w14:paraId="74522DED" w14:textId="77777777" w:rsidR="00794B57" w:rsidRPr="00685573" w:rsidRDefault="00794B57" w:rsidP="00D33348">
      <w:pPr>
        <w:spacing w:line="360" w:lineRule="auto"/>
        <w:jc w:val="both"/>
        <w:rPr>
          <w:rFonts w:cs="Arial"/>
          <w:b/>
          <w:sz w:val="24"/>
          <w:szCs w:val="24"/>
        </w:rPr>
      </w:pPr>
    </w:p>
    <w:p w14:paraId="4124FFEB" w14:textId="18845DB9" w:rsidR="000D709E" w:rsidRPr="00685573" w:rsidRDefault="00794B57" w:rsidP="00D33348">
      <w:pPr>
        <w:spacing w:line="360" w:lineRule="auto"/>
        <w:jc w:val="both"/>
        <w:rPr>
          <w:rFonts w:cs="Arial"/>
          <w:b/>
          <w:sz w:val="24"/>
          <w:szCs w:val="24"/>
        </w:rPr>
      </w:pPr>
      <w:r w:rsidRPr="00685573">
        <w:rPr>
          <w:rFonts w:cs="Arial"/>
          <w:b/>
          <w:sz w:val="24"/>
          <w:szCs w:val="24"/>
        </w:rPr>
        <w:t xml:space="preserve">EM Dennison, C Cooper, J </w:t>
      </w:r>
      <w:r w:rsidR="00EC0AB0" w:rsidRPr="00685573">
        <w:rPr>
          <w:rFonts w:cs="Arial"/>
          <w:b/>
          <w:sz w:val="24"/>
          <w:szCs w:val="24"/>
        </w:rPr>
        <w:t xml:space="preserve">A </w:t>
      </w:r>
      <w:r w:rsidR="00CE7535" w:rsidRPr="00685573">
        <w:rPr>
          <w:rFonts w:cs="Arial"/>
          <w:b/>
          <w:sz w:val="24"/>
          <w:szCs w:val="24"/>
        </w:rPr>
        <w:t>Kanis, O Bruyè</w:t>
      </w:r>
      <w:r w:rsidRPr="00685573">
        <w:rPr>
          <w:rFonts w:cs="Arial"/>
          <w:b/>
          <w:sz w:val="24"/>
          <w:szCs w:val="24"/>
        </w:rPr>
        <w:t xml:space="preserve">re, </w:t>
      </w:r>
      <w:r w:rsidR="00C24AD9" w:rsidRPr="00685573">
        <w:rPr>
          <w:rFonts w:cs="Arial"/>
          <w:b/>
          <w:sz w:val="24"/>
          <w:szCs w:val="24"/>
        </w:rPr>
        <w:t xml:space="preserve">S Silverman, </w:t>
      </w:r>
      <w:r w:rsidRPr="00685573">
        <w:rPr>
          <w:rFonts w:cs="Arial"/>
          <w:b/>
          <w:sz w:val="24"/>
          <w:szCs w:val="24"/>
        </w:rPr>
        <w:t>E McCloskey, B Abrahamsen, D Prieto-Alhambra, S Ferrari</w:t>
      </w:r>
      <w:r w:rsidR="00EE0CCB" w:rsidRPr="00685573">
        <w:rPr>
          <w:rStyle w:val="FootnoteReference"/>
          <w:rFonts w:cs="Arial"/>
          <w:b/>
          <w:sz w:val="24"/>
          <w:szCs w:val="24"/>
        </w:rPr>
        <w:footnoteReference w:id="1"/>
      </w:r>
      <w:r w:rsidRPr="00685573">
        <w:rPr>
          <w:rFonts w:cs="Arial"/>
          <w:b/>
          <w:sz w:val="24"/>
          <w:szCs w:val="24"/>
        </w:rPr>
        <w:t xml:space="preserve"> </w:t>
      </w:r>
    </w:p>
    <w:p w14:paraId="06CE5A5F" w14:textId="77777777" w:rsidR="00270DA9" w:rsidRPr="00685573" w:rsidRDefault="00270DA9" w:rsidP="00224D22">
      <w:pPr>
        <w:spacing w:line="360" w:lineRule="auto"/>
        <w:jc w:val="both"/>
      </w:pPr>
    </w:p>
    <w:p w14:paraId="0BC285DA" w14:textId="4B68994F" w:rsidR="00224D22" w:rsidRPr="00685573" w:rsidRDefault="00224D22" w:rsidP="00224D22">
      <w:pPr>
        <w:spacing w:line="360" w:lineRule="auto"/>
        <w:jc w:val="both"/>
      </w:pPr>
      <w:r w:rsidRPr="00685573">
        <w:t>EM Dennison MRC Lifecourse Epidemiology Unit, University of Southampton, Southampton, United Kingdom</w:t>
      </w:r>
    </w:p>
    <w:p w14:paraId="4095AA6D" w14:textId="77777777" w:rsidR="00224D22" w:rsidRPr="00685573" w:rsidRDefault="00224D22" w:rsidP="00224D22">
      <w:pPr>
        <w:spacing w:line="360" w:lineRule="auto"/>
        <w:jc w:val="both"/>
        <w:rPr>
          <w:rFonts w:cs="Arial"/>
          <w:i/>
          <w:sz w:val="24"/>
          <w:szCs w:val="24"/>
        </w:rPr>
      </w:pPr>
      <w:r w:rsidRPr="00685573">
        <w:t>C Cooper</w:t>
      </w:r>
      <w:r w:rsidRPr="00685573">
        <w:rPr>
          <w:rFonts w:cs="Arial"/>
          <w:sz w:val="24"/>
          <w:szCs w:val="24"/>
        </w:rPr>
        <w:t xml:space="preserve"> </w:t>
      </w:r>
      <w:r w:rsidRPr="00685573">
        <w:t xml:space="preserve">MRC Lifecourse Epidemiology Unit, University of Southampton, Southampton, United Kingdom </w:t>
      </w:r>
      <w:r w:rsidRPr="00685573">
        <w:rPr>
          <w:i/>
        </w:rPr>
        <w:t xml:space="preserve">and </w:t>
      </w:r>
      <w:r w:rsidRPr="00685573">
        <w:t>Nuffield Department of Orthopaedics, Rheumatology and Musculoskeletal Sciences, University of Oxford, Oxford, United Kingdom</w:t>
      </w:r>
    </w:p>
    <w:p w14:paraId="48B7F435" w14:textId="1C907E78" w:rsidR="00224D22" w:rsidRPr="00685573" w:rsidRDefault="00224D22" w:rsidP="00224D22">
      <w:pPr>
        <w:spacing w:line="360" w:lineRule="auto"/>
        <w:jc w:val="both"/>
      </w:pPr>
      <w:r w:rsidRPr="00685573">
        <w:t xml:space="preserve">Kanis JA Centre for Metabolic Bone Diseases, University of Sheffield, Sheffield, UK University of Sheffield Medical School, United Kingdom </w:t>
      </w:r>
      <w:r w:rsidRPr="00685573">
        <w:rPr>
          <w:i/>
        </w:rPr>
        <w:t>and</w:t>
      </w:r>
      <w:r w:rsidRPr="00685573">
        <w:t xml:space="preserve"> Mary McK</w:t>
      </w:r>
      <w:r w:rsidR="004260D9" w:rsidRPr="00685573">
        <w:t>illop Health Institute,</w:t>
      </w:r>
      <w:r w:rsidRPr="00685573">
        <w:t xml:space="preserve"> Australian Catholic University, Melbourne, Australia</w:t>
      </w:r>
    </w:p>
    <w:p w14:paraId="7E3E1BC3" w14:textId="1FB43B4E" w:rsidR="00224D22" w:rsidRPr="00685573" w:rsidRDefault="00224D22" w:rsidP="00224D22">
      <w:pPr>
        <w:spacing w:line="276" w:lineRule="auto"/>
        <w:jc w:val="both"/>
        <w:rPr>
          <w:lang w:val="en-US"/>
        </w:rPr>
      </w:pPr>
      <w:r w:rsidRPr="00685573">
        <w:t xml:space="preserve">O Bruyère </w:t>
      </w:r>
      <w:r w:rsidR="003B6437" w:rsidRPr="00685573">
        <w:t>World Health Organization Collaborating Center for Public Health Aspects of Musculoskeletal Health and Ageing, Department of Public Health, Epidemiology and Health Economics, University of Liège, Liège, Belgium</w:t>
      </w:r>
    </w:p>
    <w:p w14:paraId="2FBC0A4B" w14:textId="77777777" w:rsidR="00224D22" w:rsidRPr="00685573" w:rsidRDefault="00224D22" w:rsidP="00224D22">
      <w:pPr>
        <w:spacing w:line="276" w:lineRule="auto"/>
        <w:jc w:val="both"/>
        <w:rPr>
          <w:lang w:val="en-US"/>
        </w:rPr>
      </w:pPr>
      <w:r w:rsidRPr="00685573">
        <w:t xml:space="preserve">S Silverman </w:t>
      </w:r>
      <w:r w:rsidRPr="00685573">
        <w:rPr>
          <w:lang w:val="en-US"/>
        </w:rPr>
        <w:t>Cedars-Sinai/UCLA Medical Center and OMC Clinical Research Center, Beverly Hills, CA, USA</w:t>
      </w:r>
    </w:p>
    <w:p w14:paraId="5BE39BDD" w14:textId="77777777" w:rsidR="00224D22" w:rsidRPr="00685573" w:rsidRDefault="00224D22" w:rsidP="00224D22">
      <w:pPr>
        <w:spacing w:line="276" w:lineRule="auto"/>
        <w:jc w:val="both"/>
      </w:pPr>
      <w:r w:rsidRPr="00685573">
        <w:t>E McCloskey Academic Unit of Bone Metabolism, Department of Oncology and Metabolism, The Mellanby Centre For Bone Research, University of Sheffield, Sheffield, United Kingdom</w:t>
      </w:r>
    </w:p>
    <w:p w14:paraId="45DF451A" w14:textId="77777777" w:rsidR="00224D22" w:rsidRPr="00685573" w:rsidRDefault="00224D22" w:rsidP="00224D22">
      <w:pPr>
        <w:spacing w:line="276" w:lineRule="auto"/>
        <w:jc w:val="both"/>
      </w:pPr>
      <w:r w:rsidRPr="00685573">
        <w:t>B Abrahamsen, Department of Medicine, Holbaek Hospital, Holbaek, Denmark and OPEN, Institute of Clinical Research, University of Southern Denmark, Odense, Denmark</w:t>
      </w:r>
    </w:p>
    <w:p w14:paraId="216ACBCA" w14:textId="77777777" w:rsidR="00224D22" w:rsidRPr="00685573" w:rsidRDefault="00224D22" w:rsidP="00224D22">
      <w:pPr>
        <w:spacing w:line="276" w:lineRule="auto"/>
        <w:jc w:val="both"/>
      </w:pPr>
      <w:r w:rsidRPr="00685573">
        <w:lastRenderedPageBreak/>
        <w:t>D Prieto-Alhambra Nuffield Department of Orthopaedics, Rheumatology and Musculoskeletal Sciences, University of Oxford, Oxford, United Kingdom and GREMPAL Research Group, Idiap Jordi Gol and CIBERFes, Universitat Autonoma de Barcelona and Instituto de Salud Carlos III, Barcelona, Spain</w:t>
      </w:r>
    </w:p>
    <w:p w14:paraId="1918D9F4" w14:textId="77777777" w:rsidR="00224D22" w:rsidRPr="00685573" w:rsidRDefault="00224D22" w:rsidP="00224D22">
      <w:pPr>
        <w:spacing w:line="276" w:lineRule="auto"/>
        <w:jc w:val="both"/>
      </w:pPr>
      <w:r w:rsidRPr="00685573">
        <w:t xml:space="preserve">SL Ferrari, Division of Bone Disease, Faculty of Medicine, Geneva University Hospital, Geneva, Switzerland </w:t>
      </w:r>
    </w:p>
    <w:p w14:paraId="52CB2B08" w14:textId="77777777" w:rsidR="000D709E" w:rsidRPr="00685573" w:rsidRDefault="000D709E" w:rsidP="00D33348">
      <w:pPr>
        <w:spacing w:line="360" w:lineRule="auto"/>
        <w:jc w:val="both"/>
        <w:rPr>
          <w:rFonts w:cs="Arial"/>
          <w:sz w:val="24"/>
          <w:szCs w:val="24"/>
        </w:rPr>
      </w:pPr>
    </w:p>
    <w:p w14:paraId="1C1D6D2E" w14:textId="77777777" w:rsidR="006A1D05" w:rsidRPr="00685573" w:rsidRDefault="006A1D05" w:rsidP="006A1D05">
      <w:pPr>
        <w:spacing w:line="360" w:lineRule="auto"/>
        <w:jc w:val="both"/>
        <w:rPr>
          <w:rFonts w:cs="Arial"/>
          <w:sz w:val="24"/>
          <w:szCs w:val="24"/>
        </w:rPr>
      </w:pPr>
      <w:r w:rsidRPr="00685573">
        <w:rPr>
          <w:rFonts w:ascii="Calibri" w:hAnsi="Calibri"/>
          <w:color w:val="212121"/>
          <w:shd w:val="clear" w:color="auto" w:fill="FFFFFF"/>
        </w:rPr>
        <w:t>We are grateful to the Committee of Scientific Advisors of the International Osteoporosis Foundation for their review and endorsement of this paper</w:t>
      </w:r>
    </w:p>
    <w:p w14:paraId="11884386" w14:textId="41FA39BB" w:rsidR="00BB31C2" w:rsidRPr="00685573" w:rsidRDefault="00BB31C2" w:rsidP="00D33348">
      <w:pPr>
        <w:spacing w:line="360" w:lineRule="auto"/>
        <w:jc w:val="both"/>
        <w:rPr>
          <w:rFonts w:cs="Arial"/>
          <w:sz w:val="24"/>
          <w:szCs w:val="24"/>
        </w:rPr>
      </w:pPr>
    </w:p>
    <w:p w14:paraId="00BFFA24" w14:textId="3D01C068" w:rsidR="00810093" w:rsidRPr="00685573" w:rsidRDefault="00810093" w:rsidP="00D33348">
      <w:pPr>
        <w:spacing w:line="360" w:lineRule="auto"/>
        <w:jc w:val="both"/>
        <w:rPr>
          <w:rFonts w:cs="Arial"/>
          <w:i/>
          <w:sz w:val="24"/>
          <w:szCs w:val="24"/>
        </w:rPr>
      </w:pPr>
      <w:r w:rsidRPr="00685573">
        <w:rPr>
          <w:rFonts w:cs="Arial"/>
          <w:i/>
          <w:sz w:val="24"/>
          <w:szCs w:val="24"/>
        </w:rPr>
        <w:t xml:space="preserve">Correspondence to Professor </w:t>
      </w:r>
      <w:r w:rsidR="00F62D23" w:rsidRPr="00685573">
        <w:rPr>
          <w:rFonts w:cs="Arial"/>
          <w:i/>
          <w:sz w:val="24"/>
          <w:szCs w:val="24"/>
        </w:rPr>
        <w:t>Cyrus Cooper</w:t>
      </w:r>
      <w:r w:rsidRPr="00685573">
        <w:rPr>
          <w:rFonts w:cs="Arial"/>
          <w:i/>
          <w:sz w:val="24"/>
          <w:szCs w:val="24"/>
        </w:rPr>
        <w:t>, MRC Lifecourse Epidemiology Unit, So</w:t>
      </w:r>
      <w:r w:rsidR="00F62D23" w:rsidRPr="00685573">
        <w:rPr>
          <w:rFonts w:cs="Arial"/>
          <w:i/>
          <w:sz w:val="24"/>
          <w:szCs w:val="24"/>
        </w:rPr>
        <w:t>uthampton SO16 6YD, UK email cc</w:t>
      </w:r>
      <w:r w:rsidRPr="00685573">
        <w:rPr>
          <w:rFonts w:cs="Arial"/>
          <w:i/>
          <w:sz w:val="24"/>
          <w:szCs w:val="24"/>
        </w:rPr>
        <w:t xml:space="preserve">@mrc.soton.ac.uk </w:t>
      </w:r>
    </w:p>
    <w:p w14:paraId="76225752" w14:textId="77777777" w:rsidR="00810093" w:rsidRPr="00685573" w:rsidRDefault="00810093" w:rsidP="00D33348">
      <w:pPr>
        <w:spacing w:line="360" w:lineRule="auto"/>
        <w:jc w:val="both"/>
        <w:rPr>
          <w:rFonts w:cs="Arial"/>
          <w:i/>
          <w:sz w:val="24"/>
          <w:szCs w:val="24"/>
        </w:rPr>
      </w:pPr>
    </w:p>
    <w:p w14:paraId="1D611B0B" w14:textId="77777777" w:rsidR="00810093" w:rsidRPr="00685573" w:rsidRDefault="00810093" w:rsidP="00810093">
      <w:pPr>
        <w:spacing w:line="360" w:lineRule="auto"/>
        <w:jc w:val="both"/>
        <w:rPr>
          <w:rFonts w:cs="Arial"/>
          <w:b/>
          <w:bCs/>
          <w:sz w:val="24"/>
          <w:szCs w:val="24"/>
        </w:rPr>
      </w:pPr>
    </w:p>
    <w:p w14:paraId="767D69DF" w14:textId="77777777" w:rsidR="00F56C8E" w:rsidRPr="00685573" w:rsidRDefault="00F56C8E">
      <w:pPr>
        <w:rPr>
          <w:rFonts w:cs="Arial"/>
          <w:b/>
          <w:bCs/>
          <w:sz w:val="24"/>
          <w:szCs w:val="24"/>
        </w:rPr>
      </w:pPr>
      <w:r w:rsidRPr="00685573">
        <w:rPr>
          <w:rFonts w:cs="Arial"/>
          <w:b/>
          <w:bCs/>
          <w:sz w:val="24"/>
          <w:szCs w:val="24"/>
        </w:rPr>
        <w:br w:type="page"/>
      </w:r>
    </w:p>
    <w:p w14:paraId="0DCF88B3" w14:textId="2866454D" w:rsidR="00810093" w:rsidRPr="00685573" w:rsidRDefault="00810093" w:rsidP="00810093">
      <w:pPr>
        <w:spacing w:line="360" w:lineRule="auto"/>
        <w:jc w:val="both"/>
        <w:rPr>
          <w:rFonts w:cs="Arial"/>
          <w:b/>
          <w:bCs/>
          <w:sz w:val="24"/>
          <w:szCs w:val="24"/>
        </w:rPr>
      </w:pPr>
      <w:r w:rsidRPr="00685573">
        <w:rPr>
          <w:rFonts w:cs="Arial"/>
          <w:b/>
          <w:bCs/>
          <w:sz w:val="24"/>
          <w:szCs w:val="24"/>
        </w:rPr>
        <w:lastRenderedPageBreak/>
        <w:t>Abstract</w:t>
      </w:r>
    </w:p>
    <w:p w14:paraId="6DBC04AE" w14:textId="6FC34A98" w:rsidR="00810093" w:rsidRPr="00685573" w:rsidRDefault="00810093" w:rsidP="00810093">
      <w:pPr>
        <w:spacing w:line="360" w:lineRule="auto"/>
        <w:jc w:val="both"/>
        <w:rPr>
          <w:rFonts w:cs="Arial"/>
          <w:sz w:val="24"/>
          <w:szCs w:val="24"/>
        </w:rPr>
      </w:pPr>
      <w:r w:rsidRPr="00685573">
        <w:rPr>
          <w:rFonts w:cs="Arial"/>
          <w:i/>
          <w:iCs/>
          <w:sz w:val="24"/>
          <w:szCs w:val="24"/>
        </w:rPr>
        <w:t>Summary</w:t>
      </w:r>
      <w:r w:rsidRPr="00685573">
        <w:rPr>
          <w:rFonts w:cs="Arial"/>
          <w:sz w:val="24"/>
          <w:szCs w:val="24"/>
        </w:rPr>
        <w:t xml:space="preserve"> </w:t>
      </w:r>
      <w:r w:rsidR="0062013C" w:rsidRPr="00685573">
        <w:rPr>
          <w:rFonts w:cs="Arial"/>
          <w:sz w:val="24"/>
          <w:szCs w:val="24"/>
        </w:rPr>
        <w:t xml:space="preserve">Given the widespread practice of recommending drug holidays we reviewed the impact of medication discontinuation of two common anti-osteoporosis therapies (bisphosphonates and denosumab). </w:t>
      </w:r>
      <w:r w:rsidR="00F62D23" w:rsidRPr="00685573">
        <w:rPr>
          <w:rFonts w:cs="Arial"/>
          <w:sz w:val="24"/>
          <w:szCs w:val="24"/>
        </w:rPr>
        <w:t>Trial evidence suggests t</w:t>
      </w:r>
      <w:r w:rsidRPr="00685573">
        <w:rPr>
          <w:rFonts w:cs="Arial"/>
          <w:sz w:val="24"/>
          <w:szCs w:val="24"/>
        </w:rPr>
        <w:t xml:space="preserve">he risk of new clinical fractures and vertebral fracture increases when </w:t>
      </w:r>
      <w:r w:rsidR="00754E17" w:rsidRPr="00685573">
        <w:rPr>
          <w:rFonts w:cs="Arial"/>
          <w:sz w:val="24"/>
          <w:szCs w:val="24"/>
        </w:rPr>
        <w:t xml:space="preserve">osteoporosis </w:t>
      </w:r>
      <w:r w:rsidRPr="00685573">
        <w:rPr>
          <w:rFonts w:cs="Arial"/>
          <w:sz w:val="24"/>
          <w:szCs w:val="24"/>
        </w:rPr>
        <w:t xml:space="preserve">treatment with bisphosphonates or denosumab is stopped.  </w:t>
      </w:r>
    </w:p>
    <w:p w14:paraId="610C7641" w14:textId="2B24F99A" w:rsidR="00810093" w:rsidRPr="00685573" w:rsidRDefault="00810093" w:rsidP="00810093">
      <w:pPr>
        <w:spacing w:line="360" w:lineRule="auto"/>
        <w:jc w:val="both"/>
        <w:rPr>
          <w:rFonts w:cs="Arial"/>
          <w:sz w:val="24"/>
          <w:szCs w:val="24"/>
        </w:rPr>
      </w:pPr>
      <w:r w:rsidRPr="00685573">
        <w:rPr>
          <w:rFonts w:cs="Arial"/>
          <w:i/>
          <w:iCs/>
          <w:sz w:val="24"/>
          <w:szCs w:val="24"/>
        </w:rPr>
        <w:t>Introduction</w:t>
      </w:r>
      <w:r w:rsidR="007A4600" w:rsidRPr="00685573">
        <w:rPr>
          <w:rFonts w:cs="Arial"/>
          <w:sz w:val="24"/>
          <w:szCs w:val="24"/>
        </w:rPr>
        <w:t xml:space="preserve"> The aim of this</w:t>
      </w:r>
      <w:r w:rsidRPr="00685573">
        <w:rPr>
          <w:rFonts w:cs="Arial"/>
          <w:sz w:val="24"/>
          <w:szCs w:val="24"/>
        </w:rPr>
        <w:t xml:space="preserve"> paper was to review the available literature to assess what evidence exists to inform clinical decision making with regard to drug holidays following treatment with bisphosphonates</w:t>
      </w:r>
      <w:r w:rsidR="00035FBE" w:rsidRPr="00685573">
        <w:rPr>
          <w:rFonts w:cs="Arial"/>
          <w:sz w:val="24"/>
          <w:szCs w:val="24"/>
        </w:rPr>
        <w:t xml:space="preserve"> (B</w:t>
      </w:r>
      <w:r w:rsidR="007E1E35" w:rsidRPr="00685573">
        <w:rPr>
          <w:rFonts w:cs="Arial"/>
          <w:sz w:val="24"/>
          <w:szCs w:val="24"/>
        </w:rPr>
        <w:t>i</w:t>
      </w:r>
      <w:r w:rsidR="00035FBE" w:rsidRPr="00685573">
        <w:rPr>
          <w:rFonts w:cs="Arial"/>
          <w:sz w:val="24"/>
          <w:szCs w:val="24"/>
        </w:rPr>
        <w:t>P)</w:t>
      </w:r>
      <w:r w:rsidRPr="00685573">
        <w:rPr>
          <w:rFonts w:cs="Arial"/>
          <w:sz w:val="24"/>
          <w:szCs w:val="24"/>
        </w:rPr>
        <w:t xml:space="preserve"> or denosumab. </w:t>
      </w:r>
    </w:p>
    <w:p w14:paraId="36217CF2" w14:textId="77936F4E" w:rsidR="00810093" w:rsidRPr="00685573" w:rsidRDefault="00810093" w:rsidP="00810093">
      <w:pPr>
        <w:spacing w:line="360" w:lineRule="auto"/>
        <w:jc w:val="both"/>
        <w:rPr>
          <w:rFonts w:cs="Arial"/>
          <w:sz w:val="24"/>
          <w:szCs w:val="24"/>
        </w:rPr>
      </w:pPr>
      <w:r w:rsidRPr="00685573">
        <w:rPr>
          <w:rFonts w:cs="Arial"/>
          <w:i/>
          <w:sz w:val="24"/>
          <w:szCs w:val="24"/>
        </w:rPr>
        <w:t>Methods</w:t>
      </w:r>
      <w:r w:rsidR="00754E17" w:rsidRPr="00685573">
        <w:rPr>
          <w:rFonts w:cs="Arial"/>
          <w:sz w:val="24"/>
          <w:szCs w:val="24"/>
        </w:rPr>
        <w:t xml:space="preserve"> Systematic review</w:t>
      </w:r>
      <w:r w:rsidRPr="00685573">
        <w:rPr>
          <w:rFonts w:cs="Arial"/>
          <w:sz w:val="24"/>
          <w:szCs w:val="24"/>
        </w:rPr>
        <w:t>.</w:t>
      </w:r>
    </w:p>
    <w:p w14:paraId="3DC327E1" w14:textId="44884410" w:rsidR="00810093" w:rsidRPr="00685573" w:rsidRDefault="00810093" w:rsidP="00810093">
      <w:pPr>
        <w:spacing w:line="360" w:lineRule="auto"/>
        <w:jc w:val="both"/>
        <w:rPr>
          <w:rFonts w:cs="Arial"/>
          <w:sz w:val="24"/>
          <w:szCs w:val="24"/>
        </w:rPr>
      </w:pPr>
      <w:r w:rsidRPr="00685573">
        <w:rPr>
          <w:rFonts w:cs="Arial"/>
          <w:i/>
          <w:iCs/>
          <w:sz w:val="24"/>
          <w:szCs w:val="24"/>
        </w:rPr>
        <w:t>Results</w:t>
      </w:r>
      <w:r w:rsidRPr="00685573">
        <w:rPr>
          <w:rFonts w:cs="Arial"/>
          <w:sz w:val="24"/>
          <w:szCs w:val="24"/>
        </w:rPr>
        <w:t xml:space="preserve"> </w:t>
      </w:r>
      <w:bookmarkStart w:id="1" w:name="_Hlk515728741"/>
      <w:r w:rsidR="00035FBE" w:rsidRPr="00685573">
        <w:rPr>
          <w:rFonts w:cs="Arial"/>
          <w:sz w:val="24"/>
          <w:szCs w:val="24"/>
        </w:rPr>
        <w:t>Differ</w:t>
      </w:r>
      <w:r w:rsidR="00F62D23" w:rsidRPr="00685573">
        <w:rPr>
          <w:rFonts w:cs="Arial"/>
          <w:sz w:val="24"/>
          <w:szCs w:val="24"/>
        </w:rPr>
        <w:t xml:space="preserve">ing pharmacokinetics lead to varying outcomes on stopping therapy. </w:t>
      </w:r>
      <w:r w:rsidRPr="00685573">
        <w:rPr>
          <w:rFonts w:cs="Arial"/>
          <w:sz w:val="24"/>
          <w:szCs w:val="24"/>
        </w:rPr>
        <w:t xml:space="preserve">Prospective and retrospective analyses report that the risk of new clinical fractures was 20-40% higher in subjects who stopped </w:t>
      </w:r>
      <w:r w:rsidR="00035FBE" w:rsidRPr="00685573">
        <w:rPr>
          <w:rFonts w:cs="Arial"/>
          <w:sz w:val="24"/>
          <w:szCs w:val="24"/>
        </w:rPr>
        <w:t>B</w:t>
      </w:r>
      <w:r w:rsidR="007E1E35" w:rsidRPr="00685573">
        <w:rPr>
          <w:rFonts w:cs="Arial"/>
          <w:sz w:val="24"/>
          <w:szCs w:val="24"/>
        </w:rPr>
        <w:t>i</w:t>
      </w:r>
      <w:r w:rsidR="00035FBE" w:rsidRPr="00685573">
        <w:rPr>
          <w:rFonts w:cs="Arial"/>
          <w:sz w:val="24"/>
          <w:szCs w:val="24"/>
        </w:rPr>
        <w:t xml:space="preserve">P </w:t>
      </w:r>
      <w:r w:rsidRPr="00685573">
        <w:rPr>
          <w:rFonts w:cs="Arial"/>
          <w:sz w:val="24"/>
          <w:szCs w:val="24"/>
        </w:rPr>
        <w:t>treatment and vertebral fracture risk was approximately doubled</w:t>
      </w:r>
      <w:bookmarkEnd w:id="1"/>
      <w:r w:rsidRPr="00685573">
        <w:rPr>
          <w:rFonts w:cs="Arial"/>
          <w:sz w:val="24"/>
          <w:szCs w:val="24"/>
        </w:rPr>
        <w:t>.</w:t>
      </w:r>
      <w:r w:rsidRPr="00685573">
        <w:t xml:space="preserve"> </w:t>
      </w:r>
      <w:r w:rsidR="000E3D2D" w:rsidRPr="00685573">
        <w:rPr>
          <w:rFonts w:cs="Arial"/>
          <w:sz w:val="24"/>
          <w:szCs w:val="24"/>
        </w:rPr>
        <w:t>Rapid bone loss has been well described following denosumab discontinuation with an incidence of  multiple vertebral fractures</w:t>
      </w:r>
      <w:r w:rsidR="00A634AF" w:rsidRPr="00685573">
        <w:rPr>
          <w:rFonts w:cs="Arial"/>
          <w:sz w:val="24"/>
          <w:szCs w:val="24"/>
        </w:rPr>
        <w:t xml:space="preserve"> around 5%</w:t>
      </w:r>
      <w:r w:rsidR="000E3D2D" w:rsidRPr="00685573">
        <w:rPr>
          <w:rFonts w:cs="Arial"/>
          <w:sz w:val="24"/>
          <w:szCs w:val="24"/>
        </w:rPr>
        <w:t xml:space="preserve">. </w:t>
      </w:r>
      <w:r w:rsidRPr="00685573">
        <w:rPr>
          <w:rFonts w:cs="Arial"/>
          <w:sz w:val="24"/>
          <w:szCs w:val="24"/>
        </w:rPr>
        <w:t>Studies have not identified risk factors for fracture after stopping treatment other than those that provide an indication for treatment (e.g. prior fracture and low BMD).</w:t>
      </w:r>
      <w:r w:rsidRPr="00685573">
        <w:t xml:space="preserve"> </w:t>
      </w:r>
      <w:r w:rsidR="009B13D9" w:rsidRPr="00685573">
        <w:t xml:space="preserve"> Studies that considered long-term continuation did not identify increased fracture risk, and reported only very low rates of adverse skeletal events such as atypical femoral fracture. </w:t>
      </w:r>
    </w:p>
    <w:p w14:paraId="02DDC606" w14:textId="145BAEB0" w:rsidR="00810093" w:rsidRPr="00685573" w:rsidRDefault="00810093" w:rsidP="00810093">
      <w:pPr>
        <w:spacing w:line="360" w:lineRule="auto"/>
        <w:jc w:val="both"/>
        <w:rPr>
          <w:rFonts w:cs="Arial"/>
          <w:sz w:val="24"/>
          <w:szCs w:val="24"/>
        </w:rPr>
      </w:pPr>
      <w:r w:rsidRPr="00685573">
        <w:rPr>
          <w:rFonts w:cs="Arial"/>
          <w:i/>
          <w:iCs/>
          <w:sz w:val="24"/>
          <w:szCs w:val="24"/>
        </w:rPr>
        <w:t>Conclusions</w:t>
      </w:r>
      <w:r w:rsidRPr="00685573">
        <w:rPr>
          <w:rFonts w:cs="Arial"/>
          <w:sz w:val="24"/>
          <w:szCs w:val="24"/>
        </w:rPr>
        <w:t xml:space="preserve"> The view that patients on long-term treatment with bisphosphonates or denosumab should </w:t>
      </w:r>
      <w:r w:rsidR="00754E17" w:rsidRPr="00685573">
        <w:rPr>
          <w:rFonts w:cs="Arial"/>
          <w:sz w:val="24"/>
          <w:szCs w:val="24"/>
        </w:rPr>
        <w:t xml:space="preserve">always </w:t>
      </w:r>
      <w:r w:rsidRPr="00685573">
        <w:rPr>
          <w:rFonts w:cs="Arial"/>
          <w:sz w:val="24"/>
          <w:szCs w:val="24"/>
        </w:rPr>
        <w:t xml:space="preserve">be offered a drug holiday is </w:t>
      </w:r>
      <w:r w:rsidR="007A4600" w:rsidRPr="00685573">
        <w:rPr>
          <w:rFonts w:cs="Arial"/>
          <w:sz w:val="24"/>
          <w:szCs w:val="24"/>
        </w:rPr>
        <w:t>not supported by the existing evidence</w:t>
      </w:r>
      <w:r w:rsidRPr="00685573">
        <w:rPr>
          <w:rFonts w:cs="Arial"/>
          <w:sz w:val="24"/>
          <w:szCs w:val="24"/>
        </w:rPr>
        <w:t xml:space="preserve">. </w:t>
      </w:r>
      <w:r w:rsidR="002535BB" w:rsidRPr="00685573">
        <w:rPr>
          <w:rFonts w:cs="Arial"/>
          <w:sz w:val="24"/>
          <w:szCs w:val="24"/>
        </w:rPr>
        <w:t>Different pharmacokinetic properties fo different therapies require different strategies to manage drug intermission</w:t>
      </w:r>
      <w:r w:rsidR="00035FBE" w:rsidRPr="00685573">
        <w:rPr>
          <w:rFonts w:cs="Arial"/>
          <w:sz w:val="24"/>
          <w:szCs w:val="24"/>
        </w:rPr>
        <w:t xml:space="preserve">. </w:t>
      </w:r>
      <w:r w:rsidR="002535BB" w:rsidRPr="00685573">
        <w:rPr>
          <w:rFonts w:cs="Arial"/>
          <w:sz w:val="24"/>
          <w:szCs w:val="24"/>
        </w:rPr>
        <w:t>In contrast, long-term treatment with anti-resorptives is not associated with increased risk of fragility fractures and skeletal adverse events remain rare.</w:t>
      </w:r>
    </w:p>
    <w:p w14:paraId="11027B25" w14:textId="77777777" w:rsidR="00810093" w:rsidRPr="00685573" w:rsidRDefault="00810093" w:rsidP="00810093">
      <w:pPr>
        <w:spacing w:line="360" w:lineRule="auto"/>
        <w:jc w:val="both"/>
        <w:rPr>
          <w:rFonts w:cs="Arial"/>
          <w:sz w:val="24"/>
          <w:szCs w:val="24"/>
        </w:rPr>
      </w:pPr>
    </w:p>
    <w:p w14:paraId="273AFF4E" w14:textId="77777777" w:rsidR="00810093" w:rsidRPr="00685573" w:rsidRDefault="00810093" w:rsidP="00810093">
      <w:pPr>
        <w:spacing w:line="360" w:lineRule="auto"/>
        <w:jc w:val="both"/>
        <w:rPr>
          <w:rFonts w:cs="Arial"/>
          <w:sz w:val="24"/>
          <w:szCs w:val="24"/>
        </w:rPr>
      </w:pPr>
      <w:r w:rsidRPr="00685573">
        <w:rPr>
          <w:rFonts w:cs="Arial"/>
          <w:b/>
          <w:bCs/>
          <w:sz w:val="24"/>
          <w:szCs w:val="24"/>
        </w:rPr>
        <w:t>Keywords</w:t>
      </w:r>
      <w:r w:rsidRPr="00685573">
        <w:rPr>
          <w:rFonts w:cs="Arial"/>
          <w:sz w:val="24"/>
          <w:szCs w:val="24"/>
        </w:rPr>
        <w:t xml:space="preserve"> Atypical fracture ∙ Bisphosphonates ∙ Denosumab ∙ Drug holiday</w:t>
      </w:r>
      <w:bookmarkStart w:id="2" w:name="_Hlk515728581"/>
      <w:r w:rsidRPr="00685573">
        <w:rPr>
          <w:rFonts w:cs="Arial"/>
          <w:sz w:val="24"/>
          <w:szCs w:val="24"/>
        </w:rPr>
        <w:t xml:space="preserve"> </w:t>
      </w:r>
      <w:bookmarkEnd w:id="2"/>
    </w:p>
    <w:p w14:paraId="339334E3" w14:textId="5FEBDA4B" w:rsidR="00A72BA1" w:rsidRPr="00685573" w:rsidRDefault="00A72BA1" w:rsidP="00D33348">
      <w:pPr>
        <w:spacing w:line="360" w:lineRule="auto"/>
        <w:jc w:val="both"/>
        <w:rPr>
          <w:rFonts w:cs="Arial"/>
          <w:i/>
          <w:sz w:val="24"/>
          <w:szCs w:val="24"/>
        </w:rPr>
      </w:pPr>
      <w:r w:rsidRPr="00685573">
        <w:rPr>
          <w:rFonts w:cs="Arial"/>
          <w:i/>
          <w:sz w:val="24"/>
          <w:szCs w:val="24"/>
        </w:rPr>
        <w:br w:type="page"/>
      </w:r>
    </w:p>
    <w:p w14:paraId="3160ADB3" w14:textId="77777777" w:rsidR="00A72BA1" w:rsidRPr="00685573" w:rsidRDefault="00A72BA1" w:rsidP="00D33348">
      <w:pPr>
        <w:spacing w:line="360" w:lineRule="auto"/>
        <w:jc w:val="both"/>
        <w:rPr>
          <w:rFonts w:cs="Arial"/>
          <w:b/>
          <w:sz w:val="24"/>
          <w:szCs w:val="24"/>
        </w:rPr>
      </w:pPr>
      <w:r w:rsidRPr="00685573">
        <w:rPr>
          <w:rFonts w:cs="Arial"/>
          <w:b/>
          <w:sz w:val="24"/>
          <w:szCs w:val="24"/>
        </w:rPr>
        <w:lastRenderedPageBreak/>
        <w:t>Introduction</w:t>
      </w:r>
    </w:p>
    <w:p w14:paraId="1B5297AE" w14:textId="3AA7FFB7" w:rsidR="0030789D" w:rsidRPr="00685573" w:rsidRDefault="005747B3" w:rsidP="00D33348">
      <w:pPr>
        <w:spacing w:line="360" w:lineRule="auto"/>
        <w:jc w:val="both"/>
        <w:rPr>
          <w:rFonts w:cs="Arial"/>
          <w:sz w:val="24"/>
          <w:szCs w:val="24"/>
        </w:rPr>
      </w:pPr>
      <w:r w:rsidRPr="00685573">
        <w:rPr>
          <w:rFonts w:cs="Arial"/>
          <w:sz w:val="24"/>
          <w:szCs w:val="24"/>
        </w:rPr>
        <w:t xml:space="preserve">The burden of osteoporotic fracture is very high, with an estimated </w:t>
      </w:r>
      <w:r w:rsidR="00862E97" w:rsidRPr="00685573">
        <w:rPr>
          <w:rFonts w:cs="Arial"/>
          <w:sz w:val="24"/>
          <w:szCs w:val="24"/>
        </w:rPr>
        <w:t>8.9</w:t>
      </w:r>
      <w:r w:rsidRPr="00685573">
        <w:rPr>
          <w:rFonts w:cs="Arial"/>
          <w:sz w:val="24"/>
          <w:szCs w:val="24"/>
        </w:rPr>
        <w:t xml:space="preserve"> million fractures annually</w:t>
      </w:r>
      <w:r w:rsidR="00C56A52" w:rsidRPr="00685573">
        <w:rPr>
          <w:rFonts w:cs="Arial"/>
          <w:sz w:val="24"/>
          <w:szCs w:val="24"/>
        </w:rPr>
        <w:t xml:space="preserve"> [1]</w:t>
      </w:r>
      <w:r w:rsidRPr="00685573">
        <w:rPr>
          <w:rFonts w:cs="Arial"/>
          <w:sz w:val="24"/>
          <w:szCs w:val="24"/>
        </w:rPr>
        <w:t xml:space="preserve">. </w:t>
      </w:r>
      <w:r w:rsidR="00A72BA1" w:rsidRPr="00685573">
        <w:rPr>
          <w:rFonts w:cs="Arial"/>
          <w:sz w:val="24"/>
          <w:szCs w:val="24"/>
        </w:rPr>
        <w:t>Many anti-osteoporosis medications (AOMs) are available, with the oral bisphosphonate</w:t>
      </w:r>
      <w:r w:rsidRPr="00685573">
        <w:rPr>
          <w:rFonts w:cs="Arial"/>
          <w:sz w:val="24"/>
          <w:szCs w:val="24"/>
        </w:rPr>
        <w:t>s</w:t>
      </w:r>
      <w:r w:rsidR="0030789D" w:rsidRPr="00685573">
        <w:rPr>
          <w:rFonts w:cs="Arial"/>
          <w:sz w:val="24"/>
          <w:szCs w:val="24"/>
        </w:rPr>
        <w:t xml:space="preserve"> (BP)</w:t>
      </w:r>
      <w:r w:rsidRPr="00685573">
        <w:rPr>
          <w:rFonts w:cs="Arial"/>
          <w:sz w:val="24"/>
          <w:szCs w:val="24"/>
        </w:rPr>
        <w:t xml:space="preserve"> being amongst the most widely </w:t>
      </w:r>
      <w:r w:rsidR="00A72BA1" w:rsidRPr="00685573">
        <w:rPr>
          <w:rFonts w:cs="Arial"/>
          <w:sz w:val="24"/>
          <w:szCs w:val="24"/>
        </w:rPr>
        <w:t>p</w:t>
      </w:r>
      <w:r w:rsidRPr="00685573">
        <w:rPr>
          <w:rFonts w:cs="Arial"/>
          <w:sz w:val="24"/>
          <w:szCs w:val="24"/>
        </w:rPr>
        <w:t>rescribed. The efficacy of these is</w:t>
      </w:r>
      <w:r w:rsidR="00A72BA1" w:rsidRPr="00685573">
        <w:rPr>
          <w:rFonts w:cs="Arial"/>
          <w:sz w:val="24"/>
          <w:szCs w:val="24"/>
        </w:rPr>
        <w:t xml:space="preserve"> well established, with fracture reduction of the order of 50% possible </w:t>
      </w:r>
      <w:r w:rsidR="00C56A52" w:rsidRPr="00685573">
        <w:rPr>
          <w:rFonts w:cs="Arial"/>
          <w:sz w:val="24"/>
          <w:szCs w:val="24"/>
        </w:rPr>
        <w:t>[2]</w:t>
      </w:r>
      <w:r w:rsidR="00A72BA1" w:rsidRPr="00685573">
        <w:rPr>
          <w:rFonts w:cs="Arial"/>
          <w:sz w:val="24"/>
          <w:szCs w:val="24"/>
        </w:rPr>
        <w:t xml:space="preserve">. </w:t>
      </w:r>
      <w:r w:rsidR="00567C7D" w:rsidRPr="00685573">
        <w:rPr>
          <w:rFonts w:cs="Arial"/>
          <w:sz w:val="24"/>
          <w:szCs w:val="24"/>
        </w:rPr>
        <w:t>These effects on fracture risk are offset by poor adherence</w:t>
      </w:r>
      <w:r w:rsidR="006731A7" w:rsidRPr="00685573">
        <w:rPr>
          <w:rFonts w:cs="Arial"/>
          <w:sz w:val="24"/>
          <w:szCs w:val="24"/>
        </w:rPr>
        <w:t xml:space="preserve"> to AOM</w:t>
      </w:r>
      <w:r w:rsidR="00567C7D" w:rsidRPr="00685573">
        <w:rPr>
          <w:rFonts w:cs="Arial"/>
          <w:sz w:val="24"/>
          <w:szCs w:val="24"/>
        </w:rPr>
        <w:t xml:space="preserve">, as with other therapy for long term conditions, estimated at about 35% at one year </w:t>
      </w:r>
      <w:r w:rsidR="008A4ECC" w:rsidRPr="00685573">
        <w:rPr>
          <w:rFonts w:cs="Arial"/>
          <w:sz w:val="24"/>
          <w:szCs w:val="24"/>
        </w:rPr>
        <w:t>[3], although other studies suggest higher persistence for secondary fracture prevention</w:t>
      </w:r>
      <w:r w:rsidR="00C56A52" w:rsidRPr="00685573">
        <w:rPr>
          <w:rFonts w:cs="Arial"/>
          <w:sz w:val="24"/>
          <w:szCs w:val="24"/>
        </w:rPr>
        <w:t xml:space="preserve"> [</w:t>
      </w:r>
      <w:r w:rsidR="008A4ECC" w:rsidRPr="00685573">
        <w:rPr>
          <w:rFonts w:cs="Arial"/>
          <w:sz w:val="24"/>
          <w:szCs w:val="24"/>
        </w:rPr>
        <w:t>4]</w:t>
      </w:r>
      <w:r w:rsidRPr="00685573">
        <w:rPr>
          <w:rFonts w:cs="Arial"/>
          <w:sz w:val="24"/>
          <w:szCs w:val="24"/>
        </w:rPr>
        <w:t>. Adherence with AOM has been further challenged in recent years with widespread publicity about rare ri</w:t>
      </w:r>
      <w:r w:rsidR="00A72BA1" w:rsidRPr="00685573">
        <w:rPr>
          <w:rFonts w:cs="Arial"/>
          <w:sz w:val="24"/>
          <w:szCs w:val="24"/>
        </w:rPr>
        <w:t>sks associated with long term bisphosphonate</w:t>
      </w:r>
      <w:r w:rsidRPr="00685573">
        <w:rPr>
          <w:rFonts w:cs="Arial"/>
          <w:sz w:val="24"/>
          <w:szCs w:val="24"/>
        </w:rPr>
        <w:t xml:space="preserve"> use, namely</w:t>
      </w:r>
      <w:r w:rsidR="00A72BA1" w:rsidRPr="00685573">
        <w:rPr>
          <w:rFonts w:cs="Arial"/>
          <w:sz w:val="24"/>
          <w:szCs w:val="24"/>
        </w:rPr>
        <w:t xml:space="preserve"> atypical femoral fracture</w:t>
      </w:r>
      <w:r w:rsidR="00325AF1" w:rsidRPr="00685573">
        <w:rPr>
          <w:rFonts w:cs="Arial"/>
          <w:sz w:val="24"/>
          <w:szCs w:val="24"/>
        </w:rPr>
        <w:t xml:space="preserve"> (AFF)</w:t>
      </w:r>
      <w:r w:rsidR="00A72BA1" w:rsidRPr="00685573">
        <w:rPr>
          <w:rFonts w:cs="Arial"/>
          <w:sz w:val="24"/>
          <w:szCs w:val="24"/>
        </w:rPr>
        <w:t xml:space="preserve"> </w:t>
      </w:r>
      <w:r w:rsidRPr="00685573">
        <w:rPr>
          <w:rFonts w:cs="Arial"/>
          <w:sz w:val="24"/>
          <w:szCs w:val="24"/>
        </w:rPr>
        <w:t xml:space="preserve">and </w:t>
      </w:r>
      <w:r w:rsidR="00A72BA1" w:rsidRPr="00685573">
        <w:rPr>
          <w:rFonts w:cs="Arial"/>
          <w:sz w:val="24"/>
          <w:szCs w:val="24"/>
        </w:rPr>
        <w:t>osteonecrosis of the jaw</w:t>
      </w:r>
      <w:r w:rsidR="008A4ECC" w:rsidRPr="00685573">
        <w:rPr>
          <w:rFonts w:cs="Arial"/>
          <w:sz w:val="24"/>
          <w:szCs w:val="24"/>
        </w:rPr>
        <w:t xml:space="preserve"> [5</w:t>
      </w:r>
      <w:r w:rsidR="00C56A52" w:rsidRPr="00685573">
        <w:rPr>
          <w:rFonts w:cs="Arial"/>
          <w:sz w:val="24"/>
          <w:szCs w:val="24"/>
        </w:rPr>
        <w:t>]</w:t>
      </w:r>
      <w:r w:rsidRPr="00685573">
        <w:rPr>
          <w:rFonts w:cs="Arial"/>
          <w:sz w:val="24"/>
          <w:szCs w:val="24"/>
        </w:rPr>
        <w:t>. The recognition of these rare side events has led to the common practice of ‘drug holidays’ where</w:t>
      </w:r>
      <w:r w:rsidR="00E647B9" w:rsidRPr="00685573">
        <w:rPr>
          <w:rFonts w:cs="Arial"/>
          <w:sz w:val="24"/>
          <w:szCs w:val="24"/>
        </w:rPr>
        <w:t>by patients who have been on B</w:t>
      </w:r>
      <w:r w:rsidR="007E1E35" w:rsidRPr="00685573">
        <w:rPr>
          <w:rFonts w:cs="Arial"/>
          <w:sz w:val="24"/>
          <w:szCs w:val="24"/>
        </w:rPr>
        <w:t>i</w:t>
      </w:r>
      <w:r w:rsidR="00E647B9" w:rsidRPr="00685573">
        <w:rPr>
          <w:rFonts w:cs="Arial"/>
          <w:sz w:val="24"/>
          <w:szCs w:val="24"/>
        </w:rPr>
        <w:t>P</w:t>
      </w:r>
      <w:r w:rsidRPr="00685573">
        <w:rPr>
          <w:rFonts w:cs="Arial"/>
          <w:sz w:val="24"/>
          <w:szCs w:val="24"/>
        </w:rPr>
        <w:t xml:space="preserve"> for 3-5 years are considered for their suitability for a rest from treatment, typically for 1-2 years</w:t>
      </w:r>
      <w:r w:rsidR="008A4ECC" w:rsidRPr="00685573">
        <w:rPr>
          <w:rFonts w:cs="Arial"/>
          <w:sz w:val="24"/>
          <w:szCs w:val="24"/>
        </w:rPr>
        <w:t xml:space="preserve"> [5</w:t>
      </w:r>
      <w:r w:rsidR="00AC5152" w:rsidRPr="00685573">
        <w:rPr>
          <w:rFonts w:cs="Arial"/>
          <w:sz w:val="24"/>
          <w:szCs w:val="24"/>
        </w:rPr>
        <w:t>-9</w:t>
      </w:r>
      <w:r w:rsidR="00C56A52" w:rsidRPr="00685573">
        <w:rPr>
          <w:rFonts w:cs="Arial"/>
          <w:sz w:val="24"/>
          <w:szCs w:val="24"/>
        </w:rPr>
        <w:t>]</w:t>
      </w:r>
      <w:r w:rsidRPr="00685573">
        <w:rPr>
          <w:rFonts w:cs="Arial"/>
          <w:sz w:val="24"/>
          <w:szCs w:val="24"/>
        </w:rPr>
        <w:t xml:space="preserve">. </w:t>
      </w:r>
      <w:r w:rsidR="00A80024" w:rsidRPr="00685573">
        <w:rPr>
          <w:rFonts w:cs="Arial"/>
          <w:sz w:val="24"/>
          <w:szCs w:val="24"/>
        </w:rPr>
        <w:t xml:space="preserve">Patients may be aware, through media communication, of adverse events that have been linked to long-term bisphosphonate use, and may appropriately wish to be involved about decisions regarding their osteoporosis management; patient preference, after appropriate counselling, is an important element of the osteoporosis consultation. </w:t>
      </w:r>
      <w:r w:rsidR="00567C7D" w:rsidRPr="00685573">
        <w:rPr>
          <w:rFonts w:cs="Arial"/>
          <w:sz w:val="24"/>
          <w:szCs w:val="24"/>
        </w:rPr>
        <w:t>More temperate g</w:t>
      </w:r>
      <w:r w:rsidRPr="00685573">
        <w:rPr>
          <w:rFonts w:cs="Arial"/>
          <w:sz w:val="24"/>
          <w:szCs w:val="24"/>
        </w:rPr>
        <w:t>uidance has recently been published to assist physicians</w:t>
      </w:r>
      <w:r w:rsidR="002126CF" w:rsidRPr="00685573">
        <w:rPr>
          <w:rFonts w:cs="Arial"/>
          <w:sz w:val="24"/>
          <w:szCs w:val="24"/>
        </w:rPr>
        <w:t xml:space="preserve"> in the form of guidelines from the American Society of </w:t>
      </w:r>
      <w:r w:rsidR="007B62E1" w:rsidRPr="00685573">
        <w:rPr>
          <w:rFonts w:cs="Arial"/>
          <w:sz w:val="24"/>
          <w:szCs w:val="24"/>
        </w:rPr>
        <w:t>Bone and Mineral Research and UK National Osteoporosis Guideline Group</w:t>
      </w:r>
      <w:r w:rsidR="00C56A52" w:rsidRPr="00685573">
        <w:rPr>
          <w:rFonts w:cs="Arial"/>
          <w:sz w:val="24"/>
          <w:szCs w:val="24"/>
        </w:rPr>
        <w:t xml:space="preserve"> [</w:t>
      </w:r>
      <w:r w:rsidR="00576707" w:rsidRPr="00685573">
        <w:rPr>
          <w:rFonts w:cs="Arial"/>
          <w:sz w:val="24"/>
          <w:szCs w:val="24"/>
        </w:rPr>
        <w:t>10-11</w:t>
      </w:r>
      <w:r w:rsidR="00C56A52" w:rsidRPr="00685573">
        <w:rPr>
          <w:rFonts w:cs="Arial"/>
          <w:sz w:val="24"/>
          <w:szCs w:val="24"/>
        </w:rPr>
        <w:t>]</w:t>
      </w:r>
      <w:r w:rsidRPr="00685573">
        <w:rPr>
          <w:rFonts w:cs="Arial"/>
          <w:sz w:val="24"/>
          <w:szCs w:val="24"/>
        </w:rPr>
        <w:t>. However, there is a growing concern that ‘drug holidays’ are becoming the norm</w:t>
      </w:r>
      <w:r w:rsidR="00745B24" w:rsidRPr="00685573">
        <w:rPr>
          <w:rFonts w:cs="Arial"/>
          <w:sz w:val="24"/>
          <w:szCs w:val="24"/>
        </w:rPr>
        <w:t xml:space="preserve"> in many countries</w:t>
      </w:r>
      <w:r w:rsidRPr="00685573">
        <w:rPr>
          <w:rFonts w:cs="Arial"/>
          <w:sz w:val="24"/>
          <w:szCs w:val="24"/>
        </w:rPr>
        <w:t>, and even in high risk patients who might derive more benefit than harm from ongoing therapy, cessation of treatment is being off</w:t>
      </w:r>
      <w:r w:rsidR="00A72BA1" w:rsidRPr="00685573">
        <w:rPr>
          <w:rFonts w:cs="Arial"/>
          <w:sz w:val="24"/>
          <w:szCs w:val="24"/>
        </w:rPr>
        <w:t>ered</w:t>
      </w:r>
      <w:r w:rsidR="008A4ECC" w:rsidRPr="00685573">
        <w:rPr>
          <w:rFonts w:cs="Arial"/>
          <w:sz w:val="24"/>
          <w:szCs w:val="24"/>
        </w:rPr>
        <w:t xml:space="preserve"> [5</w:t>
      </w:r>
      <w:r w:rsidR="00C56A52" w:rsidRPr="00685573">
        <w:rPr>
          <w:rFonts w:cs="Arial"/>
          <w:sz w:val="24"/>
          <w:szCs w:val="24"/>
        </w:rPr>
        <w:t>]</w:t>
      </w:r>
      <w:r w:rsidR="008A4ECC" w:rsidRPr="00685573">
        <w:rPr>
          <w:rFonts w:cs="Arial"/>
          <w:sz w:val="24"/>
          <w:szCs w:val="24"/>
        </w:rPr>
        <w:t>,</w:t>
      </w:r>
      <w:r w:rsidR="00EC403B" w:rsidRPr="00685573">
        <w:rPr>
          <w:rFonts w:cs="Arial"/>
          <w:sz w:val="24"/>
          <w:szCs w:val="24"/>
        </w:rPr>
        <w:t xml:space="preserve"> for example in the UK,</w:t>
      </w:r>
      <w:r w:rsidR="008A4ECC" w:rsidRPr="00685573">
        <w:rPr>
          <w:rFonts w:cs="Arial"/>
          <w:sz w:val="24"/>
          <w:szCs w:val="24"/>
        </w:rPr>
        <w:t xml:space="preserve"> particularly since NICE guidelines recommended </w:t>
      </w:r>
      <w:r w:rsidR="00E26F1F" w:rsidRPr="00685573">
        <w:rPr>
          <w:rFonts w:cs="Arial"/>
          <w:sz w:val="24"/>
          <w:szCs w:val="24"/>
        </w:rPr>
        <w:t>s</w:t>
      </w:r>
      <w:r w:rsidR="00AC5152" w:rsidRPr="00685573">
        <w:rPr>
          <w:rFonts w:cs="Arial"/>
          <w:sz w:val="24"/>
          <w:szCs w:val="24"/>
        </w:rPr>
        <w:t>topping treatment at 3 years [12</w:t>
      </w:r>
      <w:r w:rsidR="008A4ECC" w:rsidRPr="00685573">
        <w:rPr>
          <w:rFonts w:cs="Arial"/>
          <w:sz w:val="24"/>
          <w:szCs w:val="24"/>
        </w:rPr>
        <w:t>]</w:t>
      </w:r>
      <w:r w:rsidR="00A72BA1" w:rsidRPr="00685573">
        <w:rPr>
          <w:rFonts w:cs="Arial"/>
          <w:sz w:val="24"/>
          <w:szCs w:val="24"/>
        </w:rPr>
        <w:t xml:space="preserve">. </w:t>
      </w:r>
    </w:p>
    <w:p w14:paraId="7C074428" w14:textId="1C494765" w:rsidR="001C0CC3" w:rsidRPr="00685573" w:rsidRDefault="00A72BA1" w:rsidP="00D33348">
      <w:pPr>
        <w:spacing w:line="360" w:lineRule="auto"/>
        <w:jc w:val="both"/>
        <w:rPr>
          <w:sz w:val="24"/>
          <w:szCs w:val="24"/>
        </w:rPr>
      </w:pPr>
      <w:r w:rsidRPr="00685573">
        <w:rPr>
          <w:rFonts w:cs="Arial"/>
          <w:sz w:val="24"/>
          <w:szCs w:val="24"/>
        </w:rPr>
        <w:t>The aim of this</w:t>
      </w:r>
      <w:r w:rsidR="005747B3" w:rsidRPr="00685573">
        <w:rPr>
          <w:rFonts w:cs="Arial"/>
          <w:sz w:val="24"/>
          <w:szCs w:val="24"/>
        </w:rPr>
        <w:t xml:space="preserve"> </w:t>
      </w:r>
      <w:r w:rsidR="002535BB" w:rsidRPr="00685573">
        <w:rPr>
          <w:rFonts w:cs="Arial"/>
          <w:sz w:val="24"/>
          <w:szCs w:val="24"/>
        </w:rPr>
        <w:t xml:space="preserve">work </w:t>
      </w:r>
      <w:r w:rsidR="005747B3" w:rsidRPr="00685573">
        <w:rPr>
          <w:rFonts w:cs="Arial"/>
          <w:sz w:val="24"/>
          <w:szCs w:val="24"/>
        </w:rPr>
        <w:t xml:space="preserve">was to review the available literature to assess what </w:t>
      </w:r>
      <w:r w:rsidRPr="00685573">
        <w:rPr>
          <w:rFonts w:cs="Arial"/>
          <w:sz w:val="24"/>
          <w:szCs w:val="24"/>
        </w:rPr>
        <w:t xml:space="preserve">evidence exists to inform clinical decision making, and to identify any </w:t>
      </w:r>
      <w:r w:rsidR="005747B3" w:rsidRPr="00685573">
        <w:rPr>
          <w:rFonts w:cs="Arial"/>
          <w:sz w:val="24"/>
          <w:szCs w:val="24"/>
        </w:rPr>
        <w:t>clinical indicators</w:t>
      </w:r>
      <w:r w:rsidRPr="00685573">
        <w:rPr>
          <w:rFonts w:cs="Arial"/>
          <w:sz w:val="24"/>
          <w:szCs w:val="24"/>
        </w:rPr>
        <w:t xml:space="preserve"> that</w:t>
      </w:r>
      <w:r w:rsidR="005747B3" w:rsidRPr="00685573">
        <w:rPr>
          <w:rFonts w:cs="Arial"/>
          <w:sz w:val="24"/>
          <w:szCs w:val="24"/>
        </w:rPr>
        <w:t xml:space="preserve"> might inform a decision regarding whether to </w:t>
      </w:r>
      <w:r w:rsidR="00B05F01" w:rsidRPr="00685573">
        <w:rPr>
          <w:rFonts w:cs="Arial"/>
          <w:sz w:val="24"/>
          <w:szCs w:val="24"/>
        </w:rPr>
        <w:t>continue or</w:t>
      </w:r>
      <w:r w:rsidR="005747B3" w:rsidRPr="00685573">
        <w:rPr>
          <w:rFonts w:cs="Arial"/>
          <w:sz w:val="24"/>
          <w:szCs w:val="24"/>
        </w:rPr>
        <w:t xml:space="preserve"> discontinue therapy</w:t>
      </w:r>
      <w:r w:rsidRPr="00685573">
        <w:rPr>
          <w:rFonts w:cs="Arial"/>
          <w:sz w:val="24"/>
          <w:szCs w:val="24"/>
        </w:rPr>
        <w:t>.</w:t>
      </w:r>
      <w:r w:rsidR="00754E17" w:rsidRPr="00685573">
        <w:rPr>
          <w:rFonts w:cs="Arial"/>
          <w:sz w:val="24"/>
          <w:szCs w:val="24"/>
        </w:rPr>
        <w:t xml:space="preserve"> With the advent of widespread denosumab use, we included a review of evidence for effects of stopping this therapy.</w:t>
      </w:r>
      <w:r w:rsidRPr="00685573">
        <w:rPr>
          <w:rFonts w:cs="Arial"/>
          <w:sz w:val="24"/>
          <w:szCs w:val="24"/>
        </w:rPr>
        <w:t xml:space="preserve"> This piece of work</w:t>
      </w:r>
      <w:r w:rsidR="002E5A34" w:rsidRPr="00685573">
        <w:rPr>
          <w:rFonts w:cs="Arial"/>
          <w:sz w:val="24"/>
          <w:szCs w:val="24"/>
        </w:rPr>
        <w:t xml:space="preserve"> follow</w:t>
      </w:r>
      <w:r w:rsidR="0030789D" w:rsidRPr="00685573">
        <w:rPr>
          <w:rFonts w:cs="Arial"/>
          <w:sz w:val="24"/>
          <w:szCs w:val="24"/>
        </w:rPr>
        <w:t>s</w:t>
      </w:r>
      <w:r w:rsidR="002E5A34" w:rsidRPr="00685573">
        <w:rPr>
          <w:rFonts w:cs="Arial"/>
          <w:sz w:val="24"/>
          <w:szCs w:val="24"/>
        </w:rPr>
        <w:t xml:space="preserve"> on from a previous editor</w:t>
      </w:r>
      <w:r w:rsidR="00C56A52" w:rsidRPr="00685573">
        <w:rPr>
          <w:rFonts w:cs="Arial"/>
          <w:sz w:val="24"/>
          <w:szCs w:val="24"/>
        </w:rPr>
        <w:t>i</w:t>
      </w:r>
      <w:r w:rsidR="002E5A34" w:rsidRPr="00685573">
        <w:rPr>
          <w:rFonts w:cs="Arial"/>
          <w:sz w:val="24"/>
          <w:szCs w:val="24"/>
        </w:rPr>
        <w:t xml:space="preserve">al </w:t>
      </w:r>
      <w:r w:rsidR="008A4ECC" w:rsidRPr="00685573">
        <w:rPr>
          <w:rFonts w:cs="Arial"/>
          <w:sz w:val="24"/>
          <w:szCs w:val="24"/>
        </w:rPr>
        <w:t>[5</w:t>
      </w:r>
      <w:r w:rsidR="00C56A52" w:rsidRPr="00685573">
        <w:rPr>
          <w:rFonts w:cs="Arial"/>
          <w:sz w:val="24"/>
          <w:szCs w:val="24"/>
        </w:rPr>
        <w:t xml:space="preserve">] </w:t>
      </w:r>
      <w:r w:rsidR="002E5A34" w:rsidRPr="00685573">
        <w:rPr>
          <w:rFonts w:cs="Arial"/>
          <w:sz w:val="24"/>
          <w:szCs w:val="24"/>
        </w:rPr>
        <w:t xml:space="preserve">and </w:t>
      </w:r>
      <w:r w:rsidRPr="00685573">
        <w:rPr>
          <w:rFonts w:cs="Arial"/>
          <w:sz w:val="24"/>
          <w:szCs w:val="24"/>
        </w:rPr>
        <w:t xml:space="preserve">formed the introduction for </w:t>
      </w:r>
      <w:r w:rsidR="005747B3" w:rsidRPr="00685573">
        <w:rPr>
          <w:rFonts w:cs="Arial"/>
          <w:sz w:val="24"/>
          <w:szCs w:val="24"/>
        </w:rPr>
        <w:t xml:space="preserve">an </w:t>
      </w:r>
      <w:r w:rsidR="00E26F1F" w:rsidRPr="00685573">
        <w:rPr>
          <w:rFonts w:cs="Arial"/>
          <w:sz w:val="24"/>
          <w:szCs w:val="24"/>
        </w:rPr>
        <w:t>International Osteoporosis Foundation (</w:t>
      </w:r>
      <w:r w:rsidR="005747B3" w:rsidRPr="00685573">
        <w:rPr>
          <w:rFonts w:cs="Arial"/>
          <w:sz w:val="24"/>
          <w:szCs w:val="24"/>
        </w:rPr>
        <w:t>IOF</w:t>
      </w:r>
      <w:r w:rsidR="00E26F1F" w:rsidRPr="00685573">
        <w:rPr>
          <w:rFonts w:cs="Arial"/>
          <w:sz w:val="24"/>
          <w:szCs w:val="24"/>
        </w:rPr>
        <w:t>)</w:t>
      </w:r>
      <w:r w:rsidR="005747B3" w:rsidRPr="00685573">
        <w:rPr>
          <w:rFonts w:cs="Arial"/>
          <w:sz w:val="24"/>
          <w:szCs w:val="24"/>
        </w:rPr>
        <w:t xml:space="preserve"> project</w:t>
      </w:r>
      <w:r w:rsidR="000E52DE" w:rsidRPr="00685573">
        <w:rPr>
          <w:rFonts w:cs="Arial"/>
          <w:sz w:val="24"/>
          <w:szCs w:val="24"/>
        </w:rPr>
        <w:t xml:space="preserve"> that </w:t>
      </w:r>
      <w:r w:rsidR="00C2761D" w:rsidRPr="00685573">
        <w:rPr>
          <w:rFonts w:cs="Arial"/>
          <w:sz w:val="24"/>
          <w:szCs w:val="24"/>
        </w:rPr>
        <w:t xml:space="preserve">aimed </w:t>
      </w:r>
      <w:r w:rsidR="000E52DE" w:rsidRPr="00685573">
        <w:rPr>
          <w:rFonts w:cs="Arial"/>
          <w:sz w:val="24"/>
          <w:szCs w:val="24"/>
        </w:rPr>
        <w:t>to identify surrogate marke</w:t>
      </w:r>
      <w:r w:rsidR="00B7494D" w:rsidRPr="00685573">
        <w:rPr>
          <w:rFonts w:cs="Arial"/>
          <w:sz w:val="24"/>
          <w:szCs w:val="24"/>
        </w:rPr>
        <w:t>rs that predict outcomes upon intermission</w:t>
      </w:r>
      <w:r w:rsidR="000E52DE" w:rsidRPr="00685573">
        <w:rPr>
          <w:rFonts w:cs="Arial"/>
          <w:sz w:val="24"/>
          <w:szCs w:val="24"/>
        </w:rPr>
        <w:t xml:space="preserve"> of therapy and to develop a new algorithm based on a </w:t>
      </w:r>
      <w:r w:rsidR="00B05F01" w:rsidRPr="00685573">
        <w:rPr>
          <w:rFonts w:cs="Arial"/>
          <w:sz w:val="24"/>
          <w:szCs w:val="24"/>
        </w:rPr>
        <w:t>patient’s</w:t>
      </w:r>
      <w:r w:rsidR="000E52DE" w:rsidRPr="00685573">
        <w:rPr>
          <w:rFonts w:cs="Arial"/>
          <w:sz w:val="24"/>
          <w:szCs w:val="24"/>
        </w:rPr>
        <w:t xml:space="preserve"> risk profile.</w:t>
      </w:r>
      <w:r w:rsidR="001C0CC3" w:rsidRPr="00685573">
        <w:rPr>
          <w:rFonts w:cs="Arial"/>
          <w:sz w:val="24"/>
          <w:szCs w:val="24"/>
        </w:rPr>
        <w:t xml:space="preserve"> The four key questions we sought answers for in </w:t>
      </w:r>
      <w:r w:rsidR="001C0CC3" w:rsidRPr="00685573">
        <w:rPr>
          <w:rFonts w:cs="Arial"/>
          <w:sz w:val="24"/>
          <w:szCs w:val="24"/>
        </w:rPr>
        <w:lastRenderedPageBreak/>
        <w:t>the available literature were as follows:</w:t>
      </w:r>
      <w:r w:rsidR="00F278E3" w:rsidRPr="00685573">
        <w:rPr>
          <w:rFonts w:cs="Arial"/>
          <w:sz w:val="24"/>
          <w:szCs w:val="24"/>
        </w:rPr>
        <w:t xml:space="preserve"> </w:t>
      </w:r>
      <w:r w:rsidR="001C0CC3" w:rsidRPr="00685573">
        <w:rPr>
          <w:sz w:val="24"/>
          <w:szCs w:val="24"/>
        </w:rPr>
        <w:t>does fracture risk increase</w:t>
      </w:r>
      <w:r w:rsidR="00F278E3" w:rsidRPr="00685573">
        <w:rPr>
          <w:sz w:val="24"/>
          <w:szCs w:val="24"/>
        </w:rPr>
        <w:t xml:space="preserve"> upon treatment discontinuation</w:t>
      </w:r>
      <w:r w:rsidR="001C0CC3" w:rsidRPr="00685573">
        <w:rPr>
          <w:sz w:val="24"/>
          <w:szCs w:val="24"/>
        </w:rPr>
        <w:t>?</w:t>
      </w:r>
      <w:r w:rsidR="00F278E3" w:rsidRPr="00685573">
        <w:rPr>
          <w:sz w:val="24"/>
          <w:szCs w:val="24"/>
        </w:rPr>
        <w:t xml:space="preserve"> Conversely,</w:t>
      </w:r>
      <w:r w:rsidR="001C0CC3" w:rsidRPr="00685573">
        <w:rPr>
          <w:sz w:val="24"/>
          <w:szCs w:val="24"/>
        </w:rPr>
        <w:t xml:space="preserve"> does fracture rate decrease, or remain sta</w:t>
      </w:r>
      <w:r w:rsidR="00F278E3" w:rsidRPr="00685573">
        <w:rPr>
          <w:sz w:val="24"/>
          <w:szCs w:val="24"/>
        </w:rPr>
        <w:t>ble upon treatment continuation</w:t>
      </w:r>
      <w:r w:rsidR="001C0CC3" w:rsidRPr="00685573">
        <w:rPr>
          <w:sz w:val="24"/>
          <w:szCs w:val="24"/>
        </w:rPr>
        <w:t>?</w:t>
      </w:r>
      <w:r w:rsidR="00F278E3" w:rsidRPr="00685573">
        <w:rPr>
          <w:sz w:val="24"/>
          <w:szCs w:val="24"/>
        </w:rPr>
        <w:t xml:space="preserve"> A</w:t>
      </w:r>
      <w:r w:rsidR="001C0CC3" w:rsidRPr="00685573">
        <w:rPr>
          <w:sz w:val="24"/>
          <w:szCs w:val="24"/>
        </w:rPr>
        <w:t xml:space="preserve">re there </w:t>
      </w:r>
      <w:r w:rsidR="00C2761D" w:rsidRPr="00685573">
        <w:rPr>
          <w:sz w:val="24"/>
          <w:szCs w:val="24"/>
        </w:rPr>
        <w:t xml:space="preserve">patient </w:t>
      </w:r>
      <w:r w:rsidR="001C0CC3" w:rsidRPr="00685573">
        <w:rPr>
          <w:sz w:val="24"/>
          <w:szCs w:val="24"/>
        </w:rPr>
        <w:t>or treatment characteristics that are associated with increase fracture risk upon discontinuati</w:t>
      </w:r>
      <w:r w:rsidR="00F278E3" w:rsidRPr="00685573">
        <w:rPr>
          <w:sz w:val="24"/>
          <w:szCs w:val="24"/>
        </w:rPr>
        <w:t>on</w:t>
      </w:r>
      <w:r w:rsidR="001C0CC3" w:rsidRPr="00685573">
        <w:rPr>
          <w:sz w:val="24"/>
          <w:szCs w:val="24"/>
        </w:rPr>
        <w:t xml:space="preserve">? </w:t>
      </w:r>
      <w:r w:rsidR="00F278E3" w:rsidRPr="00685573">
        <w:rPr>
          <w:sz w:val="24"/>
          <w:szCs w:val="24"/>
        </w:rPr>
        <w:t xml:space="preserve">Finally, </w:t>
      </w:r>
      <w:r w:rsidR="001C0CC3" w:rsidRPr="00685573">
        <w:rPr>
          <w:sz w:val="24"/>
          <w:szCs w:val="24"/>
        </w:rPr>
        <w:t>do adverse events increase with long term exposure</w:t>
      </w:r>
      <w:r w:rsidR="00F278E3" w:rsidRPr="00685573">
        <w:rPr>
          <w:sz w:val="24"/>
          <w:szCs w:val="24"/>
        </w:rPr>
        <w:t>?</w:t>
      </w:r>
    </w:p>
    <w:p w14:paraId="3DCEB236" w14:textId="77777777" w:rsidR="001C0CC3" w:rsidRPr="00685573" w:rsidRDefault="001C0CC3" w:rsidP="00D33348">
      <w:pPr>
        <w:pStyle w:val="PlainText"/>
        <w:spacing w:line="360" w:lineRule="auto"/>
        <w:jc w:val="both"/>
        <w:rPr>
          <w:rFonts w:asciiTheme="minorHAnsi" w:hAnsiTheme="minorHAnsi"/>
          <w:sz w:val="24"/>
          <w:szCs w:val="24"/>
        </w:rPr>
      </w:pPr>
    </w:p>
    <w:p w14:paraId="282DCF5D" w14:textId="77777777" w:rsidR="000E52DE" w:rsidRPr="00685573" w:rsidRDefault="000E52DE" w:rsidP="00D33348">
      <w:pPr>
        <w:spacing w:line="360" w:lineRule="auto"/>
        <w:jc w:val="both"/>
        <w:rPr>
          <w:rFonts w:cs="Arial"/>
          <w:b/>
          <w:sz w:val="24"/>
          <w:szCs w:val="24"/>
        </w:rPr>
      </w:pPr>
      <w:r w:rsidRPr="00685573">
        <w:rPr>
          <w:rFonts w:cs="Arial"/>
          <w:b/>
          <w:sz w:val="24"/>
          <w:szCs w:val="24"/>
        </w:rPr>
        <w:t>Methods</w:t>
      </w:r>
    </w:p>
    <w:p w14:paraId="0078F7E8" w14:textId="77777777" w:rsidR="000E52DE" w:rsidRPr="00685573" w:rsidRDefault="000E52DE" w:rsidP="00D33348">
      <w:pPr>
        <w:spacing w:line="360" w:lineRule="auto"/>
        <w:jc w:val="both"/>
        <w:rPr>
          <w:rFonts w:cs="Arial"/>
          <w:sz w:val="24"/>
          <w:szCs w:val="24"/>
        </w:rPr>
      </w:pPr>
      <w:r w:rsidRPr="00685573">
        <w:rPr>
          <w:rFonts w:cs="Arial"/>
          <w:sz w:val="24"/>
          <w:szCs w:val="24"/>
        </w:rPr>
        <w:t xml:space="preserve">A single reviewer searched Pubmed; EMBASE; Cochrane Library; NHS Evidence; Epistemonikos; NIH records on ClinicalTrials.gov. using the following PICO criteria; </w:t>
      </w:r>
    </w:p>
    <w:p w14:paraId="0FCC616E" w14:textId="434D474C" w:rsidR="0030789D" w:rsidRPr="00685573" w:rsidRDefault="0017239D" w:rsidP="00D33348">
      <w:pPr>
        <w:pStyle w:val="BodyText"/>
        <w:spacing w:after="160" w:line="360" w:lineRule="auto"/>
        <w:jc w:val="both"/>
        <w:rPr>
          <w:rFonts w:asciiTheme="minorHAnsi" w:hAnsiTheme="minorHAnsi" w:cs="Arial"/>
          <w:sz w:val="24"/>
        </w:rPr>
      </w:pPr>
      <w:r w:rsidRPr="00685573">
        <w:rPr>
          <w:rFonts w:asciiTheme="minorHAnsi" w:hAnsiTheme="minorHAnsi" w:cs="Arial"/>
          <w:sz w:val="24"/>
        </w:rPr>
        <w:t>Participants</w:t>
      </w:r>
      <w:r w:rsidR="000E52DE" w:rsidRPr="00685573">
        <w:rPr>
          <w:rFonts w:asciiTheme="minorHAnsi" w:hAnsiTheme="minorHAnsi" w:cs="Arial"/>
          <w:sz w:val="24"/>
        </w:rPr>
        <w:t xml:space="preserve"> - Post-menopausal women on osteoporosis medication for ≥1 years; </w:t>
      </w:r>
    </w:p>
    <w:p w14:paraId="7434845F" w14:textId="4BDCF7E4" w:rsidR="0030789D" w:rsidRPr="00685573" w:rsidRDefault="0017239D" w:rsidP="00D33348">
      <w:pPr>
        <w:pStyle w:val="BodyText"/>
        <w:spacing w:after="160" w:line="360" w:lineRule="auto"/>
        <w:jc w:val="both"/>
        <w:rPr>
          <w:rFonts w:asciiTheme="minorHAnsi" w:hAnsiTheme="minorHAnsi" w:cs="Arial"/>
          <w:sz w:val="24"/>
        </w:rPr>
      </w:pPr>
      <w:r w:rsidRPr="00685573">
        <w:rPr>
          <w:rFonts w:asciiTheme="minorHAnsi" w:hAnsiTheme="minorHAnsi" w:cs="Arial"/>
          <w:sz w:val="24"/>
        </w:rPr>
        <w:t>Intervention</w:t>
      </w:r>
      <w:r w:rsidR="000E52DE" w:rsidRPr="00685573">
        <w:rPr>
          <w:rFonts w:asciiTheme="minorHAnsi" w:hAnsiTheme="minorHAnsi" w:cs="Arial"/>
          <w:sz w:val="24"/>
        </w:rPr>
        <w:t xml:space="preserve"> - medications for osteoporosis with focus on denosumab, or bisphosphonates/diphosphonates specifically alendronate/alendronic acid, risedronate/risedronic acid, ibandronate/ibandronic acid and zoledronate/zoledronic acid); </w:t>
      </w:r>
    </w:p>
    <w:p w14:paraId="7CAD7959" w14:textId="655C3B01" w:rsidR="0030789D" w:rsidRPr="00685573" w:rsidRDefault="000E52DE" w:rsidP="00D33348">
      <w:pPr>
        <w:pStyle w:val="BodyText"/>
        <w:spacing w:after="160" w:line="360" w:lineRule="auto"/>
        <w:jc w:val="both"/>
        <w:rPr>
          <w:rFonts w:asciiTheme="minorHAnsi" w:hAnsiTheme="minorHAnsi" w:cs="Arial"/>
          <w:sz w:val="24"/>
          <w:lang w:val="en-US"/>
        </w:rPr>
      </w:pPr>
      <w:r w:rsidRPr="00685573">
        <w:rPr>
          <w:rFonts w:asciiTheme="minorHAnsi" w:hAnsiTheme="minorHAnsi" w:cs="Arial"/>
          <w:sz w:val="24"/>
          <w:lang w:val="fr-CH"/>
        </w:rPr>
        <w:t>Comparison - Medication c</w:t>
      </w:r>
      <w:r w:rsidR="008A4ECC" w:rsidRPr="00685573">
        <w:rPr>
          <w:rFonts w:asciiTheme="minorHAnsi" w:hAnsiTheme="minorHAnsi" w:cs="Arial"/>
          <w:sz w:val="24"/>
          <w:lang w:val="fr-CH"/>
        </w:rPr>
        <w:t xml:space="preserve">ontinuation vs discontinuation. </w:t>
      </w:r>
      <w:r w:rsidR="008A4ECC" w:rsidRPr="00685573">
        <w:rPr>
          <w:rFonts w:asciiTheme="minorHAnsi" w:hAnsiTheme="minorHAnsi" w:cs="Arial"/>
          <w:sz w:val="24"/>
          <w:lang w:val="en-US"/>
        </w:rPr>
        <w:t>Hormone Replacement Therapy was excluded from this systematic review.</w:t>
      </w:r>
    </w:p>
    <w:p w14:paraId="16989FA1" w14:textId="32343D54" w:rsidR="0030789D" w:rsidRPr="00685573" w:rsidRDefault="000E52DE" w:rsidP="00D33348">
      <w:pPr>
        <w:pStyle w:val="BodyText"/>
        <w:spacing w:after="160" w:line="360" w:lineRule="auto"/>
        <w:jc w:val="both"/>
        <w:rPr>
          <w:rFonts w:asciiTheme="minorHAnsi" w:hAnsiTheme="minorHAnsi" w:cs="Arial"/>
          <w:sz w:val="24"/>
        </w:rPr>
      </w:pPr>
      <w:r w:rsidRPr="00685573">
        <w:rPr>
          <w:rFonts w:asciiTheme="minorHAnsi" w:hAnsiTheme="minorHAnsi" w:cs="Arial"/>
          <w:sz w:val="24"/>
        </w:rPr>
        <w:t xml:space="preserve">Outcomes - Bone turnover markers; </w:t>
      </w:r>
      <w:r w:rsidR="0030789D" w:rsidRPr="00685573">
        <w:rPr>
          <w:rFonts w:asciiTheme="minorHAnsi" w:hAnsiTheme="minorHAnsi" w:cs="Arial"/>
          <w:sz w:val="24"/>
        </w:rPr>
        <w:t>bone mineral density (</w:t>
      </w:r>
      <w:r w:rsidRPr="00685573">
        <w:rPr>
          <w:rFonts w:asciiTheme="minorHAnsi" w:hAnsiTheme="minorHAnsi" w:cs="Arial"/>
          <w:sz w:val="24"/>
        </w:rPr>
        <w:t>BMD</w:t>
      </w:r>
      <w:r w:rsidR="0030789D" w:rsidRPr="00685573">
        <w:rPr>
          <w:rFonts w:asciiTheme="minorHAnsi" w:hAnsiTheme="minorHAnsi" w:cs="Arial"/>
          <w:sz w:val="24"/>
        </w:rPr>
        <w:t>)</w:t>
      </w:r>
      <w:r w:rsidRPr="00685573">
        <w:rPr>
          <w:rFonts w:asciiTheme="minorHAnsi" w:hAnsiTheme="minorHAnsi" w:cs="Arial"/>
          <w:sz w:val="24"/>
        </w:rPr>
        <w:t xml:space="preserve">; fracture; osteonecrosis of the jaw; atypical femoral fracture. </w:t>
      </w:r>
    </w:p>
    <w:p w14:paraId="3BCB3FF2" w14:textId="68F003EF" w:rsidR="000E52DE" w:rsidRPr="00685573" w:rsidRDefault="000E52DE" w:rsidP="00D33348">
      <w:pPr>
        <w:pStyle w:val="BodyText"/>
        <w:spacing w:after="160" w:line="360" w:lineRule="auto"/>
        <w:jc w:val="both"/>
        <w:rPr>
          <w:rFonts w:asciiTheme="minorHAnsi" w:hAnsiTheme="minorHAnsi" w:cs="Arial"/>
          <w:sz w:val="24"/>
        </w:rPr>
      </w:pPr>
      <w:r w:rsidRPr="00685573">
        <w:rPr>
          <w:rFonts w:asciiTheme="minorHAnsi" w:hAnsiTheme="minorHAnsi" w:cs="Arial"/>
          <w:sz w:val="24"/>
        </w:rPr>
        <w:t>Exclusion criteria were other metabolic bone disease</w:t>
      </w:r>
      <w:r w:rsidR="006C0B65" w:rsidRPr="00685573">
        <w:rPr>
          <w:rFonts w:asciiTheme="minorHAnsi" w:hAnsiTheme="minorHAnsi" w:cs="Arial"/>
          <w:sz w:val="24"/>
        </w:rPr>
        <w:t>s, n</w:t>
      </w:r>
      <w:r w:rsidRPr="00685573">
        <w:rPr>
          <w:rFonts w:asciiTheme="minorHAnsi" w:hAnsiTheme="minorHAnsi" w:cs="Arial"/>
          <w:sz w:val="24"/>
        </w:rPr>
        <w:t>on-English language guidelines, recommendations, systematic reviews, overviews and clinical opinions. However, non-English language primary research articles with English abstracts were included if relevant. We considered RCTs and observational studies, and used the following search terms:  (osteoporosis OR osteopenia) AND (denosumab OR bisphosphonates [specifically alendronate/alendronic acid, risedronate/risedronic acid, ibandronate/ibandronic acid and zoledronate/zoledronic acid] OR oral treatments). We considered studies reported over the period 2011-2016</w:t>
      </w:r>
      <w:r w:rsidR="00F278E3" w:rsidRPr="00685573">
        <w:rPr>
          <w:rFonts w:asciiTheme="minorHAnsi" w:hAnsiTheme="minorHAnsi" w:cs="Arial"/>
          <w:sz w:val="24"/>
        </w:rPr>
        <w:t xml:space="preserve">, though other key literature (e.g. results from the FLEX study) were reviewed as part of this </w:t>
      </w:r>
      <w:r w:rsidR="007F743B" w:rsidRPr="00685573">
        <w:rPr>
          <w:rFonts w:asciiTheme="minorHAnsi" w:hAnsiTheme="minorHAnsi" w:cs="Arial"/>
          <w:sz w:val="24"/>
        </w:rPr>
        <w:t>work</w:t>
      </w:r>
      <w:r w:rsidR="00CE0FC1" w:rsidRPr="00685573">
        <w:rPr>
          <w:rFonts w:asciiTheme="minorHAnsi" w:hAnsiTheme="minorHAnsi" w:cs="Arial"/>
          <w:sz w:val="24"/>
        </w:rPr>
        <w:t xml:space="preserve"> and specifically recent studies that consider the effects of denosumab di</w:t>
      </w:r>
      <w:r w:rsidR="00270DA9" w:rsidRPr="00685573">
        <w:rPr>
          <w:rFonts w:asciiTheme="minorHAnsi" w:hAnsiTheme="minorHAnsi" w:cs="Arial"/>
          <w:sz w:val="24"/>
        </w:rPr>
        <w:t>scontinuation will be discussed</w:t>
      </w:r>
      <w:r w:rsidRPr="00685573">
        <w:rPr>
          <w:rFonts w:asciiTheme="minorHAnsi" w:hAnsiTheme="minorHAnsi" w:cs="Arial"/>
          <w:sz w:val="24"/>
        </w:rPr>
        <w:t>.</w:t>
      </w:r>
      <w:r w:rsidR="00547771" w:rsidRPr="00685573">
        <w:rPr>
          <w:rFonts w:asciiTheme="minorHAnsi" w:hAnsiTheme="minorHAnsi" w:cs="Arial"/>
          <w:sz w:val="24"/>
        </w:rPr>
        <w:t xml:space="preserve"> Current conference abstracts (2017-2018) were considered for inclusion only if they provided essential new information to what was published in peer reviewed form.</w:t>
      </w:r>
    </w:p>
    <w:p w14:paraId="7F60F762" w14:textId="77777777" w:rsidR="000E52DE" w:rsidRPr="00685573" w:rsidRDefault="000E52DE" w:rsidP="00D33348">
      <w:pPr>
        <w:pStyle w:val="BodyText"/>
        <w:spacing w:after="160" w:line="360" w:lineRule="auto"/>
        <w:jc w:val="both"/>
        <w:rPr>
          <w:rFonts w:asciiTheme="minorHAnsi" w:eastAsia="MS Gothic" w:hAnsiTheme="minorHAnsi" w:cs="Arial"/>
          <w:sz w:val="24"/>
        </w:rPr>
      </w:pPr>
    </w:p>
    <w:p w14:paraId="45FF796A" w14:textId="77777777" w:rsidR="000E52DE" w:rsidRPr="00685573" w:rsidRDefault="003B5191" w:rsidP="00D33348">
      <w:pPr>
        <w:pStyle w:val="Heading2"/>
        <w:spacing w:before="120" w:after="240" w:line="360" w:lineRule="auto"/>
        <w:jc w:val="both"/>
        <w:rPr>
          <w:rFonts w:asciiTheme="minorHAnsi" w:hAnsiTheme="minorHAnsi" w:cs="Arial"/>
          <w:color w:val="auto"/>
          <w:szCs w:val="24"/>
        </w:rPr>
      </w:pPr>
      <w:r w:rsidRPr="00685573">
        <w:rPr>
          <w:rFonts w:asciiTheme="minorHAnsi" w:hAnsiTheme="minorHAnsi" w:cs="Arial"/>
          <w:color w:val="auto"/>
          <w:szCs w:val="24"/>
        </w:rPr>
        <w:t>Results</w:t>
      </w:r>
    </w:p>
    <w:p w14:paraId="44ACED34" w14:textId="046E3606" w:rsidR="00D04A78" w:rsidRPr="00685573" w:rsidRDefault="00D04A78" w:rsidP="00D23807">
      <w:pPr>
        <w:pStyle w:val="BodyText"/>
        <w:rPr>
          <w:rFonts w:asciiTheme="minorHAnsi" w:hAnsiTheme="minorHAnsi"/>
          <w:b/>
          <w:sz w:val="24"/>
        </w:rPr>
      </w:pPr>
      <w:r w:rsidRPr="00685573">
        <w:rPr>
          <w:rFonts w:asciiTheme="minorHAnsi" w:hAnsiTheme="minorHAnsi"/>
          <w:b/>
          <w:sz w:val="24"/>
        </w:rPr>
        <w:t>Effects of treatment discontinuation vs continuation on fracture risk</w:t>
      </w:r>
      <w:r w:rsidR="00FE3514" w:rsidRPr="00685573">
        <w:rPr>
          <w:rFonts w:asciiTheme="minorHAnsi" w:hAnsiTheme="minorHAnsi"/>
          <w:b/>
          <w:sz w:val="24"/>
        </w:rPr>
        <w:t xml:space="preserve"> (RCT data)</w:t>
      </w:r>
    </w:p>
    <w:p w14:paraId="41148F29" w14:textId="21E20AF5" w:rsidR="009217A6" w:rsidRPr="00685573" w:rsidRDefault="00754E17" w:rsidP="00D33348">
      <w:pPr>
        <w:pStyle w:val="BodyText"/>
        <w:spacing w:line="360" w:lineRule="auto"/>
        <w:jc w:val="both"/>
        <w:rPr>
          <w:rFonts w:asciiTheme="minorHAnsi" w:hAnsiTheme="minorHAnsi"/>
          <w:color w:val="auto"/>
          <w:sz w:val="24"/>
        </w:rPr>
      </w:pPr>
      <w:r w:rsidRPr="00685573">
        <w:rPr>
          <w:rFonts w:asciiTheme="minorHAnsi" w:hAnsiTheme="minorHAnsi" w:cs="Arial"/>
          <w:sz w:val="24"/>
        </w:rPr>
        <w:t>We identified t</w:t>
      </w:r>
      <w:r w:rsidR="009D270E" w:rsidRPr="00685573">
        <w:rPr>
          <w:rFonts w:asciiTheme="minorHAnsi" w:hAnsiTheme="minorHAnsi" w:cs="Arial"/>
          <w:sz w:val="24"/>
        </w:rPr>
        <w:t>hirty-eight</w:t>
      </w:r>
      <w:r w:rsidR="00AA0E63" w:rsidRPr="00685573">
        <w:rPr>
          <w:rFonts w:asciiTheme="minorHAnsi" w:hAnsiTheme="minorHAnsi" w:cs="Arial"/>
          <w:sz w:val="24"/>
        </w:rPr>
        <w:t xml:space="preserve"> </w:t>
      </w:r>
      <w:r w:rsidR="003B5191" w:rsidRPr="00685573">
        <w:rPr>
          <w:rFonts w:asciiTheme="minorHAnsi" w:hAnsiTheme="minorHAnsi" w:cs="Arial"/>
          <w:sz w:val="24"/>
        </w:rPr>
        <w:t xml:space="preserve">articles </w:t>
      </w:r>
      <w:r w:rsidRPr="00685573">
        <w:rPr>
          <w:rFonts w:asciiTheme="minorHAnsi" w:hAnsiTheme="minorHAnsi" w:cs="Arial"/>
          <w:sz w:val="24"/>
        </w:rPr>
        <w:t xml:space="preserve">that </w:t>
      </w:r>
      <w:r w:rsidR="003B5191" w:rsidRPr="00685573">
        <w:rPr>
          <w:rFonts w:asciiTheme="minorHAnsi" w:hAnsiTheme="minorHAnsi" w:cs="Arial"/>
          <w:sz w:val="24"/>
        </w:rPr>
        <w:t>reported the findings of clinical trials</w:t>
      </w:r>
      <w:r w:rsidR="00AA60BF" w:rsidRPr="00685573">
        <w:rPr>
          <w:rFonts w:asciiTheme="minorHAnsi" w:hAnsiTheme="minorHAnsi" w:cs="Arial"/>
          <w:sz w:val="24"/>
        </w:rPr>
        <w:t xml:space="preserve"> (</w:t>
      </w:r>
      <w:r w:rsidRPr="00685573">
        <w:rPr>
          <w:rFonts w:asciiTheme="minorHAnsi" w:hAnsiTheme="minorHAnsi" w:cs="Arial"/>
          <w:sz w:val="24"/>
        </w:rPr>
        <w:t>13 -51</w:t>
      </w:r>
      <w:r w:rsidR="005A0628" w:rsidRPr="00685573">
        <w:rPr>
          <w:rFonts w:asciiTheme="minorHAnsi" w:hAnsiTheme="minorHAnsi" w:cs="Arial"/>
          <w:sz w:val="24"/>
        </w:rPr>
        <w:t>)</w:t>
      </w:r>
      <w:r w:rsidR="004307F1" w:rsidRPr="00685573">
        <w:rPr>
          <w:rFonts w:asciiTheme="minorHAnsi" w:hAnsiTheme="minorHAnsi" w:cs="Arial"/>
          <w:sz w:val="24"/>
        </w:rPr>
        <w:t>.</w:t>
      </w:r>
      <w:r w:rsidR="003B5191" w:rsidRPr="00685573">
        <w:rPr>
          <w:rFonts w:asciiTheme="minorHAnsi" w:hAnsiTheme="minorHAnsi" w:cs="Arial"/>
          <w:sz w:val="24"/>
        </w:rPr>
        <w:t xml:space="preserve"> </w:t>
      </w:r>
      <w:r w:rsidR="00AE7A7C" w:rsidRPr="00685573">
        <w:rPr>
          <w:rFonts w:asciiTheme="minorHAnsi" w:hAnsiTheme="minorHAnsi" w:cs="Arial"/>
          <w:sz w:val="24"/>
        </w:rPr>
        <w:t xml:space="preserve">The breakdown of studies </w:t>
      </w:r>
      <w:r w:rsidR="005A0628" w:rsidRPr="00685573">
        <w:rPr>
          <w:rFonts w:asciiTheme="minorHAnsi" w:hAnsiTheme="minorHAnsi" w:cs="Arial"/>
          <w:sz w:val="24"/>
        </w:rPr>
        <w:t>was as shown in figure 1</w:t>
      </w:r>
      <w:r w:rsidR="00FB7826" w:rsidRPr="00685573">
        <w:rPr>
          <w:rFonts w:asciiTheme="minorHAnsi" w:hAnsiTheme="minorHAnsi" w:cs="Arial"/>
          <w:sz w:val="24"/>
        </w:rPr>
        <w:t xml:space="preserve">. </w:t>
      </w:r>
      <w:r w:rsidR="003B5191" w:rsidRPr="00685573">
        <w:rPr>
          <w:rFonts w:asciiTheme="minorHAnsi" w:hAnsiTheme="minorHAnsi" w:cs="Arial"/>
          <w:sz w:val="24"/>
        </w:rPr>
        <w:t>A large number of systematic reviews</w:t>
      </w:r>
      <w:r w:rsidR="00AA0E63" w:rsidRPr="00685573">
        <w:rPr>
          <w:rFonts w:asciiTheme="minorHAnsi" w:hAnsiTheme="minorHAnsi" w:cs="Arial"/>
          <w:sz w:val="24"/>
        </w:rPr>
        <w:t xml:space="preserve"> (</w:t>
      </w:r>
      <w:r w:rsidR="00423460" w:rsidRPr="00685573">
        <w:rPr>
          <w:rFonts w:asciiTheme="minorHAnsi" w:hAnsiTheme="minorHAnsi" w:cs="Arial"/>
          <w:sz w:val="24"/>
        </w:rPr>
        <w:t>sixteen</w:t>
      </w:r>
      <w:r w:rsidR="00AA0E63" w:rsidRPr="00685573">
        <w:rPr>
          <w:rFonts w:asciiTheme="minorHAnsi" w:hAnsiTheme="minorHAnsi" w:cs="Arial"/>
          <w:sz w:val="24"/>
        </w:rPr>
        <w:t>)</w:t>
      </w:r>
      <w:r w:rsidR="003B5191" w:rsidRPr="00685573">
        <w:rPr>
          <w:rFonts w:asciiTheme="minorHAnsi" w:hAnsiTheme="minorHAnsi" w:cs="Arial"/>
          <w:sz w:val="24"/>
        </w:rPr>
        <w:t xml:space="preserve"> were identified as addressing treatments, specifically bisphosphonates (namely alendronate, risedronate, ibandronate, zoledronate), or denosumab, for post-menopausal osteoporosis or osteoporosis in general. </w:t>
      </w:r>
      <w:r w:rsidR="00A72BA1" w:rsidRPr="00685573">
        <w:rPr>
          <w:rFonts w:asciiTheme="minorHAnsi" w:hAnsiTheme="minorHAnsi" w:cs="Arial"/>
          <w:sz w:val="24"/>
        </w:rPr>
        <w:t xml:space="preserve">Hence, a considerable </w:t>
      </w:r>
      <w:r w:rsidR="00F278E3" w:rsidRPr="00685573">
        <w:rPr>
          <w:rFonts w:asciiTheme="minorHAnsi" w:hAnsiTheme="minorHAnsi" w:cs="Arial"/>
          <w:sz w:val="24"/>
        </w:rPr>
        <w:t>number</w:t>
      </w:r>
      <w:r w:rsidR="00A72BA1" w:rsidRPr="00685573">
        <w:rPr>
          <w:rFonts w:asciiTheme="minorHAnsi" w:hAnsiTheme="minorHAnsi" w:cs="Arial"/>
          <w:sz w:val="24"/>
        </w:rPr>
        <w:t xml:space="preserve"> of review papers were </w:t>
      </w:r>
      <w:r w:rsidR="00AA0E63" w:rsidRPr="00685573">
        <w:rPr>
          <w:rFonts w:asciiTheme="minorHAnsi" w:hAnsiTheme="minorHAnsi" w:cs="Arial"/>
          <w:sz w:val="24"/>
        </w:rPr>
        <w:t xml:space="preserve">also </w:t>
      </w:r>
      <w:r w:rsidR="00A72BA1" w:rsidRPr="00685573">
        <w:rPr>
          <w:rFonts w:asciiTheme="minorHAnsi" w:hAnsiTheme="minorHAnsi" w:cs="Arial"/>
          <w:sz w:val="24"/>
        </w:rPr>
        <w:t xml:space="preserve">identified, although the number of source trials was much less. </w:t>
      </w:r>
      <w:r w:rsidR="00AA60BF" w:rsidRPr="00685573">
        <w:rPr>
          <w:rFonts w:asciiTheme="minorHAnsi" w:hAnsiTheme="minorHAnsi" w:cs="Arial"/>
          <w:sz w:val="24"/>
        </w:rPr>
        <w:t xml:space="preserve">Of the </w:t>
      </w:r>
      <w:r w:rsidR="003B5191" w:rsidRPr="00685573">
        <w:rPr>
          <w:rFonts w:asciiTheme="minorHAnsi" w:hAnsiTheme="minorHAnsi" w:cs="Arial"/>
          <w:sz w:val="24"/>
        </w:rPr>
        <w:t>clinical trials identified for this review</w:t>
      </w:r>
      <w:r w:rsidR="00AA60BF" w:rsidRPr="00685573">
        <w:rPr>
          <w:rFonts w:asciiTheme="minorHAnsi" w:hAnsiTheme="minorHAnsi" w:cs="Arial"/>
          <w:sz w:val="24"/>
        </w:rPr>
        <w:t>,</w:t>
      </w:r>
      <w:r w:rsidR="003B5191" w:rsidRPr="00685573">
        <w:rPr>
          <w:rFonts w:asciiTheme="minorHAnsi" w:hAnsiTheme="minorHAnsi" w:cs="Arial"/>
          <w:sz w:val="24"/>
        </w:rPr>
        <w:t xml:space="preserve"> the majority were extension studies of</w:t>
      </w:r>
      <w:r w:rsidR="0030789D" w:rsidRPr="00685573">
        <w:rPr>
          <w:rFonts w:asciiTheme="minorHAnsi" w:hAnsiTheme="minorHAnsi" w:cs="Arial"/>
          <w:sz w:val="24"/>
        </w:rPr>
        <w:t xml:space="preserve"> randomised controlled trials (</w:t>
      </w:r>
      <w:r w:rsidR="003B5191" w:rsidRPr="00685573">
        <w:rPr>
          <w:rFonts w:asciiTheme="minorHAnsi" w:hAnsiTheme="minorHAnsi" w:cs="Arial"/>
          <w:sz w:val="24"/>
        </w:rPr>
        <w:t>RCTs</w:t>
      </w:r>
      <w:r w:rsidR="0030789D" w:rsidRPr="00685573">
        <w:rPr>
          <w:rFonts w:asciiTheme="minorHAnsi" w:hAnsiTheme="minorHAnsi" w:cs="Arial"/>
          <w:sz w:val="24"/>
        </w:rPr>
        <w:t>)</w:t>
      </w:r>
      <w:r w:rsidR="001C0CC3" w:rsidRPr="00685573">
        <w:rPr>
          <w:rFonts w:asciiTheme="minorHAnsi" w:hAnsiTheme="minorHAnsi" w:cs="Arial"/>
          <w:sz w:val="24"/>
        </w:rPr>
        <w:t xml:space="preserve">. </w:t>
      </w:r>
      <w:r w:rsidR="00A72BA1" w:rsidRPr="00685573">
        <w:rPr>
          <w:rFonts w:asciiTheme="minorHAnsi" w:hAnsiTheme="minorHAnsi" w:cs="Arial"/>
          <w:sz w:val="24"/>
        </w:rPr>
        <w:t xml:space="preserve">Some of the best data come from studies of bisphosphonates; </w:t>
      </w:r>
      <w:r w:rsidR="003B5191" w:rsidRPr="00685573">
        <w:rPr>
          <w:rFonts w:asciiTheme="minorHAnsi" w:hAnsiTheme="minorHAnsi" w:cs="Arial"/>
          <w:sz w:val="24"/>
        </w:rPr>
        <w:t>articles</w:t>
      </w:r>
      <w:r w:rsidR="00A72BA1" w:rsidRPr="00685573">
        <w:rPr>
          <w:rFonts w:asciiTheme="minorHAnsi" w:hAnsiTheme="minorHAnsi" w:cs="Arial"/>
          <w:sz w:val="24"/>
        </w:rPr>
        <w:t xml:space="preserve"> reported </w:t>
      </w:r>
      <w:r w:rsidR="003B5191" w:rsidRPr="00685573">
        <w:rPr>
          <w:rFonts w:asciiTheme="minorHAnsi" w:hAnsiTheme="minorHAnsi" w:cs="Arial"/>
          <w:sz w:val="24"/>
        </w:rPr>
        <w:t>studies</w:t>
      </w:r>
      <w:r w:rsidR="00A72BA1" w:rsidRPr="00685573">
        <w:rPr>
          <w:rFonts w:asciiTheme="minorHAnsi" w:hAnsiTheme="minorHAnsi" w:cs="Arial"/>
          <w:sz w:val="24"/>
        </w:rPr>
        <w:t xml:space="preserve"> including the </w:t>
      </w:r>
      <w:r w:rsidR="003B5191" w:rsidRPr="00685573">
        <w:rPr>
          <w:rFonts w:asciiTheme="minorHAnsi" w:hAnsiTheme="minorHAnsi" w:cs="Arial"/>
          <w:sz w:val="24"/>
        </w:rPr>
        <w:t>Fracture Interventiona</w:t>
      </w:r>
      <w:r w:rsidR="00A72BA1" w:rsidRPr="00685573">
        <w:rPr>
          <w:rFonts w:asciiTheme="minorHAnsi" w:hAnsiTheme="minorHAnsi" w:cs="Arial"/>
          <w:sz w:val="24"/>
        </w:rPr>
        <w:t>l</w:t>
      </w:r>
      <w:r w:rsidR="003B5191" w:rsidRPr="00685573">
        <w:rPr>
          <w:rFonts w:asciiTheme="minorHAnsi" w:hAnsiTheme="minorHAnsi" w:cs="Arial"/>
          <w:sz w:val="24"/>
        </w:rPr>
        <w:t xml:space="preserve"> Trial Long Term Extension (FLEX</w:t>
      </w:r>
      <w:r w:rsidR="00A278C1" w:rsidRPr="00685573">
        <w:rPr>
          <w:rFonts w:asciiTheme="minorHAnsi" w:hAnsiTheme="minorHAnsi" w:cs="Arial"/>
          <w:sz w:val="24"/>
        </w:rPr>
        <w:t xml:space="preserve">) </w:t>
      </w:r>
      <w:r w:rsidR="00AC5152" w:rsidRPr="00685573">
        <w:rPr>
          <w:rFonts w:asciiTheme="minorHAnsi" w:hAnsiTheme="minorHAnsi" w:cs="Arial"/>
          <w:sz w:val="24"/>
        </w:rPr>
        <w:t>[29,30</w:t>
      </w:r>
      <w:r w:rsidR="0030789D" w:rsidRPr="00685573">
        <w:rPr>
          <w:rFonts w:asciiTheme="minorHAnsi" w:hAnsiTheme="minorHAnsi" w:cs="Arial"/>
          <w:sz w:val="24"/>
        </w:rPr>
        <w:t>,</w:t>
      </w:r>
      <w:r w:rsidR="00E26F1F" w:rsidRPr="00685573">
        <w:rPr>
          <w:rFonts w:asciiTheme="minorHAnsi" w:hAnsiTheme="minorHAnsi" w:cs="Arial"/>
          <w:sz w:val="24"/>
        </w:rPr>
        <w:t>3</w:t>
      </w:r>
      <w:r w:rsidR="00AC5152" w:rsidRPr="00685573">
        <w:rPr>
          <w:rFonts w:asciiTheme="minorHAnsi" w:hAnsiTheme="minorHAnsi" w:cs="Arial"/>
          <w:sz w:val="24"/>
        </w:rPr>
        <w:t>7,38</w:t>
      </w:r>
      <w:r w:rsidR="00B7494D" w:rsidRPr="00685573">
        <w:rPr>
          <w:rFonts w:asciiTheme="minorHAnsi" w:hAnsiTheme="minorHAnsi" w:cs="Arial"/>
          <w:sz w:val="24"/>
        </w:rPr>
        <w:t>]</w:t>
      </w:r>
      <w:r w:rsidR="00E01051" w:rsidRPr="00685573">
        <w:rPr>
          <w:rFonts w:asciiTheme="minorHAnsi" w:hAnsiTheme="minorHAnsi" w:cs="Arial"/>
          <w:sz w:val="24"/>
        </w:rPr>
        <w:t xml:space="preserve">, and </w:t>
      </w:r>
      <w:r w:rsidR="009F712A" w:rsidRPr="00685573">
        <w:rPr>
          <w:rFonts w:asciiTheme="minorHAnsi" w:hAnsiTheme="minorHAnsi" w:cs="Arial"/>
          <w:sz w:val="24"/>
        </w:rPr>
        <w:t xml:space="preserve">the </w:t>
      </w:r>
      <w:r w:rsidR="003B5191" w:rsidRPr="00685573">
        <w:rPr>
          <w:rFonts w:asciiTheme="minorHAnsi" w:hAnsiTheme="minorHAnsi" w:cs="Arial"/>
          <w:sz w:val="24"/>
        </w:rPr>
        <w:t xml:space="preserve">Vertebral Efficacy with Risedronate Therapy (VERT) </w:t>
      </w:r>
      <w:r w:rsidR="003B5191" w:rsidRPr="00685573">
        <w:rPr>
          <w:rStyle w:val="abstract"/>
          <w:rFonts w:asciiTheme="minorHAnsi" w:hAnsiTheme="minorHAnsi" w:cs="Arial"/>
          <w:sz w:val="24"/>
        </w:rPr>
        <w:t>extension studies</w:t>
      </w:r>
      <w:r w:rsidR="00B7494D" w:rsidRPr="00685573">
        <w:rPr>
          <w:rStyle w:val="abstract"/>
          <w:rFonts w:asciiTheme="minorHAnsi" w:hAnsiTheme="minorHAnsi" w:cs="Arial"/>
          <w:sz w:val="24"/>
        </w:rPr>
        <w:t xml:space="preserve"> [</w:t>
      </w:r>
      <w:r w:rsidR="00AC5152" w:rsidRPr="00685573">
        <w:rPr>
          <w:rStyle w:val="abstract"/>
          <w:rFonts w:asciiTheme="minorHAnsi" w:hAnsiTheme="minorHAnsi" w:cs="Arial"/>
          <w:sz w:val="24"/>
        </w:rPr>
        <w:t>24</w:t>
      </w:r>
      <w:r w:rsidR="00B7494D" w:rsidRPr="00685573">
        <w:rPr>
          <w:rStyle w:val="abstract"/>
          <w:rFonts w:asciiTheme="minorHAnsi" w:hAnsiTheme="minorHAnsi" w:cs="Arial"/>
          <w:sz w:val="24"/>
        </w:rPr>
        <w:t>]</w:t>
      </w:r>
      <w:r w:rsidR="00E01051" w:rsidRPr="00685573">
        <w:rPr>
          <w:rStyle w:val="abstract"/>
          <w:rFonts w:asciiTheme="minorHAnsi" w:hAnsiTheme="minorHAnsi" w:cs="Arial"/>
          <w:sz w:val="24"/>
        </w:rPr>
        <w:t xml:space="preserve">. </w:t>
      </w:r>
      <w:r w:rsidR="009F712A" w:rsidRPr="00685573">
        <w:rPr>
          <w:rStyle w:val="abstract"/>
          <w:rFonts w:asciiTheme="minorHAnsi" w:hAnsiTheme="minorHAnsi" w:cs="Arial"/>
          <w:sz w:val="24"/>
        </w:rPr>
        <w:t xml:space="preserve">Finally, the </w:t>
      </w:r>
      <w:r w:rsidR="003B5191" w:rsidRPr="00685573">
        <w:rPr>
          <w:rFonts w:asciiTheme="minorHAnsi" w:hAnsiTheme="minorHAnsi" w:cs="Arial"/>
          <w:sz w:val="24"/>
        </w:rPr>
        <w:t xml:space="preserve">Health Outcomes and Reduced Incidence with Zoledronic acid Once Yearly–Pivotal Fracture Trial </w:t>
      </w:r>
      <w:r w:rsidR="00870C24" w:rsidRPr="00685573">
        <w:rPr>
          <w:rFonts w:asciiTheme="minorHAnsi" w:hAnsiTheme="minorHAnsi" w:cs="Arial"/>
          <w:sz w:val="24"/>
        </w:rPr>
        <w:t>(HORIZON-PFT) extension studies</w:t>
      </w:r>
      <w:r w:rsidR="00AA60BF" w:rsidRPr="00685573">
        <w:rPr>
          <w:rFonts w:asciiTheme="minorHAnsi" w:hAnsiTheme="minorHAnsi" w:cs="Arial"/>
          <w:sz w:val="24"/>
        </w:rPr>
        <w:t xml:space="preserve"> </w:t>
      </w:r>
      <w:r w:rsidR="00E01051" w:rsidRPr="00685573">
        <w:rPr>
          <w:rFonts w:asciiTheme="minorHAnsi" w:hAnsiTheme="minorHAnsi" w:cs="Arial"/>
          <w:sz w:val="24"/>
        </w:rPr>
        <w:t>have reported effect of discontinuation of b</w:t>
      </w:r>
      <w:r w:rsidR="00AF06C4" w:rsidRPr="00685573">
        <w:rPr>
          <w:rFonts w:asciiTheme="minorHAnsi" w:hAnsiTheme="minorHAnsi" w:cs="Arial"/>
          <w:sz w:val="24"/>
        </w:rPr>
        <w:t xml:space="preserve">isphosphonates in some detail </w:t>
      </w:r>
      <w:r w:rsidR="00AC5152" w:rsidRPr="00685573">
        <w:rPr>
          <w:rFonts w:asciiTheme="minorHAnsi" w:hAnsiTheme="minorHAnsi" w:cs="Arial"/>
          <w:sz w:val="24"/>
        </w:rPr>
        <w:t>[14-16</w:t>
      </w:r>
      <w:r w:rsidR="00DC3C39" w:rsidRPr="00685573">
        <w:rPr>
          <w:rFonts w:asciiTheme="minorHAnsi" w:hAnsiTheme="minorHAnsi" w:cs="Arial"/>
          <w:sz w:val="24"/>
        </w:rPr>
        <w:t>; 22-23</w:t>
      </w:r>
      <w:r w:rsidR="00B7494D" w:rsidRPr="00685573">
        <w:rPr>
          <w:rFonts w:asciiTheme="minorHAnsi" w:hAnsiTheme="minorHAnsi" w:cs="Arial"/>
          <w:sz w:val="24"/>
        </w:rPr>
        <w:t>]</w:t>
      </w:r>
      <w:r w:rsidR="001C0CC3" w:rsidRPr="00685573">
        <w:rPr>
          <w:rFonts w:asciiTheme="minorHAnsi" w:hAnsiTheme="minorHAnsi" w:cs="Arial"/>
          <w:b/>
          <w:color w:val="auto"/>
          <w:sz w:val="24"/>
        </w:rPr>
        <w:t>.</w:t>
      </w:r>
      <w:r w:rsidR="009217A6" w:rsidRPr="00685573">
        <w:rPr>
          <w:rFonts w:asciiTheme="minorHAnsi" w:hAnsiTheme="minorHAnsi" w:cs="Arial"/>
          <w:color w:val="auto"/>
          <w:sz w:val="24"/>
        </w:rPr>
        <w:t xml:space="preserve"> </w:t>
      </w:r>
    </w:p>
    <w:p w14:paraId="6F5F69B8" w14:textId="5A09EA84" w:rsidR="00E01051" w:rsidRPr="00685573" w:rsidRDefault="0003525F" w:rsidP="00D33348">
      <w:pPr>
        <w:pStyle w:val="PlainText"/>
        <w:spacing w:after="160" w:line="360" w:lineRule="auto"/>
        <w:jc w:val="both"/>
        <w:rPr>
          <w:rFonts w:asciiTheme="minorHAnsi" w:hAnsiTheme="minorHAnsi"/>
          <w:sz w:val="24"/>
          <w:szCs w:val="24"/>
        </w:rPr>
      </w:pPr>
      <w:r w:rsidRPr="00685573">
        <w:rPr>
          <w:rFonts w:asciiTheme="minorHAnsi" w:hAnsiTheme="minorHAnsi"/>
          <w:sz w:val="24"/>
          <w:szCs w:val="24"/>
        </w:rPr>
        <w:t>R</w:t>
      </w:r>
      <w:r w:rsidR="00F278E3" w:rsidRPr="00685573">
        <w:rPr>
          <w:rFonts w:asciiTheme="minorHAnsi" w:hAnsiTheme="minorHAnsi"/>
          <w:sz w:val="24"/>
          <w:szCs w:val="24"/>
        </w:rPr>
        <w:t>andomised controlled trials</w:t>
      </w:r>
      <w:r w:rsidRPr="00685573">
        <w:rPr>
          <w:rFonts w:asciiTheme="minorHAnsi" w:hAnsiTheme="minorHAnsi"/>
          <w:sz w:val="24"/>
          <w:szCs w:val="24"/>
        </w:rPr>
        <w:t xml:space="preserve"> of osteoporosis treatment discontinuation have been undertaken. Black and colleagues compared the effects of 3 versus 6 years zoledronic acid in the HORIZON Pivotal Study</w:t>
      </w:r>
      <w:r w:rsidR="00E03EA9" w:rsidRPr="00685573">
        <w:rPr>
          <w:rFonts w:asciiTheme="minorHAnsi" w:hAnsiTheme="minorHAnsi"/>
          <w:sz w:val="24"/>
          <w:szCs w:val="24"/>
        </w:rPr>
        <w:t xml:space="preserve"> </w:t>
      </w:r>
      <w:r w:rsidR="00DC3C39" w:rsidRPr="00685573">
        <w:rPr>
          <w:rFonts w:asciiTheme="minorHAnsi" w:hAnsiTheme="minorHAnsi"/>
          <w:sz w:val="24"/>
          <w:szCs w:val="24"/>
        </w:rPr>
        <w:t>[14</w:t>
      </w:r>
      <w:r w:rsidR="00B7494D" w:rsidRPr="00685573">
        <w:rPr>
          <w:rFonts w:asciiTheme="minorHAnsi" w:hAnsiTheme="minorHAnsi"/>
          <w:sz w:val="24"/>
          <w:szCs w:val="24"/>
        </w:rPr>
        <w:t>]</w:t>
      </w:r>
      <w:r w:rsidR="00FA0FA0" w:rsidRPr="00685573">
        <w:rPr>
          <w:rFonts w:asciiTheme="minorHAnsi" w:hAnsiTheme="minorHAnsi"/>
          <w:sz w:val="24"/>
          <w:szCs w:val="24"/>
        </w:rPr>
        <w:t>, and found that, whilst</w:t>
      </w:r>
      <w:r w:rsidRPr="00685573">
        <w:rPr>
          <w:rFonts w:asciiTheme="minorHAnsi" w:hAnsiTheme="minorHAnsi"/>
          <w:sz w:val="24"/>
          <w:szCs w:val="24"/>
        </w:rPr>
        <w:t xml:space="preserve"> femoral neck </w:t>
      </w:r>
      <w:r w:rsidR="005F6EA1" w:rsidRPr="00685573">
        <w:rPr>
          <w:rFonts w:asciiTheme="minorHAnsi" w:hAnsiTheme="minorHAnsi"/>
          <w:sz w:val="24"/>
          <w:szCs w:val="24"/>
        </w:rPr>
        <w:t>bone mineral density (</w:t>
      </w:r>
      <w:r w:rsidRPr="00685573">
        <w:rPr>
          <w:rFonts w:asciiTheme="minorHAnsi" w:hAnsiTheme="minorHAnsi"/>
          <w:sz w:val="24"/>
          <w:szCs w:val="24"/>
        </w:rPr>
        <w:t>BMD</w:t>
      </w:r>
      <w:r w:rsidR="005F6EA1" w:rsidRPr="00685573">
        <w:rPr>
          <w:rFonts w:asciiTheme="minorHAnsi" w:hAnsiTheme="minorHAnsi"/>
          <w:sz w:val="24"/>
          <w:szCs w:val="24"/>
        </w:rPr>
        <w:t>)</w:t>
      </w:r>
      <w:r w:rsidRPr="00685573">
        <w:rPr>
          <w:rFonts w:asciiTheme="minorHAnsi" w:hAnsiTheme="minorHAnsi"/>
          <w:sz w:val="24"/>
          <w:szCs w:val="24"/>
        </w:rPr>
        <w:t xml:space="preserve"> remained constant in women randomised to 6 years of intravenous B</w:t>
      </w:r>
      <w:r w:rsidR="007E1E35" w:rsidRPr="00685573">
        <w:rPr>
          <w:rFonts w:asciiTheme="minorHAnsi" w:hAnsiTheme="minorHAnsi"/>
          <w:sz w:val="24"/>
          <w:szCs w:val="24"/>
        </w:rPr>
        <w:t>i</w:t>
      </w:r>
      <w:r w:rsidRPr="00685573">
        <w:rPr>
          <w:rFonts w:asciiTheme="minorHAnsi" w:hAnsiTheme="minorHAnsi"/>
          <w:sz w:val="24"/>
          <w:szCs w:val="24"/>
        </w:rPr>
        <w:t xml:space="preserve">P, it </w:t>
      </w:r>
      <w:r w:rsidR="007F743B" w:rsidRPr="00685573">
        <w:rPr>
          <w:rFonts w:asciiTheme="minorHAnsi" w:hAnsiTheme="minorHAnsi"/>
          <w:sz w:val="24"/>
          <w:szCs w:val="24"/>
        </w:rPr>
        <w:t xml:space="preserve">decreased </w:t>
      </w:r>
      <w:r w:rsidRPr="00685573">
        <w:rPr>
          <w:rFonts w:asciiTheme="minorHAnsi" w:hAnsiTheme="minorHAnsi"/>
          <w:sz w:val="24"/>
          <w:szCs w:val="24"/>
        </w:rPr>
        <w:t xml:space="preserve">slightly in those randomised </w:t>
      </w:r>
      <w:r w:rsidR="00F278E3" w:rsidRPr="00685573">
        <w:rPr>
          <w:rFonts w:asciiTheme="minorHAnsi" w:hAnsiTheme="minorHAnsi"/>
          <w:sz w:val="24"/>
          <w:szCs w:val="24"/>
        </w:rPr>
        <w:t>to placebo after 3 years (betwee</w:t>
      </w:r>
      <w:r w:rsidRPr="00685573">
        <w:rPr>
          <w:rFonts w:asciiTheme="minorHAnsi" w:hAnsiTheme="minorHAnsi"/>
          <w:sz w:val="24"/>
          <w:szCs w:val="24"/>
        </w:rPr>
        <w:t>n treatment difference 1.04%, p=0.0009) with similar effects at other sites. Biochemical markers tended to rise in those allocated to placebo but remained below pre</w:t>
      </w:r>
      <w:r w:rsidR="00F278E3" w:rsidRPr="00685573">
        <w:rPr>
          <w:rFonts w:asciiTheme="minorHAnsi" w:hAnsiTheme="minorHAnsi"/>
          <w:sz w:val="24"/>
          <w:szCs w:val="24"/>
        </w:rPr>
        <w:t>-</w:t>
      </w:r>
      <w:r w:rsidRPr="00685573">
        <w:rPr>
          <w:rFonts w:asciiTheme="minorHAnsi" w:hAnsiTheme="minorHAnsi"/>
          <w:sz w:val="24"/>
          <w:szCs w:val="24"/>
        </w:rPr>
        <w:t xml:space="preserve">treatment levels, and new morphometric vertebral fractures </w:t>
      </w:r>
      <w:r w:rsidR="00886DBA" w:rsidRPr="00685573">
        <w:rPr>
          <w:rFonts w:asciiTheme="minorHAnsi" w:hAnsiTheme="minorHAnsi"/>
          <w:sz w:val="24"/>
          <w:szCs w:val="24"/>
        </w:rPr>
        <w:t xml:space="preserve">increased about </w:t>
      </w:r>
      <w:r w:rsidR="00B05F01" w:rsidRPr="00685573">
        <w:rPr>
          <w:rFonts w:asciiTheme="minorHAnsi" w:hAnsiTheme="minorHAnsi"/>
          <w:sz w:val="24"/>
          <w:szCs w:val="24"/>
        </w:rPr>
        <w:t>two-fold</w:t>
      </w:r>
      <w:r w:rsidRPr="00685573">
        <w:rPr>
          <w:rFonts w:asciiTheme="minorHAnsi" w:hAnsiTheme="minorHAnsi"/>
          <w:sz w:val="24"/>
          <w:szCs w:val="24"/>
        </w:rPr>
        <w:t xml:space="preserve"> </w:t>
      </w:r>
      <w:r w:rsidR="00886DBA" w:rsidRPr="00685573">
        <w:rPr>
          <w:rFonts w:asciiTheme="minorHAnsi" w:hAnsiTheme="minorHAnsi"/>
          <w:sz w:val="24"/>
          <w:szCs w:val="24"/>
        </w:rPr>
        <w:t>after zol</w:t>
      </w:r>
      <w:r w:rsidR="005F6EA1" w:rsidRPr="00685573">
        <w:rPr>
          <w:rFonts w:asciiTheme="minorHAnsi" w:hAnsiTheme="minorHAnsi"/>
          <w:sz w:val="24"/>
          <w:szCs w:val="24"/>
        </w:rPr>
        <w:t>edronate</w:t>
      </w:r>
      <w:r w:rsidR="00886DBA" w:rsidRPr="00685573">
        <w:rPr>
          <w:rFonts w:asciiTheme="minorHAnsi" w:hAnsiTheme="minorHAnsi"/>
          <w:sz w:val="24"/>
          <w:szCs w:val="24"/>
        </w:rPr>
        <w:t xml:space="preserve"> was stopped at 3 y</w:t>
      </w:r>
      <w:r w:rsidR="005F6EA1" w:rsidRPr="00685573">
        <w:rPr>
          <w:rFonts w:asciiTheme="minorHAnsi" w:hAnsiTheme="minorHAnsi"/>
          <w:sz w:val="24"/>
          <w:szCs w:val="24"/>
        </w:rPr>
        <w:t>ear</w:t>
      </w:r>
      <w:r w:rsidR="00886DBA" w:rsidRPr="00685573">
        <w:rPr>
          <w:rFonts w:asciiTheme="minorHAnsi" w:hAnsiTheme="minorHAnsi"/>
          <w:sz w:val="24"/>
          <w:szCs w:val="24"/>
        </w:rPr>
        <w:t>s as compared to women maintained</w:t>
      </w:r>
      <w:r w:rsidRPr="00685573">
        <w:rPr>
          <w:rFonts w:asciiTheme="minorHAnsi" w:hAnsiTheme="minorHAnsi"/>
          <w:sz w:val="24"/>
          <w:szCs w:val="24"/>
        </w:rPr>
        <w:t xml:space="preserve"> 6 years </w:t>
      </w:r>
      <w:r w:rsidR="00886DBA" w:rsidRPr="00685573">
        <w:rPr>
          <w:rFonts w:asciiTheme="minorHAnsi" w:hAnsiTheme="minorHAnsi"/>
          <w:sz w:val="24"/>
          <w:szCs w:val="24"/>
        </w:rPr>
        <w:t>on therapy</w:t>
      </w:r>
      <w:r w:rsidRPr="00685573">
        <w:rPr>
          <w:rFonts w:asciiTheme="minorHAnsi" w:hAnsiTheme="minorHAnsi"/>
          <w:sz w:val="24"/>
          <w:szCs w:val="24"/>
        </w:rPr>
        <w:t xml:space="preserve"> (OR 0.51</w:t>
      </w:r>
      <w:r w:rsidR="00886DBA" w:rsidRPr="00685573">
        <w:rPr>
          <w:rFonts w:asciiTheme="minorHAnsi" w:hAnsiTheme="minorHAnsi"/>
          <w:sz w:val="24"/>
          <w:szCs w:val="24"/>
        </w:rPr>
        <w:t xml:space="preserve"> for 6 v</w:t>
      </w:r>
      <w:r w:rsidR="005F6EA1" w:rsidRPr="00685573">
        <w:rPr>
          <w:rFonts w:asciiTheme="minorHAnsi" w:hAnsiTheme="minorHAnsi"/>
          <w:sz w:val="24"/>
          <w:szCs w:val="24"/>
        </w:rPr>
        <w:t>ersu</w:t>
      </w:r>
      <w:r w:rsidR="00886DBA" w:rsidRPr="00685573">
        <w:rPr>
          <w:rFonts w:asciiTheme="minorHAnsi" w:hAnsiTheme="minorHAnsi"/>
          <w:sz w:val="24"/>
          <w:szCs w:val="24"/>
        </w:rPr>
        <w:t>s 3 y</w:t>
      </w:r>
      <w:r w:rsidR="005F6EA1" w:rsidRPr="00685573">
        <w:rPr>
          <w:rFonts w:asciiTheme="minorHAnsi" w:hAnsiTheme="minorHAnsi"/>
          <w:sz w:val="24"/>
          <w:szCs w:val="24"/>
        </w:rPr>
        <w:t>ea</w:t>
      </w:r>
      <w:r w:rsidR="00886DBA" w:rsidRPr="00685573">
        <w:rPr>
          <w:rFonts w:asciiTheme="minorHAnsi" w:hAnsiTheme="minorHAnsi"/>
          <w:sz w:val="24"/>
          <w:szCs w:val="24"/>
        </w:rPr>
        <w:t>rs</w:t>
      </w:r>
      <w:r w:rsidRPr="00685573">
        <w:rPr>
          <w:rFonts w:asciiTheme="minorHAnsi" w:hAnsiTheme="minorHAnsi"/>
          <w:sz w:val="24"/>
          <w:szCs w:val="24"/>
        </w:rPr>
        <w:t xml:space="preserve">; p=0.035). </w:t>
      </w:r>
      <w:r w:rsidR="00B05F01" w:rsidRPr="00685573">
        <w:rPr>
          <w:rFonts w:asciiTheme="minorHAnsi" w:hAnsiTheme="minorHAnsi"/>
          <w:sz w:val="24"/>
          <w:szCs w:val="24"/>
        </w:rPr>
        <w:t>However,</w:t>
      </w:r>
      <w:r w:rsidR="00217E42" w:rsidRPr="00685573">
        <w:rPr>
          <w:rFonts w:asciiTheme="minorHAnsi" w:hAnsiTheme="minorHAnsi"/>
          <w:sz w:val="24"/>
          <w:szCs w:val="24"/>
        </w:rPr>
        <w:t xml:space="preserve"> no </w:t>
      </w:r>
      <w:r w:rsidR="007F743B" w:rsidRPr="00685573">
        <w:rPr>
          <w:rFonts w:asciiTheme="minorHAnsi" w:hAnsiTheme="minorHAnsi"/>
          <w:sz w:val="24"/>
          <w:szCs w:val="24"/>
        </w:rPr>
        <w:t>rise</w:t>
      </w:r>
      <w:r w:rsidR="00217E42" w:rsidRPr="00685573">
        <w:rPr>
          <w:rFonts w:asciiTheme="minorHAnsi" w:hAnsiTheme="minorHAnsi"/>
          <w:sz w:val="24"/>
          <w:szCs w:val="24"/>
        </w:rPr>
        <w:t xml:space="preserve"> in risk of non-vertebral fractures was observed among those who went on placebo after 3 years compared to those who continued therapy for 6 years</w:t>
      </w:r>
      <w:r w:rsidR="00E03EA9" w:rsidRPr="00685573">
        <w:rPr>
          <w:rFonts w:asciiTheme="minorHAnsi" w:hAnsiTheme="minorHAnsi"/>
          <w:sz w:val="24"/>
          <w:szCs w:val="24"/>
        </w:rPr>
        <w:t>, although firm conclusions cannot be drawn due to limited power in this sample</w:t>
      </w:r>
      <w:r w:rsidR="00217E42" w:rsidRPr="00685573">
        <w:rPr>
          <w:rFonts w:asciiTheme="minorHAnsi" w:hAnsiTheme="minorHAnsi"/>
          <w:sz w:val="24"/>
          <w:szCs w:val="24"/>
        </w:rPr>
        <w:t xml:space="preserve">. </w:t>
      </w:r>
      <w:r w:rsidR="00E01051" w:rsidRPr="00685573">
        <w:rPr>
          <w:rFonts w:asciiTheme="minorHAnsi" w:hAnsiTheme="minorHAnsi"/>
          <w:sz w:val="24"/>
          <w:szCs w:val="24"/>
        </w:rPr>
        <w:t>A randomised second extension provided data regarding 9 years versus 6 ye</w:t>
      </w:r>
      <w:r w:rsidR="00B7494D" w:rsidRPr="00685573">
        <w:rPr>
          <w:rFonts w:asciiTheme="minorHAnsi" w:hAnsiTheme="minorHAnsi"/>
          <w:sz w:val="24"/>
          <w:szCs w:val="24"/>
        </w:rPr>
        <w:t>ars of treatment [</w:t>
      </w:r>
      <w:r w:rsidR="00576707" w:rsidRPr="00685573">
        <w:rPr>
          <w:rFonts w:asciiTheme="minorHAnsi" w:hAnsiTheme="minorHAnsi"/>
          <w:sz w:val="24"/>
          <w:szCs w:val="24"/>
        </w:rPr>
        <w:t>16</w:t>
      </w:r>
      <w:r w:rsidR="00B7494D" w:rsidRPr="00685573">
        <w:rPr>
          <w:rFonts w:asciiTheme="minorHAnsi" w:hAnsiTheme="minorHAnsi"/>
          <w:sz w:val="24"/>
          <w:szCs w:val="24"/>
        </w:rPr>
        <w:t>]</w:t>
      </w:r>
      <w:r w:rsidR="00E01051" w:rsidRPr="00685573">
        <w:rPr>
          <w:rFonts w:asciiTheme="minorHAnsi" w:hAnsiTheme="minorHAnsi"/>
          <w:sz w:val="24"/>
          <w:szCs w:val="24"/>
        </w:rPr>
        <w:t xml:space="preserve">. </w:t>
      </w:r>
      <w:r w:rsidR="00894053" w:rsidRPr="00685573">
        <w:rPr>
          <w:rFonts w:asciiTheme="minorHAnsi" w:hAnsiTheme="minorHAnsi" w:cs="Arial"/>
          <w:sz w:val="24"/>
          <w:szCs w:val="24"/>
        </w:rPr>
        <w:t xml:space="preserve">From year 6 to 9, the mean change in total hip BMD was </w:t>
      </w:r>
      <w:r w:rsidR="006C0B65" w:rsidRPr="00685573">
        <w:rPr>
          <w:rFonts w:asciiTheme="minorHAnsi" w:hAnsiTheme="minorHAnsi" w:cs="Arial"/>
          <w:sz w:val="24"/>
          <w:szCs w:val="24"/>
        </w:rPr>
        <w:t xml:space="preserve">-1.31% versus </w:t>
      </w:r>
      <w:r w:rsidR="00894053" w:rsidRPr="00685573">
        <w:rPr>
          <w:rFonts w:asciiTheme="minorHAnsi" w:hAnsiTheme="minorHAnsi" w:cs="Arial"/>
          <w:sz w:val="24"/>
          <w:szCs w:val="24"/>
        </w:rPr>
        <w:t xml:space="preserve">-0.54% in those randomised to placebo </w:t>
      </w:r>
      <w:r w:rsidR="00894053" w:rsidRPr="00685573">
        <w:rPr>
          <w:rFonts w:asciiTheme="minorHAnsi" w:hAnsiTheme="minorHAnsi" w:cs="Arial"/>
          <w:sz w:val="24"/>
          <w:szCs w:val="24"/>
        </w:rPr>
        <w:lastRenderedPageBreak/>
        <w:t xml:space="preserve">after 6 years of treatment compared to those who continued to receive infusions (difference 0.78%; 95% confidence interval [CI]: -0.37%, 1.93%; p = 0.183). Bone turnover markers showed small, non-significant increases in those who discontinued after 6 years compared with those who continued for 9 years. The number of fractures was low and did not significantly differ by treatment. There was a small increase in cardiac arrhythmias (combined serious and non-serious) in the continued treatment group but no significant imbalance in other safety parameters. The results suggest almost all patients who have received six annual zoledronate infusions can stop medication for up to 3 years without apparent adverse consequences. </w:t>
      </w:r>
    </w:p>
    <w:p w14:paraId="77ACD353" w14:textId="22DB6FCA" w:rsidR="00217E42" w:rsidRPr="00685573" w:rsidRDefault="0003525F" w:rsidP="00D33348">
      <w:pPr>
        <w:pStyle w:val="PlainText"/>
        <w:spacing w:after="160" w:line="360" w:lineRule="auto"/>
        <w:jc w:val="both"/>
        <w:rPr>
          <w:rFonts w:asciiTheme="minorHAnsi" w:hAnsiTheme="minorHAnsi" w:cs="Arial"/>
          <w:sz w:val="24"/>
          <w:szCs w:val="24"/>
        </w:rPr>
      </w:pPr>
      <w:r w:rsidRPr="00685573">
        <w:rPr>
          <w:rFonts w:asciiTheme="minorHAnsi" w:hAnsiTheme="minorHAnsi"/>
          <w:sz w:val="24"/>
          <w:szCs w:val="24"/>
        </w:rPr>
        <w:t xml:space="preserve">The implications of discontinuing alendronate treatment </w:t>
      </w:r>
      <w:r w:rsidR="00B05F01" w:rsidRPr="00685573">
        <w:rPr>
          <w:rFonts w:asciiTheme="minorHAnsi" w:hAnsiTheme="minorHAnsi"/>
          <w:sz w:val="24"/>
          <w:szCs w:val="24"/>
        </w:rPr>
        <w:t>were</w:t>
      </w:r>
      <w:r w:rsidRPr="00685573">
        <w:rPr>
          <w:rFonts w:asciiTheme="minorHAnsi" w:hAnsiTheme="minorHAnsi"/>
          <w:sz w:val="24"/>
          <w:szCs w:val="24"/>
        </w:rPr>
        <w:t xml:space="preserve"> considered in the FLEX study</w:t>
      </w:r>
      <w:r w:rsidR="00B7494D" w:rsidRPr="00685573">
        <w:rPr>
          <w:rFonts w:asciiTheme="minorHAnsi" w:hAnsiTheme="minorHAnsi"/>
          <w:sz w:val="24"/>
          <w:szCs w:val="24"/>
        </w:rPr>
        <w:t xml:space="preserve"> [</w:t>
      </w:r>
      <w:r w:rsidR="00DC3C39" w:rsidRPr="00685573">
        <w:rPr>
          <w:rFonts w:asciiTheme="minorHAnsi" w:hAnsiTheme="minorHAnsi"/>
          <w:sz w:val="24"/>
          <w:szCs w:val="24"/>
        </w:rPr>
        <w:t>37</w:t>
      </w:r>
      <w:r w:rsidR="00790F87" w:rsidRPr="00685573">
        <w:rPr>
          <w:rFonts w:asciiTheme="minorHAnsi" w:hAnsiTheme="minorHAnsi"/>
          <w:sz w:val="24"/>
          <w:szCs w:val="24"/>
        </w:rPr>
        <w:t xml:space="preserve">, </w:t>
      </w:r>
      <w:r w:rsidR="00DC3C39" w:rsidRPr="00685573">
        <w:rPr>
          <w:rFonts w:asciiTheme="minorHAnsi" w:hAnsiTheme="minorHAnsi"/>
          <w:sz w:val="24"/>
          <w:szCs w:val="24"/>
        </w:rPr>
        <w:t>38</w:t>
      </w:r>
      <w:r w:rsidR="00B7494D" w:rsidRPr="00685573">
        <w:rPr>
          <w:rFonts w:asciiTheme="minorHAnsi" w:hAnsiTheme="minorHAnsi"/>
          <w:sz w:val="24"/>
          <w:szCs w:val="24"/>
        </w:rPr>
        <w:t>]</w:t>
      </w:r>
      <w:r w:rsidRPr="00685573">
        <w:rPr>
          <w:rFonts w:asciiTheme="minorHAnsi" w:hAnsiTheme="minorHAnsi"/>
          <w:sz w:val="24"/>
          <w:szCs w:val="24"/>
        </w:rPr>
        <w:t xml:space="preserve">. </w:t>
      </w:r>
      <w:r w:rsidR="00F278E3" w:rsidRPr="00685573">
        <w:rPr>
          <w:rFonts w:asciiTheme="minorHAnsi" w:hAnsiTheme="minorHAnsi" w:cs="Arial"/>
          <w:sz w:val="24"/>
          <w:szCs w:val="24"/>
        </w:rPr>
        <w:t>This study</w:t>
      </w:r>
      <w:r w:rsidRPr="00685573">
        <w:rPr>
          <w:rFonts w:asciiTheme="minorHAnsi" w:hAnsiTheme="minorHAnsi" w:cs="Arial"/>
          <w:sz w:val="24"/>
          <w:szCs w:val="24"/>
        </w:rPr>
        <w:t xml:space="preserve"> randomized postmenopausal women aged 61 to 86 years previously treated with 4 to 5 years of </w:t>
      </w:r>
      <w:r w:rsidRPr="00685573">
        <w:rPr>
          <w:rStyle w:val="highlight2"/>
          <w:rFonts w:asciiTheme="minorHAnsi" w:hAnsiTheme="minorHAnsi" w:cs="Arial"/>
          <w:sz w:val="24"/>
          <w:szCs w:val="24"/>
        </w:rPr>
        <w:t>alendronate</w:t>
      </w:r>
      <w:r w:rsidRPr="00685573">
        <w:rPr>
          <w:rFonts w:asciiTheme="minorHAnsi" w:hAnsiTheme="minorHAnsi" w:cs="Arial"/>
          <w:sz w:val="24"/>
          <w:szCs w:val="24"/>
        </w:rPr>
        <w:t xml:space="preserve"> therapy to 5 more years of </w:t>
      </w:r>
      <w:r w:rsidRPr="00685573">
        <w:rPr>
          <w:rStyle w:val="highlight2"/>
          <w:rFonts w:asciiTheme="minorHAnsi" w:hAnsiTheme="minorHAnsi" w:cs="Arial"/>
          <w:sz w:val="24"/>
          <w:szCs w:val="24"/>
        </w:rPr>
        <w:t>alendronate</w:t>
      </w:r>
      <w:r w:rsidRPr="00685573">
        <w:rPr>
          <w:rFonts w:asciiTheme="minorHAnsi" w:hAnsiTheme="minorHAnsi" w:cs="Arial"/>
          <w:sz w:val="24"/>
          <w:szCs w:val="24"/>
        </w:rPr>
        <w:t xml:space="preserve"> or placebo. </w:t>
      </w:r>
      <w:r w:rsidR="00EE68E7" w:rsidRPr="00685573">
        <w:rPr>
          <w:rFonts w:asciiTheme="minorHAnsi" w:hAnsiTheme="minorHAnsi" w:cs="Arial"/>
          <w:color w:val="000000"/>
          <w:sz w:val="24"/>
          <w:szCs w:val="24"/>
          <w:shd w:val="clear" w:color="auto" w:fill="FFFFFF"/>
        </w:rPr>
        <w:t>Among the women who had prior alendronate therapy in FIT, further therapy with alendronate (5 and 10 mg groups combined) fo</w:t>
      </w:r>
      <w:r w:rsidR="001257C7" w:rsidRPr="00685573">
        <w:rPr>
          <w:rFonts w:asciiTheme="minorHAnsi" w:hAnsiTheme="minorHAnsi" w:cs="Arial"/>
          <w:color w:val="000000"/>
          <w:sz w:val="24"/>
          <w:szCs w:val="24"/>
          <w:shd w:val="clear" w:color="auto" w:fill="FFFFFF"/>
        </w:rPr>
        <w:t>r 3 years compared with placebo-</w:t>
      </w:r>
      <w:r w:rsidR="00EE68E7" w:rsidRPr="00685573">
        <w:rPr>
          <w:rFonts w:asciiTheme="minorHAnsi" w:hAnsiTheme="minorHAnsi" w:cs="Arial"/>
          <w:color w:val="000000"/>
          <w:sz w:val="24"/>
          <w:szCs w:val="24"/>
          <w:shd w:val="clear" w:color="auto" w:fill="FFFFFF"/>
        </w:rPr>
        <w:t>maintained BMD at the hip (2.0% difference; 95% CI, 1.6-2.5%) and further increased BMD at the spine (2.5% difference; 95% CI, 1.9-3. 1%).</w:t>
      </w:r>
      <w:r w:rsidR="002847E3" w:rsidRPr="00685573">
        <w:rPr>
          <w:rFonts w:asciiTheme="minorHAnsi" w:hAnsiTheme="minorHAnsi" w:cs="Arial"/>
          <w:sz w:val="24"/>
          <w:szCs w:val="24"/>
        </w:rPr>
        <w:t xml:space="preserve"> </w:t>
      </w:r>
      <w:r w:rsidR="00790F87" w:rsidRPr="00685573">
        <w:rPr>
          <w:color w:val="000000"/>
          <w:sz w:val="24"/>
          <w:szCs w:val="24"/>
          <w:shd w:val="clear" w:color="auto" w:fill="FFFFFF"/>
        </w:rPr>
        <w:t>When comparing fracture-risk outcomes after 5 y</w:t>
      </w:r>
      <w:r w:rsidR="00B7494D" w:rsidRPr="00685573">
        <w:rPr>
          <w:color w:val="000000"/>
          <w:sz w:val="24"/>
          <w:szCs w:val="24"/>
          <w:shd w:val="clear" w:color="auto" w:fill="FFFFFF"/>
        </w:rPr>
        <w:t>ea</w:t>
      </w:r>
      <w:r w:rsidR="00790F87" w:rsidRPr="00685573">
        <w:rPr>
          <w:color w:val="000000"/>
          <w:sz w:val="24"/>
          <w:szCs w:val="24"/>
          <w:shd w:val="clear" w:color="auto" w:fill="FFFFFF"/>
        </w:rPr>
        <w:t>r</w:t>
      </w:r>
      <w:r w:rsidR="00B7494D" w:rsidRPr="00685573">
        <w:rPr>
          <w:color w:val="000000"/>
          <w:sz w:val="24"/>
          <w:szCs w:val="24"/>
          <w:shd w:val="clear" w:color="auto" w:fill="FFFFFF"/>
        </w:rPr>
        <w:t>s</w:t>
      </w:r>
      <w:r w:rsidR="00790F87" w:rsidRPr="00685573">
        <w:rPr>
          <w:color w:val="000000"/>
          <w:sz w:val="24"/>
          <w:szCs w:val="24"/>
          <w:shd w:val="clear" w:color="auto" w:fill="FFFFFF"/>
        </w:rPr>
        <w:t>, clinically recognized vertebral fractures were significantly more common among those discontinuing alendronate, but the cumulative risk for non</w:t>
      </w:r>
      <w:r w:rsidR="0015270E" w:rsidRPr="00685573">
        <w:rPr>
          <w:color w:val="000000"/>
          <w:sz w:val="24"/>
          <w:szCs w:val="24"/>
          <w:shd w:val="clear" w:color="auto" w:fill="FFFFFF"/>
        </w:rPr>
        <w:t>-</w:t>
      </w:r>
      <w:r w:rsidR="00790F87" w:rsidRPr="00685573">
        <w:rPr>
          <w:color w:val="000000"/>
          <w:sz w:val="24"/>
          <w:szCs w:val="24"/>
          <w:shd w:val="clear" w:color="auto" w:fill="FFFFFF"/>
        </w:rPr>
        <w:t>vertebral fractures and morphometric vertebral fractures were similar </w:t>
      </w:r>
      <w:r w:rsidR="00DC3C39" w:rsidRPr="00685573">
        <w:rPr>
          <w:color w:val="000000"/>
          <w:sz w:val="24"/>
          <w:szCs w:val="24"/>
          <w:shd w:val="clear" w:color="auto" w:fill="FFFFFF"/>
        </w:rPr>
        <w:t>[38</w:t>
      </w:r>
      <w:r w:rsidR="00B7494D" w:rsidRPr="00685573">
        <w:rPr>
          <w:color w:val="000000"/>
          <w:sz w:val="24"/>
          <w:szCs w:val="24"/>
          <w:shd w:val="clear" w:color="auto" w:fill="FFFFFF"/>
        </w:rPr>
        <w:t>].</w:t>
      </w:r>
      <w:r w:rsidR="00C135D9" w:rsidRPr="00685573">
        <w:rPr>
          <w:color w:val="000000"/>
          <w:sz w:val="24"/>
          <w:szCs w:val="24"/>
          <w:shd w:val="clear" w:color="auto" w:fill="FFFFFF"/>
        </w:rPr>
        <w:t xml:space="preserve"> Given, however that alendronate did not decrease the risk of non-vertebral fracture</w:t>
      </w:r>
      <w:r w:rsidR="00CA4943" w:rsidRPr="00685573">
        <w:rPr>
          <w:color w:val="000000"/>
          <w:sz w:val="24"/>
          <w:szCs w:val="24"/>
          <w:shd w:val="clear" w:color="auto" w:fill="FFFFFF"/>
        </w:rPr>
        <w:t xml:space="preserve"> in the overall study population (but only those with low BMD at baseline)</w:t>
      </w:r>
      <w:r w:rsidR="00C135D9" w:rsidRPr="00685573">
        <w:rPr>
          <w:color w:val="000000"/>
          <w:sz w:val="24"/>
          <w:szCs w:val="24"/>
          <w:shd w:val="clear" w:color="auto" w:fill="FFFFFF"/>
        </w:rPr>
        <w:t>, it is not surprising that stopping treatment had no effect on the fracture outcome</w:t>
      </w:r>
      <w:r w:rsidR="009E1A62" w:rsidRPr="00685573">
        <w:rPr>
          <w:color w:val="000000"/>
          <w:sz w:val="24"/>
          <w:szCs w:val="24"/>
          <w:shd w:val="clear" w:color="auto" w:fill="FFFFFF"/>
        </w:rPr>
        <w:t>.</w:t>
      </w:r>
      <w:r w:rsidR="00B7494D" w:rsidRPr="00685573">
        <w:rPr>
          <w:color w:val="000000"/>
          <w:sz w:val="24"/>
          <w:szCs w:val="24"/>
          <w:shd w:val="clear" w:color="auto" w:fill="FFFFFF"/>
        </w:rPr>
        <w:t xml:space="preserve"> </w:t>
      </w:r>
      <w:r w:rsidR="002847E3" w:rsidRPr="00685573">
        <w:rPr>
          <w:rFonts w:asciiTheme="minorHAnsi" w:hAnsiTheme="minorHAnsi" w:cs="Arial"/>
          <w:sz w:val="24"/>
          <w:szCs w:val="24"/>
        </w:rPr>
        <w:t>Eastell et al undertook an analysis of women who had participated in the VERT-MN study, and who had received either 2 or 7 years of risedronate</w:t>
      </w:r>
      <w:r w:rsidR="00B7494D" w:rsidRPr="00685573">
        <w:rPr>
          <w:rFonts w:asciiTheme="minorHAnsi" w:hAnsiTheme="minorHAnsi" w:cs="Arial"/>
          <w:sz w:val="24"/>
          <w:szCs w:val="24"/>
        </w:rPr>
        <w:t xml:space="preserve"> [</w:t>
      </w:r>
      <w:r w:rsidR="00DC3C39" w:rsidRPr="00685573">
        <w:rPr>
          <w:rFonts w:asciiTheme="minorHAnsi" w:hAnsiTheme="minorHAnsi" w:cs="Arial"/>
          <w:sz w:val="24"/>
          <w:szCs w:val="24"/>
        </w:rPr>
        <w:t>24</w:t>
      </w:r>
      <w:r w:rsidR="00B7494D" w:rsidRPr="00685573">
        <w:rPr>
          <w:rFonts w:asciiTheme="minorHAnsi" w:hAnsiTheme="minorHAnsi" w:cs="Arial"/>
          <w:sz w:val="24"/>
          <w:szCs w:val="24"/>
        </w:rPr>
        <w:t>]</w:t>
      </w:r>
      <w:r w:rsidR="002847E3" w:rsidRPr="00685573">
        <w:rPr>
          <w:rFonts w:asciiTheme="minorHAnsi" w:hAnsiTheme="minorHAnsi" w:cs="Arial"/>
          <w:sz w:val="24"/>
          <w:szCs w:val="24"/>
        </w:rPr>
        <w:t xml:space="preserve">. They report that one year of risedronate discontinuation resulted in increases of NTX/Cr levels towards baseline and decreases in femoral trochanter and total hip BMD. </w:t>
      </w:r>
      <w:r w:rsidR="00217E42" w:rsidRPr="00685573">
        <w:rPr>
          <w:rFonts w:asciiTheme="minorHAnsi" w:hAnsiTheme="minorHAnsi" w:cs="Arial"/>
          <w:sz w:val="24"/>
          <w:szCs w:val="24"/>
        </w:rPr>
        <w:t>No fracture data were reported.</w:t>
      </w:r>
      <w:r w:rsidR="00754E17" w:rsidRPr="00685573">
        <w:rPr>
          <w:rFonts w:asciiTheme="minorHAnsi" w:hAnsiTheme="minorHAnsi" w:cs="Arial"/>
          <w:sz w:val="24"/>
          <w:szCs w:val="24"/>
        </w:rPr>
        <w:t xml:space="preserve"> </w:t>
      </w:r>
      <w:r w:rsidR="0017239D" w:rsidRPr="00685573">
        <w:rPr>
          <w:rFonts w:asciiTheme="minorHAnsi" w:hAnsiTheme="minorHAnsi" w:cs="Arial"/>
          <w:sz w:val="24"/>
          <w:szCs w:val="24"/>
        </w:rPr>
        <w:t>In other work considering change in bone turnover markers on discontinuing bisphosphonate study, persistent reduction in bone turnover 2 years afer stopping alendronate, risdedronate and ibandronate was demonstrated [51].</w:t>
      </w:r>
    </w:p>
    <w:p w14:paraId="241C3905" w14:textId="00910993" w:rsidR="00F3321F" w:rsidRPr="00685573" w:rsidRDefault="00217E42" w:rsidP="00D33348">
      <w:pPr>
        <w:pStyle w:val="PlainText"/>
        <w:spacing w:after="160" w:line="360" w:lineRule="auto"/>
        <w:jc w:val="both"/>
        <w:rPr>
          <w:rFonts w:asciiTheme="minorHAnsi" w:hAnsiTheme="minorHAnsi"/>
          <w:sz w:val="24"/>
          <w:szCs w:val="24"/>
        </w:rPr>
      </w:pPr>
      <w:r w:rsidRPr="00685573">
        <w:rPr>
          <w:rFonts w:asciiTheme="minorHAnsi" w:hAnsiTheme="minorHAnsi"/>
          <w:sz w:val="24"/>
          <w:szCs w:val="24"/>
        </w:rPr>
        <w:t>Denosumab has been shown to be effective in improving BMD and reducing fracture among women who received up to 10 ye</w:t>
      </w:r>
      <w:r w:rsidR="0015270E" w:rsidRPr="00685573">
        <w:rPr>
          <w:rFonts w:asciiTheme="minorHAnsi" w:hAnsiTheme="minorHAnsi"/>
          <w:sz w:val="24"/>
          <w:szCs w:val="24"/>
        </w:rPr>
        <w:t xml:space="preserve">ars of treatment </w:t>
      </w:r>
      <w:r w:rsidR="00B7494D" w:rsidRPr="00685573">
        <w:rPr>
          <w:rFonts w:asciiTheme="minorHAnsi" w:hAnsiTheme="minorHAnsi"/>
          <w:sz w:val="24"/>
          <w:szCs w:val="24"/>
        </w:rPr>
        <w:t>[</w:t>
      </w:r>
      <w:r w:rsidR="00B14978" w:rsidRPr="00685573">
        <w:rPr>
          <w:rFonts w:asciiTheme="minorHAnsi" w:hAnsiTheme="minorHAnsi"/>
          <w:sz w:val="24"/>
          <w:szCs w:val="24"/>
        </w:rPr>
        <w:t xml:space="preserve">25, </w:t>
      </w:r>
      <w:r w:rsidR="00DC3C39" w:rsidRPr="00685573">
        <w:rPr>
          <w:rFonts w:asciiTheme="minorHAnsi" w:hAnsiTheme="minorHAnsi"/>
          <w:sz w:val="24"/>
          <w:szCs w:val="24"/>
        </w:rPr>
        <w:t>34</w:t>
      </w:r>
      <w:r w:rsidR="0015270E" w:rsidRPr="00685573">
        <w:rPr>
          <w:rFonts w:asciiTheme="minorHAnsi" w:hAnsiTheme="minorHAnsi"/>
          <w:sz w:val="24"/>
          <w:szCs w:val="24"/>
        </w:rPr>
        <w:t>,4</w:t>
      </w:r>
      <w:r w:rsidR="00DC3C39" w:rsidRPr="00685573">
        <w:rPr>
          <w:rFonts w:asciiTheme="minorHAnsi" w:hAnsiTheme="minorHAnsi"/>
          <w:sz w:val="24"/>
          <w:szCs w:val="24"/>
        </w:rPr>
        <w:t>7</w:t>
      </w:r>
      <w:r w:rsidR="00B7494D" w:rsidRPr="00685573">
        <w:rPr>
          <w:rFonts w:asciiTheme="minorHAnsi" w:hAnsiTheme="minorHAnsi"/>
          <w:sz w:val="24"/>
          <w:szCs w:val="24"/>
        </w:rPr>
        <w:t>]</w:t>
      </w:r>
      <w:r w:rsidR="0015270E" w:rsidRPr="00685573">
        <w:rPr>
          <w:rFonts w:asciiTheme="minorHAnsi" w:hAnsiTheme="minorHAnsi"/>
          <w:sz w:val="24"/>
          <w:szCs w:val="24"/>
        </w:rPr>
        <w:t xml:space="preserve">; </w:t>
      </w:r>
      <w:r w:rsidRPr="00685573">
        <w:rPr>
          <w:rFonts w:asciiTheme="minorHAnsi" w:hAnsiTheme="minorHAnsi"/>
          <w:sz w:val="24"/>
          <w:szCs w:val="24"/>
        </w:rPr>
        <w:t>i</w:t>
      </w:r>
      <w:r w:rsidRPr="00685573">
        <w:rPr>
          <w:rFonts w:asciiTheme="minorHAnsi" w:hAnsiTheme="minorHAnsi" w:cs="Arial"/>
          <w:color w:val="000000"/>
          <w:sz w:val="24"/>
          <w:szCs w:val="24"/>
          <w:shd w:val="clear" w:color="auto" w:fill="FFFFFF"/>
        </w:rPr>
        <w:t xml:space="preserve">n the long-term treatment group, BMD increased from FREEDOM baseline by 21·7% at the lumbar spine, 9·2% at total </w:t>
      </w:r>
      <w:r w:rsidRPr="00685573">
        <w:rPr>
          <w:rFonts w:asciiTheme="minorHAnsi" w:hAnsiTheme="minorHAnsi" w:cs="Arial"/>
          <w:color w:val="000000"/>
          <w:sz w:val="24"/>
          <w:szCs w:val="24"/>
          <w:shd w:val="clear" w:color="auto" w:fill="FFFFFF"/>
        </w:rPr>
        <w:lastRenderedPageBreak/>
        <w:t>hip, 9·0% at femoral neck, and 2·7% at the one-third radius. The yearly incidence of new vertebral fractures (ranging from 0·90% to 1·86%) and non-vertebral fractures (ranging from 0·84% to 2·55%) remained low during the extension, similar to rates observed in the denosumab group during the first three years of the FREEDOM study, and lower than rates projected for a virtual long-term placebo cohort</w:t>
      </w:r>
      <w:r w:rsidR="00A327E2" w:rsidRPr="00685573">
        <w:rPr>
          <w:rFonts w:asciiTheme="minorHAnsi" w:hAnsiTheme="minorHAnsi" w:cs="Arial"/>
          <w:color w:val="000000"/>
          <w:sz w:val="24"/>
          <w:szCs w:val="24"/>
          <w:shd w:val="clear" w:color="auto" w:fill="FFFFFF"/>
        </w:rPr>
        <w:t xml:space="preserve"> </w:t>
      </w:r>
      <w:r w:rsidR="00DC3C39" w:rsidRPr="00685573">
        <w:rPr>
          <w:rFonts w:asciiTheme="minorHAnsi" w:hAnsiTheme="minorHAnsi" w:cs="Arial"/>
          <w:color w:val="000000"/>
          <w:sz w:val="24"/>
          <w:szCs w:val="24"/>
          <w:shd w:val="clear" w:color="auto" w:fill="FFFFFF"/>
        </w:rPr>
        <w:t>[46</w:t>
      </w:r>
      <w:r w:rsidR="00B7494D" w:rsidRPr="00685573">
        <w:rPr>
          <w:rFonts w:asciiTheme="minorHAnsi" w:hAnsiTheme="minorHAnsi" w:cs="Arial"/>
          <w:color w:val="000000"/>
          <w:sz w:val="24"/>
          <w:szCs w:val="24"/>
          <w:shd w:val="clear" w:color="auto" w:fill="FFFFFF"/>
        </w:rPr>
        <w:t>]</w:t>
      </w:r>
      <w:r w:rsidRPr="00685573">
        <w:rPr>
          <w:rFonts w:asciiTheme="minorHAnsi" w:hAnsiTheme="minorHAnsi" w:cs="Arial"/>
          <w:color w:val="000000"/>
          <w:sz w:val="24"/>
          <w:szCs w:val="24"/>
          <w:shd w:val="clear" w:color="auto" w:fill="FFFFFF"/>
        </w:rPr>
        <w:t xml:space="preserve">. </w:t>
      </w:r>
      <w:r w:rsidR="004E1575" w:rsidRPr="00685573">
        <w:rPr>
          <w:rFonts w:asciiTheme="minorHAnsi" w:hAnsiTheme="minorHAnsi" w:cs="Arial"/>
          <w:color w:val="000000"/>
          <w:sz w:val="24"/>
          <w:szCs w:val="24"/>
          <w:shd w:val="clear" w:color="auto" w:fill="FFFFFF"/>
        </w:rPr>
        <w:t>However, several studies have suggested that denosumab withdrawal is</w:t>
      </w:r>
      <w:r w:rsidR="004E1575" w:rsidRPr="00685573">
        <w:rPr>
          <w:rFonts w:asciiTheme="minorHAnsi" w:hAnsiTheme="minorHAnsi"/>
          <w:sz w:val="24"/>
          <w:szCs w:val="24"/>
        </w:rPr>
        <w:t xml:space="preserve"> a</w:t>
      </w:r>
      <w:r w:rsidR="00B7494D" w:rsidRPr="00685573">
        <w:rPr>
          <w:rFonts w:asciiTheme="minorHAnsi" w:hAnsiTheme="minorHAnsi"/>
          <w:sz w:val="24"/>
          <w:szCs w:val="24"/>
        </w:rPr>
        <w:t>ssociated with adverse outcomes</w:t>
      </w:r>
      <w:r w:rsidR="00374AF0" w:rsidRPr="00685573">
        <w:rPr>
          <w:rFonts w:asciiTheme="minorHAnsi" w:hAnsiTheme="minorHAnsi"/>
          <w:sz w:val="24"/>
          <w:szCs w:val="24"/>
        </w:rPr>
        <w:t>, including accelerated bone loss and vertebral fractures</w:t>
      </w:r>
      <w:r w:rsidR="00DC3C39" w:rsidRPr="00685573">
        <w:rPr>
          <w:rFonts w:asciiTheme="minorHAnsi" w:hAnsiTheme="minorHAnsi"/>
          <w:sz w:val="24"/>
          <w:szCs w:val="24"/>
        </w:rPr>
        <w:t xml:space="preserve"> [39 -46</w:t>
      </w:r>
      <w:r w:rsidR="00B7494D" w:rsidRPr="00685573">
        <w:rPr>
          <w:rFonts w:asciiTheme="minorHAnsi" w:hAnsiTheme="minorHAnsi"/>
          <w:sz w:val="24"/>
          <w:szCs w:val="24"/>
        </w:rPr>
        <w:t>]</w:t>
      </w:r>
      <w:r w:rsidR="004E1575" w:rsidRPr="00685573">
        <w:rPr>
          <w:rFonts w:asciiTheme="minorHAnsi" w:hAnsiTheme="minorHAnsi"/>
          <w:sz w:val="24"/>
          <w:szCs w:val="24"/>
        </w:rPr>
        <w:t>. I</w:t>
      </w:r>
      <w:r w:rsidR="003B4129" w:rsidRPr="00685573">
        <w:rPr>
          <w:rFonts w:asciiTheme="minorHAnsi" w:hAnsiTheme="minorHAnsi"/>
          <w:sz w:val="24"/>
          <w:szCs w:val="24"/>
        </w:rPr>
        <w:t>n a first analysis of</w:t>
      </w:r>
      <w:r w:rsidR="003B4129" w:rsidRPr="00685573">
        <w:rPr>
          <w:rFonts w:asciiTheme="minorHAnsi" w:hAnsiTheme="minorHAnsi"/>
          <w:b/>
          <w:sz w:val="24"/>
          <w:szCs w:val="24"/>
        </w:rPr>
        <w:t xml:space="preserve"> </w:t>
      </w:r>
      <w:r w:rsidR="003B4129" w:rsidRPr="00685573">
        <w:rPr>
          <w:rFonts w:asciiTheme="minorHAnsi" w:hAnsiTheme="minorHAnsi"/>
          <w:sz w:val="24"/>
          <w:szCs w:val="24"/>
        </w:rPr>
        <w:t>797 subjects withdrawing from the study drug (placebo or denosumab) during the original FREEDOM study</w:t>
      </w:r>
      <w:r w:rsidR="003B4129" w:rsidRPr="00685573">
        <w:rPr>
          <w:rFonts w:asciiTheme="minorHAnsi" w:hAnsiTheme="minorHAnsi" w:cs="Arial"/>
          <w:sz w:val="24"/>
          <w:szCs w:val="24"/>
        </w:rPr>
        <w:t xml:space="preserve">, 42% versus 28% of placebo- and </w:t>
      </w:r>
      <w:r w:rsidR="003B4129" w:rsidRPr="00685573">
        <w:rPr>
          <w:rStyle w:val="highlight2"/>
          <w:rFonts w:asciiTheme="minorHAnsi" w:hAnsiTheme="minorHAnsi" w:cs="Arial"/>
          <w:sz w:val="24"/>
          <w:szCs w:val="24"/>
        </w:rPr>
        <w:t>denosumab</w:t>
      </w:r>
      <w:r w:rsidR="003B4129" w:rsidRPr="00685573">
        <w:rPr>
          <w:rFonts w:asciiTheme="minorHAnsi" w:hAnsiTheme="minorHAnsi" w:cs="Arial"/>
          <w:sz w:val="24"/>
          <w:szCs w:val="24"/>
        </w:rPr>
        <w:t xml:space="preserve">-treated subjects, respectively, initiated another therapy (mostly bisphosphonates). Following </w:t>
      </w:r>
      <w:r w:rsidR="003B4129" w:rsidRPr="00685573">
        <w:rPr>
          <w:rStyle w:val="highlight2"/>
          <w:rFonts w:asciiTheme="minorHAnsi" w:hAnsiTheme="minorHAnsi" w:cs="Arial"/>
          <w:sz w:val="24"/>
          <w:szCs w:val="24"/>
        </w:rPr>
        <w:t>discontinuation</w:t>
      </w:r>
      <w:r w:rsidR="003B4129" w:rsidRPr="00685573">
        <w:rPr>
          <w:rFonts w:asciiTheme="minorHAnsi" w:hAnsiTheme="minorHAnsi" w:cs="Arial"/>
          <w:sz w:val="24"/>
          <w:szCs w:val="24"/>
        </w:rPr>
        <w:t xml:space="preserve">, similar percentages of subjects in both groups sustained a new fracture (9% placebo, 7% </w:t>
      </w:r>
      <w:r w:rsidR="003B4129" w:rsidRPr="00685573">
        <w:rPr>
          <w:rStyle w:val="highlight2"/>
          <w:rFonts w:asciiTheme="minorHAnsi" w:hAnsiTheme="minorHAnsi" w:cs="Arial"/>
          <w:sz w:val="24"/>
          <w:szCs w:val="24"/>
        </w:rPr>
        <w:t>denosumab</w:t>
      </w:r>
      <w:r w:rsidR="003B4129" w:rsidRPr="00685573">
        <w:rPr>
          <w:rFonts w:asciiTheme="minorHAnsi" w:hAnsiTheme="minorHAnsi" w:cs="Arial"/>
          <w:sz w:val="24"/>
          <w:szCs w:val="24"/>
        </w:rPr>
        <w:t xml:space="preserve">), resulting in a fracture rate per 100 subject-years of 13.5 for placebo and 9.7 for </w:t>
      </w:r>
      <w:r w:rsidR="003B4129" w:rsidRPr="00685573">
        <w:rPr>
          <w:rStyle w:val="highlight2"/>
          <w:rFonts w:asciiTheme="minorHAnsi" w:hAnsiTheme="minorHAnsi" w:cs="Arial"/>
          <w:sz w:val="24"/>
          <w:szCs w:val="24"/>
        </w:rPr>
        <w:t>denosumab</w:t>
      </w:r>
      <w:r w:rsidR="003B4129" w:rsidRPr="00685573">
        <w:rPr>
          <w:rFonts w:asciiTheme="minorHAnsi" w:hAnsiTheme="minorHAnsi" w:cs="Arial"/>
          <w:sz w:val="24"/>
          <w:szCs w:val="24"/>
        </w:rPr>
        <w:t xml:space="preserve"> (hazard ratio [HR] 0.82; 95% confidence interval [CI], 0.49-1.38), </w:t>
      </w:r>
      <w:r w:rsidR="00B3379F" w:rsidRPr="00685573">
        <w:rPr>
          <w:rFonts w:asciiTheme="minorHAnsi" w:hAnsiTheme="minorHAnsi" w:cs="Arial"/>
          <w:sz w:val="24"/>
          <w:szCs w:val="24"/>
        </w:rPr>
        <w:t xml:space="preserve">and for vertebral fractures of 9.3 and 5.6 for off placebo and off denosumab, respectively </w:t>
      </w:r>
      <w:r w:rsidR="004E1575" w:rsidRPr="00685573">
        <w:rPr>
          <w:rFonts w:asciiTheme="minorHAnsi" w:hAnsiTheme="minorHAnsi" w:cs="Arial"/>
          <w:sz w:val="24"/>
          <w:szCs w:val="24"/>
        </w:rPr>
        <w:t>adjusted for age and total hip BMD T-score at baseline</w:t>
      </w:r>
      <w:r w:rsidR="00DC3C39" w:rsidRPr="00685573">
        <w:rPr>
          <w:rFonts w:asciiTheme="minorHAnsi" w:hAnsiTheme="minorHAnsi" w:cs="Arial"/>
          <w:sz w:val="24"/>
          <w:szCs w:val="24"/>
        </w:rPr>
        <w:t xml:space="preserve"> [</w:t>
      </w:r>
      <w:r w:rsidR="00B14978" w:rsidRPr="00685573">
        <w:rPr>
          <w:rFonts w:asciiTheme="minorHAnsi" w:hAnsiTheme="minorHAnsi" w:cs="Arial"/>
          <w:sz w:val="24"/>
          <w:szCs w:val="24"/>
        </w:rPr>
        <w:t>21</w:t>
      </w:r>
      <w:r w:rsidR="00374AF0" w:rsidRPr="00685573">
        <w:rPr>
          <w:rFonts w:asciiTheme="minorHAnsi" w:hAnsiTheme="minorHAnsi" w:cs="Arial"/>
          <w:sz w:val="24"/>
          <w:szCs w:val="24"/>
        </w:rPr>
        <w:t>]</w:t>
      </w:r>
      <w:r w:rsidR="004E1575" w:rsidRPr="00685573">
        <w:rPr>
          <w:rFonts w:asciiTheme="minorHAnsi" w:hAnsiTheme="minorHAnsi" w:cs="Arial"/>
          <w:sz w:val="24"/>
          <w:szCs w:val="24"/>
        </w:rPr>
        <w:t>.</w:t>
      </w:r>
      <w:r w:rsidR="003B4129" w:rsidRPr="00685573">
        <w:rPr>
          <w:rFonts w:asciiTheme="minorHAnsi" w:hAnsiTheme="minorHAnsi"/>
          <w:sz w:val="24"/>
          <w:szCs w:val="24"/>
        </w:rPr>
        <w:t xml:space="preserve"> </w:t>
      </w:r>
      <w:r w:rsidR="003B4129" w:rsidRPr="00685573">
        <w:rPr>
          <w:rFonts w:asciiTheme="minorHAnsi" w:hAnsiTheme="minorHAnsi"/>
          <w:b/>
          <w:sz w:val="24"/>
          <w:szCs w:val="24"/>
        </w:rPr>
        <w:t xml:space="preserve"> </w:t>
      </w:r>
      <w:r w:rsidR="0071198A" w:rsidRPr="00685573">
        <w:rPr>
          <w:rFonts w:asciiTheme="minorHAnsi" w:hAnsiTheme="minorHAnsi"/>
          <w:sz w:val="24"/>
          <w:szCs w:val="24"/>
        </w:rPr>
        <w:t>However a more recent analysis of subjects stopping denosumab during Freedom and its extension indicates an increased risk of new or worsening vertebral fractures</w:t>
      </w:r>
      <w:r w:rsidR="00C80A3D" w:rsidRPr="00685573">
        <w:rPr>
          <w:rFonts w:asciiTheme="minorHAnsi" w:hAnsiTheme="minorHAnsi"/>
          <w:sz w:val="24"/>
          <w:szCs w:val="24"/>
        </w:rPr>
        <w:t>, though fracture risk never exceeded that in the placebo group</w:t>
      </w:r>
      <w:r w:rsidR="0071198A" w:rsidRPr="00685573">
        <w:rPr>
          <w:rFonts w:asciiTheme="minorHAnsi" w:hAnsiTheme="minorHAnsi"/>
          <w:sz w:val="24"/>
          <w:szCs w:val="24"/>
        </w:rPr>
        <w:t xml:space="preserve"> (see below).</w:t>
      </w:r>
    </w:p>
    <w:p w14:paraId="17593E05" w14:textId="25A35B47" w:rsidR="0003525F" w:rsidRPr="00685573" w:rsidRDefault="00810254" w:rsidP="00D33348">
      <w:pPr>
        <w:pStyle w:val="PlainText"/>
        <w:spacing w:after="160" w:line="360" w:lineRule="auto"/>
        <w:jc w:val="both"/>
        <w:rPr>
          <w:rFonts w:asciiTheme="minorHAnsi" w:hAnsiTheme="minorHAnsi"/>
          <w:b/>
          <w:sz w:val="24"/>
          <w:szCs w:val="24"/>
        </w:rPr>
      </w:pPr>
      <w:r w:rsidRPr="00685573">
        <w:rPr>
          <w:rFonts w:asciiTheme="minorHAnsi" w:hAnsiTheme="minorHAnsi" w:cs="Arial"/>
          <w:b/>
          <w:sz w:val="24"/>
          <w:szCs w:val="24"/>
        </w:rPr>
        <w:t>Risk factors for fractures upon treatment discontinuation</w:t>
      </w:r>
    </w:p>
    <w:p w14:paraId="3957EBEA" w14:textId="471029DC" w:rsidR="0071198A" w:rsidRPr="00685573" w:rsidRDefault="00ED6929" w:rsidP="003A0B2D">
      <w:pPr>
        <w:spacing w:line="360" w:lineRule="auto"/>
        <w:jc w:val="both"/>
        <w:rPr>
          <w:rFonts w:cs="Arial"/>
          <w:sz w:val="24"/>
          <w:szCs w:val="24"/>
        </w:rPr>
      </w:pPr>
      <w:r w:rsidRPr="00685573">
        <w:rPr>
          <w:sz w:val="24"/>
          <w:szCs w:val="24"/>
        </w:rPr>
        <w:t xml:space="preserve">A number of studies have considered whether certain risk factors are associated with increased risk </w:t>
      </w:r>
      <w:r w:rsidR="00886DBA" w:rsidRPr="00685573">
        <w:rPr>
          <w:sz w:val="24"/>
          <w:szCs w:val="24"/>
        </w:rPr>
        <w:t xml:space="preserve">of fracture </w:t>
      </w:r>
      <w:r w:rsidRPr="00685573">
        <w:rPr>
          <w:sz w:val="24"/>
          <w:szCs w:val="24"/>
        </w:rPr>
        <w:t>after discontinuation of treatment. Cosman and colleagues considered this issue with zoledronate treatment</w:t>
      </w:r>
      <w:r w:rsidR="00374AF0" w:rsidRPr="00685573">
        <w:rPr>
          <w:sz w:val="24"/>
          <w:szCs w:val="24"/>
        </w:rPr>
        <w:t xml:space="preserve"> [</w:t>
      </w:r>
      <w:r w:rsidR="00DC3C39" w:rsidRPr="00685573">
        <w:rPr>
          <w:sz w:val="24"/>
          <w:szCs w:val="24"/>
        </w:rPr>
        <w:t>22</w:t>
      </w:r>
      <w:r w:rsidR="00374AF0" w:rsidRPr="00685573">
        <w:rPr>
          <w:sz w:val="24"/>
          <w:szCs w:val="24"/>
        </w:rPr>
        <w:t>]</w:t>
      </w:r>
      <w:r w:rsidRPr="00685573">
        <w:rPr>
          <w:sz w:val="24"/>
          <w:szCs w:val="24"/>
        </w:rPr>
        <w:t xml:space="preserve">, and reported that after three years of treatment, those women who might benefit from continued treatment </w:t>
      </w:r>
      <w:r w:rsidR="008E48E4" w:rsidRPr="00685573">
        <w:rPr>
          <w:sz w:val="24"/>
          <w:szCs w:val="24"/>
        </w:rPr>
        <w:t xml:space="preserve">with regard to lower subsequent fracture risk </w:t>
      </w:r>
      <w:r w:rsidRPr="00685573">
        <w:rPr>
          <w:sz w:val="24"/>
          <w:szCs w:val="24"/>
        </w:rPr>
        <w:t xml:space="preserve">were those who had a total hip T score below -2.5 or an incident fracture during the first 3 years of treatment. </w:t>
      </w:r>
      <w:r w:rsidR="00724372" w:rsidRPr="00685573">
        <w:rPr>
          <w:sz w:val="24"/>
          <w:szCs w:val="24"/>
        </w:rPr>
        <w:t xml:space="preserve">Other investigators have considered the factors associated </w:t>
      </w:r>
      <w:r w:rsidR="00F278E3" w:rsidRPr="00685573">
        <w:rPr>
          <w:sz w:val="24"/>
          <w:szCs w:val="24"/>
        </w:rPr>
        <w:t>w</w:t>
      </w:r>
      <w:r w:rsidR="00724372" w:rsidRPr="00685573">
        <w:rPr>
          <w:sz w:val="24"/>
          <w:szCs w:val="24"/>
        </w:rPr>
        <w:t xml:space="preserve">ith outcome after stopping alendronate treatment. </w:t>
      </w:r>
      <w:r w:rsidR="00883C8F" w:rsidRPr="00685573">
        <w:rPr>
          <w:sz w:val="24"/>
          <w:szCs w:val="24"/>
        </w:rPr>
        <w:t>For example, Schwartz and colleagues considered which groups of women might benefit from continued alendrona</w:t>
      </w:r>
      <w:r w:rsidR="001257C7" w:rsidRPr="00685573">
        <w:rPr>
          <w:sz w:val="24"/>
          <w:szCs w:val="24"/>
        </w:rPr>
        <w:t>te therapy</w:t>
      </w:r>
      <w:r w:rsidR="00883C8F" w:rsidRPr="00685573">
        <w:rPr>
          <w:sz w:val="24"/>
          <w:szCs w:val="24"/>
        </w:rPr>
        <w:t xml:space="preserve"> and reported that c</w:t>
      </w:r>
      <w:r w:rsidR="00883C8F" w:rsidRPr="00685573">
        <w:rPr>
          <w:rFonts w:cs="Arial"/>
          <w:color w:val="000000"/>
          <w:sz w:val="24"/>
          <w:szCs w:val="24"/>
          <w:shd w:val="clear" w:color="auto" w:fill="FFFFFF"/>
        </w:rPr>
        <w:t>ontinuing alendronate for 10 years instead of stopping after 5 years reduces non</w:t>
      </w:r>
      <w:r w:rsidR="00671C15" w:rsidRPr="00685573">
        <w:rPr>
          <w:rFonts w:cs="Arial"/>
          <w:color w:val="000000"/>
          <w:sz w:val="24"/>
          <w:szCs w:val="24"/>
          <w:shd w:val="clear" w:color="auto" w:fill="FFFFFF"/>
        </w:rPr>
        <w:t>-</w:t>
      </w:r>
      <w:r w:rsidR="00883C8F" w:rsidRPr="00685573">
        <w:rPr>
          <w:rFonts w:cs="Arial"/>
          <w:color w:val="000000"/>
          <w:sz w:val="24"/>
          <w:szCs w:val="24"/>
          <w:shd w:val="clear" w:color="auto" w:fill="FFFFFF"/>
        </w:rPr>
        <w:t>vertebral fracture risk in women without preva</w:t>
      </w:r>
      <w:r w:rsidR="00671C15" w:rsidRPr="00685573">
        <w:rPr>
          <w:rFonts w:cs="Arial"/>
          <w:color w:val="000000"/>
          <w:sz w:val="24"/>
          <w:szCs w:val="24"/>
          <w:shd w:val="clear" w:color="auto" w:fill="FFFFFF"/>
        </w:rPr>
        <w:t xml:space="preserve">lent vertebral fracture whose femoral neck T </w:t>
      </w:r>
      <w:r w:rsidR="00883C8F" w:rsidRPr="00685573">
        <w:rPr>
          <w:rFonts w:cs="Arial"/>
          <w:color w:val="000000"/>
          <w:sz w:val="24"/>
          <w:szCs w:val="24"/>
          <w:shd w:val="clear" w:color="auto" w:fill="FFFFFF"/>
        </w:rPr>
        <w:t xml:space="preserve">scores, achieved after 5 years of </w:t>
      </w:r>
      <w:r w:rsidR="00671C15" w:rsidRPr="00685573">
        <w:rPr>
          <w:rFonts w:cs="Arial"/>
          <w:color w:val="000000"/>
          <w:sz w:val="24"/>
          <w:szCs w:val="24"/>
          <w:shd w:val="clear" w:color="auto" w:fill="FFFFFF"/>
        </w:rPr>
        <w:t>alendronate therapy</w:t>
      </w:r>
      <w:r w:rsidR="00883C8F" w:rsidRPr="00685573">
        <w:rPr>
          <w:rFonts w:cs="Arial"/>
          <w:color w:val="000000"/>
          <w:sz w:val="24"/>
          <w:szCs w:val="24"/>
          <w:shd w:val="clear" w:color="auto" w:fill="FFFFFF"/>
        </w:rPr>
        <w:t>, are -2.5 or less </w:t>
      </w:r>
      <w:r w:rsidR="00DC3C39" w:rsidRPr="00685573">
        <w:rPr>
          <w:rFonts w:cs="Arial"/>
          <w:color w:val="000000"/>
          <w:sz w:val="24"/>
          <w:szCs w:val="24"/>
          <w:shd w:val="clear" w:color="auto" w:fill="FFFFFF"/>
        </w:rPr>
        <w:t>[48</w:t>
      </w:r>
      <w:r w:rsidR="00374AF0" w:rsidRPr="00685573">
        <w:rPr>
          <w:rFonts w:cs="Arial"/>
          <w:color w:val="000000"/>
          <w:sz w:val="24"/>
          <w:szCs w:val="24"/>
          <w:shd w:val="clear" w:color="auto" w:fill="FFFFFF"/>
        </w:rPr>
        <w:t>]</w:t>
      </w:r>
      <w:r w:rsidR="00F3321F" w:rsidRPr="00685573">
        <w:rPr>
          <w:rFonts w:cs="Arial"/>
          <w:color w:val="000000"/>
          <w:sz w:val="24"/>
          <w:szCs w:val="24"/>
          <w:shd w:val="clear" w:color="auto" w:fill="FFFFFF"/>
        </w:rPr>
        <w:t xml:space="preserve">. </w:t>
      </w:r>
      <w:r w:rsidR="00671C15" w:rsidRPr="00685573">
        <w:rPr>
          <w:rFonts w:cs="Arial"/>
          <w:color w:val="000000"/>
          <w:sz w:val="24"/>
          <w:szCs w:val="24"/>
          <w:shd w:val="clear" w:color="auto" w:fill="FFFFFF"/>
        </w:rPr>
        <w:t xml:space="preserve"> </w:t>
      </w:r>
      <w:r w:rsidR="00F3321F" w:rsidRPr="00685573">
        <w:rPr>
          <w:rFonts w:cs="Arial"/>
          <w:color w:val="000000"/>
          <w:sz w:val="24"/>
          <w:szCs w:val="24"/>
          <w:shd w:val="clear" w:color="auto" w:fill="FFFFFF"/>
        </w:rPr>
        <w:t xml:space="preserve">Conversely, </w:t>
      </w:r>
      <w:r w:rsidR="00810254" w:rsidRPr="00685573">
        <w:rPr>
          <w:rFonts w:cs="Arial"/>
          <w:sz w:val="24"/>
          <w:szCs w:val="24"/>
        </w:rPr>
        <w:t>in another analysis of the FLE</w:t>
      </w:r>
      <w:r w:rsidR="00DC3C39" w:rsidRPr="00685573">
        <w:rPr>
          <w:rFonts w:cs="Arial"/>
          <w:sz w:val="24"/>
          <w:szCs w:val="24"/>
        </w:rPr>
        <w:t>X data, Bauer and colleagues [49</w:t>
      </w:r>
      <w:r w:rsidR="00374AF0" w:rsidRPr="00685573">
        <w:rPr>
          <w:rFonts w:cs="Arial"/>
          <w:sz w:val="24"/>
          <w:szCs w:val="24"/>
        </w:rPr>
        <w:t>]</w:t>
      </w:r>
      <w:r w:rsidR="00810254" w:rsidRPr="00685573">
        <w:rPr>
          <w:rFonts w:cs="Arial"/>
          <w:sz w:val="24"/>
          <w:szCs w:val="24"/>
        </w:rPr>
        <w:t xml:space="preserve"> </w:t>
      </w:r>
      <w:r w:rsidR="00F3321F" w:rsidRPr="00685573">
        <w:rPr>
          <w:rFonts w:cs="Arial"/>
          <w:color w:val="000000"/>
          <w:sz w:val="24"/>
          <w:szCs w:val="24"/>
          <w:shd w:val="clear" w:color="auto" w:fill="FFFFFF"/>
        </w:rPr>
        <w:t xml:space="preserve">reported a </w:t>
      </w:r>
      <w:r w:rsidR="00DF14B4" w:rsidRPr="00685573">
        <w:rPr>
          <w:rFonts w:cs="Arial"/>
          <w:color w:val="000000"/>
          <w:sz w:val="24"/>
          <w:szCs w:val="24"/>
          <w:shd w:val="clear" w:color="auto" w:fill="FFFFFF"/>
        </w:rPr>
        <w:t xml:space="preserve">clinical </w:t>
      </w:r>
      <w:r w:rsidR="00F3321F" w:rsidRPr="00685573">
        <w:rPr>
          <w:rFonts w:cs="Arial"/>
          <w:color w:val="000000"/>
          <w:sz w:val="24"/>
          <w:szCs w:val="24"/>
          <w:shd w:val="clear" w:color="auto" w:fill="FFFFFF"/>
        </w:rPr>
        <w:t xml:space="preserve">fracture incidence </w:t>
      </w:r>
      <w:r w:rsidR="00DF14B4" w:rsidRPr="00685573">
        <w:rPr>
          <w:rFonts w:cs="Arial"/>
          <w:color w:val="000000"/>
          <w:sz w:val="24"/>
          <w:szCs w:val="24"/>
          <w:shd w:val="clear" w:color="auto" w:fill="FFFFFF"/>
        </w:rPr>
        <w:t>near</w:t>
      </w:r>
      <w:r w:rsidR="00F3321F" w:rsidRPr="00685573">
        <w:rPr>
          <w:rFonts w:cs="Arial"/>
          <w:color w:val="000000"/>
          <w:sz w:val="24"/>
          <w:szCs w:val="24"/>
          <w:shd w:val="clear" w:color="auto" w:fill="FFFFFF"/>
        </w:rPr>
        <w:t xml:space="preserve"> 30% in</w:t>
      </w:r>
      <w:r w:rsidR="007179B5" w:rsidRPr="00685573">
        <w:rPr>
          <w:rFonts w:cs="Arial"/>
          <w:color w:val="000000"/>
          <w:sz w:val="24"/>
          <w:szCs w:val="24"/>
          <w:shd w:val="clear" w:color="auto" w:fill="FFFFFF"/>
        </w:rPr>
        <w:t xml:space="preserve"> the</w:t>
      </w:r>
      <w:r w:rsidR="00F3321F" w:rsidRPr="00685573">
        <w:rPr>
          <w:rFonts w:cs="Arial"/>
          <w:color w:val="000000"/>
          <w:sz w:val="24"/>
          <w:szCs w:val="24"/>
          <w:shd w:val="clear" w:color="auto" w:fill="FFFFFF"/>
        </w:rPr>
        <w:t xml:space="preserve"> 5 years </w:t>
      </w:r>
      <w:r w:rsidR="007179B5" w:rsidRPr="00685573">
        <w:rPr>
          <w:rFonts w:cs="Arial"/>
          <w:color w:val="000000"/>
          <w:sz w:val="24"/>
          <w:szCs w:val="24"/>
          <w:shd w:val="clear" w:color="auto" w:fill="FFFFFF"/>
        </w:rPr>
        <w:t xml:space="preserve">of receiving placebo </w:t>
      </w:r>
      <w:r w:rsidR="00DF14B4" w:rsidRPr="00685573">
        <w:rPr>
          <w:rFonts w:cs="Arial"/>
          <w:color w:val="000000"/>
          <w:sz w:val="24"/>
          <w:szCs w:val="24"/>
          <w:shd w:val="clear" w:color="auto" w:fill="FFFFFF"/>
        </w:rPr>
        <w:t xml:space="preserve">after receiving </w:t>
      </w:r>
      <w:r w:rsidR="007179B5" w:rsidRPr="00685573">
        <w:rPr>
          <w:rFonts w:cs="Arial"/>
          <w:color w:val="000000"/>
          <w:sz w:val="24"/>
          <w:szCs w:val="24"/>
          <w:shd w:val="clear" w:color="auto" w:fill="FFFFFF"/>
        </w:rPr>
        <w:t xml:space="preserve">5 years </w:t>
      </w:r>
      <w:r w:rsidR="007179B5" w:rsidRPr="00685573">
        <w:rPr>
          <w:rFonts w:cs="Arial"/>
          <w:color w:val="000000"/>
          <w:sz w:val="24"/>
          <w:szCs w:val="24"/>
          <w:shd w:val="clear" w:color="auto" w:fill="FFFFFF"/>
        </w:rPr>
        <w:lastRenderedPageBreak/>
        <w:t xml:space="preserve">of </w:t>
      </w:r>
      <w:r w:rsidR="00DF14B4" w:rsidRPr="00685573">
        <w:rPr>
          <w:rFonts w:cs="Arial"/>
          <w:color w:val="000000"/>
          <w:sz w:val="24"/>
          <w:szCs w:val="24"/>
          <w:shd w:val="clear" w:color="auto" w:fill="FFFFFF"/>
        </w:rPr>
        <w:t xml:space="preserve">alendronate </w:t>
      </w:r>
      <w:r w:rsidR="00D23807" w:rsidRPr="00685573">
        <w:rPr>
          <w:rFonts w:cs="Arial"/>
          <w:color w:val="000000"/>
          <w:sz w:val="24"/>
          <w:szCs w:val="24"/>
          <w:shd w:val="clear" w:color="auto" w:fill="FFFFFF"/>
        </w:rPr>
        <w:t xml:space="preserve">among subjects </w:t>
      </w:r>
      <w:r w:rsidR="00F3321F" w:rsidRPr="00685573">
        <w:rPr>
          <w:rFonts w:cs="Arial"/>
          <w:color w:val="000000"/>
          <w:sz w:val="24"/>
          <w:szCs w:val="24"/>
          <w:shd w:val="clear" w:color="auto" w:fill="FFFFFF"/>
        </w:rPr>
        <w:t xml:space="preserve">with </w:t>
      </w:r>
      <w:r w:rsidR="00DF14B4" w:rsidRPr="00685573">
        <w:rPr>
          <w:rFonts w:cs="Arial"/>
          <w:color w:val="000000"/>
          <w:sz w:val="24"/>
          <w:szCs w:val="24"/>
          <w:shd w:val="clear" w:color="auto" w:fill="FFFFFF"/>
        </w:rPr>
        <w:t>hip</w:t>
      </w:r>
      <w:r w:rsidR="00F3321F" w:rsidRPr="00685573">
        <w:rPr>
          <w:rFonts w:cs="Arial"/>
          <w:color w:val="000000"/>
          <w:sz w:val="24"/>
          <w:szCs w:val="24"/>
          <w:shd w:val="clear" w:color="auto" w:fill="FFFFFF"/>
        </w:rPr>
        <w:t xml:space="preserve"> T-scores below -2.5, whereas this risk was lower than 10% in those with T-scores at -1.5 or better. </w:t>
      </w:r>
      <w:r w:rsidR="00D56D75" w:rsidRPr="00685573">
        <w:rPr>
          <w:rFonts w:cs="Arial"/>
          <w:color w:val="000000"/>
          <w:sz w:val="24"/>
          <w:szCs w:val="24"/>
          <w:shd w:val="clear" w:color="auto" w:fill="FFFFFF"/>
        </w:rPr>
        <w:t xml:space="preserve"> </w:t>
      </w:r>
      <w:r w:rsidR="007D6A41" w:rsidRPr="00685573">
        <w:rPr>
          <w:rFonts w:cs="Arial"/>
          <w:sz w:val="24"/>
          <w:szCs w:val="24"/>
        </w:rPr>
        <w:t>McNabb et al used the FLEX data to model likely outcomes on</w:t>
      </w:r>
      <w:r w:rsidR="00DC3C39" w:rsidRPr="00685573">
        <w:rPr>
          <w:rFonts w:cs="Arial"/>
          <w:sz w:val="24"/>
          <w:szCs w:val="24"/>
        </w:rPr>
        <w:t xml:space="preserve"> alendronate discontinuation [29</w:t>
      </w:r>
      <w:r w:rsidR="00374AF0" w:rsidRPr="00685573">
        <w:rPr>
          <w:rFonts w:cs="Arial"/>
          <w:sz w:val="24"/>
          <w:szCs w:val="24"/>
        </w:rPr>
        <w:t>]</w:t>
      </w:r>
      <w:r w:rsidR="007D6A41" w:rsidRPr="00685573">
        <w:rPr>
          <w:rFonts w:cs="Arial"/>
          <w:sz w:val="24"/>
          <w:szCs w:val="24"/>
        </w:rPr>
        <w:t>. They reported that using their tool, in women with a total hip T score greater than -1.9 at the time of alendronate discontinuation would have less than a 20% probability of BMD dropping to below -2.5 over 5 years of follow up. How</w:t>
      </w:r>
      <w:r w:rsidR="00B67317" w:rsidRPr="00685573">
        <w:rPr>
          <w:rFonts w:cs="Arial"/>
          <w:sz w:val="24"/>
          <w:szCs w:val="24"/>
        </w:rPr>
        <w:t xml:space="preserve">ever, in a separate analysis </w:t>
      </w:r>
      <w:r w:rsidR="00374AF0" w:rsidRPr="00685573">
        <w:rPr>
          <w:rFonts w:cs="Arial"/>
          <w:sz w:val="24"/>
          <w:szCs w:val="24"/>
        </w:rPr>
        <w:t>[</w:t>
      </w:r>
      <w:r w:rsidR="00DC3C39" w:rsidRPr="00685573">
        <w:rPr>
          <w:rFonts w:cs="Arial"/>
          <w:sz w:val="24"/>
          <w:szCs w:val="24"/>
        </w:rPr>
        <w:t>30</w:t>
      </w:r>
      <w:r w:rsidR="00374AF0" w:rsidRPr="00685573">
        <w:rPr>
          <w:rFonts w:cs="Arial"/>
          <w:sz w:val="24"/>
          <w:szCs w:val="24"/>
        </w:rPr>
        <w:t>]</w:t>
      </w:r>
      <w:r w:rsidR="007D6A41" w:rsidRPr="00685573">
        <w:rPr>
          <w:rFonts w:cs="Arial"/>
          <w:sz w:val="24"/>
          <w:szCs w:val="24"/>
        </w:rPr>
        <w:t>, the same group used th</w:t>
      </w:r>
      <w:r w:rsidR="00D23807" w:rsidRPr="00685573">
        <w:rPr>
          <w:rFonts w:cs="Arial"/>
          <w:sz w:val="24"/>
          <w:szCs w:val="24"/>
        </w:rPr>
        <w:t>e same data and reported that 5-</w:t>
      </w:r>
      <w:r w:rsidR="007D6A41" w:rsidRPr="00685573">
        <w:rPr>
          <w:rFonts w:cs="Arial"/>
          <w:sz w:val="24"/>
          <w:szCs w:val="24"/>
        </w:rPr>
        <w:t>year bone losses of &gt;5% were experienced by 29% subjects at the total hip, 11% at the femoral neck and 1.3% at the lumbar spine. While several risk factors such as age and BMI were associated with greater bone loss, no models based on these risk factors predicted bone loss rates, reinforcing the need for caution and monitoring when considering drug intermission. In another analysis of the FLE</w:t>
      </w:r>
      <w:r w:rsidR="00DC3C39" w:rsidRPr="00685573">
        <w:rPr>
          <w:rFonts w:cs="Arial"/>
          <w:sz w:val="24"/>
          <w:szCs w:val="24"/>
        </w:rPr>
        <w:t>X data, Bauer and colleagues [49</w:t>
      </w:r>
      <w:r w:rsidR="00374AF0" w:rsidRPr="00685573">
        <w:rPr>
          <w:rFonts w:cs="Arial"/>
          <w:sz w:val="24"/>
          <w:szCs w:val="24"/>
        </w:rPr>
        <w:t>]</w:t>
      </w:r>
      <w:r w:rsidR="007D6A41" w:rsidRPr="00685573">
        <w:rPr>
          <w:rFonts w:cs="Arial"/>
          <w:sz w:val="24"/>
          <w:szCs w:val="24"/>
        </w:rPr>
        <w:t xml:space="preserve"> reported that while one-year changes in hip DXA, NTX, and BAP were not related to subsequent fracture risk, whereas older age and lower hip T-score at time of discontinuation were significantly related to increased fracture risk (lowest tertile of baseline femoral neck DXA v</w:t>
      </w:r>
      <w:r w:rsidR="00374AF0" w:rsidRPr="00685573">
        <w:rPr>
          <w:rFonts w:cs="Arial"/>
          <w:sz w:val="24"/>
          <w:szCs w:val="24"/>
        </w:rPr>
        <w:t>er</w:t>
      </w:r>
      <w:r w:rsidR="007D6A41" w:rsidRPr="00685573">
        <w:rPr>
          <w:rFonts w:cs="Arial"/>
          <w:sz w:val="24"/>
          <w:szCs w:val="24"/>
        </w:rPr>
        <w:t>s</w:t>
      </w:r>
      <w:r w:rsidR="00374AF0" w:rsidRPr="00685573">
        <w:rPr>
          <w:rFonts w:cs="Arial"/>
          <w:sz w:val="24"/>
          <w:szCs w:val="24"/>
        </w:rPr>
        <w:t>us</w:t>
      </w:r>
      <w:r w:rsidR="007D6A41" w:rsidRPr="00685573">
        <w:rPr>
          <w:rFonts w:cs="Arial"/>
          <w:sz w:val="24"/>
          <w:szCs w:val="24"/>
        </w:rPr>
        <w:t xml:space="preserve"> other 2 tertiles relative hazard ratio, 2.17 [95% CI, 1.38-3.41]; total hip DXA relative hazard ratio, 1.87 [95% CI, 1.20-2.92]). </w:t>
      </w:r>
      <w:r w:rsidR="004E1575" w:rsidRPr="00685573">
        <w:rPr>
          <w:rFonts w:cs="Arial"/>
          <w:sz w:val="24"/>
          <w:szCs w:val="24"/>
        </w:rPr>
        <w:t>Hence it appears that the main predictors of fracture on treatment discontinuation are BMD and prior fracture, i.e. similar to determinants of fracture prediction in treatment naïve patients.</w:t>
      </w:r>
      <w:r w:rsidR="003A0B2D" w:rsidRPr="00685573">
        <w:rPr>
          <w:rFonts w:cs="Arial"/>
          <w:sz w:val="24"/>
          <w:szCs w:val="24"/>
        </w:rPr>
        <w:t xml:space="preserve"> </w:t>
      </w:r>
    </w:p>
    <w:p w14:paraId="6E65CB75" w14:textId="2479E861" w:rsidR="00D56D75" w:rsidRPr="00685573" w:rsidRDefault="00D56D75" w:rsidP="003A0B2D">
      <w:pPr>
        <w:spacing w:line="360" w:lineRule="auto"/>
        <w:jc w:val="both"/>
        <w:rPr>
          <w:rFonts w:cs="Arial"/>
          <w:sz w:val="24"/>
          <w:szCs w:val="24"/>
        </w:rPr>
      </w:pPr>
      <w:r w:rsidRPr="00685573">
        <w:rPr>
          <w:rFonts w:cs="Arial"/>
          <w:color w:val="000000"/>
          <w:sz w:val="24"/>
          <w:szCs w:val="24"/>
          <w:shd w:val="clear" w:color="auto" w:fill="FFFFFF"/>
        </w:rPr>
        <w:t xml:space="preserve">In the FREEDOM extension trial, </w:t>
      </w:r>
      <w:r w:rsidRPr="00685573">
        <w:rPr>
          <w:rFonts w:cs="Arial"/>
          <w:sz w:val="24"/>
          <w:szCs w:val="24"/>
        </w:rPr>
        <w:t>the risk of multiple vertebral fractures upon discontinuation</w:t>
      </w:r>
      <w:r w:rsidR="0042201D" w:rsidRPr="00685573">
        <w:rPr>
          <w:rFonts w:cs="Arial"/>
          <w:sz w:val="24"/>
          <w:szCs w:val="24"/>
        </w:rPr>
        <w:t xml:space="preserve"> after three years of </w:t>
      </w:r>
      <w:r w:rsidR="00EC403B" w:rsidRPr="00685573">
        <w:rPr>
          <w:rFonts w:cs="Arial"/>
          <w:sz w:val="24"/>
          <w:szCs w:val="24"/>
        </w:rPr>
        <w:t>denosumab</w:t>
      </w:r>
      <w:r w:rsidRPr="00685573">
        <w:rPr>
          <w:rFonts w:cs="Arial"/>
          <w:sz w:val="24"/>
          <w:szCs w:val="24"/>
        </w:rPr>
        <w:t xml:space="preserve"> was </w:t>
      </w:r>
      <w:r w:rsidR="00FD049C" w:rsidRPr="00685573">
        <w:rPr>
          <w:rFonts w:cs="Arial"/>
          <w:sz w:val="24"/>
          <w:szCs w:val="24"/>
        </w:rPr>
        <w:t>more than 3-</w:t>
      </w:r>
      <w:r w:rsidRPr="00685573">
        <w:rPr>
          <w:rFonts w:cs="Arial"/>
          <w:sz w:val="24"/>
          <w:szCs w:val="24"/>
        </w:rPr>
        <w:t xml:space="preserve">fold </w:t>
      </w:r>
      <w:r w:rsidR="00C43273" w:rsidRPr="00685573">
        <w:rPr>
          <w:rFonts w:cs="Arial"/>
          <w:sz w:val="24"/>
          <w:szCs w:val="24"/>
        </w:rPr>
        <w:t xml:space="preserve">higher </w:t>
      </w:r>
      <w:r w:rsidRPr="00685573">
        <w:rPr>
          <w:rFonts w:cs="Arial"/>
          <w:sz w:val="24"/>
          <w:szCs w:val="24"/>
        </w:rPr>
        <w:t>among those with a prevalent vertebral fracture</w:t>
      </w:r>
      <w:r w:rsidR="0071198A" w:rsidRPr="00685573">
        <w:rPr>
          <w:rFonts w:cs="Arial"/>
          <w:sz w:val="24"/>
          <w:szCs w:val="24"/>
        </w:rPr>
        <w:t xml:space="preserve"> (incidence 5.9%, compared to 4.1% off placebo in this high risk group)</w:t>
      </w:r>
      <w:r w:rsidRPr="00685573">
        <w:rPr>
          <w:rFonts w:cs="Arial"/>
          <w:sz w:val="24"/>
          <w:szCs w:val="24"/>
        </w:rPr>
        <w:t xml:space="preserve">. </w:t>
      </w:r>
      <w:r w:rsidR="00C43273" w:rsidRPr="00685573">
        <w:rPr>
          <w:rFonts w:cs="Arial"/>
          <w:sz w:val="24"/>
          <w:szCs w:val="24"/>
        </w:rPr>
        <w:t xml:space="preserve">The risk </w:t>
      </w:r>
      <w:r w:rsidRPr="00685573">
        <w:rPr>
          <w:rFonts w:cs="Arial"/>
          <w:sz w:val="24"/>
          <w:szCs w:val="24"/>
        </w:rPr>
        <w:t>also increased with the duration off therapy, the gain in hip BMD on therapy, and the loss of hip BMD off therapy</w:t>
      </w:r>
      <w:r w:rsidR="00DC3C39" w:rsidRPr="00685573">
        <w:rPr>
          <w:rFonts w:cs="Arial"/>
          <w:sz w:val="24"/>
          <w:szCs w:val="24"/>
        </w:rPr>
        <w:t xml:space="preserve"> [50</w:t>
      </w:r>
      <w:r w:rsidR="00374AF0" w:rsidRPr="00685573">
        <w:rPr>
          <w:rFonts w:cs="Arial"/>
          <w:sz w:val="24"/>
          <w:szCs w:val="24"/>
        </w:rPr>
        <w:t>]</w:t>
      </w:r>
      <w:r w:rsidR="00B67317" w:rsidRPr="00685573">
        <w:rPr>
          <w:rFonts w:cs="Arial"/>
          <w:sz w:val="24"/>
          <w:szCs w:val="24"/>
        </w:rPr>
        <w:t>, possibly reflecting association between fracture risk and BMD</w:t>
      </w:r>
      <w:r w:rsidR="003A0B2D" w:rsidRPr="00685573">
        <w:rPr>
          <w:rFonts w:cs="Arial"/>
          <w:sz w:val="24"/>
          <w:szCs w:val="24"/>
        </w:rPr>
        <w:t>.</w:t>
      </w:r>
      <w:r w:rsidR="00C135D9" w:rsidRPr="00685573">
        <w:rPr>
          <w:rFonts w:cs="Arial"/>
          <w:sz w:val="24"/>
          <w:szCs w:val="24"/>
        </w:rPr>
        <w:t xml:space="preserve"> The overriding conclusion is that these studies have not identified risk</w:t>
      </w:r>
      <w:r w:rsidR="00DC3C39" w:rsidRPr="00685573">
        <w:rPr>
          <w:rFonts w:cs="Arial"/>
          <w:sz w:val="24"/>
          <w:szCs w:val="24"/>
        </w:rPr>
        <w:t xml:space="preserve"> </w:t>
      </w:r>
      <w:r w:rsidR="00C135D9" w:rsidRPr="00685573">
        <w:rPr>
          <w:rFonts w:cs="Arial"/>
          <w:sz w:val="24"/>
          <w:szCs w:val="24"/>
        </w:rPr>
        <w:t>factors for fracture after stopping treatment other than those that provide an indication for treatment (e.g. prior fracture and low BMD).</w:t>
      </w:r>
    </w:p>
    <w:p w14:paraId="0E97EA64" w14:textId="77777777" w:rsidR="00BC504D" w:rsidRPr="00685573" w:rsidRDefault="00BC504D" w:rsidP="003A0B2D">
      <w:pPr>
        <w:spacing w:line="360" w:lineRule="auto"/>
        <w:jc w:val="both"/>
        <w:rPr>
          <w:rFonts w:cs="Arial"/>
          <w:sz w:val="24"/>
          <w:szCs w:val="24"/>
        </w:rPr>
      </w:pPr>
    </w:p>
    <w:p w14:paraId="7507B59F" w14:textId="0DDD561E" w:rsidR="00BC504D" w:rsidRPr="00685573" w:rsidRDefault="00BC504D" w:rsidP="003A0B2D">
      <w:pPr>
        <w:spacing w:line="360" w:lineRule="auto"/>
        <w:jc w:val="both"/>
        <w:rPr>
          <w:rFonts w:cs="Arial"/>
          <w:color w:val="000000" w:themeColor="text1"/>
          <w:sz w:val="24"/>
          <w:szCs w:val="24"/>
        </w:rPr>
      </w:pPr>
      <w:r w:rsidRPr="00685573">
        <w:rPr>
          <w:rFonts w:cs="Arial"/>
          <w:color w:val="000000" w:themeColor="text1"/>
          <w:sz w:val="24"/>
          <w:szCs w:val="24"/>
        </w:rPr>
        <w:t>Observational studies</w:t>
      </w:r>
    </w:p>
    <w:p w14:paraId="43CF96EA" w14:textId="6B72E681" w:rsidR="00BC504D" w:rsidRPr="00685573" w:rsidRDefault="00BC504D" w:rsidP="003A0B2D">
      <w:pPr>
        <w:spacing w:line="360" w:lineRule="auto"/>
        <w:jc w:val="both"/>
        <w:rPr>
          <w:rFonts w:cs="Arial"/>
          <w:color w:val="000000" w:themeColor="text1"/>
          <w:sz w:val="24"/>
          <w:szCs w:val="24"/>
        </w:rPr>
      </w:pPr>
      <w:r w:rsidRPr="00685573">
        <w:rPr>
          <w:rFonts w:cs="CtmwgpAdvTT3713a231"/>
          <w:color w:val="131413"/>
          <w:sz w:val="24"/>
          <w:szCs w:val="24"/>
        </w:rPr>
        <w:t xml:space="preserve">A recent observational study [77] that utilised </w:t>
      </w:r>
      <w:r w:rsidRPr="00685573">
        <w:rPr>
          <w:sz w:val="24"/>
          <w:szCs w:val="24"/>
        </w:rPr>
        <w:t xml:space="preserve">4 Kaiser Permanente integrated health system regions, and included 39,502 women aged ≥45 years with ≥3 years exposure to BP compared </w:t>
      </w:r>
      <w:r w:rsidRPr="00685573">
        <w:rPr>
          <w:sz w:val="24"/>
          <w:szCs w:val="24"/>
        </w:rPr>
        <w:lastRenderedPageBreak/>
        <w:t>women on a drug holiday to those with persistent B</w:t>
      </w:r>
      <w:r w:rsidR="007E1E35" w:rsidRPr="00685573">
        <w:rPr>
          <w:sz w:val="24"/>
          <w:szCs w:val="24"/>
        </w:rPr>
        <w:t>i</w:t>
      </w:r>
      <w:r w:rsidRPr="00685573">
        <w:rPr>
          <w:sz w:val="24"/>
          <w:szCs w:val="24"/>
        </w:rPr>
        <w:t>P use. Compared to the persistent use group, there was a slight reduction in overall osteoporosis-related fracture risk (HR 0.92, 95% CI 0.84- 0.99) and no difference in hip fracture risk (HR 0.95, 95% CI 0.83-1.10) for the BP holiday group. A slight reduction in risk of vertebral fracture was also observed (HR 0.83, 95% CI 0.74-0.95). Furthermore, compared to the persistent user group, the B</w:t>
      </w:r>
      <w:r w:rsidR="007E1E35" w:rsidRPr="00685573">
        <w:rPr>
          <w:sz w:val="24"/>
          <w:szCs w:val="24"/>
        </w:rPr>
        <w:t>i</w:t>
      </w:r>
      <w:r w:rsidRPr="00685573">
        <w:rPr>
          <w:sz w:val="24"/>
          <w:szCs w:val="24"/>
        </w:rPr>
        <w:t xml:space="preserve">P holiday group was at decreased risk for osteoporosis-related fractures (HR 0.71, 95% CI 0.65-0.79), vertebral fractures (HR 0.68, 95% CI 0.59-0.78), and hip fractures (HR 0.59; 95% CI 0.50-0.70). </w:t>
      </w:r>
      <w:r w:rsidR="00A4587A" w:rsidRPr="00685573">
        <w:rPr>
          <w:sz w:val="24"/>
          <w:szCs w:val="24"/>
        </w:rPr>
        <w:t xml:space="preserve">This seemingly unexpected result may reflect a decision by clinicians and their patients to continue therapy in those at higher risk of fracture. </w:t>
      </w:r>
      <w:r w:rsidRPr="00685573">
        <w:rPr>
          <w:sz w:val="24"/>
          <w:szCs w:val="24"/>
        </w:rPr>
        <w:t xml:space="preserve">By contrast, an analysis of Medicare data covering 160,369 women who had been established on BP for 3 years with high refill compliance reached a different conclusion. Overall during a median follow-up of 2.7 years, those whose treatment was interrupted – suggesting implementation of a drug holiday – exhibited a significantly increased risk of hip fractures (adjusted HR of 1.22; 95% CI 1.11-1.34). The risk gradually increased with longer drug holidays and was 1.8 fold increased after a drug holiday of four years, compared with continued use [78].  </w:t>
      </w:r>
    </w:p>
    <w:p w14:paraId="020BF69B" w14:textId="31C8F9EE" w:rsidR="00D56D75" w:rsidRPr="00685573" w:rsidRDefault="00D56D75" w:rsidP="00D56D75">
      <w:pPr>
        <w:pStyle w:val="NormalWeb"/>
        <w:shd w:val="clear" w:color="auto" w:fill="FFFFFF"/>
        <w:spacing w:after="120" w:line="360" w:lineRule="auto"/>
        <w:jc w:val="both"/>
        <w:rPr>
          <w:rFonts w:asciiTheme="minorHAnsi" w:eastAsia="Times New Roman" w:hAnsiTheme="minorHAnsi" w:cs="Arial"/>
          <w:color w:val="000000"/>
          <w:lang w:eastAsia="en-GB"/>
        </w:rPr>
      </w:pPr>
      <w:r w:rsidRPr="00685573">
        <w:rPr>
          <w:rFonts w:asciiTheme="minorHAnsi" w:hAnsiTheme="minorHAnsi"/>
        </w:rPr>
        <w:t>Some observational studies also inform</w:t>
      </w:r>
      <w:r w:rsidR="00810254" w:rsidRPr="00685573">
        <w:rPr>
          <w:rFonts w:asciiTheme="minorHAnsi" w:hAnsiTheme="minorHAnsi"/>
        </w:rPr>
        <w:t xml:space="preserve"> about additional risk factors for fractures upon treatment discontinuation</w:t>
      </w:r>
      <w:r w:rsidRPr="00685573">
        <w:rPr>
          <w:rFonts w:asciiTheme="minorHAnsi" w:hAnsiTheme="minorHAnsi"/>
        </w:rPr>
        <w:t xml:space="preserve">. For example, Strom and colleagues reported that, using the </w:t>
      </w:r>
      <w:r w:rsidRPr="00685573">
        <w:rPr>
          <w:rFonts w:asciiTheme="minorHAnsi" w:eastAsia="Times New Roman" w:hAnsiTheme="minorHAnsi" w:cs="Arial"/>
          <w:color w:val="000000"/>
          <w:lang w:eastAsia="en-GB"/>
        </w:rPr>
        <w:t>Swe</w:t>
      </w:r>
      <w:r w:rsidR="007D6A41" w:rsidRPr="00685573">
        <w:rPr>
          <w:rFonts w:asciiTheme="minorHAnsi" w:eastAsia="Times New Roman" w:hAnsiTheme="minorHAnsi" w:cs="Arial"/>
          <w:color w:val="000000"/>
          <w:lang w:eastAsia="en-GB"/>
        </w:rPr>
        <w:t>dish Prescribed Drug Register, t</w:t>
      </w:r>
      <w:r w:rsidRPr="00685573">
        <w:rPr>
          <w:rFonts w:asciiTheme="minorHAnsi" w:eastAsia="Times New Roman" w:hAnsiTheme="minorHAnsi" w:cs="Arial"/>
          <w:color w:val="000000"/>
          <w:lang w:eastAsia="en-GB"/>
        </w:rPr>
        <w:t xml:space="preserve">ime on </w:t>
      </w:r>
      <w:r w:rsidR="007E1E35" w:rsidRPr="00685573">
        <w:rPr>
          <w:rFonts w:asciiTheme="minorHAnsi" w:eastAsia="Times New Roman" w:hAnsiTheme="minorHAnsi" w:cs="Arial"/>
          <w:color w:val="000000"/>
          <w:lang w:eastAsia="en-GB"/>
        </w:rPr>
        <w:t>BiP</w:t>
      </w:r>
      <w:r w:rsidRPr="00685573">
        <w:rPr>
          <w:rFonts w:asciiTheme="minorHAnsi" w:eastAsia="Times New Roman" w:hAnsiTheme="minorHAnsi" w:cs="Arial"/>
          <w:color w:val="000000"/>
          <w:lang w:eastAsia="en-GB"/>
        </w:rPr>
        <w:t xml:space="preserve"> treatment was inversely associated with the incidence of hospitalized fractures dur</w:t>
      </w:r>
      <w:r w:rsidR="00754E17" w:rsidRPr="00685573">
        <w:rPr>
          <w:rFonts w:asciiTheme="minorHAnsi" w:eastAsia="Times New Roman" w:hAnsiTheme="minorHAnsi" w:cs="Arial"/>
          <w:color w:val="000000"/>
          <w:lang w:eastAsia="en-GB"/>
        </w:rPr>
        <w:t>ing post treatment follow-up [52</w:t>
      </w:r>
      <w:r w:rsidRPr="00685573">
        <w:rPr>
          <w:rFonts w:asciiTheme="minorHAnsi" w:eastAsia="Times New Roman" w:hAnsiTheme="minorHAnsi" w:cs="Arial"/>
          <w:color w:val="000000"/>
          <w:lang w:eastAsia="en-GB"/>
        </w:rPr>
        <w:t>]. In their study adjusted regression results showed that patients persisting with therapy for &gt;12 months had 60% lower fracture risk the first six months after treatment discontinuation (RR 0.40, p = 0.001)</w:t>
      </w:r>
      <w:r w:rsidR="006F6B4C" w:rsidRPr="00685573">
        <w:rPr>
          <w:rFonts w:asciiTheme="minorHAnsi" w:eastAsia="Times New Roman" w:hAnsiTheme="minorHAnsi" w:cs="Arial"/>
          <w:color w:val="000000"/>
          <w:lang w:eastAsia="en-GB"/>
        </w:rPr>
        <w:t xml:space="preserve"> compared with patients who had discontinued treatment within the first year</w:t>
      </w:r>
      <w:r w:rsidRPr="00685573">
        <w:rPr>
          <w:rFonts w:asciiTheme="minorHAnsi" w:eastAsia="Times New Roman" w:hAnsiTheme="minorHAnsi" w:cs="Arial"/>
          <w:color w:val="000000"/>
          <w:lang w:eastAsia="en-GB"/>
        </w:rPr>
        <w:t>. Of note patient characteristics, including prevalent fractures and co-morbidities, and posttreatment mortality were comparable across persistence durations, with no evidence of a healthy adherer effect.</w:t>
      </w:r>
      <w:r w:rsidR="007D6A41" w:rsidRPr="00685573">
        <w:rPr>
          <w:rFonts w:asciiTheme="minorHAnsi" w:eastAsia="Times New Roman" w:hAnsiTheme="minorHAnsi" w:cs="Arial"/>
          <w:color w:val="000000"/>
          <w:lang w:eastAsia="en-GB"/>
        </w:rPr>
        <w:t xml:space="preserve"> </w:t>
      </w:r>
      <w:r w:rsidRPr="00685573">
        <w:rPr>
          <w:rFonts w:asciiTheme="minorHAnsi" w:eastAsia="Times New Roman" w:hAnsiTheme="minorHAnsi" w:cs="Arial"/>
          <w:color w:val="000000"/>
          <w:lang w:eastAsia="en-GB"/>
        </w:rPr>
        <w:t xml:space="preserve">In another analysis by Xu et al, of </w:t>
      </w:r>
      <w:r w:rsidRPr="00685573">
        <w:rPr>
          <w:rFonts w:asciiTheme="minorHAnsi" w:hAnsiTheme="minorHAnsi" w:cs="Arial"/>
          <w:color w:val="000000"/>
          <w:shd w:val="clear" w:color="auto" w:fill="FFFFFF"/>
        </w:rPr>
        <w:t xml:space="preserve">208 patients significant predictors of BMD decline during the </w:t>
      </w:r>
      <w:r w:rsidR="007E1E35" w:rsidRPr="00685573">
        <w:rPr>
          <w:rFonts w:asciiTheme="minorHAnsi" w:hAnsiTheme="minorHAnsi" w:cs="Arial"/>
          <w:color w:val="000000"/>
          <w:shd w:val="clear" w:color="auto" w:fill="FFFFFF"/>
        </w:rPr>
        <w:t>BiP</w:t>
      </w:r>
      <w:r w:rsidR="00754E17" w:rsidRPr="00685573">
        <w:rPr>
          <w:rFonts w:asciiTheme="minorHAnsi" w:hAnsiTheme="minorHAnsi" w:cs="Arial"/>
          <w:color w:val="000000"/>
          <w:shd w:val="clear" w:color="auto" w:fill="FFFFFF"/>
        </w:rPr>
        <w:t xml:space="preserve"> holiday included lower body mass index</w:t>
      </w:r>
      <w:r w:rsidRPr="00685573">
        <w:rPr>
          <w:rFonts w:asciiTheme="minorHAnsi" w:hAnsiTheme="minorHAnsi" w:cs="Arial"/>
          <w:color w:val="000000"/>
          <w:shd w:val="clear" w:color="auto" w:fill="FFFFFF"/>
        </w:rPr>
        <w:t xml:space="preserve"> at the start of the holiday and change in bo</w:t>
      </w:r>
      <w:r w:rsidR="00DC3C39" w:rsidRPr="00685573">
        <w:rPr>
          <w:rFonts w:asciiTheme="minorHAnsi" w:hAnsiTheme="minorHAnsi" w:cs="Arial"/>
          <w:color w:val="000000"/>
          <w:shd w:val="clear" w:color="auto" w:fill="FFFFFF"/>
        </w:rPr>
        <w:t>dy weight during the holiday [5</w:t>
      </w:r>
      <w:r w:rsidR="00754E17" w:rsidRPr="00685573">
        <w:rPr>
          <w:rFonts w:asciiTheme="minorHAnsi" w:hAnsiTheme="minorHAnsi" w:cs="Arial"/>
          <w:color w:val="000000"/>
          <w:shd w:val="clear" w:color="auto" w:fill="FFFFFF"/>
        </w:rPr>
        <w:t>3</w:t>
      </w:r>
      <w:r w:rsidRPr="00685573">
        <w:rPr>
          <w:rFonts w:asciiTheme="minorHAnsi" w:hAnsiTheme="minorHAnsi" w:cs="Arial"/>
          <w:color w:val="000000"/>
          <w:shd w:val="clear" w:color="auto" w:fill="FFFFFF"/>
        </w:rPr>
        <w:t xml:space="preserve">]. BMD decline was more pronounced in former risedronate compared to former alendronate users. BMD trends were similar in patients who sustained </w:t>
      </w:r>
      <w:r w:rsidR="001639D0" w:rsidRPr="00685573">
        <w:rPr>
          <w:rFonts w:asciiTheme="minorHAnsi" w:hAnsiTheme="minorHAnsi" w:cs="Arial"/>
          <w:color w:val="000000"/>
          <w:shd w:val="clear" w:color="auto" w:fill="FFFFFF"/>
        </w:rPr>
        <w:t xml:space="preserve">a fracture during the holiday </w:t>
      </w:r>
      <w:r w:rsidRPr="00685573">
        <w:rPr>
          <w:rFonts w:asciiTheme="minorHAnsi" w:hAnsiTheme="minorHAnsi" w:cs="Arial"/>
          <w:color w:val="000000"/>
          <w:shd w:val="clear" w:color="auto" w:fill="FFFFFF"/>
        </w:rPr>
        <w:t>v</w:t>
      </w:r>
      <w:r w:rsidR="00EC403B" w:rsidRPr="00685573">
        <w:rPr>
          <w:rFonts w:asciiTheme="minorHAnsi" w:hAnsiTheme="minorHAnsi" w:cs="Arial"/>
          <w:color w:val="000000"/>
          <w:shd w:val="clear" w:color="auto" w:fill="FFFFFF"/>
        </w:rPr>
        <w:t xml:space="preserve">ersus </w:t>
      </w:r>
      <w:r w:rsidR="001639D0" w:rsidRPr="00685573">
        <w:rPr>
          <w:rFonts w:asciiTheme="minorHAnsi" w:hAnsiTheme="minorHAnsi" w:cs="Arial"/>
          <w:color w:val="000000"/>
          <w:shd w:val="clear" w:color="auto" w:fill="FFFFFF"/>
        </w:rPr>
        <w:t>those who</w:t>
      </w:r>
      <w:r w:rsidR="00EC403B" w:rsidRPr="00685573">
        <w:rPr>
          <w:rFonts w:asciiTheme="minorHAnsi" w:hAnsiTheme="minorHAnsi" w:cs="Arial"/>
          <w:color w:val="000000"/>
          <w:shd w:val="clear" w:color="auto" w:fill="FFFFFF"/>
        </w:rPr>
        <w:t xml:space="preserve"> did</w:t>
      </w:r>
      <w:r w:rsidR="00393B58" w:rsidRPr="00685573">
        <w:rPr>
          <w:rFonts w:asciiTheme="minorHAnsi" w:hAnsiTheme="minorHAnsi" w:cs="Arial"/>
          <w:color w:val="000000"/>
          <w:shd w:val="clear" w:color="auto" w:fill="FFFFFF"/>
        </w:rPr>
        <w:t xml:space="preserve"> </w:t>
      </w:r>
      <w:r w:rsidRPr="00685573">
        <w:rPr>
          <w:rFonts w:asciiTheme="minorHAnsi" w:hAnsiTheme="minorHAnsi" w:cs="Arial"/>
          <w:color w:val="000000"/>
          <w:shd w:val="clear" w:color="auto" w:fill="FFFFFF"/>
        </w:rPr>
        <w:t xml:space="preserve">not sustain </w:t>
      </w:r>
      <w:r w:rsidR="00754E17" w:rsidRPr="00685573">
        <w:rPr>
          <w:rFonts w:asciiTheme="minorHAnsi" w:hAnsiTheme="minorHAnsi" w:cs="Arial"/>
          <w:color w:val="000000"/>
          <w:shd w:val="clear" w:color="auto" w:fill="FFFFFF"/>
        </w:rPr>
        <w:t>[54,55</w:t>
      </w:r>
      <w:r w:rsidR="00C135D9" w:rsidRPr="00685573">
        <w:rPr>
          <w:rFonts w:asciiTheme="minorHAnsi" w:hAnsiTheme="minorHAnsi" w:cs="Arial"/>
          <w:color w:val="000000"/>
          <w:shd w:val="clear" w:color="auto" w:fill="FFFFFF"/>
        </w:rPr>
        <w:t>]</w:t>
      </w:r>
      <w:r w:rsidRPr="00685573">
        <w:rPr>
          <w:rFonts w:asciiTheme="minorHAnsi" w:hAnsiTheme="minorHAnsi" w:cs="Arial"/>
          <w:color w:val="000000"/>
          <w:shd w:val="clear" w:color="auto" w:fill="FFFFFF"/>
        </w:rPr>
        <w:t xml:space="preserve">. </w:t>
      </w:r>
    </w:p>
    <w:p w14:paraId="1B75FE88" w14:textId="70F126AE" w:rsidR="00724372" w:rsidRPr="00685573" w:rsidRDefault="00724372" w:rsidP="00D33348">
      <w:pPr>
        <w:pStyle w:val="PlainText"/>
        <w:spacing w:after="160" w:line="360" w:lineRule="auto"/>
        <w:jc w:val="both"/>
        <w:rPr>
          <w:rFonts w:asciiTheme="minorHAnsi" w:hAnsiTheme="minorHAnsi"/>
          <w:sz w:val="24"/>
          <w:szCs w:val="24"/>
        </w:rPr>
      </w:pPr>
    </w:p>
    <w:p w14:paraId="72C4C58D" w14:textId="33793652" w:rsidR="00D56D75" w:rsidRPr="00685573" w:rsidRDefault="006B412D" w:rsidP="00D33348">
      <w:pPr>
        <w:pStyle w:val="PlainText"/>
        <w:spacing w:after="160" w:line="360" w:lineRule="auto"/>
        <w:jc w:val="both"/>
        <w:rPr>
          <w:rFonts w:asciiTheme="minorHAnsi" w:hAnsiTheme="minorHAnsi"/>
          <w:b/>
          <w:sz w:val="24"/>
          <w:szCs w:val="24"/>
        </w:rPr>
      </w:pPr>
      <w:r w:rsidRPr="00685573">
        <w:rPr>
          <w:rFonts w:asciiTheme="minorHAnsi" w:hAnsiTheme="minorHAnsi"/>
          <w:b/>
          <w:sz w:val="24"/>
          <w:szCs w:val="24"/>
        </w:rPr>
        <w:lastRenderedPageBreak/>
        <w:t xml:space="preserve">Risks </w:t>
      </w:r>
      <w:r w:rsidR="00C43273" w:rsidRPr="00685573">
        <w:rPr>
          <w:rFonts w:asciiTheme="minorHAnsi" w:hAnsiTheme="minorHAnsi"/>
          <w:b/>
          <w:sz w:val="24"/>
          <w:szCs w:val="24"/>
        </w:rPr>
        <w:t xml:space="preserve">observed in </w:t>
      </w:r>
      <w:r w:rsidRPr="00685573">
        <w:rPr>
          <w:rFonts w:asciiTheme="minorHAnsi" w:hAnsiTheme="minorHAnsi"/>
          <w:b/>
          <w:sz w:val="24"/>
          <w:szCs w:val="24"/>
        </w:rPr>
        <w:t>long-term exposure to anti-resorptives</w:t>
      </w:r>
      <w:r w:rsidR="00EC403B" w:rsidRPr="00685573">
        <w:rPr>
          <w:rFonts w:asciiTheme="minorHAnsi" w:hAnsiTheme="minorHAnsi"/>
          <w:b/>
          <w:sz w:val="24"/>
          <w:szCs w:val="24"/>
        </w:rPr>
        <w:t>: Atypical femoral fracture</w:t>
      </w:r>
    </w:p>
    <w:p w14:paraId="39E58487" w14:textId="1F542540" w:rsidR="00671C15" w:rsidRPr="00685573" w:rsidRDefault="004D5AAF" w:rsidP="00D33348">
      <w:pPr>
        <w:pStyle w:val="NormalWeb"/>
        <w:shd w:val="clear" w:color="auto" w:fill="FFFFFF"/>
        <w:spacing w:after="120" w:line="360" w:lineRule="auto"/>
        <w:jc w:val="both"/>
        <w:rPr>
          <w:rFonts w:asciiTheme="minorHAnsi" w:eastAsia="Times New Roman" w:hAnsiTheme="minorHAnsi" w:cs="Arial"/>
          <w:color w:val="000000"/>
          <w:lang w:eastAsia="en-GB"/>
        </w:rPr>
      </w:pPr>
      <w:r w:rsidRPr="00685573">
        <w:rPr>
          <w:rFonts w:asciiTheme="minorHAnsi" w:hAnsiTheme="minorHAnsi"/>
        </w:rPr>
        <w:t>T</w:t>
      </w:r>
      <w:r w:rsidR="00724372" w:rsidRPr="00685573">
        <w:rPr>
          <w:rFonts w:asciiTheme="minorHAnsi" w:hAnsiTheme="minorHAnsi"/>
        </w:rPr>
        <w:t>he relationship between adverse events and treatment continuation and cessation has been considered in tr</w:t>
      </w:r>
      <w:r w:rsidR="009233F8" w:rsidRPr="00685573">
        <w:rPr>
          <w:rFonts w:asciiTheme="minorHAnsi" w:hAnsiTheme="minorHAnsi"/>
        </w:rPr>
        <w:t>ials and other study designs. In</w:t>
      </w:r>
      <w:r w:rsidR="00724372" w:rsidRPr="00685573">
        <w:rPr>
          <w:rFonts w:asciiTheme="minorHAnsi" w:hAnsiTheme="minorHAnsi"/>
        </w:rPr>
        <w:t xml:space="preserve"> HORIZON, significantly more women receiving 6 years of zoledronate treatment had </w:t>
      </w:r>
      <w:r w:rsidRPr="00685573">
        <w:rPr>
          <w:rFonts w:asciiTheme="minorHAnsi" w:hAnsiTheme="minorHAnsi"/>
        </w:rPr>
        <w:t>trans</w:t>
      </w:r>
      <w:r w:rsidR="00724372" w:rsidRPr="00685573">
        <w:rPr>
          <w:rFonts w:asciiTheme="minorHAnsi" w:hAnsiTheme="minorHAnsi"/>
        </w:rPr>
        <w:t>ient rises in creatinine than those receiving 3 years of treatment</w:t>
      </w:r>
      <w:r w:rsidR="00374AF0" w:rsidRPr="00685573">
        <w:rPr>
          <w:rFonts w:asciiTheme="minorHAnsi" w:hAnsiTheme="minorHAnsi"/>
        </w:rPr>
        <w:t xml:space="preserve"> [</w:t>
      </w:r>
      <w:r w:rsidR="00DC3C39" w:rsidRPr="00685573">
        <w:rPr>
          <w:rFonts w:asciiTheme="minorHAnsi" w:hAnsiTheme="minorHAnsi"/>
        </w:rPr>
        <w:t>15</w:t>
      </w:r>
      <w:r w:rsidR="00374AF0" w:rsidRPr="00685573">
        <w:rPr>
          <w:rFonts w:asciiTheme="minorHAnsi" w:hAnsiTheme="minorHAnsi"/>
        </w:rPr>
        <w:t>]</w:t>
      </w:r>
      <w:r w:rsidR="00724372" w:rsidRPr="00685573">
        <w:rPr>
          <w:rFonts w:asciiTheme="minorHAnsi" w:hAnsiTheme="minorHAnsi"/>
        </w:rPr>
        <w:t xml:space="preserve"> </w:t>
      </w:r>
      <w:r w:rsidR="00996FE0" w:rsidRPr="00685573">
        <w:rPr>
          <w:rFonts w:asciiTheme="minorHAnsi" w:hAnsiTheme="minorHAnsi"/>
        </w:rPr>
        <w:t>(0.65% vs 2.94%); there were non-significant differences in rates of AF and stroke in the two groups, but hypertension rates were lower in women rece</w:t>
      </w:r>
      <w:r w:rsidRPr="00685573">
        <w:rPr>
          <w:rFonts w:asciiTheme="minorHAnsi" w:hAnsiTheme="minorHAnsi"/>
        </w:rPr>
        <w:t>i</w:t>
      </w:r>
      <w:r w:rsidR="00996FE0" w:rsidRPr="00685573">
        <w:rPr>
          <w:rFonts w:asciiTheme="minorHAnsi" w:hAnsiTheme="minorHAnsi"/>
        </w:rPr>
        <w:t>ving extended therapy. Adverse events profiles were not different between women who continued or discontinued risedronate</w:t>
      </w:r>
      <w:r w:rsidR="00374AF0" w:rsidRPr="00685573">
        <w:rPr>
          <w:rFonts w:asciiTheme="minorHAnsi" w:hAnsiTheme="minorHAnsi"/>
        </w:rPr>
        <w:t xml:space="preserve"> [</w:t>
      </w:r>
      <w:r w:rsidR="00576707" w:rsidRPr="00685573">
        <w:rPr>
          <w:rFonts w:asciiTheme="minorHAnsi" w:hAnsiTheme="minorHAnsi"/>
        </w:rPr>
        <w:t>24</w:t>
      </w:r>
      <w:r w:rsidR="00374AF0" w:rsidRPr="00685573">
        <w:rPr>
          <w:rFonts w:asciiTheme="minorHAnsi" w:hAnsiTheme="minorHAnsi"/>
        </w:rPr>
        <w:t>]</w:t>
      </w:r>
      <w:r w:rsidR="00C135D9" w:rsidRPr="00685573">
        <w:rPr>
          <w:rFonts w:asciiTheme="minorHAnsi" w:hAnsiTheme="minorHAnsi"/>
        </w:rPr>
        <w:t xml:space="preserve"> whilst</w:t>
      </w:r>
      <w:r w:rsidR="00996FE0" w:rsidRPr="00685573">
        <w:rPr>
          <w:rFonts w:asciiTheme="minorHAnsi" w:hAnsiTheme="minorHAnsi"/>
        </w:rPr>
        <w:t xml:space="preserve"> histomorphometric studies of a</w:t>
      </w:r>
      <w:r w:rsidRPr="00685573">
        <w:rPr>
          <w:rFonts w:asciiTheme="minorHAnsi" w:hAnsiTheme="minorHAnsi"/>
        </w:rPr>
        <w:t>lendronate suggest that prolong</w:t>
      </w:r>
      <w:r w:rsidR="00996FE0" w:rsidRPr="00685573">
        <w:rPr>
          <w:rFonts w:asciiTheme="minorHAnsi" w:hAnsiTheme="minorHAnsi"/>
        </w:rPr>
        <w:t>ed reduction</w:t>
      </w:r>
      <w:r w:rsidRPr="00685573">
        <w:rPr>
          <w:rFonts w:asciiTheme="minorHAnsi" w:hAnsiTheme="minorHAnsi"/>
        </w:rPr>
        <w:t xml:space="preserve"> </w:t>
      </w:r>
      <w:r w:rsidR="00996FE0" w:rsidRPr="00685573">
        <w:rPr>
          <w:rFonts w:asciiTheme="minorHAnsi" w:hAnsiTheme="minorHAnsi"/>
        </w:rPr>
        <w:t>in bone turnover is unlikely to be associated with adverse effects on bone material properties</w:t>
      </w:r>
      <w:r w:rsidR="00374AF0" w:rsidRPr="00685573">
        <w:rPr>
          <w:rFonts w:asciiTheme="minorHAnsi" w:hAnsiTheme="minorHAnsi"/>
        </w:rPr>
        <w:t xml:space="preserve"> [</w:t>
      </w:r>
      <w:r w:rsidR="00576707" w:rsidRPr="00685573">
        <w:rPr>
          <w:rFonts w:asciiTheme="minorHAnsi" w:hAnsiTheme="minorHAnsi"/>
        </w:rPr>
        <w:t>26</w:t>
      </w:r>
      <w:r w:rsidR="00374AF0" w:rsidRPr="00685573">
        <w:rPr>
          <w:rFonts w:asciiTheme="minorHAnsi" w:hAnsiTheme="minorHAnsi"/>
        </w:rPr>
        <w:t>]</w:t>
      </w:r>
      <w:r w:rsidR="00996FE0" w:rsidRPr="00685573">
        <w:rPr>
          <w:rFonts w:asciiTheme="minorHAnsi" w:hAnsiTheme="minorHAnsi"/>
        </w:rPr>
        <w:t xml:space="preserve">. </w:t>
      </w:r>
      <w:r w:rsidR="00671C15" w:rsidRPr="00685573">
        <w:rPr>
          <w:rFonts w:asciiTheme="minorHAnsi" w:hAnsiTheme="minorHAnsi"/>
        </w:rPr>
        <w:t xml:space="preserve">Black and colleagues </w:t>
      </w:r>
      <w:r w:rsidR="00671C15" w:rsidRPr="00685573">
        <w:rPr>
          <w:rFonts w:asciiTheme="minorHAnsi" w:eastAsia="Times New Roman" w:hAnsiTheme="minorHAnsi" w:cs="Arial"/>
          <w:color w:val="000000"/>
          <w:lang w:eastAsia="en-GB"/>
        </w:rPr>
        <w:t xml:space="preserve">performed secondary analyses using the results of three large, randomized </w:t>
      </w:r>
      <w:r w:rsidR="007E1E35" w:rsidRPr="00685573">
        <w:rPr>
          <w:rFonts w:asciiTheme="minorHAnsi" w:eastAsia="Times New Roman" w:hAnsiTheme="minorHAnsi" w:cs="Arial"/>
          <w:color w:val="000000"/>
          <w:lang w:eastAsia="en-GB"/>
        </w:rPr>
        <w:t>BiP</w:t>
      </w:r>
      <w:r w:rsidR="00671C15" w:rsidRPr="00685573">
        <w:rPr>
          <w:rFonts w:asciiTheme="minorHAnsi" w:eastAsia="Times New Roman" w:hAnsiTheme="minorHAnsi" w:cs="Arial"/>
          <w:color w:val="000000"/>
          <w:lang w:eastAsia="en-GB"/>
        </w:rPr>
        <w:t xml:space="preserve"> trials: the Fracture Intervention Trial (FIT), the FIT Long-Term Extension (FLEX) trial, and the Health Outcomes and Reduced Incidence with Zoledronic Acid Once Yearly (HORIZON) Pivotal Fracture</w:t>
      </w:r>
      <w:r w:rsidR="00BF1FB9" w:rsidRPr="00685573">
        <w:rPr>
          <w:rFonts w:asciiTheme="minorHAnsi" w:eastAsia="Times New Roman" w:hAnsiTheme="minorHAnsi" w:cs="Arial"/>
          <w:color w:val="000000"/>
          <w:lang w:eastAsia="en-GB"/>
        </w:rPr>
        <w:t xml:space="preserve"> Trial (PFT) </w:t>
      </w:r>
      <w:r w:rsidR="00DC3C39" w:rsidRPr="00685573">
        <w:rPr>
          <w:rFonts w:asciiTheme="minorHAnsi" w:eastAsia="Times New Roman" w:hAnsiTheme="minorHAnsi" w:cs="Arial"/>
          <w:color w:val="000000"/>
          <w:lang w:eastAsia="en-GB"/>
        </w:rPr>
        <w:t>[5</w:t>
      </w:r>
      <w:r w:rsidR="00754E17" w:rsidRPr="00685573">
        <w:rPr>
          <w:rFonts w:asciiTheme="minorHAnsi" w:eastAsia="Times New Roman" w:hAnsiTheme="minorHAnsi" w:cs="Arial"/>
          <w:color w:val="000000"/>
          <w:lang w:eastAsia="en-GB"/>
        </w:rPr>
        <w:t>6</w:t>
      </w:r>
      <w:r w:rsidR="00652E8F" w:rsidRPr="00685573">
        <w:rPr>
          <w:rFonts w:asciiTheme="minorHAnsi" w:eastAsia="Times New Roman" w:hAnsiTheme="minorHAnsi" w:cs="Arial"/>
          <w:color w:val="000000"/>
          <w:lang w:eastAsia="en-GB"/>
        </w:rPr>
        <w:t>]</w:t>
      </w:r>
      <w:r w:rsidR="00C43F8A" w:rsidRPr="00685573">
        <w:rPr>
          <w:rFonts w:asciiTheme="minorHAnsi" w:eastAsia="Times New Roman" w:hAnsiTheme="minorHAnsi" w:cs="Arial"/>
          <w:color w:val="000000"/>
          <w:lang w:eastAsia="en-GB"/>
        </w:rPr>
        <w:t xml:space="preserve">. </w:t>
      </w:r>
      <w:r w:rsidR="00671C15" w:rsidRPr="00685573">
        <w:rPr>
          <w:rFonts w:asciiTheme="minorHAnsi" w:eastAsia="Times New Roman" w:hAnsiTheme="minorHAnsi" w:cs="Arial"/>
          <w:color w:val="000000"/>
          <w:lang w:eastAsia="en-GB"/>
        </w:rPr>
        <w:t xml:space="preserve"> </w:t>
      </w:r>
      <w:r w:rsidR="00C43F8A" w:rsidRPr="00685573">
        <w:rPr>
          <w:rFonts w:asciiTheme="minorHAnsi" w:eastAsia="Times New Roman" w:hAnsiTheme="minorHAnsi" w:cs="Arial"/>
          <w:color w:val="000000"/>
          <w:lang w:eastAsia="en-GB"/>
        </w:rPr>
        <w:t>A</w:t>
      </w:r>
      <w:r w:rsidR="00671C15" w:rsidRPr="00685573">
        <w:rPr>
          <w:rFonts w:asciiTheme="minorHAnsi" w:eastAsia="Times New Roman" w:hAnsiTheme="minorHAnsi" w:cs="Arial"/>
          <w:color w:val="000000"/>
          <w:lang w:eastAsia="en-GB"/>
        </w:rPr>
        <w:t xml:space="preserve"> total of 284 records for hip or femur fractures among 14,195 women were reviewed and 2 fractures in 10 patients classified as occurring in the subtrochanteric or diaphyseal femur, a combined rate of 2.3 per 10,000 patient-years. As compared with placebo, the relative hazard was 1.03 (95% confidence interval [CI], 0.06 to 16.46) for alendronate use in the FIT trial, 1.50 (95% CI, 0.25 to 9.00) for zoledronic acid use in the HORIZON-PFT trial, and 1.33 (95% CI, 0.12 to 14.67) for continued alendronate use in the FLEX trial. Hence </w:t>
      </w:r>
      <w:r w:rsidR="00C43F8A" w:rsidRPr="00685573">
        <w:rPr>
          <w:rFonts w:asciiTheme="minorHAnsi" w:eastAsia="Times New Roman" w:hAnsiTheme="minorHAnsi" w:cs="Arial"/>
          <w:color w:val="000000"/>
          <w:lang w:eastAsia="en-GB"/>
        </w:rPr>
        <w:t>in this analysis t</w:t>
      </w:r>
      <w:r w:rsidR="00671C15" w:rsidRPr="00685573">
        <w:rPr>
          <w:rFonts w:asciiTheme="minorHAnsi" w:eastAsia="Times New Roman" w:hAnsiTheme="minorHAnsi" w:cs="Arial"/>
          <w:color w:val="000000"/>
          <w:lang w:eastAsia="en-GB"/>
        </w:rPr>
        <w:t xml:space="preserve">he occurrence of fracture of the subtrochanteric or diaphyseal femur was very rare, even among women who had been treated with </w:t>
      </w:r>
      <w:r w:rsidR="007E1E35" w:rsidRPr="00685573">
        <w:rPr>
          <w:rFonts w:asciiTheme="minorHAnsi" w:eastAsia="Times New Roman" w:hAnsiTheme="minorHAnsi" w:cs="Arial"/>
          <w:color w:val="000000"/>
          <w:lang w:eastAsia="en-GB"/>
        </w:rPr>
        <w:t>BiPs</w:t>
      </w:r>
      <w:r w:rsidR="00C43F8A" w:rsidRPr="00685573">
        <w:rPr>
          <w:rFonts w:asciiTheme="minorHAnsi" w:eastAsia="Times New Roman" w:hAnsiTheme="minorHAnsi" w:cs="Arial"/>
          <w:color w:val="000000"/>
          <w:lang w:eastAsia="en-GB"/>
        </w:rPr>
        <w:t xml:space="preserve"> for as long as 10 years, but </w:t>
      </w:r>
      <w:r w:rsidR="00671C15" w:rsidRPr="00685573">
        <w:rPr>
          <w:rFonts w:asciiTheme="minorHAnsi" w:eastAsia="Times New Roman" w:hAnsiTheme="minorHAnsi" w:cs="Arial"/>
          <w:color w:val="000000"/>
          <w:lang w:eastAsia="en-GB"/>
        </w:rPr>
        <w:t>the study was underpowered for definitive conclusions.</w:t>
      </w:r>
      <w:r w:rsidR="0062714F" w:rsidRPr="00685573">
        <w:rPr>
          <w:rFonts w:asciiTheme="minorHAnsi" w:eastAsia="Times New Roman" w:hAnsiTheme="minorHAnsi" w:cs="Arial"/>
          <w:color w:val="000000"/>
          <w:lang w:eastAsia="en-GB"/>
        </w:rPr>
        <w:t xml:space="preserve"> However, it is important to note that w</w:t>
      </w:r>
      <w:r w:rsidR="005B6C5B" w:rsidRPr="00685573">
        <w:rPr>
          <w:rFonts w:asciiTheme="minorHAnsi" w:eastAsia="Times New Roman" w:hAnsiTheme="minorHAnsi" w:cs="Arial"/>
          <w:color w:val="000000"/>
          <w:lang w:eastAsia="en-GB"/>
        </w:rPr>
        <w:t>ithout review</w:t>
      </w:r>
      <w:r w:rsidR="0062714F" w:rsidRPr="00685573">
        <w:rPr>
          <w:rFonts w:asciiTheme="minorHAnsi" w:eastAsia="Times New Roman" w:hAnsiTheme="minorHAnsi" w:cs="Arial"/>
          <w:color w:val="000000"/>
          <w:lang w:eastAsia="en-GB"/>
        </w:rPr>
        <w:t>ing radiographs, it may be hard to definitely classify a femoral fracture as typical or atypical.</w:t>
      </w:r>
    </w:p>
    <w:p w14:paraId="13A956EF" w14:textId="336F8AA2" w:rsidR="00FE3514" w:rsidRPr="00685573" w:rsidRDefault="006B412D" w:rsidP="00270DA9">
      <w:pPr>
        <w:pStyle w:val="PlainText"/>
        <w:spacing w:line="360" w:lineRule="auto"/>
        <w:jc w:val="both"/>
        <w:rPr>
          <w:rFonts w:cs="CtmwgpAdvTT3713a231"/>
          <w:color w:val="131413"/>
          <w:sz w:val="24"/>
          <w:szCs w:val="24"/>
        </w:rPr>
      </w:pPr>
      <w:r w:rsidRPr="00685573">
        <w:rPr>
          <w:rFonts w:cs="Arial"/>
          <w:sz w:val="24"/>
          <w:szCs w:val="24"/>
        </w:rPr>
        <w:t xml:space="preserve">Schilcher and colleagues </w:t>
      </w:r>
      <w:r w:rsidRPr="00685573">
        <w:rPr>
          <w:rFonts w:asciiTheme="minorHAnsi" w:hAnsiTheme="minorHAnsi" w:cs="Arial"/>
          <w:sz w:val="24"/>
          <w:szCs w:val="24"/>
        </w:rPr>
        <w:t xml:space="preserve">reviewed radiographs of Swedish women who sustained a hip fracture </w:t>
      </w:r>
      <w:r w:rsidR="00374AF0" w:rsidRPr="00685573">
        <w:rPr>
          <w:rFonts w:asciiTheme="minorHAnsi" w:hAnsiTheme="minorHAnsi" w:cs="Arial"/>
          <w:sz w:val="24"/>
          <w:szCs w:val="24"/>
        </w:rPr>
        <w:t>in 2008, identifying 5</w:t>
      </w:r>
      <w:r w:rsidR="00E26F1F" w:rsidRPr="00685573">
        <w:rPr>
          <w:rFonts w:asciiTheme="minorHAnsi" w:hAnsiTheme="minorHAnsi" w:cs="Arial"/>
          <w:sz w:val="24"/>
          <w:szCs w:val="24"/>
        </w:rPr>
        <w:t>9 atypical</w:t>
      </w:r>
      <w:r w:rsidR="00DC3C39" w:rsidRPr="00685573">
        <w:rPr>
          <w:rFonts w:asciiTheme="minorHAnsi" w:hAnsiTheme="minorHAnsi" w:cs="Arial"/>
          <w:sz w:val="24"/>
          <w:szCs w:val="24"/>
        </w:rPr>
        <w:t xml:space="preserve"> femoral fractures [5</w:t>
      </w:r>
      <w:r w:rsidR="002F6B16" w:rsidRPr="00685573">
        <w:rPr>
          <w:rFonts w:asciiTheme="minorHAnsi" w:hAnsiTheme="minorHAnsi" w:cs="Arial"/>
          <w:sz w:val="24"/>
          <w:szCs w:val="24"/>
        </w:rPr>
        <w:t>7</w:t>
      </w:r>
      <w:r w:rsidR="00374AF0" w:rsidRPr="00685573">
        <w:rPr>
          <w:rFonts w:asciiTheme="minorHAnsi" w:hAnsiTheme="minorHAnsi" w:cs="Arial"/>
          <w:sz w:val="24"/>
          <w:szCs w:val="24"/>
        </w:rPr>
        <w:t>]</w:t>
      </w:r>
      <w:r w:rsidRPr="00685573">
        <w:rPr>
          <w:rFonts w:asciiTheme="minorHAnsi" w:hAnsiTheme="minorHAnsi" w:cs="Arial"/>
          <w:sz w:val="24"/>
          <w:szCs w:val="24"/>
        </w:rPr>
        <w:t xml:space="preserve">. </w:t>
      </w:r>
      <w:r w:rsidR="00A71CDE" w:rsidRPr="00685573">
        <w:rPr>
          <w:rFonts w:asciiTheme="minorHAnsi" w:hAnsiTheme="minorHAnsi" w:cs="Arial"/>
          <w:color w:val="000000"/>
          <w:sz w:val="24"/>
          <w:szCs w:val="24"/>
          <w:shd w:val="clear" w:color="auto" w:fill="FFFFFF"/>
        </w:rPr>
        <w:t>Data on medications and coexisting conditions were obtained from national registries. The relative and absolute risk of </w:t>
      </w:r>
      <w:r w:rsidR="00A71CDE" w:rsidRPr="00685573">
        <w:rPr>
          <w:rStyle w:val="highlight"/>
          <w:rFonts w:asciiTheme="minorHAnsi" w:hAnsiTheme="minorHAnsi" w:cs="Arial"/>
          <w:color w:val="000000"/>
          <w:sz w:val="24"/>
          <w:szCs w:val="24"/>
          <w:shd w:val="clear" w:color="auto" w:fill="FFFFFF"/>
        </w:rPr>
        <w:t>atypical</w:t>
      </w:r>
      <w:r w:rsidR="00A71CDE" w:rsidRPr="00685573">
        <w:rPr>
          <w:rFonts w:asciiTheme="minorHAnsi" w:hAnsiTheme="minorHAnsi" w:cs="Arial"/>
          <w:color w:val="000000"/>
          <w:sz w:val="24"/>
          <w:szCs w:val="24"/>
          <w:shd w:val="clear" w:color="auto" w:fill="FFFFFF"/>
        </w:rPr>
        <w:t> </w:t>
      </w:r>
      <w:r w:rsidR="00A71CDE" w:rsidRPr="00685573">
        <w:rPr>
          <w:rStyle w:val="highlight"/>
          <w:rFonts w:asciiTheme="minorHAnsi" w:hAnsiTheme="minorHAnsi" w:cs="Arial"/>
          <w:color w:val="000000"/>
          <w:sz w:val="24"/>
          <w:szCs w:val="24"/>
          <w:shd w:val="clear" w:color="auto" w:fill="FFFFFF"/>
        </w:rPr>
        <w:t>fractures</w:t>
      </w:r>
      <w:r w:rsidR="00A71CDE" w:rsidRPr="00685573">
        <w:rPr>
          <w:rFonts w:asciiTheme="minorHAnsi" w:hAnsiTheme="minorHAnsi" w:cs="Arial"/>
          <w:color w:val="000000"/>
          <w:sz w:val="24"/>
          <w:szCs w:val="24"/>
          <w:shd w:val="clear" w:color="auto" w:fill="FFFFFF"/>
        </w:rPr>
        <w:t> associated with </w:t>
      </w:r>
      <w:r w:rsidR="007E1E35" w:rsidRPr="00685573">
        <w:rPr>
          <w:rFonts w:asciiTheme="minorHAnsi" w:hAnsiTheme="minorHAnsi" w:cs="Arial"/>
          <w:color w:val="000000"/>
          <w:sz w:val="24"/>
          <w:szCs w:val="24"/>
          <w:shd w:val="clear" w:color="auto" w:fill="FFFFFF"/>
        </w:rPr>
        <w:t>BiP</w:t>
      </w:r>
      <w:r w:rsidR="00A71CDE" w:rsidRPr="00685573">
        <w:rPr>
          <w:rFonts w:asciiTheme="minorHAnsi" w:hAnsiTheme="minorHAnsi" w:cs="Arial"/>
          <w:color w:val="000000"/>
          <w:sz w:val="24"/>
          <w:szCs w:val="24"/>
          <w:shd w:val="clear" w:color="auto" w:fill="FFFFFF"/>
        </w:rPr>
        <w:t> use was estimated by means of a nationwide cohort analysis. The 59 case patients were also compared with 263 control patients who had ordinary subtrochanteric or </w:t>
      </w:r>
      <w:r w:rsidR="00A71CDE" w:rsidRPr="00685573">
        <w:rPr>
          <w:rStyle w:val="highlight"/>
          <w:rFonts w:asciiTheme="minorHAnsi" w:hAnsiTheme="minorHAnsi" w:cs="Arial"/>
          <w:color w:val="000000"/>
          <w:sz w:val="24"/>
          <w:szCs w:val="24"/>
          <w:shd w:val="clear" w:color="auto" w:fill="FFFFFF"/>
        </w:rPr>
        <w:t>shaft</w:t>
      </w:r>
      <w:r w:rsidR="00A71CDE" w:rsidRPr="00685573">
        <w:rPr>
          <w:rFonts w:asciiTheme="minorHAnsi" w:hAnsiTheme="minorHAnsi" w:cs="Arial"/>
          <w:color w:val="000000"/>
          <w:sz w:val="24"/>
          <w:szCs w:val="24"/>
          <w:shd w:val="clear" w:color="auto" w:fill="FFFFFF"/>
        </w:rPr>
        <w:t> </w:t>
      </w:r>
      <w:r w:rsidR="00A71CDE" w:rsidRPr="00685573">
        <w:rPr>
          <w:rStyle w:val="highlight"/>
          <w:rFonts w:asciiTheme="minorHAnsi" w:hAnsiTheme="minorHAnsi" w:cs="Arial"/>
          <w:color w:val="000000"/>
          <w:sz w:val="24"/>
          <w:szCs w:val="24"/>
          <w:shd w:val="clear" w:color="auto" w:fill="FFFFFF"/>
        </w:rPr>
        <w:t>fractures</w:t>
      </w:r>
      <w:r w:rsidR="00A71CDE" w:rsidRPr="00685573">
        <w:rPr>
          <w:rFonts w:asciiTheme="minorHAnsi" w:hAnsiTheme="minorHAnsi" w:cs="Arial"/>
          <w:color w:val="000000"/>
          <w:sz w:val="24"/>
          <w:szCs w:val="24"/>
          <w:shd w:val="clear" w:color="auto" w:fill="FFFFFF"/>
        </w:rPr>
        <w:t xml:space="preserve">. </w:t>
      </w:r>
      <w:r w:rsidRPr="00685573">
        <w:rPr>
          <w:rFonts w:asciiTheme="minorHAnsi" w:hAnsiTheme="minorHAnsi" w:cs="Arial"/>
          <w:sz w:val="24"/>
          <w:szCs w:val="24"/>
        </w:rPr>
        <w:t>I</w:t>
      </w:r>
      <w:r w:rsidRPr="00685573">
        <w:rPr>
          <w:rFonts w:cs="Arial"/>
          <w:sz w:val="24"/>
          <w:szCs w:val="24"/>
        </w:rPr>
        <w:t xml:space="preserve">n this study, the age-adjusted relative risk </w:t>
      </w:r>
      <w:r w:rsidRPr="00685573">
        <w:rPr>
          <w:rStyle w:val="highlight2"/>
          <w:rFonts w:cs="Arial"/>
          <w:sz w:val="24"/>
          <w:szCs w:val="24"/>
        </w:rPr>
        <w:t>of</w:t>
      </w:r>
      <w:r w:rsidRPr="00685573">
        <w:rPr>
          <w:rFonts w:cs="Arial"/>
          <w:sz w:val="24"/>
          <w:szCs w:val="24"/>
        </w:rPr>
        <w:t xml:space="preserve"> atypical fracture was 47.3 (95% confidence interval [CI], 25.6 to 87.3) in the cohort analysis. The increase in absolute risk was 5 cases per 10,000 patient-years (95% CI, 4 to 7). A total </w:t>
      </w:r>
      <w:r w:rsidRPr="00685573">
        <w:rPr>
          <w:rStyle w:val="highlight2"/>
          <w:rFonts w:cs="Arial"/>
          <w:sz w:val="24"/>
          <w:szCs w:val="24"/>
        </w:rPr>
        <w:t>of</w:t>
      </w:r>
      <w:r w:rsidRPr="00685573">
        <w:rPr>
          <w:rFonts w:cs="Arial"/>
          <w:sz w:val="24"/>
          <w:szCs w:val="24"/>
        </w:rPr>
        <w:t xml:space="preserve"> 78% </w:t>
      </w:r>
      <w:r w:rsidRPr="00685573">
        <w:rPr>
          <w:rStyle w:val="highlight2"/>
          <w:rFonts w:cs="Arial"/>
          <w:sz w:val="24"/>
          <w:szCs w:val="24"/>
        </w:rPr>
        <w:lastRenderedPageBreak/>
        <w:t>of</w:t>
      </w:r>
      <w:r w:rsidRPr="00685573">
        <w:rPr>
          <w:rFonts w:cs="Arial"/>
          <w:sz w:val="24"/>
          <w:szCs w:val="24"/>
        </w:rPr>
        <w:t xml:space="preserve"> the case patients and 10% </w:t>
      </w:r>
      <w:r w:rsidRPr="00685573">
        <w:rPr>
          <w:rStyle w:val="highlight2"/>
          <w:rFonts w:cs="Arial"/>
          <w:sz w:val="24"/>
          <w:szCs w:val="24"/>
        </w:rPr>
        <w:t>of</w:t>
      </w:r>
      <w:r w:rsidRPr="00685573">
        <w:rPr>
          <w:rFonts w:cs="Arial"/>
          <w:sz w:val="24"/>
          <w:szCs w:val="24"/>
        </w:rPr>
        <w:t xml:space="preserve"> the controls had received </w:t>
      </w:r>
      <w:r w:rsidR="007E1E35" w:rsidRPr="00685573">
        <w:rPr>
          <w:rFonts w:cs="Arial"/>
          <w:sz w:val="24"/>
          <w:szCs w:val="24"/>
        </w:rPr>
        <w:t>BiPs</w:t>
      </w:r>
      <w:r w:rsidRPr="00685573">
        <w:rPr>
          <w:rFonts w:cs="Arial"/>
          <w:sz w:val="24"/>
          <w:szCs w:val="24"/>
        </w:rPr>
        <w:t xml:space="preserve">, corresponding to a multivariable-adjusted odds ratio </w:t>
      </w:r>
      <w:r w:rsidRPr="00685573">
        <w:rPr>
          <w:rStyle w:val="highlight2"/>
          <w:rFonts w:cs="Arial"/>
          <w:sz w:val="24"/>
          <w:szCs w:val="24"/>
        </w:rPr>
        <w:t>of</w:t>
      </w:r>
      <w:r w:rsidRPr="00685573">
        <w:rPr>
          <w:rFonts w:cs="Arial"/>
          <w:sz w:val="24"/>
          <w:szCs w:val="24"/>
        </w:rPr>
        <w:t xml:space="preserve"> 33.3 (95% CI, 14.3 to 77.8). The duration </w:t>
      </w:r>
      <w:r w:rsidRPr="00685573">
        <w:rPr>
          <w:rStyle w:val="highlight2"/>
          <w:rFonts w:cs="Arial"/>
          <w:sz w:val="24"/>
          <w:szCs w:val="24"/>
        </w:rPr>
        <w:t>of</w:t>
      </w:r>
      <w:r w:rsidRPr="00685573">
        <w:rPr>
          <w:rFonts w:cs="Arial"/>
          <w:sz w:val="24"/>
          <w:szCs w:val="24"/>
        </w:rPr>
        <w:t xml:space="preserve"> use influenced the risk (odds ratio per 100 daily doses, 1.3; 95% CI, 1.1 to 1.6). Importantly after drug withdrawal, the risk diminished by 70% per year since the last use (odds ratio, 0.28; 95% CI, 0.21 to 0.38). </w:t>
      </w:r>
      <w:r w:rsidR="0013322F" w:rsidRPr="00685573">
        <w:rPr>
          <w:rFonts w:asciiTheme="minorHAnsi" w:hAnsiTheme="minorHAnsi" w:cs="Arial"/>
          <w:sz w:val="24"/>
          <w:szCs w:val="24"/>
        </w:rPr>
        <w:t xml:space="preserve">In a follow-up paper of 172 patients with </w:t>
      </w:r>
      <w:r w:rsidR="00374AF0" w:rsidRPr="00685573">
        <w:rPr>
          <w:rFonts w:asciiTheme="minorHAnsi" w:hAnsiTheme="minorHAnsi" w:cs="Arial"/>
          <w:sz w:val="24"/>
          <w:szCs w:val="24"/>
        </w:rPr>
        <w:t>atypical femoral fractures</w:t>
      </w:r>
      <w:r w:rsidR="0013322F" w:rsidRPr="00685573">
        <w:rPr>
          <w:rFonts w:asciiTheme="minorHAnsi" w:hAnsiTheme="minorHAnsi" w:cs="Arial"/>
          <w:sz w:val="24"/>
          <w:szCs w:val="24"/>
        </w:rPr>
        <w:t xml:space="preserve"> </w:t>
      </w:r>
      <w:r w:rsidR="0013322F" w:rsidRPr="00685573">
        <w:rPr>
          <w:rFonts w:asciiTheme="minorHAnsi" w:hAnsiTheme="minorHAnsi" w:cs="Arial"/>
          <w:color w:val="000000"/>
          <w:sz w:val="24"/>
          <w:szCs w:val="24"/>
          <w:shd w:val="clear" w:color="auto" w:fill="FFFFFF"/>
        </w:rPr>
        <w:t>the age-adjusted relative risk (RR) of </w:t>
      </w:r>
      <w:r w:rsidR="0013322F" w:rsidRPr="00685573">
        <w:rPr>
          <w:rStyle w:val="highlight"/>
          <w:rFonts w:asciiTheme="minorHAnsi" w:hAnsiTheme="minorHAnsi" w:cs="Arial"/>
          <w:color w:val="000000"/>
          <w:sz w:val="24"/>
          <w:szCs w:val="24"/>
          <w:shd w:val="clear" w:color="auto" w:fill="FFFFFF"/>
        </w:rPr>
        <w:t>atypical</w:t>
      </w:r>
      <w:r w:rsidR="0013322F" w:rsidRPr="00685573">
        <w:rPr>
          <w:rFonts w:asciiTheme="minorHAnsi" w:hAnsiTheme="minorHAnsi" w:cs="Arial"/>
          <w:color w:val="000000"/>
          <w:sz w:val="24"/>
          <w:szCs w:val="24"/>
          <w:shd w:val="clear" w:color="auto" w:fill="FFFFFF"/>
        </w:rPr>
        <w:t> </w:t>
      </w:r>
      <w:r w:rsidR="0013322F" w:rsidRPr="00685573">
        <w:rPr>
          <w:rStyle w:val="highlight"/>
          <w:rFonts w:asciiTheme="minorHAnsi" w:hAnsiTheme="minorHAnsi" w:cs="Arial"/>
          <w:color w:val="000000"/>
          <w:sz w:val="24"/>
          <w:szCs w:val="24"/>
          <w:shd w:val="clear" w:color="auto" w:fill="FFFFFF"/>
        </w:rPr>
        <w:t>fracture</w:t>
      </w:r>
      <w:r w:rsidR="0013322F" w:rsidRPr="00685573">
        <w:rPr>
          <w:rFonts w:asciiTheme="minorHAnsi" w:hAnsiTheme="minorHAnsi" w:cs="Arial"/>
          <w:color w:val="000000"/>
          <w:sz w:val="24"/>
          <w:szCs w:val="24"/>
          <w:shd w:val="clear" w:color="auto" w:fill="FFFFFF"/>
        </w:rPr>
        <w:t xml:space="preserve"> associated with </w:t>
      </w:r>
      <w:r w:rsidR="007E1E35" w:rsidRPr="00685573">
        <w:rPr>
          <w:rFonts w:asciiTheme="minorHAnsi" w:hAnsiTheme="minorHAnsi" w:cs="Arial"/>
          <w:color w:val="000000"/>
          <w:sz w:val="24"/>
          <w:szCs w:val="24"/>
          <w:shd w:val="clear" w:color="auto" w:fill="FFFFFF"/>
        </w:rPr>
        <w:t>BiP</w:t>
      </w:r>
      <w:r w:rsidR="0013322F" w:rsidRPr="00685573">
        <w:rPr>
          <w:rFonts w:asciiTheme="minorHAnsi" w:hAnsiTheme="minorHAnsi" w:cs="Arial"/>
          <w:color w:val="000000"/>
          <w:sz w:val="24"/>
          <w:szCs w:val="24"/>
          <w:shd w:val="clear" w:color="auto" w:fill="FFFFFF"/>
        </w:rPr>
        <w:t xml:space="preserve"> use was 55 (95% CI: 39-79) in wome</w:t>
      </w:r>
      <w:r w:rsidR="00730044" w:rsidRPr="00685573">
        <w:rPr>
          <w:rFonts w:asciiTheme="minorHAnsi" w:hAnsiTheme="minorHAnsi" w:cs="Arial"/>
          <w:color w:val="000000"/>
          <w:sz w:val="24"/>
          <w:szCs w:val="24"/>
          <w:shd w:val="clear" w:color="auto" w:fill="FFFFFF"/>
        </w:rPr>
        <w:t>n and 54 (CI: 15-192) in men (58</w:t>
      </w:r>
      <w:r w:rsidR="0013322F" w:rsidRPr="00685573">
        <w:rPr>
          <w:rFonts w:asciiTheme="minorHAnsi" w:hAnsiTheme="minorHAnsi" w:cs="Arial"/>
          <w:color w:val="000000"/>
          <w:sz w:val="24"/>
          <w:szCs w:val="24"/>
          <w:shd w:val="clear" w:color="auto" w:fill="FFFFFF"/>
        </w:rPr>
        <w:t xml:space="preserve">). In </w:t>
      </w:r>
      <w:r w:rsidR="007E1E35" w:rsidRPr="00685573">
        <w:rPr>
          <w:rFonts w:asciiTheme="minorHAnsi" w:hAnsiTheme="minorHAnsi" w:cs="Arial"/>
          <w:color w:val="000000"/>
          <w:sz w:val="24"/>
          <w:szCs w:val="24"/>
          <w:shd w:val="clear" w:color="auto" w:fill="FFFFFF"/>
        </w:rPr>
        <w:t>BiP</w:t>
      </w:r>
      <w:r w:rsidR="0013322F" w:rsidRPr="00685573">
        <w:rPr>
          <w:rFonts w:asciiTheme="minorHAnsi" w:hAnsiTheme="minorHAnsi" w:cs="Arial"/>
          <w:color w:val="000000"/>
          <w:sz w:val="24"/>
          <w:szCs w:val="24"/>
          <w:shd w:val="clear" w:color="auto" w:fill="FFFFFF"/>
        </w:rPr>
        <w:t xml:space="preserve"> users, women had a 3-fold higher risk than men (RR = 3.1, CI: 1.1-8.4). Alendronate users had higher risk than risedronate users (RR = 1.9, CI: 1.1-3.3). The RR after 4 years or more of use reached 126 (CI: 55-288), with a corresponding absolute risk of 11 (CI: 7-14) </w:t>
      </w:r>
      <w:r w:rsidR="0013322F" w:rsidRPr="00685573">
        <w:rPr>
          <w:rStyle w:val="highlight"/>
          <w:rFonts w:asciiTheme="minorHAnsi" w:hAnsiTheme="minorHAnsi" w:cs="Arial"/>
          <w:color w:val="000000"/>
          <w:sz w:val="24"/>
          <w:szCs w:val="24"/>
          <w:shd w:val="clear" w:color="auto" w:fill="FFFFFF"/>
        </w:rPr>
        <w:t>fractures</w:t>
      </w:r>
      <w:r w:rsidR="0013322F" w:rsidRPr="00685573">
        <w:rPr>
          <w:rFonts w:asciiTheme="minorHAnsi" w:hAnsiTheme="minorHAnsi" w:cs="Arial"/>
          <w:color w:val="000000"/>
          <w:sz w:val="24"/>
          <w:szCs w:val="24"/>
          <w:shd w:val="clear" w:color="auto" w:fill="FFFFFF"/>
        </w:rPr>
        <w:t> per 10,000 person-years of use. The risk decreased by 70% per year since last use</w:t>
      </w:r>
      <w:r w:rsidR="00264791" w:rsidRPr="00685573">
        <w:rPr>
          <w:rFonts w:asciiTheme="minorHAnsi" w:hAnsiTheme="minorHAnsi" w:cs="Arial"/>
          <w:color w:val="000000"/>
          <w:sz w:val="24"/>
          <w:szCs w:val="24"/>
          <w:shd w:val="clear" w:color="auto" w:fill="FFFFFF"/>
        </w:rPr>
        <w:t>.</w:t>
      </w:r>
      <w:r w:rsidR="0013322F" w:rsidRPr="00685573">
        <w:rPr>
          <w:rFonts w:asciiTheme="minorHAnsi" w:hAnsiTheme="minorHAnsi" w:cs="Arial"/>
          <w:sz w:val="24"/>
          <w:szCs w:val="24"/>
        </w:rPr>
        <w:t xml:space="preserve"> </w:t>
      </w:r>
      <w:r w:rsidRPr="00685573">
        <w:rPr>
          <w:rFonts w:asciiTheme="minorHAnsi" w:hAnsiTheme="minorHAnsi" w:cs="Arial"/>
          <w:sz w:val="24"/>
          <w:szCs w:val="24"/>
        </w:rPr>
        <w:t>These data are complementary to previous</w:t>
      </w:r>
      <w:r w:rsidR="0062714F" w:rsidRPr="00685573">
        <w:rPr>
          <w:rFonts w:asciiTheme="minorHAnsi" w:hAnsiTheme="minorHAnsi" w:cs="Arial"/>
          <w:sz w:val="24"/>
          <w:szCs w:val="24"/>
        </w:rPr>
        <w:t>ly</w:t>
      </w:r>
      <w:r w:rsidRPr="00685573">
        <w:rPr>
          <w:rFonts w:asciiTheme="minorHAnsi" w:hAnsiTheme="minorHAnsi" w:cs="Arial"/>
          <w:sz w:val="24"/>
          <w:szCs w:val="24"/>
        </w:rPr>
        <w:t xml:space="preserve"> reported</w:t>
      </w:r>
      <w:r w:rsidRPr="00685573">
        <w:rPr>
          <w:rFonts w:cs="Arial"/>
          <w:sz w:val="24"/>
          <w:szCs w:val="24"/>
        </w:rPr>
        <w:t xml:space="preserve"> figures that suggest </w:t>
      </w:r>
      <w:r w:rsidRPr="00685573">
        <w:rPr>
          <w:rFonts w:cs="CtmwgpAdvTT3713a231"/>
          <w:color w:val="131413"/>
          <w:sz w:val="24"/>
          <w:szCs w:val="24"/>
        </w:rPr>
        <w:t xml:space="preserve">the incidence of </w:t>
      </w:r>
      <w:r w:rsidR="00374AF0" w:rsidRPr="00685573">
        <w:rPr>
          <w:rFonts w:cs="CtmwgpAdvTT3713a231"/>
          <w:color w:val="131413"/>
          <w:sz w:val="24"/>
          <w:szCs w:val="24"/>
        </w:rPr>
        <w:t>atypical femoral fracture</w:t>
      </w:r>
      <w:r w:rsidRPr="00685573">
        <w:rPr>
          <w:rFonts w:cs="CtmwgpAdvTT3713a231"/>
          <w:color w:val="131413"/>
          <w:sz w:val="24"/>
          <w:szCs w:val="24"/>
        </w:rPr>
        <w:t xml:space="preserve"> appears related </w:t>
      </w:r>
      <w:r w:rsidR="00BF1FB9" w:rsidRPr="00685573">
        <w:rPr>
          <w:rFonts w:cs="CtmwgpAdvTT3713a231"/>
          <w:color w:val="131413"/>
          <w:sz w:val="24"/>
          <w:szCs w:val="24"/>
        </w:rPr>
        <w:t>t</w:t>
      </w:r>
      <w:r w:rsidR="0013322F" w:rsidRPr="00685573">
        <w:rPr>
          <w:rFonts w:cs="CtmwgpAdvTT3713a231"/>
          <w:color w:val="131413"/>
          <w:sz w:val="24"/>
          <w:szCs w:val="24"/>
        </w:rPr>
        <w:t>o</w:t>
      </w:r>
      <w:r w:rsidR="00374AF0" w:rsidRPr="00685573">
        <w:rPr>
          <w:rFonts w:cs="CtmwgpAdvTT3713a231"/>
          <w:color w:val="131413"/>
          <w:sz w:val="24"/>
          <w:szCs w:val="24"/>
        </w:rPr>
        <w:t xml:space="preserve"> duration of exposure. </w:t>
      </w:r>
      <w:r w:rsidR="008A2932" w:rsidRPr="00685573">
        <w:rPr>
          <w:rFonts w:cs="CtmwgpAdvTT3713a231"/>
          <w:color w:val="131413"/>
          <w:sz w:val="24"/>
          <w:szCs w:val="24"/>
        </w:rPr>
        <w:t>This observation</w:t>
      </w:r>
      <w:r w:rsidR="00FE3514" w:rsidRPr="00685573">
        <w:rPr>
          <w:rFonts w:cs="CtmwgpAdvTT3713a231"/>
          <w:color w:val="131413"/>
          <w:sz w:val="24"/>
          <w:szCs w:val="24"/>
        </w:rPr>
        <w:t xml:space="preserve"> receive</w:t>
      </w:r>
      <w:r w:rsidR="008A2932" w:rsidRPr="00685573">
        <w:rPr>
          <w:rFonts w:cs="CtmwgpAdvTT3713a231"/>
          <w:color w:val="131413"/>
          <w:sz w:val="24"/>
          <w:szCs w:val="24"/>
        </w:rPr>
        <w:t>s</w:t>
      </w:r>
      <w:r w:rsidR="00FE3514" w:rsidRPr="00685573">
        <w:rPr>
          <w:rFonts w:cs="CtmwgpAdvTT3713a231"/>
          <w:color w:val="131413"/>
          <w:sz w:val="24"/>
          <w:szCs w:val="24"/>
        </w:rPr>
        <w:t xml:space="preserve"> </w:t>
      </w:r>
      <w:r w:rsidR="008A2932" w:rsidRPr="00685573">
        <w:rPr>
          <w:rFonts w:cs="CtmwgpAdvTT3713a231"/>
          <w:color w:val="131413"/>
          <w:sz w:val="24"/>
          <w:szCs w:val="24"/>
        </w:rPr>
        <w:t xml:space="preserve">some </w:t>
      </w:r>
      <w:r w:rsidR="00FE3514" w:rsidRPr="00685573">
        <w:rPr>
          <w:rFonts w:cs="CtmwgpAdvTT3713a231"/>
          <w:color w:val="131413"/>
          <w:sz w:val="24"/>
          <w:szCs w:val="24"/>
        </w:rPr>
        <w:t>support from preliminary reports from the Southern California Osteoporosis Cohort Study (SOCS) where the risk of radiology adjudicated AFFs declined by 44% in the first year after</w:t>
      </w:r>
      <w:r w:rsidR="008A2932" w:rsidRPr="00685573">
        <w:rPr>
          <w:rFonts w:cs="CtmwgpAdvTT3713a231"/>
          <w:color w:val="131413"/>
          <w:sz w:val="24"/>
          <w:szCs w:val="24"/>
        </w:rPr>
        <w:t xml:space="preserve"> </w:t>
      </w:r>
      <w:r w:rsidR="00FE3514" w:rsidRPr="00685573">
        <w:rPr>
          <w:rFonts w:cs="CtmwgpAdvTT3713a231"/>
          <w:color w:val="131413"/>
          <w:sz w:val="24"/>
          <w:szCs w:val="24"/>
        </w:rPr>
        <w:t>discontinuation compared to women who continued to use B</w:t>
      </w:r>
      <w:r w:rsidR="007E1E35" w:rsidRPr="00685573">
        <w:rPr>
          <w:rFonts w:cs="CtmwgpAdvTT3713a231"/>
          <w:color w:val="131413"/>
          <w:sz w:val="24"/>
          <w:szCs w:val="24"/>
        </w:rPr>
        <w:t>i</w:t>
      </w:r>
      <w:r w:rsidR="00FE3514" w:rsidRPr="00685573">
        <w:rPr>
          <w:rFonts w:cs="CtmwgpAdvTT3713a231"/>
          <w:color w:val="131413"/>
          <w:sz w:val="24"/>
          <w:szCs w:val="24"/>
        </w:rPr>
        <w:t>P</w:t>
      </w:r>
      <w:r w:rsidR="007E1E35" w:rsidRPr="00685573">
        <w:rPr>
          <w:rFonts w:cs="CtmwgpAdvTT3713a231"/>
          <w:color w:val="131413"/>
          <w:sz w:val="24"/>
          <w:szCs w:val="24"/>
        </w:rPr>
        <w:t>s</w:t>
      </w:r>
      <w:r w:rsidR="00FE3514" w:rsidRPr="00685573">
        <w:rPr>
          <w:rFonts w:cs="CtmwgpAdvTT3713a231"/>
          <w:color w:val="131413"/>
          <w:sz w:val="24"/>
          <w:szCs w:val="24"/>
        </w:rPr>
        <w:t xml:space="preserve"> (HR 0.56, CI 0.38-0.82).</w:t>
      </w:r>
      <w:r w:rsidR="008A2932" w:rsidRPr="00685573">
        <w:rPr>
          <w:rFonts w:cs="CtmwgpAdvTT3713a231"/>
          <w:color w:val="131413"/>
          <w:sz w:val="24"/>
          <w:szCs w:val="24"/>
        </w:rPr>
        <w:t xml:space="preserve"> </w:t>
      </w:r>
      <w:r w:rsidR="00FE3514" w:rsidRPr="00685573">
        <w:rPr>
          <w:rFonts w:cs="CtmwgpAdvTT3713a231"/>
          <w:color w:val="131413"/>
          <w:sz w:val="24"/>
          <w:szCs w:val="24"/>
        </w:rPr>
        <w:t>After 4 years or more</w:t>
      </w:r>
      <w:r w:rsidR="008A2932" w:rsidRPr="00685573">
        <w:rPr>
          <w:rFonts w:cs="CtmwgpAdvTT3713a231"/>
          <w:color w:val="131413"/>
          <w:sz w:val="24"/>
          <w:szCs w:val="24"/>
        </w:rPr>
        <w:t>,</w:t>
      </w:r>
      <w:r w:rsidR="00FE3514" w:rsidRPr="00685573">
        <w:rPr>
          <w:rFonts w:cs="CtmwgpAdvTT3713a231"/>
          <w:color w:val="131413"/>
          <w:sz w:val="24"/>
          <w:szCs w:val="24"/>
        </w:rPr>
        <w:t xml:space="preserve"> the AFF risk was found to be reduced by 78% (HR 0.22, CI 0.08-0.59) compared to current users. </w:t>
      </w:r>
      <w:r w:rsidR="000E6B79" w:rsidRPr="00685573">
        <w:rPr>
          <w:rFonts w:cs="CtmwgpAdvTT3713a231"/>
          <w:color w:val="131413"/>
          <w:sz w:val="24"/>
          <w:szCs w:val="24"/>
        </w:rPr>
        <w:t xml:space="preserve">The </w:t>
      </w:r>
      <w:r w:rsidR="008A2932" w:rsidRPr="00685573">
        <w:rPr>
          <w:rFonts w:cs="CtmwgpAdvTT3713a231"/>
          <w:color w:val="131413"/>
          <w:sz w:val="24"/>
          <w:szCs w:val="24"/>
        </w:rPr>
        <w:t xml:space="preserve">rate of AFFs among current users </w:t>
      </w:r>
      <w:r w:rsidR="00264791" w:rsidRPr="00685573">
        <w:rPr>
          <w:rFonts w:cs="CtmwgpAdvTT3713a231"/>
          <w:color w:val="131413"/>
          <w:sz w:val="24"/>
          <w:szCs w:val="24"/>
        </w:rPr>
        <w:t xml:space="preserve">was </w:t>
      </w:r>
      <w:r w:rsidR="000E6B79" w:rsidRPr="00685573">
        <w:rPr>
          <w:rFonts w:cs="CtmwgpAdvTT3713a231"/>
          <w:color w:val="131413"/>
          <w:sz w:val="24"/>
          <w:szCs w:val="24"/>
        </w:rPr>
        <w:t>reported as</w:t>
      </w:r>
      <w:r w:rsidR="008A2932" w:rsidRPr="00685573">
        <w:rPr>
          <w:rFonts w:cs="CtmwgpAdvTT3713a231"/>
          <w:color w:val="131413"/>
          <w:sz w:val="24"/>
          <w:szCs w:val="24"/>
        </w:rPr>
        <w:t xml:space="preserve"> 4.6 per 10,000 patient years </w:t>
      </w:r>
      <w:r w:rsidR="00730044" w:rsidRPr="00685573">
        <w:rPr>
          <w:rFonts w:cs="CtmwgpAdvTT3713a231"/>
          <w:color w:val="131413"/>
          <w:sz w:val="24"/>
          <w:szCs w:val="24"/>
        </w:rPr>
        <w:t>[59</w:t>
      </w:r>
      <w:r w:rsidR="00EC403B" w:rsidRPr="00685573">
        <w:rPr>
          <w:rFonts w:cs="CtmwgpAdvTT3713a231"/>
          <w:color w:val="131413"/>
          <w:sz w:val="24"/>
          <w:szCs w:val="24"/>
        </w:rPr>
        <w:t>]</w:t>
      </w:r>
      <w:r w:rsidR="003D4747" w:rsidRPr="00685573">
        <w:rPr>
          <w:rFonts w:cs="CtmwgpAdvTT3713a231"/>
          <w:color w:val="131413"/>
          <w:sz w:val="24"/>
          <w:szCs w:val="24"/>
        </w:rPr>
        <w:t>.</w:t>
      </w:r>
    </w:p>
    <w:p w14:paraId="592641F1" w14:textId="77777777" w:rsidR="007E1E35" w:rsidRPr="00685573" w:rsidRDefault="007E1E35" w:rsidP="00270DA9">
      <w:pPr>
        <w:pStyle w:val="PlainText"/>
        <w:spacing w:line="360" w:lineRule="auto"/>
        <w:jc w:val="both"/>
        <w:rPr>
          <w:rFonts w:cs="CtmwgpAdvTT3713a231"/>
          <w:color w:val="131413"/>
          <w:sz w:val="24"/>
          <w:szCs w:val="24"/>
        </w:rPr>
      </w:pPr>
    </w:p>
    <w:p w14:paraId="6AF0E3F8" w14:textId="07099720" w:rsidR="006B412D" w:rsidRPr="00685573" w:rsidRDefault="00B14978" w:rsidP="006B412D">
      <w:pPr>
        <w:pStyle w:val="PlainText"/>
        <w:spacing w:after="160" w:line="360" w:lineRule="auto"/>
        <w:jc w:val="both"/>
        <w:rPr>
          <w:rFonts w:asciiTheme="minorHAnsi" w:hAnsiTheme="minorHAnsi" w:cs="Arial"/>
          <w:sz w:val="24"/>
          <w:szCs w:val="24"/>
        </w:rPr>
      </w:pPr>
      <w:r w:rsidRPr="00685573">
        <w:rPr>
          <w:rFonts w:cs="CtmwgpAdvTT3713a231"/>
          <w:color w:val="131413"/>
          <w:sz w:val="24"/>
          <w:szCs w:val="24"/>
        </w:rPr>
        <w:t>Dell using radiographic review of claims data found a rate of AFF of 2/100,000 after 2 years exposure and 78/100,000 after 8 years of exposure</w:t>
      </w:r>
      <w:r w:rsidR="00730044" w:rsidRPr="00685573">
        <w:rPr>
          <w:rFonts w:cs="CtmwgpAdvTT3713a231"/>
          <w:color w:val="131413"/>
          <w:sz w:val="24"/>
          <w:szCs w:val="24"/>
        </w:rPr>
        <w:t xml:space="preserve"> [60</w:t>
      </w:r>
      <w:r w:rsidRPr="00685573">
        <w:rPr>
          <w:rFonts w:cs="CtmwgpAdvTT3713a231"/>
          <w:color w:val="131413"/>
          <w:sz w:val="24"/>
          <w:szCs w:val="24"/>
        </w:rPr>
        <w:t>]. Finally a</w:t>
      </w:r>
      <w:r w:rsidR="00BF1FB9" w:rsidRPr="00685573">
        <w:rPr>
          <w:rFonts w:asciiTheme="minorHAnsi" w:hAnsiTheme="minorHAnsi"/>
          <w:sz w:val="24"/>
          <w:szCs w:val="24"/>
        </w:rPr>
        <w:t xml:space="preserve"> recent systematic review </w:t>
      </w:r>
      <w:r w:rsidR="00730044" w:rsidRPr="00685573">
        <w:rPr>
          <w:rFonts w:asciiTheme="minorHAnsi" w:hAnsiTheme="minorHAnsi"/>
          <w:sz w:val="24"/>
          <w:szCs w:val="24"/>
        </w:rPr>
        <w:t>[61</w:t>
      </w:r>
      <w:r w:rsidR="003C7E1A" w:rsidRPr="00685573">
        <w:rPr>
          <w:rFonts w:asciiTheme="minorHAnsi" w:hAnsiTheme="minorHAnsi"/>
          <w:sz w:val="24"/>
          <w:szCs w:val="24"/>
        </w:rPr>
        <w:t>]</w:t>
      </w:r>
      <w:r w:rsidR="006B412D" w:rsidRPr="00685573">
        <w:rPr>
          <w:rFonts w:asciiTheme="minorHAnsi" w:hAnsiTheme="minorHAnsi"/>
          <w:sz w:val="24"/>
          <w:szCs w:val="24"/>
        </w:rPr>
        <w:t xml:space="preserve"> included t</w:t>
      </w:r>
      <w:r w:rsidR="00374AF0" w:rsidRPr="00685573">
        <w:rPr>
          <w:rFonts w:asciiTheme="minorHAnsi" w:hAnsiTheme="minorHAnsi" w:cs="Arial"/>
          <w:sz w:val="24"/>
          <w:szCs w:val="24"/>
        </w:rPr>
        <w:t>wenty-three studies on atypical femoral fracture</w:t>
      </w:r>
      <w:r w:rsidR="006B412D" w:rsidRPr="00685573">
        <w:rPr>
          <w:rFonts w:asciiTheme="minorHAnsi" w:hAnsiTheme="minorHAnsi" w:cs="Arial"/>
          <w:sz w:val="24"/>
          <w:szCs w:val="24"/>
        </w:rPr>
        <w:t xml:space="preserve">s: 14 on epidemiology and 11 on treatment outcomes (two articles reported on both aspects). The </w:t>
      </w:r>
      <w:r w:rsidR="00BF1FB9" w:rsidRPr="00685573">
        <w:rPr>
          <w:rFonts w:asciiTheme="minorHAnsi" w:hAnsiTheme="minorHAnsi" w:cs="Arial"/>
          <w:sz w:val="24"/>
          <w:szCs w:val="24"/>
        </w:rPr>
        <w:t>review</w:t>
      </w:r>
      <w:r w:rsidR="006B412D" w:rsidRPr="00685573">
        <w:rPr>
          <w:rFonts w:asciiTheme="minorHAnsi" w:hAnsiTheme="minorHAnsi" w:cs="Arial"/>
          <w:sz w:val="24"/>
          <w:szCs w:val="24"/>
        </w:rPr>
        <w:t xml:space="preserve"> showed that the incidence of </w:t>
      </w:r>
      <w:r w:rsidR="00374AF0" w:rsidRPr="00685573">
        <w:rPr>
          <w:rFonts w:asciiTheme="minorHAnsi" w:hAnsiTheme="minorHAnsi" w:cs="Arial"/>
          <w:sz w:val="24"/>
          <w:szCs w:val="24"/>
        </w:rPr>
        <w:t>atypical femoral fractures</w:t>
      </w:r>
      <w:r w:rsidR="006B412D" w:rsidRPr="00685573">
        <w:rPr>
          <w:rFonts w:asciiTheme="minorHAnsi" w:hAnsiTheme="minorHAnsi" w:cs="Arial"/>
          <w:sz w:val="24"/>
          <w:szCs w:val="24"/>
        </w:rPr>
        <w:t xml:space="preserve"> is low (3.0-9.8 per 100,000 person-years) but relative risk increased with longer duration of </w:t>
      </w:r>
      <w:r w:rsidR="007E1E35" w:rsidRPr="00685573">
        <w:rPr>
          <w:rFonts w:asciiTheme="minorHAnsi" w:hAnsiTheme="minorHAnsi" w:cs="Arial"/>
          <w:sz w:val="24"/>
          <w:szCs w:val="24"/>
        </w:rPr>
        <w:t>BiP</w:t>
      </w:r>
      <w:r w:rsidR="006B412D" w:rsidRPr="00685573">
        <w:rPr>
          <w:rFonts w:asciiTheme="minorHAnsi" w:hAnsiTheme="minorHAnsi" w:cs="Arial"/>
          <w:sz w:val="24"/>
          <w:szCs w:val="24"/>
        </w:rPr>
        <w:t xml:space="preserve"> use, especially after more than three years</w:t>
      </w:r>
      <w:r w:rsidR="003C7E1A" w:rsidRPr="00685573">
        <w:rPr>
          <w:rFonts w:asciiTheme="minorHAnsi" w:hAnsiTheme="minorHAnsi" w:cs="Arial"/>
          <w:sz w:val="24"/>
          <w:szCs w:val="24"/>
        </w:rPr>
        <w:t>; it also suggested that female sex, and Asian ethnicity may be risk factors for the condition, in addition to reporting post-operative outcomes (often poor).</w:t>
      </w:r>
      <w:r w:rsidR="00730044" w:rsidRPr="00685573">
        <w:rPr>
          <w:rFonts w:asciiTheme="minorHAnsi" w:hAnsiTheme="minorHAnsi" w:cs="Arial"/>
          <w:sz w:val="24"/>
          <w:szCs w:val="24"/>
        </w:rPr>
        <w:t xml:space="preserve"> The high mortality following these fractures has also been reported [62].</w:t>
      </w:r>
    </w:p>
    <w:p w14:paraId="1A79A87F" w14:textId="77777777" w:rsidR="006B412D" w:rsidRPr="00685573" w:rsidRDefault="006B412D" w:rsidP="006B412D">
      <w:pPr>
        <w:autoSpaceDE w:val="0"/>
        <w:autoSpaceDN w:val="0"/>
        <w:adjustRightInd w:val="0"/>
        <w:spacing w:line="360" w:lineRule="auto"/>
        <w:jc w:val="both"/>
        <w:rPr>
          <w:rFonts w:cs="CtmwgpAdvTT3713a231"/>
          <w:color w:val="131413"/>
          <w:sz w:val="24"/>
          <w:szCs w:val="24"/>
        </w:rPr>
      </w:pPr>
    </w:p>
    <w:p w14:paraId="620C6E3E" w14:textId="10EAA8F7" w:rsidR="00BF1FB9" w:rsidRPr="00685573" w:rsidRDefault="00C135D9" w:rsidP="00BF1FB9">
      <w:pPr>
        <w:pStyle w:val="NormalWeb"/>
        <w:shd w:val="clear" w:color="auto" w:fill="FFFFFF"/>
        <w:spacing w:after="120" w:line="360" w:lineRule="auto"/>
        <w:jc w:val="both"/>
        <w:rPr>
          <w:rFonts w:asciiTheme="minorHAnsi" w:eastAsia="Times New Roman" w:hAnsiTheme="minorHAnsi" w:cs="Arial"/>
          <w:b/>
          <w:lang w:eastAsia="en-GB"/>
        </w:rPr>
      </w:pPr>
      <w:r w:rsidRPr="00685573">
        <w:rPr>
          <w:rFonts w:asciiTheme="minorHAnsi" w:eastAsia="Times New Roman" w:hAnsiTheme="minorHAnsi" w:cs="Arial"/>
          <w:b/>
          <w:lang w:eastAsia="en-GB"/>
        </w:rPr>
        <w:t>What about o</w:t>
      </w:r>
      <w:r w:rsidR="00BF1FB9" w:rsidRPr="00685573">
        <w:rPr>
          <w:rFonts w:asciiTheme="minorHAnsi" w:eastAsia="Times New Roman" w:hAnsiTheme="minorHAnsi" w:cs="Arial"/>
          <w:b/>
          <w:lang w:eastAsia="en-GB"/>
        </w:rPr>
        <w:t>steonecrosis of the jaw</w:t>
      </w:r>
      <w:r w:rsidRPr="00685573">
        <w:rPr>
          <w:rFonts w:asciiTheme="minorHAnsi" w:eastAsia="Times New Roman" w:hAnsiTheme="minorHAnsi" w:cs="Arial"/>
          <w:b/>
          <w:lang w:eastAsia="en-GB"/>
        </w:rPr>
        <w:t xml:space="preserve"> with long-term b</w:t>
      </w:r>
      <w:r w:rsidR="00BF1FB9" w:rsidRPr="00685573">
        <w:rPr>
          <w:rFonts w:asciiTheme="minorHAnsi" w:eastAsia="Times New Roman" w:hAnsiTheme="minorHAnsi" w:cs="Arial"/>
          <w:b/>
          <w:lang w:eastAsia="en-GB"/>
        </w:rPr>
        <w:t>isphosphonates</w:t>
      </w:r>
      <w:r w:rsidR="006B412D" w:rsidRPr="00685573">
        <w:rPr>
          <w:rFonts w:asciiTheme="minorHAnsi" w:eastAsia="Times New Roman" w:hAnsiTheme="minorHAnsi" w:cs="Arial"/>
          <w:b/>
          <w:lang w:eastAsia="en-GB"/>
        </w:rPr>
        <w:t>?</w:t>
      </w:r>
    </w:p>
    <w:p w14:paraId="0FC80BE6" w14:textId="16A5009E" w:rsidR="00C43F8A" w:rsidRPr="00685573" w:rsidRDefault="00BF1FB9" w:rsidP="00A17D2E">
      <w:pPr>
        <w:pStyle w:val="NormalWeb"/>
        <w:shd w:val="clear" w:color="auto" w:fill="FFFFFF"/>
        <w:spacing w:after="120" w:line="360" w:lineRule="auto"/>
        <w:jc w:val="both"/>
        <w:rPr>
          <w:rFonts w:asciiTheme="minorHAnsi" w:hAnsiTheme="minorHAnsi"/>
          <w:b/>
        </w:rPr>
      </w:pPr>
      <w:r w:rsidRPr="00685573">
        <w:rPr>
          <w:rFonts w:asciiTheme="minorHAnsi" w:hAnsiTheme="minorHAnsi"/>
        </w:rPr>
        <w:lastRenderedPageBreak/>
        <w:t xml:space="preserve"> </w:t>
      </w:r>
      <w:r w:rsidR="00340147" w:rsidRPr="00685573">
        <w:rPr>
          <w:rFonts w:asciiTheme="minorHAnsi" w:hAnsiTheme="minorHAnsi"/>
        </w:rPr>
        <w:t>Osteonecrosis of the jaw</w:t>
      </w:r>
      <w:r w:rsidR="00A17D2E" w:rsidRPr="00685573">
        <w:rPr>
          <w:rFonts w:asciiTheme="minorHAnsi" w:hAnsiTheme="minorHAnsi"/>
        </w:rPr>
        <w:t xml:space="preserve"> (ONJ)</w:t>
      </w:r>
      <w:r w:rsidR="00340147" w:rsidRPr="00685573">
        <w:rPr>
          <w:rFonts w:asciiTheme="minorHAnsi" w:hAnsiTheme="minorHAnsi"/>
        </w:rPr>
        <w:t xml:space="preserve"> is a very rare clinical event that was first reported in connection with bisphosphonate use in 2003</w:t>
      </w:r>
      <w:r w:rsidR="00DC3C39" w:rsidRPr="00685573">
        <w:rPr>
          <w:rFonts w:asciiTheme="minorHAnsi" w:hAnsiTheme="minorHAnsi"/>
        </w:rPr>
        <w:t xml:space="preserve"> [</w:t>
      </w:r>
      <w:r w:rsidR="00730044" w:rsidRPr="00685573">
        <w:rPr>
          <w:rFonts w:asciiTheme="minorHAnsi" w:hAnsiTheme="minorHAnsi"/>
        </w:rPr>
        <w:t>63</w:t>
      </w:r>
      <w:r w:rsidR="00340147" w:rsidRPr="00685573">
        <w:rPr>
          <w:rFonts w:asciiTheme="minorHAnsi" w:hAnsiTheme="minorHAnsi"/>
        </w:rPr>
        <w:t>]. The incidence of ONJ is rare and increases with exposure</w:t>
      </w:r>
      <w:r w:rsidR="00414C29" w:rsidRPr="00685573">
        <w:rPr>
          <w:rFonts w:asciiTheme="minorHAnsi" w:hAnsiTheme="minorHAnsi"/>
        </w:rPr>
        <w:t>;</w:t>
      </w:r>
      <w:r w:rsidR="00340147" w:rsidRPr="00685573">
        <w:rPr>
          <w:rFonts w:asciiTheme="minorHAnsi" w:hAnsiTheme="minorHAnsi"/>
        </w:rPr>
        <w:t xml:space="preserve"> a</w:t>
      </w:r>
      <w:r w:rsidR="00DC3C39" w:rsidRPr="00685573">
        <w:rPr>
          <w:rFonts w:asciiTheme="minorHAnsi" w:hAnsiTheme="minorHAnsi"/>
        </w:rPr>
        <w:t>n inflection point of 4 years</w:t>
      </w:r>
      <w:r w:rsidR="00414C29" w:rsidRPr="00685573">
        <w:rPr>
          <w:rFonts w:asciiTheme="minorHAnsi" w:hAnsiTheme="minorHAnsi"/>
        </w:rPr>
        <w:t xml:space="preserve"> has been suggested</w:t>
      </w:r>
      <w:r w:rsidR="00DC3C39" w:rsidRPr="00685573">
        <w:rPr>
          <w:rFonts w:asciiTheme="minorHAnsi" w:hAnsiTheme="minorHAnsi"/>
        </w:rPr>
        <w:t xml:space="preserve"> [6</w:t>
      </w:r>
      <w:r w:rsidR="00730044" w:rsidRPr="00685573">
        <w:rPr>
          <w:rFonts w:asciiTheme="minorHAnsi" w:hAnsiTheme="minorHAnsi"/>
        </w:rPr>
        <w:t>3</w:t>
      </w:r>
      <w:r w:rsidR="00340147" w:rsidRPr="00685573">
        <w:rPr>
          <w:rFonts w:asciiTheme="minorHAnsi" w:hAnsiTheme="minorHAnsi"/>
        </w:rPr>
        <w:t xml:space="preserve">]. </w:t>
      </w:r>
      <w:r w:rsidR="00A17D2E" w:rsidRPr="00685573">
        <w:rPr>
          <w:rFonts w:asciiTheme="minorHAnsi" w:hAnsiTheme="minorHAnsi"/>
        </w:rPr>
        <w:t>The AAOMS using d</w:t>
      </w:r>
      <w:r w:rsidR="00730044" w:rsidRPr="00685573">
        <w:rPr>
          <w:rFonts w:asciiTheme="minorHAnsi" w:hAnsiTheme="minorHAnsi"/>
        </w:rPr>
        <w:t>ata from Lo [64</w:t>
      </w:r>
      <w:r w:rsidR="00340147" w:rsidRPr="00685573">
        <w:rPr>
          <w:rFonts w:asciiTheme="minorHAnsi" w:hAnsiTheme="minorHAnsi"/>
        </w:rPr>
        <w:t xml:space="preserve">] estimated 210/100,000 patient years. </w:t>
      </w:r>
      <w:r w:rsidR="00730044" w:rsidRPr="00685573">
        <w:rPr>
          <w:rFonts w:asciiTheme="minorHAnsi" w:hAnsiTheme="minorHAnsi"/>
        </w:rPr>
        <w:t xml:space="preserve">The American Society for Bone and Mineral Research (ASBMR) estimated ONJ incidence as between 1 in 10, 000-100,000 patient-treatment years [65]. </w:t>
      </w:r>
      <w:r w:rsidR="00340147" w:rsidRPr="00685573">
        <w:rPr>
          <w:rFonts w:asciiTheme="minorHAnsi" w:hAnsiTheme="minorHAnsi"/>
        </w:rPr>
        <w:t>Most of the reported cases have been in association with the use of zoledronate or pamidronate used intravenously to control metastatic bone disease [</w:t>
      </w:r>
      <w:r w:rsidR="00730044" w:rsidRPr="00685573">
        <w:rPr>
          <w:rFonts w:asciiTheme="minorHAnsi" w:hAnsiTheme="minorHAnsi"/>
        </w:rPr>
        <w:t>63, 67-68</w:t>
      </w:r>
      <w:r w:rsidR="00340147" w:rsidRPr="00685573">
        <w:rPr>
          <w:rFonts w:asciiTheme="minorHAnsi" w:hAnsiTheme="minorHAnsi"/>
        </w:rPr>
        <w:t xml:space="preserve">]. The risk of ONJ in association with the use of oral </w:t>
      </w:r>
      <w:r w:rsidR="007E1E35" w:rsidRPr="00685573">
        <w:rPr>
          <w:rFonts w:asciiTheme="minorHAnsi" w:hAnsiTheme="minorHAnsi"/>
        </w:rPr>
        <w:t>BiPs</w:t>
      </w:r>
      <w:r w:rsidR="00340147" w:rsidRPr="00685573">
        <w:rPr>
          <w:rFonts w:asciiTheme="minorHAnsi" w:hAnsiTheme="minorHAnsi"/>
        </w:rPr>
        <w:t xml:space="preserve"> is very much less, and was reviewed by Masoodi in 2009, who concluded that the use of oral </w:t>
      </w:r>
      <w:r w:rsidR="007E1E35" w:rsidRPr="00685573">
        <w:rPr>
          <w:rFonts w:asciiTheme="minorHAnsi" w:hAnsiTheme="minorHAnsi"/>
        </w:rPr>
        <w:t>BiPs</w:t>
      </w:r>
      <w:r w:rsidR="00340147" w:rsidRPr="00685573">
        <w:rPr>
          <w:rFonts w:asciiTheme="minorHAnsi" w:hAnsiTheme="minorHAnsi"/>
        </w:rPr>
        <w:t xml:space="preserve"> did not increase the risk of ONJ in osteoporosis patients [</w:t>
      </w:r>
      <w:r w:rsidR="00730044" w:rsidRPr="00685573">
        <w:rPr>
          <w:rFonts w:asciiTheme="minorHAnsi" w:hAnsiTheme="minorHAnsi"/>
        </w:rPr>
        <w:t>68</w:t>
      </w:r>
      <w:r w:rsidR="00340147" w:rsidRPr="00685573">
        <w:rPr>
          <w:rFonts w:asciiTheme="minorHAnsi" w:hAnsiTheme="minorHAnsi"/>
        </w:rPr>
        <w:t xml:space="preserve">]. </w:t>
      </w:r>
      <w:r w:rsidR="0001529E" w:rsidRPr="00685573">
        <w:rPr>
          <w:rFonts w:asciiTheme="minorHAnsi" w:hAnsiTheme="minorHAnsi"/>
        </w:rPr>
        <w:t>Furthermore,</w:t>
      </w:r>
      <w:r w:rsidR="00340147" w:rsidRPr="00685573">
        <w:rPr>
          <w:rFonts w:asciiTheme="minorHAnsi" w:hAnsiTheme="minorHAnsi"/>
        </w:rPr>
        <w:t xml:space="preserve"> no cases of ONJ were reported in over 3000 patients participating in clinical studies of effectiveness of alendronate and zoledronate [</w:t>
      </w:r>
      <w:r w:rsidR="00DC3C39" w:rsidRPr="00685573">
        <w:rPr>
          <w:rFonts w:asciiTheme="minorHAnsi" w:hAnsiTheme="minorHAnsi"/>
        </w:rPr>
        <w:t>38</w:t>
      </w:r>
      <w:r w:rsidR="00652E8F" w:rsidRPr="00685573">
        <w:rPr>
          <w:rFonts w:asciiTheme="minorHAnsi" w:hAnsiTheme="minorHAnsi"/>
        </w:rPr>
        <w:t>,</w:t>
      </w:r>
      <w:r w:rsidR="00730044" w:rsidRPr="00685573">
        <w:rPr>
          <w:rFonts w:asciiTheme="minorHAnsi" w:hAnsiTheme="minorHAnsi"/>
        </w:rPr>
        <w:t>68</w:t>
      </w:r>
      <w:r w:rsidR="00340147" w:rsidRPr="00685573">
        <w:rPr>
          <w:rFonts w:asciiTheme="minorHAnsi" w:hAnsiTheme="minorHAnsi"/>
        </w:rPr>
        <w:t>]. More recent studies have suggested that pre-existing dental disease and prior dental extraction are the strongest risk factors [</w:t>
      </w:r>
      <w:r w:rsidR="004D0F1D" w:rsidRPr="00685573">
        <w:rPr>
          <w:rFonts w:asciiTheme="minorHAnsi" w:hAnsiTheme="minorHAnsi"/>
        </w:rPr>
        <w:t>6</w:t>
      </w:r>
      <w:r w:rsidR="00730044" w:rsidRPr="00685573">
        <w:rPr>
          <w:rFonts w:asciiTheme="minorHAnsi" w:hAnsiTheme="minorHAnsi"/>
        </w:rPr>
        <w:t>9,70</w:t>
      </w:r>
      <w:r w:rsidR="00340147" w:rsidRPr="00685573">
        <w:rPr>
          <w:rFonts w:asciiTheme="minorHAnsi" w:hAnsiTheme="minorHAnsi"/>
        </w:rPr>
        <w:t>].</w:t>
      </w:r>
      <w:r w:rsidR="00C43273" w:rsidRPr="00685573">
        <w:rPr>
          <w:rFonts w:asciiTheme="minorHAnsi" w:hAnsiTheme="minorHAnsi"/>
        </w:rPr>
        <w:t xml:space="preserve"> Danish national health data also suggest a low incidence rate of surgically treated ONJ of 2.5 (95% confidence interval 2.1 to 3.1) per 10,000 patient years for users of oral </w:t>
      </w:r>
      <w:r w:rsidR="007E1E35" w:rsidRPr="00685573">
        <w:rPr>
          <w:rFonts w:asciiTheme="minorHAnsi" w:hAnsiTheme="minorHAnsi"/>
        </w:rPr>
        <w:t>BiPs</w:t>
      </w:r>
      <w:r w:rsidR="00C43273" w:rsidRPr="00685573">
        <w:rPr>
          <w:rFonts w:asciiTheme="minorHAnsi" w:hAnsiTheme="minorHAnsi"/>
        </w:rPr>
        <w:t>, albeit a higher risk in users with 5 years of exposure or more. The risk was higher in patient with rheumatoid disorders or diabetes</w:t>
      </w:r>
      <w:r w:rsidR="00730044" w:rsidRPr="00685573">
        <w:rPr>
          <w:rFonts w:asciiTheme="minorHAnsi" w:hAnsiTheme="minorHAnsi"/>
        </w:rPr>
        <w:t xml:space="preserve"> [71</w:t>
      </w:r>
      <w:r w:rsidR="004D0F1D" w:rsidRPr="00685573">
        <w:rPr>
          <w:rFonts w:asciiTheme="minorHAnsi" w:hAnsiTheme="minorHAnsi"/>
        </w:rPr>
        <w:t>]</w:t>
      </w:r>
      <w:r w:rsidR="00A17D2E" w:rsidRPr="00685573">
        <w:rPr>
          <w:rFonts w:asciiTheme="minorHAnsi" w:hAnsiTheme="minorHAnsi"/>
          <w:bCs/>
          <w:lang w:val="en-US"/>
        </w:rPr>
        <w:t xml:space="preserve">. Denosumab therapy has also been associated with ONJ. </w:t>
      </w:r>
      <w:r w:rsidR="003E6CB2" w:rsidRPr="00685573">
        <w:rPr>
          <w:rFonts w:asciiTheme="minorHAnsi" w:hAnsiTheme="minorHAnsi" w:cs="Arial"/>
        </w:rPr>
        <w:t>The incidence of adverse and serious adverse events did not increase over time i</w:t>
      </w:r>
      <w:r w:rsidR="009233F8" w:rsidRPr="00685573">
        <w:rPr>
          <w:rFonts w:asciiTheme="minorHAnsi" w:hAnsiTheme="minorHAnsi" w:cs="Arial"/>
        </w:rPr>
        <w:t>n the denosumab extension study; through e</w:t>
      </w:r>
      <w:r w:rsidR="003E6CB2" w:rsidRPr="00685573">
        <w:rPr>
          <w:rFonts w:asciiTheme="minorHAnsi" w:hAnsiTheme="minorHAnsi" w:cs="Arial"/>
        </w:rPr>
        <w:t>xtension year 5, eight events of osteonecrosis of the jaw and two events of atypical femoral fracture were confirmed</w:t>
      </w:r>
      <w:r w:rsidR="004D0F1D" w:rsidRPr="00685573">
        <w:rPr>
          <w:rFonts w:asciiTheme="minorHAnsi" w:hAnsiTheme="minorHAnsi" w:cs="Arial"/>
        </w:rPr>
        <w:t xml:space="preserve"> [</w:t>
      </w:r>
      <w:r w:rsidR="00DC3C39" w:rsidRPr="00685573">
        <w:rPr>
          <w:rFonts w:asciiTheme="minorHAnsi" w:hAnsiTheme="minorHAnsi" w:cs="Arial"/>
        </w:rPr>
        <w:t>34</w:t>
      </w:r>
      <w:r w:rsidR="004D0F1D" w:rsidRPr="00685573">
        <w:rPr>
          <w:rFonts w:asciiTheme="minorHAnsi" w:hAnsiTheme="minorHAnsi" w:cs="Arial"/>
        </w:rPr>
        <w:t>]</w:t>
      </w:r>
      <w:r w:rsidR="003E6CB2" w:rsidRPr="00685573">
        <w:rPr>
          <w:rFonts w:asciiTheme="minorHAnsi" w:hAnsiTheme="minorHAnsi" w:cs="Arial"/>
        </w:rPr>
        <w:t>.</w:t>
      </w:r>
      <w:r w:rsidR="00810254" w:rsidRPr="00685573">
        <w:rPr>
          <w:rFonts w:asciiTheme="minorHAnsi" w:hAnsiTheme="minorHAnsi" w:cs="Arial"/>
        </w:rPr>
        <w:t xml:space="preserve"> </w:t>
      </w:r>
      <w:r w:rsidR="00D23807" w:rsidRPr="00685573">
        <w:rPr>
          <w:rFonts w:asciiTheme="minorHAnsi" w:hAnsiTheme="minorHAnsi" w:cs="Arial"/>
        </w:rPr>
        <w:t>Very recently, 10-</w:t>
      </w:r>
      <w:r w:rsidR="003E6CB2" w:rsidRPr="00685573">
        <w:rPr>
          <w:rFonts w:asciiTheme="minorHAnsi" w:hAnsiTheme="minorHAnsi" w:cs="Arial"/>
        </w:rPr>
        <w:t>year data have been published for denosumab therapy</w:t>
      </w:r>
      <w:r w:rsidR="009233F8" w:rsidRPr="00685573">
        <w:rPr>
          <w:rFonts w:asciiTheme="minorHAnsi" w:hAnsiTheme="minorHAnsi" w:cs="Arial"/>
        </w:rPr>
        <w:t xml:space="preserve"> </w:t>
      </w:r>
      <w:r w:rsidR="004D0F1D" w:rsidRPr="00685573">
        <w:rPr>
          <w:rFonts w:asciiTheme="minorHAnsi" w:hAnsiTheme="minorHAnsi" w:cs="Arial"/>
        </w:rPr>
        <w:t>[</w:t>
      </w:r>
      <w:r w:rsidR="0013322F" w:rsidRPr="00685573">
        <w:rPr>
          <w:rFonts w:asciiTheme="minorHAnsi" w:hAnsiTheme="minorHAnsi" w:cs="Arial"/>
        </w:rPr>
        <w:t>4</w:t>
      </w:r>
      <w:r w:rsidR="00DC3C39" w:rsidRPr="00685573">
        <w:rPr>
          <w:rFonts w:asciiTheme="minorHAnsi" w:hAnsiTheme="minorHAnsi" w:cs="Arial"/>
        </w:rPr>
        <w:t>7</w:t>
      </w:r>
      <w:r w:rsidR="004D0F1D" w:rsidRPr="00685573">
        <w:rPr>
          <w:rFonts w:asciiTheme="minorHAnsi" w:hAnsiTheme="minorHAnsi" w:cs="Arial"/>
        </w:rPr>
        <w:t>]</w:t>
      </w:r>
      <w:r w:rsidR="00455127" w:rsidRPr="00685573">
        <w:rPr>
          <w:rFonts w:asciiTheme="minorHAnsi" w:hAnsiTheme="minorHAnsi" w:cs="Arial"/>
        </w:rPr>
        <w:t>.</w:t>
      </w:r>
      <w:r w:rsidR="003E6CB2" w:rsidRPr="00685573">
        <w:rPr>
          <w:rFonts w:asciiTheme="minorHAnsi" w:hAnsiTheme="minorHAnsi" w:cs="Arial"/>
        </w:rPr>
        <w:t xml:space="preserve"> Serious adverse event rates were generally stabl</w:t>
      </w:r>
      <w:r w:rsidR="00E043AD" w:rsidRPr="00685573">
        <w:rPr>
          <w:rFonts w:asciiTheme="minorHAnsi" w:hAnsiTheme="minorHAnsi" w:cs="Arial"/>
        </w:rPr>
        <w:t>e over ti</w:t>
      </w:r>
      <w:r w:rsidR="008E718A" w:rsidRPr="00685573">
        <w:rPr>
          <w:rFonts w:asciiTheme="minorHAnsi" w:hAnsiTheme="minorHAnsi" w:cs="Arial"/>
        </w:rPr>
        <w:t>me, varying between 11.5 and 14.</w:t>
      </w:r>
      <w:r w:rsidR="003E6CB2" w:rsidRPr="00685573">
        <w:rPr>
          <w:rFonts w:asciiTheme="minorHAnsi" w:hAnsiTheme="minorHAnsi" w:cs="Arial"/>
        </w:rPr>
        <w:t>4 per 100 participant-years</w:t>
      </w:r>
      <w:r w:rsidR="0017239D" w:rsidRPr="00685573">
        <w:rPr>
          <w:rFonts w:asciiTheme="minorHAnsi" w:hAnsiTheme="minorHAnsi" w:cs="Arial"/>
        </w:rPr>
        <w:t>, against a backdrop of 10.9 to 11.7 per 100 participant-years in placebo</w:t>
      </w:r>
      <w:r w:rsidR="003E6CB2" w:rsidRPr="00685573">
        <w:rPr>
          <w:rFonts w:asciiTheme="minorHAnsi" w:hAnsiTheme="minorHAnsi" w:cs="Arial"/>
        </w:rPr>
        <w:t xml:space="preserve">. One </w:t>
      </w:r>
      <w:r w:rsidR="003E6CB2" w:rsidRPr="00685573">
        <w:rPr>
          <w:rStyle w:val="highlight2"/>
          <w:rFonts w:asciiTheme="minorHAnsi" w:hAnsiTheme="minorHAnsi" w:cs="Arial"/>
        </w:rPr>
        <w:t>atypical</w:t>
      </w:r>
      <w:r w:rsidR="003E6CB2" w:rsidRPr="00685573">
        <w:rPr>
          <w:rFonts w:asciiTheme="minorHAnsi" w:hAnsiTheme="minorHAnsi" w:cs="Arial"/>
        </w:rPr>
        <w:t xml:space="preserve"> </w:t>
      </w:r>
      <w:r w:rsidR="003E6CB2" w:rsidRPr="00685573">
        <w:rPr>
          <w:rStyle w:val="highlight2"/>
          <w:rFonts w:asciiTheme="minorHAnsi" w:hAnsiTheme="minorHAnsi" w:cs="Arial"/>
        </w:rPr>
        <w:t>femoral fracture</w:t>
      </w:r>
      <w:r w:rsidR="003E6CB2" w:rsidRPr="00685573">
        <w:rPr>
          <w:rFonts w:asciiTheme="minorHAnsi" w:hAnsiTheme="minorHAnsi" w:cs="Arial"/>
        </w:rPr>
        <w:t xml:space="preserve"> occurred in each group during the extension. Seven cases of osteonecrosis of the jaw were reported in the long-term group and six cases in the crossover group. </w:t>
      </w:r>
    </w:p>
    <w:p w14:paraId="0CBEB932" w14:textId="77777777" w:rsidR="00D33348" w:rsidRPr="00685573" w:rsidRDefault="00D33348" w:rsidP="00D33348">
      <w:pPr>
        <w:spacing w:line="360" w:lineRule="auto"/>
        <w:jc w:val="both"/>
        <w:rPr>
          <w:rFonts w:cs="Arial"/>
          <w:b/>
          <w:sz w:val="24"/>
          <w:szCs w:val="24"/>
        </w:rPr>
      </w:pPr>
    </w:p>
    <w:p w14:paraId="3E403C80" w14:textId="77777777" w:rsidR="001A3318" w:rsidRPr="00685573" w:rsidRDefault="001A3318" w:rsidP="00D33348">
      <w:pPr>
        <w:spacing w:line="360" w:lineRule="auto"/>
        <w:jc w:val="both"/>
        <w:rPr>
          <w:rFonts w:cs="Arial"/>
          <w:b/>
          <w:sz w:val="24"/>
          <w:szCs w:val="24"/>
        </w:rPr>
      </w:pPr>
      <w:r w:rsidRPr="00685573">
        <w:rPr>
          <w:rFonts w:cs="Arial"/>
          <w:b/>
          <w:sz w:val="24"/>
          <w:szCs w:val="24"/>
        </w:rPr>
        <w:t>Discussion</w:t>
      </w:r>
    </w:p>
    <w:p w14:paraId="415DC14F" w14:textId="2915C99D" w:rsidR="001A3318" w:rsidRPr="00685573" w:rsidRDefault="001A3318" w:rsidP="00D33348">
      <w:pPr>
        <w:spacing w:line="360" w:lineRule="auto"/>
        <w:jc w:val="both"/>
        <w:rPr>
          <w:rFonts w:cs="Arial"/>
          <w:sz w:val="24"/>
          <w:szCs w:val="24"/>
        </w:rPr>
      </w:pPr>
      <w:r w:rsidRPr="00685573">
        <w:rPr>
          <w:rFonts w:cs="Arial"/>
          <w:sz w:val="24"/>
          <w:szCs w:val="24"/>
        </w:rPr>
        <w:t xml:space="preserve">This </w:t>
      </w:r>
      <w:r w:rsidR="00F570E1" w:rsidRPr="00685573">
        <w:rPr>
          <w:rFonts w:cs="Arial"/>
          <w:sz w:val="24"/>
          <w:szCs w:val="24"/>
        </w:rPr>
        <w:t xml:space="preserve">review </w:t>
      </w:r>
      <w:r w:rsidRPr="00685573">
        <w:rPr>
          <w:rFonts w:cs="Arial"/>
          <w:sz w:val="24"/>
          <w:szCs w:val="24"/>
        </w:rPr>
        <w:t>served to consider the amount</w:t>
      </w:r>
      <w:r w:rsidR="009F712A" w:rsidRPr="00685573">
        <w:rPr>
          <w:rFonts w:cs="Arial"/>
          <w:sz w:val="24"/>
          <w:szCs w:val="24"/>
        </w:rPr>
        <w:t xml:space="preserve"> </w:t>
      </w:r>
      <w:r w:rsidRPr="00685573">
        <w:rPr>
          <w:rFonts w:cs="Arial"/>
          <w:sz w:val="24"/>
          <w:szCs w:val="24"/>
        </w:rPr>
        <w:t>and quality of information relating to effects o</w:t>
      </w:r>
      <w:r w:rsidR="00BB31C2" w:rsidRPr="00685573">
        <w:rPr>
          <w:rFonts w:cs="Arial"/>
          <w:sz w:val="24"/>
          <w:szCs w:val="24"/>
        </w:rPr>
        <w:t xml:space="preserve">f discontinuing </w:t>
      </w:r>
      <w:r w:rsidR="00810254" w:rsidRPr="00685573">
        <w:rPr>
          <w:rFonts w:cs="Arial"/>
          <w:sz w:val="24"/>
          <w:szCs w:val="24"/>
        </w:rPr>
        <w:t xml:space="preserve">or continuing </w:t>
      </w:r>
      <w:r w:rsidR="00BB31C2" w:rsidRPr="00685573">
        <w:rPr>
          <w:rFonts w:cs="Arial"/>
          <w:sz w:val="24"/>
          <w:szCs w:val="24"/>
        </w:rPr>
        <w:t>B</w:t>
      </w:r>
      <w:r w:rsidR="007E1E35" w:rsidRPr="00685573">
        <w:rPr>
          <w:rFonts w:cs="Arial"/>
          <w:sz w:val="24"/>
          <w:szCs w:val="24"/>
        </w:rPr>
        <w:t>i</w:t>
      </w:r>
      <w:r w:rsidR="00BB31C2" w:rsidRPr="00685573">
        <w:rPr>
          <w:rFonts w:cs="Arial"/>
          <w:sz w:val="24"/>
          <w:szCs w:val="24"/>
        </w:rPr>
        <w:t>P</w:t>
      </w:r>
      <w:r w:rsidR="00810254" w:rsidRPr="00685573">
        <w:rPr>
          <w:rFonts w:cs="Arial"/>
          <w:sz w:val="24"/>
          <w:szCs w:val="24"/>
        </w:rPr>
        <w:t>s</w:t>
      </w:r>
      <w:r w:rsidR="00BB31C2" w:rsidRPr="00685573">
        <w:rPr>
          <w:rFonts w:cs="Arial"/>
          <w:sz w:val="24"/>
          <w:szCs w:val="24"/>
        </w:rPr>
        <w:t xml:space="preserve"> </w:t>
      </w:r>
      <w:r w:rsidR="00250168" w:rsidRPr="00685573">
        <w:rPr>
          <w:rFonts w:cs="Arial"/>
          <w:sz w:val="24"/>
          <w:szCs w:val="24"/>
        </w:rPr>
        <w:t xml:space="preserve">or denosumab </w:t>
      </w:r>
      <w:r w:rsidR="00BB31C2" w:rsidRPr="00685573">
        <w:rPr>
          <w:rFonts w:cs="Arial"/>
          <w:sz w:val="24"/>
          <w:szCs w:val="24"/>
        </w:rPr>
        <w:t>therapy in osteoporotic</w:t>
      </w:r>
      <w:r w:rsidRPr="00685573">
        <w:rPr>
          <w:rFonts w:cs="Arial"/>
          <w:sz w:val="24"/>
          <w:szCs w:val="24"/>
        </w:rPr>
        <w:t xml:space="preserve"> women. </w:t>
      </w:r>
      <w:r w:rsidR="00896980" w:rsidRPr="00685573">
        <w:rPr>
          <w:rFonts w:cs="Arial"/>
          <w:sz w:val="24"/>
          <w:szCs w:val="24"/>
        </w:rPr>
        <w:t xml:space="preserve">In recent publications, the effect of discontinuation of denosumab on BMD </w:t>
      </w:r>
      <w:r w:rsidR="00F570E1" w:rsidRPr="00685573">
        <w:rPr>
          <w:rFonts w:cs="Arial"/>
          <w:sz w:val="24"/>
          <w:szCs w:val="24"/>
        </w:rPr>
        <w:t>and vertebral fractures has been highlighted</w:t>
      </w:r>
      <w:r w:rsidR="00896980" w:rsidRPr="00685573">
        <w:rPr>
          <w:rFonts w:cs="Arial"/>
          <w:sz w:val="24"/>
          <w:szCs w:val="24"/>
        </w:rPr>
        <w:t xml:space="preserve"> </w:t>
      </w:r>
      <w:r w:rsidR="00DC3C39" w:rsidRPr="00685573">
        <w:rPr>
          <w:rFonts w:cs="Arial"/>
          <w:sz w:val="24"/>
          <w:szCs w:val="24"/>
        </w:rPr>
        <w:t>[39-46</w:t>
      </w:r>
      <w:r w:rsidR="004D0F1D" w:rsidRPr="00685573">
        <w:rPr>
          <w:rFonts w:cs="Arial"/>
          <w:sz w:val="24"/>
          <w:szCs w:val="24"/>
        </w:rPr>
        <w:t>],</w:t>
      </w:r>
      <w:r w:rsidR="00896980" w:rsidRPr="00685573">
        <w:rPr>
          <w:rFonts w:cs="Arial"/>
          <w:sz w:val="24"/>
          <w:szCs w:val="24"/>
        </w:rPr>
        <w:t xml:space="preserve"> and it is now recognised that </w:t>
      </w:r>
      <w:r w:rsidR="00DB344E" w:rsidRPr="00685573">
        <w:rPr>
          <w:rFonts w:cs="Arial"/>
          <w:sz w:val="24"/>
          <w:szCs w:val="24"/>
        </w:rPr>
        <w:t xml:space="preserve">in some patients, this is associated </w:t>
      </w:r>
      <w:r w:rsidR="00DB344E" w:rsidRPr="00685573">
        <w:rPr>
          <w:rFonts w:cs="Arial"/>
          <w:sz w:val="24"/>
          <w:szCs w:val="24"/>
        </w:rPr>
        <w:lastRenderedPageBreak/>
        <w:t>with multiple vertebral fractures, although identification of those at risk is problematic (other than previous fracture)</w:t>
      </w:r>
      <w:r w:rsidR="00896980" w:rsidRPr="00685573">
        <w:rPr>
          <w:rFonts w:cs="Arial"/>
          <w:sz w:val="24"/>
          <w:szCs w:val="24"/>
        </w:rPr>
        <w:t xml:space="preserve">. </w:t>
      </w:r>
      <w:r w:rsidR="00F570E1" w:rsidRPr="00685573">
        <w:rPr>
          <w:rFonts w:cs="Arial"/>
          <w:sz w:val="24"/>
          <w:szCs w:val="24"/>
        </w:rPr>
        <w:t>In general, the risks associated with interrupting osteoporosis therapy, including with B</w:t>
      </w:r>
      <w:r w:rsidR="007E1E35" w:rsidRPr="00685573">
        <w:rPr>
          <w:rFonts w:cs="Arial"/>
          <w:sz w:val="24"/>
          <w:szCs w:val="24"/>
        </w:rPr>
        <w:t>i</w:t>
      </w:r>
      <w:r w:rsidR="00F570E1" w:rsidRPr="00685573">
        <w:rPr>
          <w:rFonts w:cs="Arial"/>
          <w:sz w:val="24"/>
          <w:szCs w:val="24"/>
        </w:rPr>
        <w:t>Ps, is poorly appreciated</w:t>
      </w:r>
      <w:r w:rsidR="00810254" w:rsidRPr="00685573">
        <w:rPr>
          <w:rFonts w:cs="Arial"/>
          <w:sz w:val="24"/>
          <w:szCs w:val="24"/>
        </w:rPr>
        <w:t>, particularly because a large proportion of treated subjects may remain at high fracture risk even after five years of therapy,</w:t>
      </w:r>
      <w:r w:rsidR="00F570E1" w:rsidRPr="00685573">
        <w:rPr>
          <w:rFonts w:cs="Arial"/>
          <w:sz w:val="24"/>
          <w:szCs w:val="24"/>
        </w:rPr>
        <w:t xml:space="preserve"> and </w:t>
      </w:r>
      <w:r w:rsidR="00810254" w:rsidRPr="00685573">
        <w:rPr>
          <w:rFonts w:cs="Arial"/>
          <w:sz w:val="24"/>
          <w:szCs w:val="24"/>
        </w:rPr>
        <w:t xml:space="preserve">there </w:t>
      </w:r>
      <w:r w:rsidR="00F570E1" w:rsidRPr="00685573">
        <w:rPr>
          <w:rFonts w:cs="Arial"/>
          <w:sz w:val="24"/>
          <w:szCs w:val="24"/>
        </w:rPr>
        <w:t>is a</w:t>
      </w:r>
      <w:r w:rsidR="00896980" w:rsidRPr="00685573">
        <w:rPr>
          <w:rFonts w:cs="Arial"/>
          <w:sz w:val="24"/>
          <w:szCs w:val="24"/>
        </w:rPr>
        <w:t xml:space="preserve"> need to highlight this among patients and primary care physicians</w:t>
      </w:r>
      <w:r w:rsidR="00F570E1" w:rsidRPr="00685573">
        <w:rPr>
          <w:rFonts w:cs="Arial"/>
          <w:sz w:val="24"/>
          <w:szCs w:val="24"/>
        </w:rPr>
        <w:t>.</w:t>
      </w:r>
      <w:r w:rsidR="00E4007A" w:rsidRPr="00685573">
        <w:rPr>
          <w:rFonts w:cs="Arial"/>
          <w:sz w:val="24"/>
          <w:szCs w:val="24"/>
        </w:rPr>
        <w:t xml:space="preserve"> </w:t>
      </w:r>
      <w:r w:rsidR="0086119E" w:rsidRPr="00685573">
        <w:rPr>
          <w:rFonts w:cs="Arial"/>
          <w:sz w:val="24"/>
          <w:szCs w:val="24"/>
        </w:rPr>
        <w:t xml:space="preserve">Interrupting treatment may be justified, in the case of </w:t>
      </w:r>
      <w:r w:rsidR="007E1E35" w:rsidRPr="00685573">
        <w:rPr>
          <w:rFonts w:cs="Arial"/>
          <w:sz w:val="24"/>
          <w:szCs w:val="24"/>
        </w:rPr>
        <w:t>BiPs</w:t>
      </w:r>
      <w:r w:rsidR="0086119E" w:rsidRPr="00685573">
        <w:rPr>
          <w:rFonts w:cs="Arial"/>
          <w:sz w:val="24"/>
          <w:szCs w:val="24"/>
        </w:rPr>
        <w:t>, given certain treatment goals have been met but the decision should always be taken in consultation with the patient</w:t>
      </w:r>
      <w:r w:rsidR="0013322F" w:rsidRPr="00685573">
        <w:rPr>
          <w:rFonts w:cs="Arial"/>
          <w:sz w:val="24"/>
          <w:szCs w:val="24"/>
        </w:rPr>
        <w:t>,</w:t>
      </w:r>
      <w:r w:rsidR="0086119E" w:rsidRPr="00685573">
        <w:rPr>
          <w:rFonts w:cs="Arial"/>
          <w:sz w:val="24"/>
          <w:szCs w:val="24"/>
        </w:rPr>
        <w:t xml:space="preserve"> after considering the full spectrum of clinical risk factors</w:t>
      </w:r>
      <w:r w:rsidR="00C67DAD" w:rsidRPr="00685573">
        <w:rPr>
          <w:rFonts w:cs="Arial"/>
          <w:sz w:val="24"/>
          <w:szCs w:val="24"/>
        </w:rPr>
        <w:t xml:space="preserve"> which determines the risk of recurring fragility fractures</w:t>
      </w:r>
      <w:r w:rsidR="0013322F" w:rsidRPr="00685573">
        <w:rPr>
          <w:rFonts w:cs="Arial"/>
          <w:sz w:val="24"/>
          <w:szCs w:val="24"/>
        </w:rPr>
        <w:t>,</w:t>
      </w:r>
      <w:r w:rsidR="004D0F1D" w:rsidRPr="00685573">
        <w:rPr>
          <w:rFonts w:cs="Arial"/>
          <w:sz w:val="24"/>
          <w:szCs w:val="24"/>
        </w:rPr>
        <w:t xml:space="preserve"> [</w:t>
      </w:r>
      <w:r w:rsidR="00DC3C39" w:rsidRPr="00685573">
        <w:rPr>
          <w:rFonts w:cs="Arial"/>
          <w:sz w:val="24"/>
          <w:szCs w:val="24"/>
        </w:rPr>
        <w:t>11</w:t>
      </w:r>
      <w:r w:rsidR="004D0F1D" w:rsidRPr="00685573">
        <w:rPr>
          <w:rFonts w:cs="Arial"/>
          <w:sz w:val="24"/>
          <w:szCs w:val="24"/>
        </w:rPr>
        <w:t>]</w:t>
      </w:r>
      <w:r w:rsidR="0086119E" w:rsidRPr="00685573">
        <w:rPr>
          <w:rFonts w:cs="Arial"/>
          <w:sz w:val="24"/>
          <w:szCs w:val="24"/>
        </w:rPr>
        <w:t>.</w:t>
      </w:r>
      <w:r w:rsidR="00896980" w:rsidRPr="00685573">
        <w:rPr>
          <w:rFonts w:cs="Arial"/>
          <w:sz w:val="24"/>
          <w:szCs w:val="24"/>
        </w:rPr>
        <w:t xml:space="preserve"> </w:t>
      </w:r>
    </w:p>
    <w:p w14:paraId="727D33F7" w14:textId="43E454FA" w:rsidR="00114DAA" w:rsidRPr="00685573" w:rsidRDefault="0089183E" w:rsidP="004D0F1D">
      <w:pPr>
        <w:spacing w:line="360" w:lineRule="auto"/>
        <w:jc w:val="both"/>
        <w:rPr>
          <w:rFonts w:cs="Arial"/>
          <w:sz w:val="24"/>
          <w:szCs w:val="24"/>
        </w:rPr>
      </w:pPr>
      <w:r w:rsidRPr="00685573">
        <w:rPr>
          <w:rFonts w:cs="Arial"/>
          <w:sz w:val="24"/>
          <w:szCs w:val="24"/>
        </w:rPr>
        <w:t>These observations have led to a number of position papers and guidelines</w:t>
      </w:r>
      <w:r w:rsidR="00E11EF1" w:rsidRPr="00685573">
        <w:rPr>
          <w:rFonts w:cs="Arial"/>
          <w:sz w:val="24"/>
          <w:szCs w:val="24"/>
        </w:rPr>
        <w:t xml:space="preserve"> </w:t>
      </w:r>
      <w:r w:rsidR="00DC3C39" w:rsidRPr="00685573">
        <w:rPr>
          <w:rFonts w:cs="Arial"/>
          <w:sz w:val="24"/>
          <w:szCs w:val="24"/>
        </w:rPr>
        <w:t>[9-13</w:t>
      </w:r>
      <w:r w:rsidR="004D0F1D" w:rsidRPr="00685573">
        <w:rPr>
          <w:rFonts w:cs="Arial"/>
          <w:sz w:val="24"/>
          <w:szCs w:val="24"/>
        </w:rPr>
        <w:t>]</w:t>
      </w:r>
      <w:r w:rsidRPr="00685573">
        <w:rPr>
          <w:rFonts w:cs="Arial"/>
          <w:sz w:val="24"/>
          <w:szCs w:val="24"/>
        </w:rPr>
        <w:t>, which generally reinforce the importance of continuing therapy among women who remain at high risk of fracture</w:t>
      </w:r>
      <w:r w:rsidR="007B2059" w:rsidRPr="00685573">
        <w:rPr>
          <w:rFonts w:cs="Arial"/>
          <w:sz w:val="24"/>
          <w:szCs w:val="24"/>
        </w:rPr>
        <w:t>, as intermission of therapy, even those with residual effects</w:t>
      </w:r>
      <w:r w:rsidRPr="00685573">
        <w:rPr>
          <w:rFonts w:cs="Arial"/>
          <w:sz w:val="24"/>
          <w:szCs w:val="24"/>
        </w:rPr>
        <w:t xml:space="preserve"> </w:t>
      </w:r>
      <w:r w:rsidR="007B2059" w:rsidRPr="00685573">
        <w:rPr>
          <w:rFonts w:cs="Arial"/>
          <w:sz w:val="24"/>
          <w:szCs w:val="24"/>
        </w:rPr>
        <w:t>on bone turnover after intermission</w:t>
      </w:r>
      <w:r w:rsidR="004311F7" w:rsidRPr="00685573">
        <w:rPr>
          <w:rFonts w:cs="Arial"/>
          <w:sz w:val="24"/>
          <w:szCs w:val="24"/>
        </w:rPr>
        <w:t>,</w:t>
      </w:r>
      <w:r w:rsidR="007B2059" w:rsidRPr="00685573">
        <w:rPr>
          <w:rFonts w:cs="Arial"/>
          <w:sz w:val="24"/>
          <w:szCs w:val="24"/>
        </w:rPr>
        <w:t xml:space="preserve"> such as B</w:t>
      </w:r>
      <w:r w:rsidR="007E1E35" w:rsidRPr="00685573">
        <w:rPr>
          <w:rFonts w:cs="Arial"/>
          <w:sz w:val="24"/>
          <w:szCs w:val="24"/>
        </w:rPr>
        <w:t>i</w:t>
      </w:r>
      <w:r w:rsidR="007B2059" w:rsidRPr="00685573">
        <w:rPr>
          <w:rFonts w:cs="Arial"/>
          <w:sz w:val="24"/>
          <w:szCs w:val="24"/>
        </w:rPr>
        <w:t xml:space="preserve">Ps, will be followed by </w:t>
      </w:r>
      <w:r w:rsidR="00810254" w:rsidRPr="00685573">
        <w:rPr>
          <w:rFonts w:cs="Arial"/>
          <w:sz w:val="24"/>
          <w:szCs w:val="24"/>
        </w:rPr>
        <w:t>an</w:t>
      </w:r>
      <w:r w:rsidR="007B2059" w:rsidRPr="00685573">
        <w:rPr>
          <w:rFonts w:cs="Arial"/>
          <w:sz w:val="24"/>
          <w:szCs w:val="24"/>
        </w:rPr>
        <w:t xml:space="preserve"> increase in fracture incidence in those subjects.</w:t>
      </w:r>
      <w:r w:rsidR="006B412D" w:rsidRPr="00685573">
        <w:rPr>
          <w:rFonts w:cs="Arial"/>
          <w:sz w:val="24"/>
          <w:szCs w:val="24"/>
        </w:rPr>
        <w:t xml:space="preserve"> Despite these recommendations, </w:t>
      </w:r>
      <w:r w:rsidR="00B14978" w:rsidRPr="00685573">
        <w:rPr>
          <w:rFonts w:cs="Arial"/>
          <w:sz w:val="24"/>
          <w:szCs w:val="24"/>
        </w:rPr>
        <w:t>more than 1 in every two patient stops therapy after two years and most physicians would stop therapy regardless of risk evaluation after 3 to 5 years.</w:t>
      </w:r>
      <w:r w:rsidR="0013322F" w:rsidRPr="00685573">
        <w:rPr>
          <w:rFonts w:cs="Arial"/>
          <w:sz w:val="24"/>
          <w:szCs w:val="24"/>
        </w:rPr>
        <w:t xml:space="preserve"> </w:t>
      </w:r>
      <w:r w:rsidR="007B2059" w:rsidRPr="00685573">
        <w:rPr>
          <w:rFonts w:cs="Arial"/>
          <w:sz w:val="24"/>
          <w:szCs w:val="24"/>
        </w:rPr>
        <w:t>When considering long-term therapy th</w:t>
      </w:r>
      <w:r w:rsidR="00775C4B" w:rsidRPr="00685573">
        <w:rPr>
          <w:rFonts w:cs="Arial"/>
          <w:sz w:val="24"/>
          <w:szCs w:val="24"/>
        </w:rPr>
        <w:t xml:space="preserve">ough, one has </w:t>
      </w:r>
      <w:r w:rsidR="007B2059" w:rsidRPr="00685573">
        <w:rPr>
          <w:rFonts w:cs="Arial"/>
          <w:sz w:val="24"/>
          <w:szCs w:val="24"/>
        </w:rPr>
        <w:t>to balance benefits an</w:t>
      </w:r>
      <w:r w:rsidR="00AF06C4" w:rsidRPr="00685573">
        <w:rPr>
          <w:rFonts w:cs="Arial"/>
          <w:sz w:val="24"/>
          <w:szCs w:val="24"/>
        </w:rPr>
        <w:t>d</w:t>
      </w:r>
      <w:r w:rsidR="007B2059" w:rsidRPr="00685573">
        <w:rPr>
          <w:rFonts w:cs="Arial"/>
          <w:sz w:val="24"/>
          <w:szCs w:val="24"/>
        </w:rPr>
        <w:t xml:space="preserve"> risks. </w:t>
      </w:r>
      <w:r w:rsidR="00F46332" w:rsidRPr="00685573">
        <w:rPr>
          <w:rFonts w:cs="Arial"/>
          <w:sz w:val="24"/>
          <w:szCs w:val="24"/>
        </w:rPr>
        <w:t>With the excep</w:t>
      </w:r>
      <w:r w:rsidR="0086119E" w:rsidRPr="00685573">
        <w:rPr>
          <w:rFonts w:cs="Arial"/>
          <w:sz w:val="24"/>
          <w:szCs w:val="24"/>
        </w:rPr>
        <w:t xml:space="preserve">tion of denosumab, the number of patients in RCTs carried through to ten years or longer is very small. </w:t>
      </w:r>
      <w:r w:rsidR="00775C4B" w:rsidRPr="00685573">
        <w:rPr>
          <w:rFonts w:cs="Arial"/>
          <w:sz w:val="24"/>
          <w:szCs w:val="24"/>
        </w:rPr>
        <w:t xml:space="preserve">A particular </w:t>
      </w:r>
      <w:r w:rsidR="008B6E8B" w:rsidRPr="00685573">
        <w:rPr>
          <w:rFonts w:cs="Arial"/>
          <w:sz w:val="24"/>
          <w:szCs w:val="24"/>
        </w:rPr>
        <w:t>concern of patients and physicians alike is the apparent association of osteoporosis treatment with atypical femoral fractures</w:t>
      </w:r>
      <w:r w:rsidR="006B412D" w:rsidRPr="00685573">
        <w:rPr>
          <w:rFonts w:cs="Arial"/>
          <w:sz w:val="24"/>
          <w:szCs w:val="24"/>
        </w:rPr>
        <w:t xml:space="preserve"> and ONJ</w:t>
      </w:r>
      <w:r w:rsidR="008B6E8B" w:rsidRPr="00685573">
        <w:rPr>
          <w:rFonts w:cs="Arial"/>
          <w:sz w:val="24"/>
          <w:szCs w:val="24"/>
        </w:rPr>
        <w:t xml:space="preserve">. </w:t>
      </w:r>
      <w:r w:rsidR="006B412D" w:rsidRPr="00685573">
        <w:rPr>
          <w:rFonts w:cs="Arial"/>
          <w:sz w:val="24"/>
          <w:szCs w:val="24"/>
        </w:rPr>
        <w:t>However</w:t>
      </w:r>
      <w:r w:rsidR="009C17BB" w:rsidRPr="00685573">
        <w:rPr>
          <w:rFonts w:cs="Arial"/>
          <w:sz w:val="24"/>
          <w:szCs w:val="24"/>
        </w:rPr>
        <w:t>,</w:t>
      </w:r>
      <w:r w:rsidR="006B412D" w:rsidRPr="00685573">
        <w:rPr>
          <w:rFonts w:cs="Arial"/>
          <w:sz w:val="24"/>
          <w:szCs w:val="24"/>
        </w:rPr>
        <w:t xml:space="preserve"> this risk remains less than 1 in 1000 subjects treated even for 10 years according to most long-term extensions of RCTs and observational studies. Although the long-term benefits remain difficult to </w:t>
      </w:r>
      <w:r w:rsidR="00D36FF8" w:rsidRPr="00685573">
        <w:rPr>
          <w:rFonts w:cs="Arial"/>
          <w:sz w:val="24"/>
          <w:szCs w:val="24"/>
        </w:rPr>
        <w:t>exactly evaluate</w:t>
      </w:r>
      <w:r w:rsidR="006B412D" w:rsidRPr="00685573">
        <w:rPr>
          <w:rFonts w:cs="Arial"/>
          <w:sz w:val="24"/>
          <w:szCs w:val="24"/>
        </w:rPr>
        <w:t xml:space="preserve"> in absence of large placebo-controlled extension studies, </w:t>
      </w:r>
      <w:r w:rsidR="00731284" w:rsidRPr="00685573">
        <w:rPr>
          <w:rFonts w:cs="Arial"/>
          <w:sz w:val="24"/>
          <w:szCs w:val="24"/>
        </w:rPr>
        <w:t>assuming a long-term reduction of fracture risk in the order of 30% with anti-resorptive therapy</w:t>
      </w:r>
      <w:r w:rsidR="00A619A3" w:rsidRPr="00685573">
        <w:rPr>
          <w:rFonts w:cs="Arial"/>
          <w:sz w:val="24"/>
          <w:szCs w:val="24"/>
        </w:rPr>
        <w:t xml:space="preserve">, as suggested by the available evidence, particularly among high risk subjects, </w:t>
      </w:r>
      <w:r w:rsidR="004D0F1D" w:rsidRPr="00685573">
        <w:rPr>
          <w:rFonts w:cs="Arial"/>
          <w:sz w:val="24"/>
          <w:szCs w:val="24"/>
        </w:rPr>
        <w:t xml:space="preserve">would result in </w:t>
      </w:r>
      <w:r w:rsidR="00D8151B" w:rsidRPr="00685573">
        <w:rPr>
          <w:rFonts w:cs="Arial"/>
          <w:sz w:val="24"/>
          <w:szCs w:val="24"/>
        </w:rPr>
        <w:t xml:space="preserve">a </w:t>
      </w:r>
      <w:r w:rsidR="004D0F1D" w:rsidRPr="00685573">
        <w:rPr>
          <w:rFonts w:cs="Arial"/>
          <w:sz w:val="24"/>
          <w:szCs w:val="24"/>
        </w:rPr>
        <w:t>benefit</w:t>
      </w:r>
      <w:r w:rsidR="00D36FF8" w:rsidRPr="00685573">
        <w:rPr>
          <w:rFonts w:cs="Arial"/>
          <w:sz w:val="24"/>
          <w:szCs w:val="24"/>
        </w:rPr>
        <w:t>:</w:t>
      </w:r>
      <w:r w:rsidR="004D0F1D" w:rsidRPr="00685573">
        <w:rPr>
          <w:rFonts w:cs="Arial"/>
          <w:sz w:val="24"/>
          <w:szCs w:val="24"/>
        </w:rPr>
        <w:t xml:space="preserve"> </w:t>
      </w:r>
      <w:r w:rsidR="00D36FF8" w:rsidRPr="00685573">
        <w:rPr>
          <w:rFonts w:cs="Arial"/>
          <w:sz w:val="24"/>
          <w:szCs w:val="24"/>
        </w:rPr>
        <w:t>risk ratio (fractures prevented:</w:t>
      </w:r>
      <w:r w:rsidR="004D0F1D" w:rsidRPr="00685573">
        <w:rPr>
          <w:rFonts w:cs="Arial"/>
          <w:sz w:val="24"/>
          <w:szCs w:val="24"/>
        </w:rPr>
        <w:t xml:space="preserve"> </w:t>
      </w:r>
      <w:r w:rsidR="00D36FF8" w:rsidRPr="00685573">
        <w:rPr>
          <w:rFonts w:cs="Arial"/>
          <w:sz w:val="24"/>
          <w:szCs w:val="24"/>
        </w:rPr>
        <w:t>adverse skeletal event) of at least 100:1.</w:t>
      </w:r>
      <w:r w:rsidR="0086119E" w:rsidRPr="00685573">
        <w:rPr>
          <w:rFonts w:cs="Arial"/>
          <w:sz w:val="24"/>
          <w:szCs w:val="24"/>
        </w:rPr>
        <w:t xml:space="preserve"> Observational data suggest that patients treated with oral bisphosphonates in excess of ten dose years maintain a low incidence of both hip fractures and fractures of the subtrochanteric femur and femoral shaft</w:t>
      </w:r>
      <w:r w:rsidR="002F6B16" w:rsidRPr="00685573">
        <w:rPr>
          <w:rFonts w:cs="Arial"/>
          <w:sz w:val="24"/>
          <w:szCs w:val="24"/>
        </w:rPr>
        <w:t xml:space="preserve"> [7</w:t>
      </w:r>
      <w:r w:rsidR="00730044" w:rsidRPr="00685573">
        <w:rPr>
          <w:rFonts w:cs="Arial"/>
          <w:sz w:val="24"/>
          <w:szCs w:val="24"/>
        </w:rPr>
        <w:t>2</w:t>
      </w:r>
      <w:r w:rsidR="004D0F1D" w:rsidRPr="00685573">
        <w:rPr>
          <w:rFonts w:cs="Arial"/>
          <w:sz w:val="24"/>
          <w:szCs w:val="24"/>
        </w:rPr>
        <w:t>]</w:t>
      </w:r>
      <w:r w:rsidR="00114DAA" w:rsidRPr="00685573">
        <w:rPr>
          <w:rFonts w:cs="Arial"/>
          <w:sz w:val="24"/>
          <w:szCs w:val="24"/>
        </w:rPr>
        <w:t>.</w:t>
      </w:r>
    </w:p>
    <w:p w14:paraId="38B16DCC" w14:textId="0278A372" w:rsidR="00C60D77" w:rsidRPr="00685573" w:rsidRDefault="0086119E" w:rsidP="000624EB">
      <w:pPr>
        <w:autoSpaceDE w:val="0"/>
        <w:autoSpaceDN w:val="0"/>
        <w:adjustRightInd w:val="0"/>
        <w:spacing w:line="360" w:lineRule="auto"/>
        <w:jc w:val="both"/>
        <w:rPr>
          <w:rFonts w:cs="CtmwgpAdvTT3713a231"/>
          <w:color w:val="131413"/>
          <w:sz w:val="24"/>
          <w:szCs w:val="24"/>
        </w:rPr>
      </w:pPr>
      <w:r w:rsidRPr="00685573">
        <w:rPr>
          <w:rFonts w:cs="Arial"/>
          <w:sz w:val="24"/>
          <w:szCs w:val="24"/>
        </w:rPr>
        <w:t xml:space="preserve"> </w:t>
      </w:r>
      <w:r w:rsidR="00C60D77" w:rsidRPr="00685573">
        <w:rPr>
          <w:rFonts w:cs="CtmwgpAdvTT3713a231"/>
          <w:color w:val="131413"/>
          <w:sz w:val="24"/>
          <w:szCs w:val="24"/>
        </w:rPr>
        <w:t>While many observational studies were reviewed as part of this exercise, in general they were unable to add significantly to the evidence base</w:t>
      </w:r>
      <w:r w:rsidR="00C67DAD" w:rsidRPr="00685573">
        <w:rPr>
          <w:rFonts w:cs="CtmwgpAdvTT3713a231"/>
          <w:color w:val="131413"/>
          <w:sz w:val="24"/>
          <w:szCs w:val="24"/>
        </w:rPr>
        <w:t>, as they lead to variable, and sometimes contradicting observations regarding fracture risk after treatment with bisphosphonates is discontinued</w:t>
      </w:r>
      <w:r w:rsidR="00C60D77" w:rsidRPr="00685573">
        <w:rPr>
          <w:rFonts w:cs="CtmwgpAdvTT3713a231"/>
          <w:color w:val="131413"/>
          <w:sz w:val="24"/>
          <w:szCs w:val="24"/>
        </w:rPr>
        <w:t xml:space="preserve">. </w:t>
      </w:r>
      <w:r w:rsidR="00C67DAD" w:rsidRPr="00685573">
        <w:rPr>
          <w:rFonts w:cs="CtmwgpAdvTT3713a231"/>
          <w:color w:val="131413"/>
          <w:sz w:val="24"/>
          <w:szCs w:val="24"/>
        </w:rPr>
        <w:t>Some of thes studies</w:t>
      </w:r>
      <w:r w:rsidR="007349DD" w:rsidRPr="00685573">
        <w:rPr>
          <w:rFonts w:cs="CtmwgpAdvTT3713a231"/>
          <w:color w:val="131413"/>
          <w:sz w:val="24"/>
          <w:szCs w:val="24"/>
        </w:rPr>
        <w:t xml:space="preserve"> considered factors associated w</w:t>
      </w:r>
      <w:r w:rsidR="00A327E2" w:rsidRPr="00685573">
        <w:rPr>
          <w:rFonts w:cs="CtmwgpAdvTT3713a231"/>
          <w:color w:val="131413"/>
          <w:sz w:val="24"/>
          <w:szCs w:val="24"/>
        </w:rPr>
        <w:t>ith B</w:t>
      </w:r>
      <w:r w:rsidR="007E1E35" w:rsidRPr="00685573">
        <w:rPr>
          <w:rFonts w:cs="CtmwgpAdvTT3713a231"/>
          <w:color w:val="131413"/>
          <w:sz w:val="24"/>
          <w:szCs w:val="24"/>
        </w:rPr>
        <w:t>i</w:t>
      </w:r>
      <w:r w:rsidR="00A327E2" w:rsidRPr="00685573">
        <w:rPr>
          <w:rFonts w:cs="CtmwgpAdvTT3713a231"/>
          <w:color w:val="131413"/>
          <w:sz w:val="24"/>
          <w:szCs w:val="24"/>
        </w:rPr>
        <w:t>P treatment failure</w:t>
      </w:r>
      <w:r w:rsidR="007349DD" w:rsidRPr="00685573">
        <w:rPr>
          <w:rFonts w:cs="CtmwgpAdvTT3713a231"/>
          <w:color w:val="131413"/>
          <w:sz w:val="24"/>
          <w:szCs w:val="24"/>
        </w:rPr>
        <w:t xml:space="preserve">; </w:t>
      </w:r>
      <w:r w:rsidR="007349DD" w:rsidRPr="00685573">
        <w:rPr>
          <w:rFonts w:cs="CtmwgpAdvTT3713a231"/>
          <w:color w:val="131413"/>
          <w:sz w:val="24"/>
          <w:szCs w:val="24"/>
        </w:rPr>
        <w:lastRenderedPageBreak/>
        <w:t>these included smoking, baseline al</w:t>
      </w:r>
      <w:r w:rsidR="00A71CDE" w:rsidRPr="00685573">
        <w:rPr>
          <w:rFonts w:cs="CtmwgpAdvTT3713a231"/>
          <w:color w:val="131413"/>
          <w:sz w:val="24"/>
          <w:szCs w:val="24"/>
        </w:rPr>
        <w:t>kaline</w:t>
      </w:r>
      <w:r w:rsidR="007349DD" w:rsidRPr="00685573">
        <w:rPr>
          <w:rFonts w:cs="CtmwgpAdvTT3713a231"/>
          <w:color w:val="131413"/>
          <w:sz w:val="24"/>
          <w:szCs w:val="24"/>
        </w:rPr>
        <w:t xml:space="preserve"> phosphatase, spinal deformity, baseline lumbar spine BMD</w:t>
      </w:r>
      <w:r w:rsidR="003742DF" w:rsidRPr="00685573">
        <w:rPr>
          <w:rFonts w:cs="CtmwgpAdvTT3713a231"/>
          <w:color w:val="131413"/>
          <w:sz w:val="24"/>
          <w:szCs w:val="24"/>
        </w:rPr>
        <w:t xml:space="preserve"> [76</w:t>
      </w:r>
      <w:r w:rsidR="00A71CDE" w:rsidRPr="00685573">
        <w:rPr>
          <w:rFonts w:cs="CtmwgpAdvTT3713a231"/>
          <w:color w:val="131413"/>
          <w:sz w:val="24"/>
          <w:szCs w:val="24"/>
        </w:rPr>
        <w:t>]</w:t>
      </w:r>
      <w:r w:rsidR="00C60D77" w:rsidRPr="00685573">
        <w:rPr>
          <w:rFonts w:cs="CtmwgpAdvTT3713a231"/>
          <w:color w:val="131413"/>
          <w:sz w:val="24"/>
          <w:szCs w:val="24"/>
        </w:rPr>
        <w:t xml:space="preserve">. </w:t>
      </w:r>
      <w:r w:rsidR="00E303B5" w:rsidRPr="00685573">
        <w:rPr>
          <w:sz w:val="24"/>
          <w:szCs w:val="24"/>
        </w:rPr>
        <w:t>Of note, o</w:t>
      </w:r>
      <w:r w:rsidR="00302C6E" w:rsidRPr="00685573">
        <w:rPr>
          <w:sz w:val="24"/>
          <w:szCs w:val="24"/>
        </w:rPr>
        <w:t xml:space="preserve">bservational data are always vulnerable to confounding by indication; </w:t>
      </w:r>
      <w:r w:rsidR="00E966B5" w:rsidRPr="00685573">
        <w:rPr>
          <w:sz w:val="24"/>
          <w:szCs w:val="24"/>
        </w:rPr>
        <w:t>women who chose to remain on treatmen</w:t>
      </w:r>
      <w:r w:rsidR="004D0F1D" w:rsidRPr="00685573">
        <w:rPr>
          <w:sz w:val="24"/>
          <w:szCs w:val="24"/>
        </w:rPr>
        <w:t>t, and who are encouraged by ph</w:t>
      </w:r>
      <w:r w:rsidR="00E966B5" w:rsidRPr="00685573">
        <w:rPr>
          <w:sz w:val="24"/>
          <w:szCs w:val="24"/>
        </w:rPr>
        <w:t>y</w:t>
      </w:r>
      <w:r w:rsidR="004D0F1D" w:rsidRPr="00685573">
        <w:rPr>
          <w:sz w:val="24"/>
          <w:szCs w:val="24"/>
        </w:rPr>
        <w:t>s</w:t>
      </w:r>
      <w:r w:rsidR="00E966B5" w:rsidRPr="00685573">
        <w:rPr>
          <w:sz w:val="24"/>
          <w:szCs w:val="24"/>
        </w:rPr>
        <w:t xml:space="preserve">icians to do so, differ in many ways related to fracture risk to those who do not, and it is difficult to disentangle competing risks. </w:t>
      </w:r>
      <w:r w:rsidR="001B0C6C" w:rsidRPr="00685573">
        <w:rPr>
          <w:sz w:val="24"/>
          <w:szCs w:val="24"/>
        </w:rPr>
        <w:t xml:space="preserve">Based on the most recent studies from the United States </w:t>
      </w:r>
      <w:r w:rsidR="002A2A66" w:rsidRPr="00685573">
        <w:rPr>
          <w:sz w:val="24"/>
          <w:szCs w:val="24"/>
        </w:rPr>
        <w:t>[58</w:t>
      </w:r>
      <w:r w:rsidR="00414C29" w:rsidRPr="00685573">
        <w:rPr>
          <w:sz w:val="24"/>
          <w:szCs w:val="24"/>
        </w:rPr>
        <w:t>,7</w:t>
      </w:r>
      <w:r w:rsidR="002A2A66" w:rsidRPr="00685573">
        <w:rPr>
          <w:sz w:val="24"/>
          <w:szCs w:val="24"/>
        </w:rPr>
        <w:t>6</w:t>
      </w:r>
      <w:r w:rsidR="00414C29" w:rsidRPr="00685573">
        <w:rPr>
          <w:sz w:val="24"/>
          <w:szCs w:val="24"/>
        </w:rPr>
        <w:t>]</w:t>
      </w:r>
      <w:r w:rsidR="00A327E2" w:rsidRPr="00685573">
        <w:rPr>
          <w:sz w:val="24"/>
          <w:szCs w:val="24"/>
        </w:rPr>
        <w:t>, which are observational</w:t>
      </w:r>
      <w:r w:rsidR="00A61138" w:rsidRPr="00685573">
        <w:rPr>
          <w:sz w:val="24"/>
          <w:szCs w:val="24"/>
        </w:rPr>
        <w:t xml:space="preserve"> </w:t>
      </w:r>
      <w:r w:rsidR="001B0C6C" w:rsidRPr="00685573">
        <w:rPr>
          <w:sz w:val="24"/>
          <w:szCs w:val="24"/>
        </w:rPr>
        <w:t>and which have not yet been published in peer reviewed form, a drug holiday for one year in 10,000 women should avoid two AFFs but would be associated with 25 additional hip fractures due to the much higher rate of hip fractures over AFFs. As discussed above, this would also come accompanied by additional non-hip major osteoporotic fractures</w:t>
      </w:r>
      <w:r w:rsidR="004A4CF0" w:rsidRPr="00685573">
        <w:rPr>
          <w:sz w:val="24"/>
          <w:szCs w:val="24"/>
        </w:rPr>
        <w:t xml:space="preserve">. </w:t>
      </w:r>
      <w:r w:rsidR="001B0C6C" w:rsidRPr="00685573">
        <w:rPr>
          <w:sz w:val="24"/>
          <w:szCs w:val="24"/>
        </w:rPr>
        <w:t xml:space="preserve"> </w:t>
      </w:r>
      <w:r w:rsidR="0062714F" w:rsidRPr="00685573">
        <w:rPr>
          <w:sz w:val="24"/>
          <w:szCs w:val="24"/>
        </w:rPr>
        <w:t>Hence this supports the concept that a drug holiday,even with B</w:t>
      </w:r>
      <w:r w:rsidR="007E1E35" w:rsidRPr="00685573">
        <w:rPr>
          <w:sz w:val="24"/>
          <w:szCs w:val="24"/>
        </w:rPr>
        <w:t>i</w:t>
      </w:r>
      <w:r w:rsidR="0062714F" w:rsidRPr="00685573">
        <w:rPr>
          <w:sz w:val="24"/>
          <w:szCs w:val="24"/>
        </w:rPr>
        <w:t>Ps, should be considered only in patients at low risk of fracture.</w:t>
      </w:r>
    </w:p>
    <w:p w14:paraId="511FCD82" w14:textId="79080B09" w:rsidR="001A3318" w:rsidRPr="00685573" w:rsidRDefault="00711C47" w:rsidP="00652E8F">
      <w:pPr>
        <w:spacing w:line="360" w:lineRule="auto"/>
        <w:jc w:val="both"/>
        <w:rPr>
          <w:rFonts w:cs="Arial"/>
          <w:sz w:val="24"/>
          <w:szCs w:val="24"/>
        </w:rPr>
      </w:pPr>
      <w:r w:rsidRPr="00685573">
        <w:rPr>
          <w:rFonts w:cs="Arial"/>
          <w:sz w:val="24"/>
          <w:szCs w:val="24"/>
        </w:rPr>
        <w:t xml:space="preserve">In conclusion, </w:t>
      </w:r>
      <w:r w:rsidR="00D36FF8" w:rsidRPr="00685573">
        <w:rPr>
          <w:rFonts w:cs="Arial"/>
          <w:sz w:val="24"/>
          <w:szCs w:val="24"/>
        </w:rPr>
        <w:t>t</w:t>
      </w:r>
      <w:r w:rsidRPr="00685573">
        <w:rPr>
          <w:rFonts w:cs="Arial"/>
          <w:sz w:val="24"/>
          <w:szCs w:val="24"/>
        </w:rPr>
        <w:t xml:space="preserve">he </w:t>
      </w:r>
      <w:r w:rsidR="00E303B5" w:rsidRPr="00685573">
        <w:rPr>
          <w:rFonts w:cs="Arial"/>
          <w:sz w:val="24"/>
          <w:szCs w:val="24"/>
        </w:rPr>
        <w:t xml:space="preserve">available evidence from prospective and retrospective analyses indicates that treatment cessation is </w:t>
      </w:r>
      <w:r w:rsidR="003742DF" w:rsidRPr="00685573">
        <w:rPr>
          <w:rFonts w:cs="Arial"/>
          <w:sz w:val="24"/>
          <w:szCs w:val="24"/>
        </w:rPr>
        <w:t xml:space="preserve">often </w:t>
      </w:r>
      <w:r w:rsidR="00E303B5" w:rsidRPr="00685573">
        <w:rPr>
          <w:rFonts w:cs="Arial"/>
          <w:sz w:val="24"/>
          <w:szCs w:val="24"/>
        </w:rPr>
        <w:t xml:space="preserve">associated with an increase in fracture risk. </w:t>
      </w:r>
      <w:r w:rsidR="00B14978" w:rsidRPr="00685573">
        <w:rPr>
          <w:rFonts w:cs="Arial"/>
          <w:sz w:val="24"/>
          <w:szCs w:val="24"/>
        </w:rPr>
        <w:t>From the randomised trial data available, it appears that the strongest predictor of outcome after interrupting therapy are age and BMD at discontinuation. Women whose hip T score is below -2.5 or even in the osteopenic range after 3 years, have prevalent fragility fractures, are older, and/or were poorly compliant with therapy,  are at highest risk for new fractures and should therefore receive continued therapy for osteoporosis.</w:t>
      </w:r>
      <w:r w:rsidR="002A2A66" w:rsidRPr="00685573">
        <w:rPr>
          <w:rFonts w:cs="Arial"/>
          <w:sz w:val="24"/>
          <w:szCs w:val="24"/>
        </w:rPr>
        <w:t xml:space="preserve"> The difference in pharmacokinetics between the </w:t>
      </w:r>
      <w:r w:rsidR="007E1E35" w:rsidRPr="00685573">
        <w:rPr>
          <w:rFonts w:cs="Arial"/>
          <w:sz w:val="24"/>
          <w:szCs w:val="24"/>
        </w:rPr>
        <w:t>BiPs</w:t>
      </w:r>
      <w:r w:rsidR="002A2A66" w:rsidRPr="00685573">
        <w:rPr>
          <w:rFonts w:cs="Arial"/>
          <w:sz w:val="24"/>
          <w:szCs w:val="24"/>
        </w:rPr>
        <w:t xml:space="preserve"> and denosumab in a very importance distinction that must be clearly communicated to primary care physicians and patients commenced on this therapy. </w:t>
      </w:r>
      <w:r w:rsidR="0017239D" w:rsidRPr="00685573">
        <w:rPr>
          <w:rFonts w:cs="Arial"/>
          <w:sz w:val="24"/>
          <w:szCs w:val="24"/>
        </w:rPr>
        <w:t>An important limitation of this review is the lack of clinical trial data from which we can infer best practice; f</w:t>
      </w:r>
      <w:r w:rsidR="00B14978" w:rsidRPr="00685573">
        <w:rPr>
          <w:rFonts w:cs="Arial"/>
          <w:sz w:val="24"/>
          <w:szCs w:val="24"/>
        </w:rPr>
        <w:t>urther studies to inform algorithm development are now warranted</w:t>
      </w:r>
      <w:r w:rsidR="0017239D" w:rsidRPr="00685573">
        <w:rPr>
          <w:rFonts w:cs="Arial"/>
          <w:sz w:val="24"/>
          <w:szCs w:val="24"/>
        </w:rPr>
        <w:t>, particularly in subgroups w</w:t>
      </w:r>
      <w:r w:rsidR="003742DF" w:rsidRPr="00685573">
        <w:rPr>
          <w:rFonts w:cs="Arial"/>
          <w:sz w:val="24"/>
          <w:szCs w:val="24"/>
        </w:rPr>
        <w:t>h</w:t>
      </w:r>
      <w:r w:rsidR="0017239D" w:rsidRPr="00685573">
        <w:rPr>
          <w:rFonts w:cs="Arial"/>
          <w:sz w:val="24"/>
          <w:szCs w:val="24"/>
        </w:rPr>
        <w:t>ere available data are very limited, such as male osteoporosis, steroid induced osteoporosis and populations of different ethnicities</w:t>
      </w:r>
      <w:r w:rsidR="00B14978" w:rsidRPr="00685573">
        <w:rPr>
          <w:rFonts w:cs="Arial"/>
          <w:sz w:val="24"/>
          <w:szCs w:val="24"/>
        </w:rPr>
        <w:t>.</w:t>
      </w:r>
    </w:p>
    <w:p w14:paraId="02B87BE4" w14:textId="77777777" w:rsidR="00E303B5" w:rsidRPr="00685573" w:rsidRDefault="00E303B5" w:rsidP="00652E8F">
      <w:pPr>
        <w:spacing w:line="360" w:lineRule="auto"/>
        <w:jc w:val="both"/>
        <w:rPr>
          <w:rFonts w:cs="Arial"/>
          <w:sz w:val="24"/>
          <w:szCs w:val="24"/>
        </w:rPr>
      </w:pPr>
    </w:p>
    <w:p w14:paraId="24582EAE" w14:textId="77777777" w:rsidR="00E303B5" w:rsidRPr="00685573" w:rsidRDefault="00E303B5" w:rsidP="00652E8F">
      <w:pPr>
        <w:spacing w:line="360" w:lineRule="auto"/>
        <w:jc w:val="both"/>
        <w:rPr>
          <w:rFonts w:cs="Arial"/>
          <w:sz w:val="24"/>
          <w:szCs w:val="24"/>
        </w:rPr>
      </w:pPr>
      <w:r w:rsidRPr="00685573">
        <w:rPr>
          <w:rFonts w:cs="Arial"/>
          <w:sz w:val="24"/>
          <w:szCs w:val="24"/>
        </w:rPr>
        <w:t>Acknowledgements</w:t>
      </w:r>
    </w:p>
    <w:p w14:paraId="4114ED75" w14:textId="519F1147" w:rsidR="00133DBB" w:rsidRPr="00685573" w:rsidRDefault="00133DBB" w:rsidP="00E303B5">
      <w:pPr>
        <w:spacing w:line="360" w:lineRule="auto"/>
        <w:jc w:val="both"/>
        <w:rPr>
          <w:rFonts w:cs="Arial"/>
          <w:sz w:val="24"/>
          <w:szCs w:val="24"/>
        </w:rPr>
      </w:pPr>
      <w:r w:rsidRPr="00685573">
        <w:rPr>
          <w:rFonts w:cs="Arial"/>
          <w:sz w:val="24"/>
          <w:szCs w:val="24"/>
        </w:rPr>
        <w:t>This study was supported by an unrestricted grant from MSD. The sponsor did not have any role in preparation, review or approval of the manuscript</w:t>
      </w:r>
      <w:r w:rsidRPr="00685573">
        <w:t>.</w:t>
      </w:r>
      <w:r w:rsidR="00F71B18" w:rsidRPr="00685573">
        <w:t xml:space="preserve"> </w:t>
      </w:r>
      <w:r w:rsidR="006A1D05" w:rsidRPr="00685573">
        <w:t xml:space="preserve">The initial systematic review was performed by Nadia Corp. </w:t>
      </w:r>
      <w:r w:rsidR="00F71B18" w:rsidRPr="00685573">
        <w:rPr>
          <w:rFonts w:ascii="Calibri" w:hAnsi="Calibri"/>
          <w:color w:val="212121"/>
          <w:shd w:val="clear" w:color="auto" w:fill="FFFFFF"/>
        </w:rPr>
        <w:t>We are grateful to the Committee of Scientific Advisors of the International Osteoporosis Foundation for their review and endorsement of this paper</w:t>
      </w:r>
      <w:r w:rsidR="006A1D05" w:rsidRPr="00685573">
        <w:rPr>
          <w:rFonts w:ascii="Calibri" w:hAnsi="Calibri"/>
          <w:color w:val="212121"/>
          <w:shd w:val="clear" w:color="auto" w:fill="FFFFFF"/>
        </w:rPr>
        <w:t>.</w:t>
      </w:r>
    </w:p>
    <w:p w14:paraId="0D5232C8" w14:textId="77777777" w:rsidR="00133DBB" w:rsidRPr="00685573" w:rsidRDefault="00133DBB" w:rsidP="00E303B5">
      <w:pPr>
        <w:spacing w:line="360" w:lineRule="auto"/>
        <w:jc w:val="both"/>
        <w:rPr>
          <w:rFonts w:cs="Arial"/>
          <w:sz w:val="24"/>
          <w:szCs w:val="24"/>
        </w:rPr>
      </w:pPr>
    </w:p>
    <w:p w14:paraId="63027A84" w14:textId="77777777" w:rsidR="00E303B5" w:rsidRPr="00685573" w:rsidRDefault="00E303B5" w:rsidP="00E303B5">
      <w:pPr>
        <w:spacing w:line="360" w:lineRule="auto"/>
        <w:jc w:val="both"/>
        <w:rPr>
          <w:rFonts w:cs="Arial"/>
          <w:sz w:val="24"/>
          <w:szCs w:val="24"/>
        </w:rPr>
      </w:pPr>
    </w:p>
    <w:p w14:paraId="7FEF61C7" w14:textId="77777777" w:rsidR="00E303B5" w:rsidRPr="00685573" w:rsidRDefault="00E303B5" w:rsidP="00E303B5">
      <w:pPr>
        <w:spacing w:line="360" w:lineRule="auto"/>
        <w:jc w:val="both"/>
        <w:rPr>
          <w:rFonts w:cs="Arial"/>
          <w:sz w:val="24"/>
          <w:szCs w:val="24"/>
        </w:rPr>
      </w:pPr>
      <w:r w:rsidRPr="00685573">
        <w:rPr>
          <w:rFonts w:cs="Arial"/>
          <w:sz w:val="24"/>
          <w:szCs w:val="24"/>
        </w:rPr>
        <w:t>Competing Interests</w:t>
      </w:r>
    </w:p>
    <w:p w14:paraId="237CE92E" w14:textId="5F235D73" w:rsidR="00775C4B" w:rsidRPr="00685573" w:rsidRDefault="00E303B5" w:rsidP="00775C4B">
      <w:pPr>
        <w:spacing w:after="0" w:line="240" w:lineRule="auto"/>
        <w:jc w:val="both"/>
        <w:rPr>
          <w:rFonts w:cs="Arial"/>
          <w:sz w:val="24"/>
          <w:szCs w:val="24"/>
        </w:rPr>
      </w:pPr>
      <w:r w:rsidRPr="00685573">
        <w:rPr>
          <w:rFonts w:cs="Arial"/>
          <w:sz w:val="24"/>
          <w:szCs w:val="24"/>
        </w:rPr>
        <w:t xml:space="preserve">JAK reports grants from Amgen, Eli Lilly and Radius Health; non-financial support from Medimaps, and Asahi; and other support from AgNovos. JAK is the architect of FRAX but has no financial interest. CC reports personal fees from Alliance for Better Bone Health, Amgen, Eli Lilly, GSK, Medtronic, Merck, Novartis, Pfizer, Roche, Servier, Takeda and UCB. </w:t>
      </w:r>
      <w:r w:rsidR="007A4600" w:rsidRPr="00685573">
        <w:rPr>
          <w:rFonts w:cs="Arial"/>
          <w:sz w:val="24"/>
          <w:szCs w:val="24"/>
        </w:rPr>
        <w:t>OB reports research grants from Biophytis, IBSA, MEDA, Servier and SMB outside the submitted work</w:t>
      </w:r>
      <w:r w:rsidR="00F90F5D" w:rsidRPr="00685573">
        <w:rPr>
          <w:rFonts w:cs="Arial"/>
          <w:sz w:val="24"/>
          <w:szCs w:val="24"/>
        </w:rPr>
        <w:t>. DPA reports grants from Amgen, Servier, and UCB, and departmental fees for speaker or consultancy services from Amgen and UCB.</w:t>
      </w:r>
      <w:r w:rsidR="007E2E6E" w:rsidRPr="00685573">
        <w:rPr>
          <w:rFonts w:cs="Arial"/>
          <w:sz w:val="24"/>
          <w:szCs w:val="24"/>
        </w:rPr>
        <w:t xml:space="preserve"> </w:t>
      </w:r>
      <w:r w:rsidR="00CE7535" w:rsidRPr="00685573">
        <w:rPr>
          <w:rFonts w:cs="Arial"/>
          <w:sz w:val="24"/>
          <w:szCs w:val="24"/>
        </w:rPr>
        <w:t>BA declares research grants from Novartis and UCB, speaker fees from A</w:t>
      </w:r>
      <w:r w:rsidR="00534B8E" w:rsidRPr="00685573">
        <w:rPr>
          <w:rFonts w:cs="Arial"/>
          <w:sz w:val="24"/>
          <w:szCs w:val="24"/>
        </w:rPr>
        <w:t>mgen and consulting and speaker</w:t>
      </w:r>
      <w:r w:rsidR="00CE7535" w:rsidRPr="00685573">
        <w:rPr>
          <w:rFonts w:cs="Arial"/>
          <w:sz w:val="24"/>
          <w:szCs w:val="24"/>
        </w:rPr>
        <w:t xml:space="preserve"> fees from UCB. </w:t>
      </w:r>
      <w:r w:rsidR="00256752" w:rsidRPr="00685573">
        <w:rPr>
          <w:rFonts w:cs="Arial"/>
          <w:sz w:val="24"/>
          <w:szCs w:val="24"/>
        </w:rPr>
        <w:t xml:space="preserve">SF reports consulting and/or speaker honoraria from Amgen, UCB, Lilly, Labatec, Agnovos, Pfizer.  </w:t>
      </w:r>
      <w:r w:rsidR="007E2E6E" w:rsidRPr="00685573">
        <w:rPr>
          <w:rFonts w:cs="Arial"/>
          <w:sz w:val="24"/>
          <w:szCs w:val="24"/>
        </w:rPr>
        <w:t>EM</w:t>
      </w:r>
      <w:r w:rsidR="00913AC4" w:rsidRPr="00685573">
        <w:rPr>
          <w:rFonts w:cs="Arial"/>
          <w:sz w:val="24"/>
          <w:szCs w:val="24"/>
        </w:rPr>
        <w:t xml:space="preserve"> </w:t>
      </w:r>
      <w:r w:rsidR="00775C4B" w:rsidRPr="00685573">
        <w:rPr>
          <w:rFonts w:cs="Arial"/>
          <w:sz w:val="24"/>
          <w:szCs w:val="24"/>
        </w:rPr>
        <w:t xml:space="preserve">reports Consultant/Advisor/Speaker  fees from ActiveSignal, AgNovos, Amgen, AstraZeneca, Consilient Healthcare, Fresenius Kabi, GSK, Hologic, Internis, Lilly, Medtronic, Merck, Novartis, Pfizer, Roche, Sanofi-Aventis, Servier, Synexus, Tethys, UCB, Warner Chilcott, research support from ActiveSignal, AgNovos, Amgen, AstraZeneca, Consilient Healthcare, Fresenius Kabi, GSK, Hologic, Internis, Lilly, Medtronic, Merck, Novartis, Pfizer, Roche, Sanofi-Aventis, Servier, Synexus, Tethys, UCB, Warner Chilcott, ARUK, I3 Innovus, MRC, IOF, Unilever. ED </w:t>
      </w:r>
      <w:r w:rsidR="003742DF" w:rsidRPr="00685573">
        <w:rPr>
          <w:rFonts w:cs="Arial"/>
          <w:sz w:val="24"/>
          <w:szCs w:val="24"/>
        </w:rPr>
        <w:t>reports consulting and speaker fees from Pfizer and UCB</w:t>
      </w:r>
      <w:r w:rsidR="00775C4B" w:rsidRPr="00685573">
        <w:rPr>
          <w:rFonts w:cs="Arial"/>
          <w:sz w:val="24"/>
          <w:szCs w:val="24"/>
        </w:rPr>
        <w:t xml:space="preserve">. </w:t>
      </w:r>
    </w:p>
    <w:p w14:paraId="6449B67D" w14:textId="5C7075BE" w:rsidR="00C56A52" w:rsidRPr="00685573" w:rsidRDefault="00F90F5D" w:rsidP="00775C4B">
      <w:pPr>
        <w:pStyle w:val="PlainText"/>
        <w:spacing w:line="360" w:lineRule="auto"/>
        <w:jc w:val="both"/>
        <w:rPr>
          <w:rFonts w:cs="Arial"/>
          <w:b/>
          <w:sz w:val="24"/>
          <w:szCs w:val="24"/>
        </w:rPr>
      </w:pPr>
      <w:r w:rsidRPr="00685573">
        <w:rPr>
          <w:rFonts w:asciiTheme="minorHAnsi" w:hAnsiTheme="minorHAnsi" w:cs="Arial"/>
          <w:sz w:val="24"/>
          <w:szCs w:val="24"/>
        </w:rPr>
        <w:br w:type="page"/>
      </w:r>
      <w:r w:rsidR="00C56A52" w:rsidRPr="00685573">
        <w:rPr>
          <w:rFonts w:cs="Arial"/>
          <w:b/>
          <w:sz w:val="24"/>
          <w:szCs w:val="24"/>
        </w:rPr>
        <w:lastRenderedPageBreak/>
        <w:t xml:space="preserve">References </w:t>
      </w:r>
    </w:p>
    <w:p w14:paraId="000D3833" w14:textId="5ABB17A5" w:rsidR="00AA60BF" w:rsidRPr="00685573" w:rsidRDefault="002A2AFF" w:rsidP="00E02E41">
      <w:pPr>
        <w:pStyle w:val="ListParagraph"/>
        <w:numPr>
          <w:ilvl w:val="0"/>
          <w:numId w:val="27"/>
        </w:numPr>
        <w:spacing w:line="360" w:lineRule="auto"/>
        <w:jc w:val="both"/>
        <w:rPr>
          <w:rFonts w:asciiTheme="minorHAnsi" w:hAnsiTheme="minorHAnsi" w:cs="Arial"/>
          <w:color w:val="auto"/>
          <w:sz w:val="24"/>
        </w:rPr>
      </w:pPr>
      <w:r w:rsidRPr="00685573">
        <w:rPr>
          <w:rFonts w:asciiTheme="minorHAnsi" w:hAnsiTheme="minorHAnsi"/>
          <w:color w:val="auto"/>
          <w:sz w:val="24"/>
          <w:lang w:val="en-US"/>
        </w:rPr>
        <w:t xml:space="preserve">Johnell O, Kanis JA (2006) An estimate of the worldwide prevalence and disability associated with osteoporotic fractures. </w:t>
      </w:r>
      <w:r w:rsidRPr="00685573">
        <w:rPr>
          <w:rFonts w:asciiTheme="minorHAnsi" w:hAnsiTheme="minorHAnsi"/>
          <w:color w:val="auto"/>
          <w:sz w:val="24"/>
          <w:lang w:val="fr-CH"/>
        </w:rPr>
        <w:t>Osteoporos Int 17</w:t>
      </w:r>
      <w:r w:rsidR="00E02E41" w:rsidRPr="00685573">
        <w:rPr>
          <w:rFonts w:asciiTheme="minorHAnsi" w:hAnsiTheme="minorHAnsi"/>
          <w:color w:val="auto"/>
          <w:sz w:val="24"/>
          <w:lang w:val="fr-CH"/>
        </w:rPr>
        <w:t>(12)</w:t>
      </w:r>
      <w:r w:rsidRPr="00685573">
        <w:rPr>
          <w:rFonts w:asciiTheme="minorHAnsi" w:hAnsiTheme="minorHAnsi"/>
          <w:color w:val="auto"/>
          <w:sz w:val="24"/>
          <w:lang w:val="fr-CH"/>
        </w:rPr>
        <w:t>:1726-33</w:t>
      </w:r>
      <w:r w:rsidR="00E11EF1" w:rsidRPr="00685573">
        <w:rPr>
          <w:rFonts w:asciiTheme="minorHAnsi" w:hAnsiTheme="minorHAnsi"/>
          <w:color w:val="auto"/>
          <w:sz w:val="24"/>
        </w:rPr>
        <w:t xml:space="preserve">. </w:t>
      </w:r>
      <w:hyperlink r:id="rId8" w:history="1">
        <w:r w:rsidR="00E02E41" w:rsidRPr="00685573">
          <w:rPr>
            <w:rStyle w:val="Hyperlink"/>
            <w:rFonts w:asciiTheme="minorHAnsi" w:hAnsiTheme="minorHAnsi"/>
            <w:sz w:val="24"/>
          </w:rPr>
          <w:t>https://doi.org/10.1007/s00198-006-0172-4</w:t>
        </w:r>
      </w:hyperlink>
      <w:r w:rsidR="00E02E41" w:rsidRPr="00685573">
        <w:rPr>
          <w:rFonts w:asciiTheme="minorHAnsi" w:hAnsiTheme="minorHAnsi"/>
          <w:color w:val="auto"/>
          <w:sz w:val="24"/>
        </w:rPr>
        <w:t xml:space="preserve"> </w:t>
      </w:r>
    </w:p>
    <w:p w14:paraId="1BA285A8" w14:textId="5C25C4A2" w:rsidR="00AA60BF" w:rsidRPr="00685573" w:rsidRDefault="009700F0" w:rsidP="00E02E41">
      <w:pPr>
        <w:pStyle w:val="ListParagraph"/>
        <w:numPr>
          <w:ilvl w:val="0"/>
          <w:numId w:val="27"/>
        </w:numPr>
        <w:spacing w:line="360" w:lineRule="auto"/>
        <w:jc w:val="both"/>
        <w:rPr>
          <w:rFonts w:asciiTheme="minorHAnsi" w:hAnsiTheme="minorHAnsi" w:cs="Arial"/>
          <w:color w:val="auto"/>
          <w:sz w:val="24"/>
        </w:rPr>
      </w:pPr>
      <w:r w:rsidRPr="00685573">
        <w:rPr>
          <w:rFonts w:asciiTheme="minorHAnsi" w:hAnsiTheme="minorHAnsi" w:cs="Arial"/>
          <w:color w:val="auto"/>
          <w:sz w:val="24"/>
          <w:lang w:val="en-US" w:eastAsia="en-GB"/>
        </w:rPr>
        <w:t>Lindsay R, Watts NB, Lange JL, Delma</w:t>
      </w:r>
      <w:r w:rsidR="00E02E41" w:rsidRPr="00685573">
        <w:rPr>
          <w:rFonts w:asciiTheme="minorHAnsi" w:hAnsiTheme="minorHAnsi" w:cs="Arial"/>
          <w:color w:val="auto"/>
          <w:sz w:val="24"/>
          <w:lang w:val="en-US" w:eastAsia="en-GB"/>
        </w:rPr>
        <w:t>s P</w:t>
      </w:r>
      <w:r w:rsidRPr="00685573">
        <w:rPr>
          <w:rFonts w:asciiTheme="minorHAnsi" w:hAnsiTheme="minorHAnsi" w:cs="Arial"/>
          <w:color w:val="auto"/>
          <w:sz w:val="24"/>
          <w:lang w:val="en-US" w:eastAsia="en-GB"/>
        </w:rPr>
        <w:t>D</w:t>
      </w:r>
      <w:r w:rsidR="00E02E41" w:rsidRPr="00685573">
        <w:rPr>
          <w:rFonts w:asciiTheme="minorHAnsi" w:hAnsiTheme="minorHAnsi" w:cs="Arial"/>
          <w:color w:val="auto"/>
          <w:sz w:val="24"/>
          <w:lang w:val="en-US" w:eastAsia="en-GB"/>
        </w:rPr>
        <w:t xml:space="preserve">, </w:t>
      </w:r>
      <w:r w:rsidRPr="00685573">
        <w:rPr>
          <w:rFonts w:asciiTheme="minorHAnsi" w:hAnsiTheme="minorHAnsi" w:cs="Arial"/>
          <w:color w:val="auto"/>
          <w:sz w:val="24"/>
          <w:lang w:val="en-US" w:eastAsia="en-GB"/>
        </w:rPr>
        <w:t xml:space="preserve">Silverman SL (2013). Effectiveness of risedronate and alendronate on nonvertebral fractures: an observational study through 2 years of therapy. </w:t>
      </w:r>
      <w:r w:rsidRPr="00685573">
        <w:rPr>
          <w:rFonts w:asciiTheme="minorHAnsi" w:hAnsiTheme="minorHAnsi" w:cs="Arial"/>
          <w:iCs/>
          <w:color w:val="auto"/>
          <w:sz w:val="24"/>
          <w:lang w:val="en-US" w:eastAsia="en-GB"/>
        </w:rPr>
        <w:t>Osteoporos Int</w:t>
      </w:r>
      <w:r w:rsidRPr="00685573">
        <w:rPr>
          <w:rFonts w:asciiTheme="minorHAnsi" w:hAnsiTheme="minorHAnsi" w:cs="Arial"/>
          <w:i/>
          <w:iCs/>
          <w:color w:val="auto"/>
          <w:sz w:val="24"/>
          <w:lang w:val="en-US" w:eastAsia="en-GB"/>
        </w:rPr>
        <w:t xml:space="preserve"> </w:t>
      </w:r>
      <w:r w:rsidRPr="00685573">
        <w:rPr>
          <w:rFonts w:asciiTheme="minorHAnsi" w:hAnsiTheme="minorHAnsi" w:cs="Arial"/>
          <w:bCs/>
          <w:color w:val="auto"/>
          <w:sz w:val="24"/>
          <w:lang w:val="en-US" w:eastAsia="en-GB"/>
        </w:rPr>
        <w:t>24</w:t>
      </w:r>
      <w:r w:rsidRPr="00685573">
        <w:rPr>
          <w:rFonts w:asciiTheme="minorHAnsi" w:hAnsiTheme="minorHAnsi" w:cs="Arial"/>
          <w:color w:val="auto"/>
          <w:sz w:val="24"/>
          <w:lang w:val="en-US" w:eastAsia="en-GB"/>
        </w:rPr>
        <w:t>(8):2345-2352</w:t>
      </w:r>
      <w:r w:rsidR="00E02E41" w:rsidRPr="00685573">
        <w:rPr>
          <w:rFonts w:asciiTheme="minorHAnsi" w:hAnsiTheme="minorHAnsi" w:cs="Arial"/>
          <w:color w:val="auto"/>
          <w:sz w:val="24"/>
          <w:lang w:val="en-US" w:eastAsia="en-GB"/>
        </w:rPr>
        <w:t xml:space="preserve">. </w:t>
      </w:r>
      <w:hyperlink r:id="rId9" w:history="1">
        <w:r w:rsidR="00E02E41" w:rsidRPr="00685573">
          <w:rPr>
            <w:rStyle w:val="Hyperlink"/>
            <w:rFonts w:asciiTheme="minorHAnsi" w:hAnsiTheme="minorHAnsi" w:cs="Arial"/>
            <w:sz w:val="24"/>
            <w:lang w:val="en-US" w:eastAsia="en-GB"/>
          </w:rPr>
          <w:t>https://doi.org/10.1007/s00198-006-0274-z</w:t>
        </w:r>
      </w:hyperlink>
      <w:r w:rsidR="00E02E41" w:rsidRPr="00685573">
        <w:rPr>
          <w:rFonts w:asciiTheme="minorHAnsi" w:hAnsiTheme="minorHAnsi" w:cs="Arial"/>
          <w:color w:val="auto"/>
          <w:sz w:val="24"/>
          <w:lang w:val="en-US" w:eastAsia="en-GB"/>
        </w:rPr>
        <w:t xml:space="preserve"> </w:t>
      </w:r>
    </w:p>
    <w:p w14:paraId="34142602" w14:textId="191713BF" w:rsidR="002A2AFF" w:rsidRPr="00685573" w:rsidRDefault="002A2AFF" w:rsidP="00E02E41">
      <w:pPr>
        <w:pStyle w:val="ListParagraph"/>
        <w:numPr>
          <w:ilvl w:val="0"/>
          <w:numId w:val="27"/>
        </w:numPr>
        <w:spacing w:line="360" w:lineRule="auto"/>
        <w:jc w:val="both"/>
        <w:rPr>
          <w:rFonts w:asciiTheme="minorHAnsi" w:hAnsiTheme="minorHAnsi" w:cs="Arial"/>
          <w:color w:val="auto"/>
          <w:sz w:val="24"/>
        </w:rPr>
      </w:pPr>
      <w:r w:rsidRPr="00685573">
        <w:rPr>
          <w:rFonts w:asciiTheme="minorHAnsi" w:hAnsiTheme="minorHAnsi"/>
          <w:color w:val="auto"/>
          <w:sz w:val="24"/>
          <w:lang w:val="en-US"/>
        </w:rPr>
        <w:t xml:space="preserve">Reyes C, Tebe C, Martinez-Laguna D, Ali MS, Soria-Castro A, Carbonell C, Prieto-Alhambra D (2017) One and two year persistence with different anti-osteoporosis medications: a retrospective cohort study. </w:t>
      </w:r>
      <w:r w:rsidRPr="00685573">
        <w:rPr>
          <w:rFonts w:asciiTheme="minorHAnsi" w:hAnsiTheme="minorHAnsi"/>
          <w:color w:val="auto"/>
          <w:sz w:val="24"/>
          <w:lang w:val="fr-CH"/>
        </w:rPr>
        <w:t>Osteoporos Int 28</w:t>
      </w:r>
      <w:r w:rsidR="00E02E41" w:rsidRPr="00685573">
        <w:rPr>
          <w:rFonts w:asciiTheme="minorHAnsi" w:hAnsiTheme="minorHAnsi"/>
          <w:color w:val="auto"/>
          <w:sz w:val="24"/>
          <w:lang w:val="fr-CH"/>
        </w:rPr>
        <w:t>(10)</w:t>
      </w:r>
      <w:r w:rsidRPr="00685573">
        <w:rPr>
          <w:rFonts w:asciiTheme="minorHAnsi" w:hAnsiTheme="minorHAnsi"/>
          <w:color w:val="auto"/>
          <w:sz w:val="24"/>
          <w:lang w:val="fr-CH"/>
        </w:rPr>
        <w:t>:2997-3004</w:t>
      </w:r>
      <w:r w:rsidR="00E02E41" w:rsidRPr="00685573">
        <w:rPr>
          <w:rFonts w:asciiTheme="minorHAnsi" w:hAnsiTheme="minorHAnsi"/>
          <w:color w:val="auto"/>
          <w:sz w:val="24"/>
          <w:lang w:val="fr-CH"/>
        </w:rPr>
        <w:t xml:space="preserve">. </w:t>
      </w:r>
      <w:hyperlink r:id="rId10" w:history="1">
        <w:r w:rsidR="00E02E41" w:rsidRPr="00685573">
          <w:rPr>
            <w:rStyle w:val="Hyperlink"/>
            <w:rFonts w:asciiTheme="minorHAnsi" w:hAnsiTheme="minorHAnsi"/>
            <w:sz w:val="24"/>
            <w:lang w:val="fr-CH"/>
          </w:rPr>
          <w:t>https://doi.org/10.1007/s00198-017-4144-7</w:t>
        </w:r>
      </w:hyperlink>
      <w:r w:rsidR="00E02E41" w:rsidRPr="00685573">
        <w:rPr>
          <w:rFonts w:asciiTheme="minorHAnsi" w:hAnsiTheme="minorHAnsi"/>
          <w:color w:val="auto"/>
          <w:sz w:val="24"/>
          <w:lang w:val="fr-CH"/>
        </w:rPr>
        <w:t xml:space="preserve"> </w:t>
      </w:r>
    </w:p>
    <w:p w14:paraId="1A17E0B0" w14:textId="0C08832B" w:rsidR="00E11EF1" w:rsidRPr="00685573" w:rsidRDefault="002A2AFF" w:rsidP="008A29A0">
      <w:pPr>
        <w:pStyle w:val="ListParagraph"/>
        <w:numPr>
          <w:ilvl w:val="0"/>
          <w:numId w:val="27"/>
        </w:numPr>
        <w:spacing w:line="360" w:lineRule="auto"/>
        <w:jc w:val="both"/>
        <w:rPr>
          <w:rFonts w:asciiTheme="minorHAnsi" w:hAnsiTheme="minorHAnsi" w:cs="Arial"/>
          <w:color w:val="auto"/>
          <w:sz w:val="24"/>
        </w:rPr>
      </w:pPr>
      <w:r w:rsidRPr="00685573">
        <w:rPr>
          <w:rFonts w:asciiTheme="minorHAnsi" w:hAnsiTheme="minorHAnsi"/>
          <w:color w:val="auto"/>
          <w:sz w:val="24"/>
          <w:lang w:val="en-US"/>
        </w:rPr>
        <w:t xml:space="preserve">Roerholt C, Eiken P, Abrahamsen B (2009) Initiation of anti-osteoporotic therapy in patients with recent fractures: A nationwide analysis of prescription rates and persistence. </w:t>
      </w:r>
      <w:r w:rsidRPr="00685573">
        <w:rPr>
          <w:rFonts w:asciiTheme="minorHAnsi" w:hAnsiTheme="minorHAnsi"/>
          <w:color w:val="auto"/>
          <w:sz w:val="24"/>
          <w:lang w:val="fr-CH"/>
        </w:rPr>
        <w:t>Osteoporos Int 20</w:t>
      </w:r>
      <w:r w:rsidR="008A29A0" w:rsidRPr="00685573">
        <w:rPr>
          <w:rFonts w:asciiTheme="minorHAnsi" w:hAnsiTheme="minorHAnsi"/>
          <w:color w:val="auto"/>
          <w:sz w:val="24"/>
          <w:lang w:val="fr-CH"/>
        </w:rPr>
        <w:t>(2)</w:t>
      </w:r>
      <w:r w:rsidRPr="00685573">
        <w:rPr>
          <w:rFonts w:asciiTheme="minorHAnsi" w:hAnsiTheme="minorHAnsi"/>
          <w:color w:val="auto"/>
          <w:sz w:val="24"/>
          <w:lang w:val="fr-CH"/>
        </w:rPr>
        <w:t>:299-307</w:t>
      </w:r>
      <w:r w:rsidR="008A29A0" w:rsidRPr="00685573">
        <w:rPr>
          <w:rFonts w:asciiTheme="minorHAnsi" w:hAnsiTheme="minorHAnsi"/>
          <w:color w:val="auto"/>
          <w:sz w:val="24"/>
        </w:rPr>
        <w:t xml:space="preserve">. </w:t>
      </w:r>
      <w:hyperlink r:id="rId11" w:history="1">
        <w:r w:rsidR="008A29A0" w:rsidRPr="00685573">
          <w:rPr>
            <w:rStyle w:val="Hyperlink"/>
            <w:rFonts w:asciiTheme="minorHAnsi" w:hAnsiTheme="minorHAnsi"/>
            <w:sz w:val="24"/>
          </w:rPr>
          <w:t>https://doi.org/10.1007/s00198-008-0651-x</w:t>
        </w:r>
      </w:hyperlink>
      <w:r w:rsidR="008A29A0" w:rsidRPr="00685573">
        <w:rPr>
          <w:rFonts w:asciiTheme="minorHAnsi" w:hAnsiTheme="minorHAnsi"/>
          <w:color w:val="auto"/>
          <w:sz w:val="24"/>
        </w:rPr>
        <w:t xml:space="preserve"> </w:t>
      </w:r>
    </w:p>
    <w:p w14:paraId="65A95BC5" w14:textId="11454D4F" w:rsidR="003613DA" w:rsidRPr="00685573" w:rsidRDefault="003613DA" w:rsidP="008A29A0">
      <w:pPr>
        <w:pStyle w:val="ListParagraph"/>
        <w:numPr>
          <w:ilvl w:val="0"/>
          <w:numId w:val="27"/>
        </w:numPr>
        <w:spacing w:line="360" w:lineRule="auto"/>
        <w:jc w:val="both"/>
        <w:rPr>
          <w:rFonts w:asciiTheme="minorHAnsi" w:hAnsiTheme="minorHAnsi" w:cs="Arial"/>
          <w:color w:val="auto"/>
          <w:sz w:val="24"/>
        </w:rPr>
      </w:pPr>
      <w:r w:rsidRPr="00685573">
        <w:rPr>
          <w:rFonts w:asciiTheme="minorHAnsi" w:hAnsiTheme="minorHAnsi" w:cs="Arial"/>
          <w:color w:val="auto"/>
          <w:sz w:val="24"/>
          <w:lang w:val="fr-CH"/>
        </w:rPr>
        <w:t>Silverman SL, Adachi JD, Dennison E</w:t>
      </w:r>
      <w:r w:rsidR="008A29A0" w:rsidRPr="00685573">
        <w:rPr>
          <w:rFonts w:asciiTheme="minorHAnsi" w:hAnsiTheme="minorHAnsi" w:cs="Arial"/>
          <w:color w:val="auto"/>
          <w:sz w:val="24"/>
          <w:lang w:val="fr-CH"/>
        </w:rPr>
        <w:t>, et al.</w:t>
      </w:r>
      <w:r w:rsidRPr="00685573">
        <w:rPr>
          <w:rFonts w:asciiTheme="minorHAnsi" w:hAnsiTheme="minorHAnsi" w:cs="Arial"/>
          <w:color w:val="auto"/>
          <w:sz w:val="24"/>
          <w:lang w:val="fr-CH"/>
        </w:rPr>
        <w:t xml:space="preserve"> </w:t>
      </w:r>
      <w:r w:rsidRPr="00685573">
        <w:rPr>
          <w:rFonts w:asciiTheme="minorHAnsi" w:hAnsiTheme="minorHAnsi" w:cs="Arial"/>
          <w:color w:val="auto"/>
          <w:sz w:val="24"/>
        </w:rPr>
        <w:t xml:space="preserve">(2016) Bisphosphonate drug holidays: we reap what we sow.  Osteoporos Int.  27(3):849-852. </w:t>
      </w:r>
      <w:hyperlink r:id="rId12" w:history="1">
        <w:r w:rsidR="008A29A0" w:rsidRPr="00685573">
          <w:rPr>
            <w:rStyle w:val="Hyperlink"/>
            <w:rFonts w:asciiTheme="minorHAnsi" w:hAnsiTheme="minorHAnsi" w:cs="Arial"/>
            <w:sz w:val="24"/>
          </w:rPr>
          <w:t>https://doi.org/10.1007/s00198-015-3453-y</w:t>
        </w:r>
      </w:hyperlink>
      <w:r w:rsidR="008A29A0" w:rsidRPr="00685573">
        <w:rPr>
          <w:rFonts w:asciiTheme="minorHAnsi" w:hAnsiTheme="minorHAnsi" w:cs="Arial"/>
          <w:color w:val="auto"/>
          <w:sz w:val="24"/>
        </w:rPr>
        <w:t xml:space="preserve"> </w:t>
      </w:r>
    </w:p>
    <w:p w14:paraId="617D9781" w14:textId="39035CC7" w:rsidR="00E26F1F" w:rsidRPr="00685573" w:rsidRDefault="00C42B5F" w:rsidP="008A29A0">
      <w:pPr>
        <w:pStyle w:val="CommentText"/>
        <w:numPr>
          <w:ilvl w:val="0"/>
          <w:numId w:val="27"/>
        </w:numPr>
        <w:spacing w:after="60" w:line="360" w:lineRule="auto"/>
        <w:jc w:val="both"/>
        <w:rPr>
          <w:sz w:val="24"/>
          <w:szCs w:val="24"/>
          <w:lang w:val="en-US"/>
        </w:rPr>
      </w:pPr>
      <w:r w:rsidRPr="00685573">
        <w:rPr>
          <w:sz w:val="24"/>
          <w:szCs w:val="24"/>
          <w:lang w:val="en-US"/>
        </w:rPr>
        <w:t>Whittaker M, Guo J, Kehoe T et al (2012) Bisphosphonates for osteoporosis – where do we go from</w:t>
      </w:r>
      <w:r w:rsidR="0044100E" w:rsidRPr="00685573">
        <w:rPr>
          <w:sz w:val="24"/>
          <w:szCs w:val="24"/>
          <w:lang w:val="en-US"/>
        </w:rPr>
        <w:t xml:space="preserve"> here? N Engl J Med 366; 2048-</w:t>
      </w:r>
      <w:r w:rsidRPr="00685573">
        <w:rPr>
          <w:sz w:val="24"/>
          <w:szCs w:val="24"/>
          <w:lang w:val="en-US"/>
        </w:rPr>
        <w:t>51</w:t>
      </w:r>
      <w:r w:rsidR="0044100E" w:rsidRPr="00685573">
        <w:rPr>
          <w:sz w:val="24"/>
          <w:szCs w:val="24"/>
          <w:lang w:val="en-US"/>
        </w:rPr>
        <w:t xml:space="preserve">. </w:t>
      </w:r>
      <w:r w:rsidR="00AB1908" w:rsidRPr="00685573">
        <w:rPr>
          <w:sz w:val="24"/>
          <w:szCs w:val="24"/>
          <w:lang w:val="en-US"/>
        </w:rPr>
        <w:t xml:space="preserve"> </w:t>
      </w:r>
      <w:hyperlink r:id="rId13" w:history="1">
        <w:r w:rsidR="0044100E" w:rsidRPr="00685573">
          <w:rPr>
            <w:rStyle w:val="Hyperlink"/>
            <w:sz w:val="24"/>
            <w:szCs w:val="24"/>
            <w:lang w:val="en-US"/>
          </w:rPr>
          <w:t>https://</w:t>
        </w:r>
        <w:r w:rsidR="0044100E" w:rsidRPr="00685573">
          <w:rPr>
            <w:rStyle w:val="Hyperlink"/>
            <w:rFonts w:cs="Arial"/>
            <w:sz w:val="24"/>
            <w:szCs w:val="24"/>
            <w:shd w:val="clear" w:color="auto" w:fill="FFFFFF"/>
          </w:rPr>
          <w:t>doi.org/10.1056/NEJMp1202619</w:t>
        </w:r>
      </w:hyperlink>
      <w:r w:rsidR="0044100E" w:rsidRPr="00685573">
        <w:rPr>
          <w:rFonts w:cs="Arial"/>
          <w:color w:val="000000"/>
          <w:sz w:val="24"/>
          <w:szCs w:val="24"/>
          <w:shd w:val="clear" w:color="auto" w:fill="FFFFFF"/>
        </w:rPr>
        <w:t xml:space="preserve">  </w:t>
      </w:r>
    </w:p>
    <w:p w14:paraId="5DBE8A9E" w14:textId="3167A1B7" w:rsidR="00C42B5F" w:rsidRPr="00685573" w:rsidRDefault="00C42B5F" w:rsidP="008A29A0">
      <w:pPr>
        <w:pStyle w:val="CommentText"/>
        <w:numPr>
          <w:ilvl w:val="0"/>
          <w:numId w:val="27"/>
        </w:numPr>
        <w:spacing w:after="60" w:line="360" w:lineRule="auto"/>
        <w:jc w:val="both"/>
        <w:rPr>
          <w:sz w:val="24"/>
          <w:szCs w:val="24"/>
          <w:lang w:val="en-US"/>
        </w:rPr>
      </w:pPr>
      <w:r w:rsidRPr="00685573">
        <w:rPr>
          <w:sz w:val="24"/>
          <w:szCs w:val="24"/>
          <w:lang w:val="en-US"/>
        </w:rPr>
        <w:t>Anagnostis P, Paschou SA, Mintziori G, Ceausu I, Depypere H, Lambrinoudaki I, Mueck A, Perez-Lopez FR, Rees M, Senturk LM, Simoncini T, Stevenson JC, Stute P, Tremollieres FA, Goulis DG (2017) Drug holidays from bisphosphonates and denosumab in postmenopausal osteoporosis: EMAS position statement. Maturitas 101; 23030</w:t>
      </w:r>
      <w:r w:rsidR="0044100E" w:rsidRPr="00685573">
        <w:rPr>
          <w:sz w:val="24"/>
          <w:szCs w:val="24"/>
          <w:lang w:val="en-US"/>
        </w:rPr>
        <w:t xml:space="preserve">. </w:t>
      </w:r>
      <w:hyperlink r:id="rId14" w:history="1">
        <w:r w:rsidR="0044100E" w:rsidRPr="00685573">
          <w:rPr>
            <w:rStyle w:val="Hyperlink"/>
            <w:sz w:val="24"/>
            <w:szCs w:val="24"/>
            <w:lang w:val="en-US"/>
          </w:rPr>
          <w:t>https://</w:t>
        </w:r>
        <w:r w:rsidR="0044100E" w:rsidRPr="00685573">
          <w:rPr>
            <w:rStyle w:val="Hyperlink"/>
            <w:rFonts w:cs="Arial"/>
            <w:sz w:val="24"/>
            <w:szCs w:val="24"/>
            <w:shd w:val="clear" w:color="auto" w:fill="FFFFFF"/>
          </w:rPr>
          <w:t>doi.org/10.1016/j.maturitas.2017.04.008</w:t>
        </w:r>
      </w:hyperlink>
      <w:r w:rsidR="0044100E" w:rsidRPr="00685573">
        <w:rPr>
          <w:rFonts w:cs="Arial"/>
          <w:color w:val="000000"/>
          <w:sz w:val="24"/>
          <w:szCs w:val="24"/>
          <w:shd w:val="clear" w:color="auto" w:fill="FFFFFF"/>
        </w:rPr>
        <w:t xml:space="preserve">  </w:t>
      </w:r>
    </w:p>
    <w:p w14:paraId="490C3560" w14:textId="38506891" w:rsidR="00DC3C39" w:rsidRPr="00685573" w:rsidRDefault="00AB1908" w:rsidP="0044100E">
      <w:pPr>
        <w:pStyle w:val="CommentText"/>
        <w:numPr>
          <w:ilvl w:val="0"/>
          <w:numId w:val="27"/>
        </w:numPr>
        <w:spacing w:after="60" w:line="360" w:lineRule="auto"/>
        <w:jc w:val="both"/>
        <w:rPr>
          <w:sz w:val="24"/>
          <w:szCs w:val="24"/>
          <w:lang w:val="en-US"/>
        </w:rPr>
      </w:pPr>
      <w:r w:rsidRPr="00685573">
        <w:rPr>
          <w:sz w:val="24"/>
          <w:szCs w:val="24"/>
          <w:lang w:val="en-US"/>
        </w:rPr>
        <w:t>Watts NB, Bilezikian JP, Camacho PM, Greenspan SL, Harris ST, Hodgson SF et al</w:t>
      </w:r>
      <w:r w:rsidR="0044100E" w:rsidRPr="00685573">
        <w:rPr>
          <w:sz w:val="24"/>
          <w:szCs w:val="24"/>
          <w:lang w:val="en-US"/>
        </w:rPr>
        <w:t xml:space="preserve">. </w:t>
      </w:r>
      <w:r w:rsidRPr="00685573">
        <w:rPr>
          <w:sz w:val="24"/>
          <w:szCs w:val="24"/>
          <w:lang w:val="en-US"/>
        </w:rPr>
        <w:t xml:space="preserve">(2010) American Association of Clinical Endocrinologists Medical Guidelines for Clinical Practice for the diagnosis and treatment of postmenopausal osteoporosis: </w:t>
      </w:r>
      <w:r w:rsidRPr="00685573">
        <w:rPr>
          <w:sz w:val="24"/>
          <w:szCs w:val="24"/>
          <w:lang w:val="en-US"/>
        </w:rPr>
        <w:lastRenderedPageBreak/>
        <w:t>executive summary of recommenda</w:t>
      </w:r>
      <w:r w:rsidR="0044100E" w:rsidRPr="00685573">
        <w:rPr>
          <w:sz w:val="24"/>
          <w:szCs w:val="24"/>
          <w:lang w:val="en-US"/>
        </w:rPr>
        <w:t>tions. Endocr Pract 16: 1016-</w:t>
      </w:r>
      <w:r w:rsidRPr="00685573">
        <w:rPr>
          <w:sz w:val="24"/>
          <w:szCs w:val="24"/>
          <w:lang w:val="en-US"/>
        </w:rPr>
        <w:t>9</w:t>
      </w:r>
      <w:r w:rsidR="0044100E" w:rsidRPr="00685573">
        <w:rPr>
          <w:sz w:val="24"/>
          <w:szCs w:val="24"/>
          <w:lang w:val="en-US"/>
        </w:rPr>
        <w:t xml:space="preserve">. </w:t>
      </w:r>
      <w:hyperlink r:id="rId15" w:history="1">
        <w:r w:rsidR="0044100E" w:rsidRPr="00685573">
          <w:rPr>
            <w:rStyle w:val="Hyperlink"/>
            <w:sz w:val="24"/>
            <w:szCs w:val="24"/>
            <w:lang w:val="en-US"/>
          </w:rPr>
          <w:t>https://doi.org/10.4158/EP.16.6.1016</w:t>
        </w:r>
      </w:hyperlink>
      <w:r w:rsidR="0044100E" w:rsidRPr="00685573">
        <w:rPr>
          <w:sz w:val="24"/>
          <w:szCs w:val="24"/>
          <w:lang w:val="en-US"/>
        </w:rPr>
        <w:t xml:space="preserve"> </w:t>
      </w:r>
    </w:p>
    <w:p w14:paraId="7468832E" w14:textId="28366D2B" w:rsidR="00DC3C39" w:rsidRPr="00685573" w:rsidRDefault="00AB1908" w:rsidP="008A29A0">
      <w:pPr>
        <w:pStyle w:val="CommentText"/>
        <w:numPr>
          <w:ilvl w:val="0"/>
          <w:numId w:val="27"/>
        </w:numPr>
        <w:spacing w:after="60" w:line="360" w:lineRule="auto"/>
        <w:jc w:val="both"/>
        <w:rPr>
          <w:sz w:val="24"/>
          <w:szCs w:val="24"/>
          <w:lang w:val="en-US"/>
        </w:rPr>
      </w:pPr>
      <w:r w:rsidRPr="00685573">
        <w:rPr>
          <w:sz w:val="24"/>
          <w:szCs w:val="24"/>
          <w:lang w:val="en-US"/>
        </w:rPr>
        <w:t>Shane E, Burr D, Ebeling PR, Abrahamsen B, Adler RA, Brown TD et al. American Society for Bone and Mineral Research (2010) Atypical subtrochanteric and diaphyseal femoral fractures: report of a task force of the American Society for Bone and Mineral Resea</w:t>
      </w:r>
      <w:r w:rsidR="0044100E" w:rsidRPr="00685573">
        <w:rPr>
          <w:sz w:val="24"/>
          <w:szCs w:val="24"/>
          <w:lang w:val="en-US"/>
        </w:rPr>
        <w:t xml:space="preserve">rch. J Bone Miner Res 25: 2267-94. </w:t>
      </w:r>
      <w:hyperlink r:id="rId16" w:history="1">
        <w:r w:rsidR="0044100E" w:rsidRPr="00685573">
          <w:rPr>
            <w:rStyle w:val="Hyperlink"/>
            <w:sz w:val="24"/>
            <w:szCs w:val="24"/>
            <w:lang w:val="en-US"/>
          </w:rPr>
          <w:t>https://</w:t>
        </w:r>
        <w:r w:rsidR="0044100E" w:rsidRPr="00685573">
          <w:rPr>
            <w:rStyle w:val="Hyperlink"/>
            <w:rFonts w:cs="Arial"/>
            <w:sz w:val="24"/>
            <w:szCs w:val="24"/>
            <w:shd w:val="clear" w:color="auto" w:fill="FFFFFF"/>
          </w:rPr>
          <w:t>doi.org/10.1002/jbmr.253</w:t>
        </w:r>
      </w:hyperlink>
      <w:r w:rsidR="0044100E" w:rsidRPr="00685573">
        <w:rPr>
          <w:rFonts w:cs="Arial"/>
          <w:color w:val="000000"/>
          <w:sz w:val="24"/>
          <w:szCs w:val="24"/>
          <w:shd w:val="clear" w:color="auto" w:fill="FFFFFF"/>
        </w:rPr>
        <w:t xml:space="preserve"> </w:t>
      </w:r>
    </w:p>
    <w:p w14:paraId="5F5E7F6B" w14:textId="765DE595" w:rsidR="004D0F1D" w:rsidRPr="00685573" w:rsidRDefault="004D0F1D" w:rsidP="008A29A0">
      <w:pPr>
        <w:pStyle w:val="CommentText"/>
        <w:numPr>
          <w:ilvl w:val="0"/>
          <w:numId w:val="27"/>
        </w:numPr>
        <w:spacing w:after="60" w:line="360" w:lineRule="auto"/>
        <w:jc w:val="both"/>
        <w:rPr>
          <w:sz w:val="24"/>
          <w:szCs w:val="24"/>
          <w:lang w:val="en-US"/>
        </w:rPr>
      </w:pPr>
      <w:r w:rsidRPr="00685573">
        <w:rPr>
          <w:sz w:val="24"/>
          <w:szCs w:val="24"/>
        </w:rPr>
        <w:t>Adler RA, El-Hajj Fuleihan G, Bauer DC, Camacho PM, Clarke BL, Clines GA, Compston JE, Drake MT, Edwards BJ, Favus MJ, Greenspan SL, McKinney R Jr, Pignolo RJ, Sellmeyer DE (2016) Managing Osteoporosis in Patients on Long-Term Bisphosphonate Treatment: Report of a Task Force of the American Society for Bone and Mineral Research. J Bone Miner Res. 31:16-35</w:t>
      </w:r>
      <w:r w:rsidR="008A29A0" w:rsidRPr="00685573">
        <w:rPr>
          <w:sz w:val="24"/>
          <w:szCs w:val="24"/>
        </w:rPr>
        <w:t xml:space="preserve">. </w:t>
      </w:r>
      <w:hyperlink r:id="rId17" w:history="1">
        <w:r w:rsidR="008A29A0" w:rsidRPr="00685573">
          <w:rPr>
            <w:rStyle w:val="Hyperlink"/>
            <w:sz w:val="24"/>
            <w:szCs w:val="24"/>
          </w:rPr>
          <w:t>https://doi.org/10.1002/jbmr.2708</w:t>
        </w:r>
      </w:hyperlink>
      <w:r w:rsidR="008A29A0" w:rsidRPr="00685573">
        <w:rPr>
          <w:sz w:val="24"/>
          <w:szCs w:val="24"/>
        </w:rPr>
        <w:t xml:space="preserve"> </w:t>
      </w:r>
    </w:p>
    <w:p w14:paraId="5410880A" w14:textId="44AABC49" w:rsidR="003D769A" w:rsidRPr="00685573" w:rsidRDefault="003D769A" w:rsidP="008A29A0">
      <w:pPr>
        <w:pStyle w:val="ListParagraph"/>
        <w:numPr>
          <w:ilvl w:val="0"/>
          <w:numId w:val="27"/>
        </w:numPr>
        <w:spacing w:line="360" w:lineRule="auto"/>
        <w:jc w:val="both"/>
        <w:rPr>
          <w:rFonts w:asciiTheme="minorHAnsi" w:hAnsiTheme="minorHAnsi"/>
          <w:color w:val="auto"/>
          <w:sz w:val="24"/>
        </w:rPr>
      </w:pPr>
      <w:r w:rsidRPr="00685573">
        <w:rPr>
          <w:rFonts w:asciiTheme="minorHAnsi" w:hAnsiTheme="minorHAnsi"/>
          <w:color w:val="auto"/>
          <w:sz w:val="24"/>
        </w:rPr>
        <w:t xml:space="preserve">Compston J, Cooper A, Cooper C, Gittoes N, Gregson C, Harvey N,Hope S, Kanis JA, McCloskey EV, Poole KES, Reid DM, Selby P, Thompson F, Thurston A, Vine N; </w:t>
      </w:r>
      <w:r w:rsidR="008A29A0" w:rsidRPr="00685573">
        <w:rPr>
          <w:rFonts w:asciiTheme="minorHAnsi" w:hAnsiTheme="minorHAnsi"/>
          <w:color w:val="auto"/>
          <w:sz w:val="24"/>
        </w:rPr>
        <w:t>et al.</w:t>
      </w:r>
      <w:r w:rsidRPr="00685573">
        <w:rPr>
          <w:rFonts w:asciiTheme="minorHAnsi" w:hAnsiTheme="minorHAnsi"/>
          <w:color w:val="auto"/>
          <w:sz w:val="24"/>
        </w:rPr>
        <w:t xml:space="preserve"> (2017) UK clinical guideline for the prevention and treatment of osteoporosis.</w:t>
      </w:r>
      <w:r w:rsidR="008A29A0" w:rsidRPr="00685573">
        <w:rPr>
          <w:rFonts w:asciiTheme="minorHAnsi" w:hAnsiTheme="minorHAnsi"/>
          <w:color w:val="auto"/>
          <w:sz w:val="24"/>
        </w:rPr>
        <w:t xml:space="preserve"> </w:t>
      </w:r>
      <w:r w:rsidRPr="00685573">
        <w:rPr>
          <w:rFonts w:asciiTheme="minorHAnsi" w:hAnsiTheme="minorHAnsi"/>
          <w:color w:val="auto"/>
          <w:sz w:val="24"/>
        </w:rPr>
        <w:t xml:space="preserve">Arch Osteoporos 12(1):43. </w:t>
      </w:r>
      <w:r w:rsidR="008A29A0" w:rsidRPr="00685573">
        <w:t xml:space="preserve"> </w:t>
      </w:r>
      <w:hyperlink r:id="rId18" w:history="1">
        <w:r w:rsidR="008A29A0" w:rsidRPr="00685573">
          <w:rPr>
            <w:rStyle w:val="Hyperlink"/>
            <w:rFonts w:ascii="Calibri" w:hAnsi="Calibri"/>
            <w:sz w:val="24"/>
          </w:rPr>
          <w:t>https://doi.org/10.1007/s11657-017-0324-5</w:t>
        </w:r>
      </w:hyperlink>
      <w:r w:rsidR="008A29A0" w:rsidRPr="00685573">
        <w:t xml:space="preserve"> </w:t>
      </w:r>
    </w:p>
    <w:p w14:paraId="67FA6C88" w14:textId="649FAC43" w:rsidR="002A2AFF" w:rsidRPr="00685573" w:rsidRDefault="00C42B5F" w:rsidP="00B57CBA">
      <w:pPr>
        <w:pStyle w:val="ListParagraph"/>
        <w:numPr>
          <w:ilvl w:val="0"/>
          <w:numId w:val="27"/>
        </w:numPr>
        <w:spacing w:line="360" w:lineRule="auto"/>
        <w:jc w:val="both"/>
        <w:rPr>
          <w:rFonts w:asciiTheme="minorHAnsi" w:hAnsiTheme="minorHAnsi"/>
          <w:color w:val="auto"/>
          <w:sz w:val="24"/>
        </w:rPr>
      </w:pPr>
      <w:r w:rsidRPr="00685573">
        <w:rPr>
          <w:rFonts w:asciiTheme="minorHAnsi" w:hAnsiTheme="minorHAnsi"/>
          <w:color w:val="auto"/>
          <w:sz w:val="24"/>
        </w:rPr>
        <w:t xml:space="preserve">Rabar S, Lau R, O’Flynn N, Li L, Barry P; Guideline Development Group (2012) Risk assessment of fragility fractures: summary of NICE guidance. BMJ 2012 Aug 8; 345:e3698 </w:t>
      </w:r>
      <w:hyperlink r:id="rId19" w:history="1">
        <w:r w:rsidR="00E064A5" w:rsidRPr="00685573">
          <w:rPr>
            <w:rStyle w:val="Hyperlink"/>
            <w:rFonts w:asciiTheme="minorHAnsi" w:hAnsiTheme="minorHAnsi"/>
            <w:sz w:val="24"/>
          </w:rPr>
          <w:t>https://doi/10.1136/bmj.e3698</w:t>
        </w:r>
      </w:hyperlink>
      <w:r w:rsidR="00E064A5" w:rsidRPr="00685573">
        <w:rPr>
          <w:rFonts w:asciiTheme="minorHAnsi" w:hAnsiTheme="minorHAnsi"/>
          <w:color w:val="auto"/>
          <w:sz w:val="24"/>
        </w:rPr>
        <w:t xml:space="preserve"> </w:t>
      </w:r>
    </w:p>
    <w:p w14:paraId="7AEACA66" w14:textId="54B396C1" w:rsidR="00C56A52" w:rsidRPr="00685573" w:rsidRDefault="00C56A52" w:rsidP="008943BB">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Bianchi G, Czerwinski E, Kenwright A, Burdeska A, Recker RR</w:t>
      </w:r>
      <w:r w:rsidR="00DB273D"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Felsenberg D (2012) Long-term administration of quarterly IV ibandronate is effective and well tolerated in postmenopausal osteoporosis: 5-year data from the DIVA study long-term extension. </w:t>
      </w:r>
      <w:r w:rsidRPr="00685573">
        <w:rPr>
          <w:rFonts w:asciiTheme="minorHAnsi" w:hAnsiTheme="minorHAnsi" w:cs="Arial"/>
          <w:iCs/>
          <w:color w:val="auto"/>
          <w:sz w:val="24"/>
          <w:lang w:val="en-US"/>
        </w:rPr>
        <w:t>Osteoporos Int</w:t>
      </w:r>
      <w:r w:rsidRPr="00685573">
        <w:rPr>
          <w:rFonts w:asciiTheme="minorHAnsi" w:hAnsiTheme="minorHAnsi" w:cs="Arial"/>
          <w:i/>
          <w:iCs/>
          <w:color w:val="auto"/>
          <w:sz w:val="24"/>
          <w:lang w:val="en-US"/>
        </w:rPr>
        <w:t xml:space="preserve"> </w:t>
      </w:r>
      <w:r w:rsidRPr="00685573">
        <w:rPr>
          <w:rFonts w:asciiTheme="minorHAnsi" w:hAnsiTheme="minorHAnsi" w:cs="Arial"/>
          <w:bCs/>
          <w:color w:val="auto"/>
          <w:sz w:val="24"/>
          <w:lang w:val="en-US"/>
        </w:rPr>
        <w:t>23</w:t>
      </w:r>
      <w:r w:rsidRPr="00685573">
        <w:rPr>
          <w:rFonts w:asciiTheme="minorHAnsi" w:hAnsiTheme="minorHAnsi" w:cs="Arial"/>
          <w:color w:val="auto"/>
          <w:sz w:val="24"/>
          <w:lang w:val="en-US"/>
        </w:rPr>
        <w:t>(6):1769-1778.</w:t>
      </w:r>
      <w:r w:rsidR="008943BB" w:rsidRPr="00685573">
        <w:rPr>
          <w:rFonts w:asciiTheme="minorHAnsi" w:hAnsiTheme="minorHAnsi" w:cs="Arial"/>
          <w:color w:val="auto"/>
          <w:sz w:val="24"/>
          <w:lang w:val="en-US"/>
        </w:rPr>
        <w:t xml:space="preserve"> </w:t>
      </w:r>
      <w:hyperlink r:id="rId20" w:history="1">
        <w:r w:rsidR="00C42B5F" w:rsidRPr="00685573">
          <w:rPr>
            <w:rStyle w:val="Hyperlink"/>
            <w:rFonts w:asciiTheme="minorHAnsi" w:hAnsiTheme="minorHAnsi" w:cs="Arial"/>
            <w:sz w:val="24"/>
            <w:lang w:val="en-US"/>
          </w:rPr>
          <w:t>https://doi.org/10.1007/s00198-011-1793-9</w:t>
        </w:r>
      </w:hyperlink>
      <w:r w:rsidR="008943BB" w:rsidRPr="00685573">
        <w:rPr>
          <w:rFonts w:asciiTheme="minorHAnsi" w:hAnsiTheme="minorHAnsi" w:cs="Arial"/>
          <w:color w:val="auto"/>
          <w:sz w:val="24"/>
          <w:lang w:val="en-US"/>
        </w:rPr>
        <w:t xml:space="preserve"> </w:t>
      </w:r>
    </w:p>
    <w:p w14:paraId="362F5A6A" w14:textId="1051E8CE" w:rsidR="00C56A52" w:rsidRPr="00685573" w:rsidRDefault="00C56A52" w:rsidP="00DB273D">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Black DM, Boonen S, Cauley JA, Cummings</w:t>
      </w:r>
      <w:r w:rsidR="00DB273D" w:rsidRPr="00685573">
        <w:rPr>
          <w:rFonts w:asciiTheme="minorHAnsi" w:hAnsiTheme="minorHAnsi" w:cs="Arial"/>
          <w:color w:val="auto"/>
          <w:sz w:val="24"/>
          <w:lang w:val="en-US"/>
        </w:rPr>
        <w:t xml:space="preserve"> </w:t>
      </w:r>
      <w:r w:rsidRPr="00685573">
        <w:rPr>
          <w:rFonts w:asciiTheme="minorHAnsi" w:hAnsiTheme="minorHAnsi" w:cs="Arial"/>
          <w:color w:val="auto"/>
          <w:sz w:val="24"/>
          <w:lang w:val="en-US"/>
        </w:rPr>
        <w:t>SR, Lippuner K, Leung PC, Martinez RLM, Ruzycky ME</w:t>
      </w:r>
      <w:r w:rsidR="00DB273D" w:rsidRPr="00685573">
        <w:rPr>
          <w:rFonts w:asciiTheme="minorHAnsi" w:hAnsiTheme="minorHAnsi" w:cs="Arial"/>
          <w:color w:val="auto"/>
          <w:sz w:val="24"/>
          <w:lang w:val="en-US"/>
        </w:rPr>
        <w:t xml:space="preserve">, </w:t>
      </w:r>
      <w:r w:rsidRPr="00685573">
        <w:rPr>
          <w:rFonts w:asciiTheme="minorHAnsi" w:hAnsiTheme="minorHAnsi" w:cs="Arial"/>
          <w:color w:val="auto"/>
          <w:sz w:val="24"/>
          <w:lang w:val="en-US"/>
        </w:rPr>
        <w:t xml:space="preserve">Eastell R (2012a) Erratum: The effect of 3 versus 6 years of Zoledronic acid treatment of osteoporosis: A randomized extension to the horizon-pivotal fracture trial (PFT). </w:t>
      </w:r>
      <w:r w:rsidR="00DB273D" w:rsidRPr="00685573">
        <w:rPr>
          <w:rFonts w:asciiTheme="minorHAnsi" w:hAnsiTheme="minorHAnsi" w:cs="Arial"/>
          <w:color w:val="auto"/>
          <w:sz w:val="24"/>
          <w:lang w:val="en-US"/>
        </w:rPr>
        <w:t>J Bone Miner Res</w:t>
      </w:r>
      <w:r w:rsidR="00DB273D" w:rsidRPr="00685573" w:rsidDel="00DB273D">
        <w:rPr>
          <w:rFonts w:asciiTheme="minorHAnsi" w:hAnsiTheme="minorHAnsi" w:cs="Arial"/>
          <w:color w:val="auto"/>
          <w:sz w:val="24"/>
          <w:lang w:val="en-US"/>
        </w:rPr>
        <w:t xml:space="preserve"> </w:t>
      </w:r>
      <w:r w:rsidRPr="00685573">
        <w:rPr>
          <w:rFonts w:asciiTheme="minorHAnsi" w:hAnsiTheme="minorHAnsi" w:cs="Arial"/>
          <w:bCs/>
          <w:color w:val="auto"/>
          <w:sz w:val="24"/>
          <w:lang w:val="en-US"/>
        </w:rPr>
        <w:t>27</w:t>
      </w:r>
      <w:r w:rsidRPr="00685573">
        <w:rPr>
          <w:rFonts w:asciiTheme="minorHAnsi" w:hAnsiTheme="minorHAnsi" w:cs="Arial"/>
          <w:color w:val="auto"/>
          <w:sz w:val="24"/>
          <w:lang w:val="en-US"/>
        </w:rPr>
        <w:t>(12):2612.</w:t>
      </w:r>
      <w:r w:rsidR="00DB273D" w:rsidRPr="00685573">
        <w:rPr>
          <w:rFonts w:asciiTheme="minorHAnsi" w:hAnsiTheme="minorHAnsi" w:cs="Arial"/>
          <w:color w:val="auto"/>
          <w:sz w:val="24"/>
          <w:lang w:val="en-US"/>
        </w:rPr>
        <w:t xml:space="preserve"> </w:t>
      </w:r>
      <w:hyperlink r:id="rId21" w:history="1">
        <w:r w:rsidR="00DB273D" w:rsidRPr="00685573">
          <w:rPr>
            <w:rStyle w:val="Hyperlink"/>
            <w:rFonts w:asciiTheme="minorHAnsi" w:hAnsiTheme="minorHAnsi" w:cs="Arial"/>
            <w:sz w:val="24"/>
            <w:lang w:val="en-US"/>
          </w:rPr>
          <w:t>https://doi.org/10.1002/jbmr.1494</w:t>
        </w:r>
      </w:hyperlink>
      <w:r w:rsidR="00DB273D" w:rsidRPr="00685573">
        <w:rPr>
          <w:rFonts w:asciiTheme="minorHAnsi" w:hAnsiTheme="minorHAnsi" w:cs="Arial"/>
          <w:color w:val="auto"/>
          <w:sz w:val="24"/>
          <w:lang w:val="en-US"/>
        </w:rPr>
        <w:t xml:space="preserve"> </w:t>
      </w:r>
    </w:p>
    <w:p w14:paraId="51AC6A60" w14:textId="3EEF9AD3" w:rsidR="00C56A52" w:rsidRPr="00685573" w:rsidRDefault="00C56A52" w:rsidP="00AC2BDA">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 xml:space="preserve">Black DM, Reid IR, Boonen S, Bucci-Rechtweg C, Cauley JA, Cosman F, Cummings </w:t>
      </w:r>
      <w:r w:rsidRPr="00685573">
        <w:rPr>
          <w:rFonts w:asciiTheme="minorHAnsi" w:hAnsiTheme="minorHAnsi" w:cs="Arial"/>
          <w:color w:val="auto"/>
          <w:sz w:val="24"/>
          <w:lang w:val="en-US"/>
        </w:rPr>
        <w:lastRenderedPageBreak/>
        <w:t>SR, Hue TF, Lippuner K, Lakatos P, Leung PC, Man Z, Martinez RLM, Tan M, Ruzycky ME, Su G</w:t>
      </w:r>
      <w:r w:rsidR="009B1C3A"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Eastell R (2012b) The effect of 3 versus 6 years of Zoledronic acid treatment of osteoporosis: A randomized extension to the HORIZON-Pivotal Fracture Trial (PFT). </w:t>
      </w:r>
      <w:r w:rsidR="009B1C3A" w:rsidRPr="00685573">
        <w:rPr>
          <w:rFonts w:asciiTheme="minorHAnsi" w:hAnsiTheme="minorHAnsi" w:cs="Arial"/>
          <w:color w:val="auto"/>
          <w:sz w:val="24"/>
          <w:lang w:val="en-US"/>
        </w:rPr>
        <w:t xml:space="preserve">J Bone Miner Res </w:t>
      </w:r>
      <w:r w:rsidRPr="00685573">
        <w:rPr>
          <w:rFonts w:asciiTheme="minorHAnsi" w:hAnsiTheme="minorHAnsi" w:cs="Arial"/>
          <w:bCs/>
          <w:color w:val="auto"/>
          <w:sz w:val="24"/>
          <w:lang w:val="en-US"/>
        </w:rPr>
        <w:t>27</w:t>
      </w:r>
      <w:r w:rsidRPr="00685573">
        <w:rPr>
          <w:rFonts w:asciiTheme="minorHAnsi" w:hAnsiTheme="minorHAnsi" w:cs="Arial"/>
          <w:color w:val="auto"/>
          <w:sz w:val="24"/>
          <w:lang w:val="en-US"/>
        </w:rPr>
        <w:t>(2):243-254.</w:t>
      </w:r>
      <w:r w:rsidR="009B1C3A" w:rsidRPr="00685573">
        <w:rPr>
          <w:rFonts w:asciiTheme="minorHAnsi" w:hAnsiTheme="minorHAnsi" w:cs="Arial"/>
          <w:color w:val="auto"/>
          <w:sz w:val="24"/>
          <w:lang w:val="en-US"/>
        </w:rPr>
        <w:t xml:space="preserve"> </w:t>
      </w:r>
      <w:hyperlink r:id="rId22" w:history="1">
        <w:r w:rsidR="00AC2BDA" w:rsidRPr="00685573">
          <w:rPr>
            <w:rStyle w:val="Hyperlink"/>
            <w:rFonts w:asciiTheme="minorHAnsi" w:hAnsiTheme="minorHAnsi" w:cs="Arial"/>
            <w:sz w:val="24"/>
            <w:lang w:val="en-US"/>
          </w:rPr>
          <w:t xml:space="preserve">https://doi.org/10.1002/jbmr.1494 </w:t>
        </w:r>
      </w:hyperlink>
      <w:r w:rsidR="00AC2BDA" w:rsidRPr="00685573">
        <w:rPr>
          <w:rFonts w:asciiTheme="minorHAnsi" w:hAnsiTheme="minorHAnsi" w:cs="Arial"/>
          <w:color w:val="auto"/>
          <w:sz w:val="24"/>
          <w:lang w:val="en-US"/>
        </w:rPr>
        <w:t xml:space="preserve"> </w:t>
      </w:r>
    </w:p>
    <w:p w14:paraId="5E79C4DB" w14:textId="403FBFDB" w:rsidR="00C56A52" w:rsidRPr="00685573" w:rsidRDefault="00C56A52" w:rsidP="00AC2BDA">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Black DM, Reid IR, Cauley JA, Cosman F, Leung PC, Lakatos P, Lippuner K, Cummings SR, Hue TF, Mukhopadhyay A, Tan M, Aftring RP</w:t>
      </w:r>
      <w:r w:rsidR="00AC2BDA"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Eastell R (2015) The effect of 6 versus 9 years of zoledronic acid treatment in osteoporosis: A randomized second extension to the HORIZON-pivotal fracture trial (PFT). </w:t>
      </w:r>
      <w:r w:rsidR="00AC2BDA" w:rsidRPr="00685573">
        <w:rPr>
          <w:rFonts w:asciiTheme="minorHAnsi" w:hAnsiTheme="minorHAnsi" w:cs="Arial"/>
          <w:color w:val="auto"/>
          <w:sz w:val="24"/>
          <w:lang w:val="en-US"/>
        </w:rPr>
        <w:t>J Bone Miner Res</w:t>
      </w:r>
      <w:r w:rsidRPr="00685573">
        <w:rPr>
          <w:rFonts w:asciiTheme="minorHAnsi" w:hAnsiTheme="minorHAnsi" w:cs="Arial"/>
          <w:i/>
          <w:iCs/>
          <w:color w:val="auto"/>
          <w:sz w:val="24"/>
          <w:lang w:val="en-US"/>
        </w:rPr>
        <w:t xml:space="preserve"> </w:t>
      </w:r>
      <w:r w:rsidRPr="00685573">
        <w:rPr>
          <w:rFonts w:asciiTheme="minorHAnsi" w:hAnsiTheme="minorHAnsi" w:cs="Arial"/>
          <w:bCs/>
          <w:color w:val="auto"/>
          <w:sz w:val="24"/>
          <w:lang w:val="en-US"/>
        </w:rPr>
        <w:t>30</w:t>
      </w:r>
      <w:r w:rsidRPr="00685573">
        <w:rPr>
          <w:rFonts w:asciiTheme="minorHAnsi" w:hAnsiTheme="minorHAnsi" w:cs="Arial"/>
          <w:color w:val="auto"/>
          <w:sz w:val="24"/>
          <w:lang w:val="en-US"/>
        </w:rPr>
        <w:t>(5): 934-944.</w:t>
      </w:r>
      <w:r w:rsidR="00AC2BDA" w:rsidRPr="00685573">
        <w:rPr>
          <w:rFonts w:asciiTheme="minorHAnsi" w:hAnsiTheme="minorHAnsi" w:cs="Arial"/>
          <w:color w:val="auto"/>
          <w:sz w:val="24"/>
          <w:lang w:val="en-US"/>
        </w:rPr>
        <w:t xml:space="preserve"> </w:t>
      </w:r>
      <w:hyperlink r:id="rId23" w:history="1">
        <w:r w:rsidR="00AC2BDA" w:rsidRPr="00685573">
          <w:rPr>
            <w:rStyle w:val="Hyperlink"/>
            <w:rFonts w:asciiTheme="minorHAnsi" w:hAnsiTheme="minorHAnsi" w:cs="Arial"/>
            <w:sz w:val="24"/>
            <w:lang w:val="en-US"/>
          </w:rPr>
          <w:t>https://doi.org/10.1002/jbmr.2442</w:t>
        </w:r>
      </w:hyperlink>
      <w:r w:rsidR="00AC2BDA" w:rsidRPr="00685573">
        <w:rPr>
          <w:rFonts w:asciiTheme="minorHAnsi" w:hAnsiTheme="minorHAnsi" w:cs="Arial"/>
          <w:color w:val="auto"/>
          <w:sz w:val="24"/>
          <w:lang w:val="en-US"/>
        </w:rPr>
        <w:t xml:space="preserve"> </w:t>
      </w:r>
    </w:p>
    <w:p w14:paraId="0081F98D" w14:textId="6D89B743" w:rsidR="00C56A52" w:rsidRPr="00685573" w:rsidRDefault="00C56A52" w:rsidP="00AC2BDA">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Bone HG, Bolognese MA, Yuen</w:t>
      </w:r>
      <w:r w:rsidR="00AC2BDA" w:rsidRPr="00685573">
        <w:rPr>
          <w:rFonts w:asciiTheme="minorHAnsi" w:hAnsiTheme="minorHAnsi" w:cs="Arial"/>
          <w:color w:val="auto"/>
          <w:sz w:val="24"/>
          <w:lang w:val="en-US"/>
        </w:rPr>
        <w:t xml:space="preserve">n </w:t>
      </w:r>
      <w:r w:rsidRPr="00685573">
        <w:rPr>
          <w:rFonts w:asciiTheme="minorHAnsi" w:hAnsiTheme="minorHAnsi" w:cs="Arial"/>
          <w:color w:val="auto"/>
          <w:sz w:val="24"/>
          <w:lang w:val="en-US"/>
        </w:rPr>
        <w:t>CK, Kendler DL, Miller PD, Yang YC, Grazette L, Martin JS</w:t>
      </w:r>
      <w:r w:rsidR="00AC2BDA"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Gallagher JC (2011) Effects of denosumab treatment and discontinuation on bone mineral density and bone turnover markers in postmenopausal women with low bone mass. </w:t>
      </w:r>
      <w:r w:rsidR="00AC2BDA" w:rsidRPr="00685573">
        <w:rPr>
          <w:rFonts w:asciiTheme="minorHAnsi" w:hAnsiTheme="minorHAnsi" w:cs="Arial"/>
          <w:color w:val="auto"/>
          <w:sz w:val="24"/>
          <w:lang w:val="en-US"/>
        </w:rPr>
        <w:t>J Clin Endocrinol Metab</w:t>
      </w:r>
      <w:r w:rsidRPr="00685573">
        <w:rPr>
          <w:rFonts w:asciiTheme="minorHAnsi" w:hAnsiTheme="minorHAnsi" w:cs="Arial"/>
          <w:i/>
          <w:iCs/>
          <w:color w:val="auto"/>
          <w:sz w:val="24"/>
          <w:lang w:val="en-US"/>
        </w:rPr>
        <w:t xml:space="preserve"> </w:t>
      </w:r>
      <w:r w:rsidRPr="00685573">
        <w:rPr>
          <w:rFonts w:asciiTheme="minorHAnsi" w:hAnsiTheme="minorHAnsi" w:cs="Arial"/>
          <w:bCs/>
          <w:color w:val="auto"/>
          <w:sz w:val="24"/>
          <w:lang w:val="en-US"/>
        </w:rPr>
        <w:t>96</w:t>
      </w:r>
      <w:r w:rsidRPr="00685573">
        <w:rPr>
          <w:rFonts w:asciiTheme="minorHAnsi" w:hAnsiTheme="minorHAnsi" w:cs="Arial"/>
          <w:color w:val="auto"/>
          <w:sz w:val="24"/>
          <w:lang w:val="en-US"/>
        </w:rPr>
        <w:t>(4):972-980.</w:t>
      </w:r>
      <w:r w:rsidR="00AC2BDA" w:rsidRPr="00685573">
        <w:rPr>
          <w:rFonts w:asciiTheme="minorHAnsi" w:hAnsiTheme="minorHAnsi" w:cs="Arial"/>
          <w:color w:val="auto"/>
          <w:sz w:val="24"/>
          <w:lang w:val="en-US"/>
        </w:rPr>
        <w:t xml:space="preserve"> </w:t>
      </w:r>
      <w:hyperlink r:id="rId24" w:history="1">
        <w:r w:rsidR="00AC2BDA" w:rsidRPr="00685573">
          <w:rPr>
            <w:rStyle w:val="Hyperlink"/>
            <w:rFonts w:asciiTheme="minorHAnsi" w:hAnsiTheme="minorHAnsi" w:cs="Arial"/>
            <w:sz w:val="24"/>
            <w:lang w:val="en-US"/>
          </w:rPr>
          <w:t>https://doi.org/10.1210/jc.2010-1502</w:t>
        </w:r>
      </w:hyperlink>
      <w:r w:rsidR="00AC2BDA" w:rsidRPr="00685573">
        <w:rPr>
          <w:rFonts w:asciiTheme="minorHAnsi" w:hAnsiTheme="minorHAnsi" w:cs="Arial"/>
          <w:color w:val="auto"/>
          <w:sz w:val="24"/>
          <w:lang w:val="en-US"/>
        </w:rPr>
        <w:t xml:space="preserve"> </w:t>
      </w:r>
    </w:p>
    <w:p w14:paraId="154F5098" w14:textId="75161348" w:rsidR="00C56A52" w:rsidRPr="00685573" w:rsidRDefault="00C56A52" w:rsidP="004564C6">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Bone HG</w:t>
      </w:r>
      <w:r w:rsidR="004564C6"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Chapurlat R, Brandi ML, Brown JP, Czerwinski E, Krieg MA, Mellstrom D, Radominski SC, Reginster JY, Resch H, Roman Ivorra JA, Roux C</w:t>
      </w:r>
      <w:r w:rsidR="004564C6"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Vittinghoff E, Daizadeh NS, Wang A, Bradley MN, Franchimont N, Geller ML, Wagman RB, Cummings</w:t>
      </w:r>
      <w:r w:rsidR="004564C6" w:rsidRPr="00685573">
        <w:rPr>
          <w:rFonts w:asciiTheme="minorHAnsi" w:hAnsiTheme="minorHAnsi" w:cs="Arial"/>
          <w:color w:val="auto"/>
          <w:sz w:val="24"/>
          <w:lang w:val="en-US"/>
        </w:rPr>
        <w:t xml:space="preserve"> </w:t>
      </w:r>
      <w:r w:rsidRPr="00685573">
        <w:rPr>
          <w:rFonts w:asciiTheme="minorHAnsi" w:hAnsiTheme="minorHAnsi" w:cs="Arial"/>
          <w:color w:val="auto"/>
          <w:sz w:val="24"/>
          <w:lang w:val="en-US"/>
        </w:rPr>
        <w:t>SR</w:t>
      </w:r>
      <w:r w:rsidR="004564C6"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Papapoulos S (2013) The effect of three or six years of denosumab exposure in women with postmenopausal osteoporosis: Results from the FREEDOM extension. </w:t>
      </w:r>
      <w:r w:rsidR="004564C6" w:rsidRPr="00685573">
        <w:rPr>
          <w:rFonts w:asciiTheme="minorHAnsi" w:hAnsiTheme="minorHAnsi" w:cs="Arial"/>
          <w:color w:val="auto"/>
          <w:sz w:val="24"/>
          <w:lang w:val="en-US"/>
        </w:rPr>
        <w:t xml:space="preserve">J Clin Endocrinol Metab </w:t>
      </w:r>
      <w:r w:rsidRPr="00685573">
        <w:rPr>
          <w:rFonts w:asciiTheme="minorHAnsi" w:hAnsiTheme="minorHAnsi" w:cs="Arial"/>
          <w:i/>
          <w:iCs/>
          <w:color w:val="auto"/>
          <w:sz w:val="24"/>
          <w:lang w:val="en-US"/>
        </w:rPr>
        <w:t xml:space="preserve"> </w:t>
      </w:r>
      <w:r w:rsidRPr="00685573">
        <w:rPr>
          <w:rFonts w:asciiTheme="minorHAnsi" w:hAnsiTheme="minorHAnsi" w:cs="Arial"/>
          <w:bCs/>
          <w:color w:val="auto"/>
          <w:sz w:val="24"/>
          <w:lang w:val="en-US"/>
        </w:rPr>
        <w:t>98</w:t>
      </w:r>
      <w:r w:rsidRPr="00685573">
        <w:rPr>
          <w:rFonts w:asciiTheme="minorHAnsi" w:hAnsiTheme="minorHAnsi" w:cs="Arial"/>
          <w:color w:val="auto"/>
          <w:sz w:val="24"/>
          <w:lang w:val="en-US"/>
        </w:rPr>
        <w:t>(11):4483-4492.</w:t>
      </w:r>
      <w:r w:rsidR="004564C6" w:rsidRPr="00685573">
        <w:rPr>
          <w:rFonts w:asciiTheme="minorHAnsi" w:hAnsiTheme="minorHAnsi" w:cs="Arial"/>
          <w:color w:val="auto"/>
          <w:sz w:val="24"/>
          <w:lang w:val="en-US"/>
        </w:rPr>
        <w:t xml:space="preserve"> </w:t>
      </w:r>
      <w:hyperlink r:id="rId25" w:history="1">
        <w:r w:rsidR="004564C6" w:rsidRPr="00685573">
          <w:rPr>
            <w:rStyle w:val="Hyperlink"/>
            <w:rFonts w:asciiTheme="minorHAnsi" w:hAnsiTheme="minorHAnsi" w:cs="Arial"/>
            <w:sz w:val="24"/>
            <w:lang w:val="en-US"/>
          </w:rPr>
          <w:t>https://doi.org/10.1210/jc.2013-1597</w:t>
        </w:r>
      </w:hyperlink>
      <w:r w:rsidR="004564C6" w:rsidRPr="00685573">
        <w:rPr>
          <w:rFonts w:asciiTheme="minorHAnsi" w:hAnsiTheme="minorHAnsi" w:cs="Arial"/>
          <w:color w:val="auto"/>
          <w:sz w:val="24"/>
          <w:lang w:val="en-US"/>
        </w:rPr>
        <w:t xml:space="preserve"> </w:t>
      </w:r>
    </w:p>
    <w:p w14:paraId="3759AADC" w14:textId="4F5A989E" w:rsidR="00C56A52" w:rsidRPr="00685573" w:rsidRDefault="00C56A52" w:rsidP="00A26282">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Borah B, Dufresne T, Nurre J, Phipps R, Chmielewski P, Wagner L, Lundy M, Bouxsein M, Zebaze R</w:t>
      </w:r>
      <w:r w:rsidR="00A014BF"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Seeman E (2010) Risedronate reduces intracortical porosity in women with osteoporosis. </w:t>
      </w:r>
      <w:r w:rsidR="00CD4A1C" w:rsidRPr="00685573">
        <w:rPr>
          <w:rFonts w:asciiTheme="minorHAnsi" w:hAnsiTheme="minorHAnsi" w:cs="Arial"/>
          <w:color w:val="auto"/>
          <w:sz w:val="24"/>
          <w:lang w:val="en-US"/>
        </w:rPr>
        <w:t xml:space="preserve">J Bone Miner Res </w:t>
      </w:r>
      <w:r w:rsidRPr="00685573">
        <w:rPr>
          <w:rFonts w:asciiTheme="minorHAnsi" w:hAnsiTheme="minorHAnsi" w:cs="Arial"/>
          <w:bCs/>
          <w:color w:val="auto"/>
          <w:sz w:val="24"/>
          <w:lang w:val="en-US"/>
        </w:rPr>
        <w:t>25</w:t>
      </w:r>
      <w:r w:rsidRPr="00685573">
        <w:rPr>
          <w:rFonts w:asciiTheme="minorHAnsi" w:hAnsiTheme="minorHAnsi" w:cs="Arial"/>
          <w:color w:val="auto"/>
          <w:sz w:val="24"/>
          <w:lang w:val="en-US"/>
        </w:rPr>
        <w:t>(1):41-47.</w:t>
      </w:r>
      <w:r w:rsidR="00A26282" w:rsidRPr="00685573">
        <w:rPr>
          <w:rFonts w:asciiTheme="minorHAnsi" w:hAnsiTheme="minorHAnsi" w:cs="Arial"/>
          <w:color w:val="auto"/>
          <w:sz w:val="24"/>
          <w:lang w:val="en-US"/>
        </w:rPr>
        <w:t xml:space="preserve"> </w:t>
      </w:r>
      <w:hyperlink r:id="rId26" w:history="1">
        <w:r w:rsidR="00A26282" w:rsidRPr="00685573">
          <w:rPr>
            <w:rStyle w:val="Hyperlink"/>
            <w:rFonts w:asciiTheme="minorHAnsi" w:hAnsiTheme="minorHAnsi" w:cs="Arial"/>
            <w:sz w:val="24"/>
            <w:lang w:val="en-US"/>
          </w:rPr>
          <w:t>https://doi.org/10.1359/jbmr.090711</w:t>
        </w:r>
      </w:hyperlink>
      <w:r w:rsidR="00A26282" w:rsidRPr="00685573">
        <w:rPr>
          <w:rFonts w:asciiTheme="minorHAnsi" w:hAnsiTheme="minorHAnsi" w:cs="Arial"/>
          <w:color w:val="auto"/>
          <w:sz w:val="24"/>
          <w:lang w:val="en-US"/>
        </w:rPr>
        <w:t xml:space="preserve"> </w:t>
      </w:r>
    </w:p>
    <w:p w14:paraId="05FC92E7" w14:textId="0FF2BA5F" w:rsidR="00C56A52" w:rsidRPr="00685573" w:rsidRDefault="00C56A52" w:rsidP="00A26282">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Brown JP, Reid IR, Wagman RB, Kendler D, Miller PD, Jensen JEB, Bolognese MA, Daizadeh N, Valter I, Zerbini CAF</w:t>
      </w:r>
      <w:r w:rsidR="00A26282"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Dempster DW (2014) Effects of Up to 5 years of denosumab treatment on bone histology and histomorphometry: The FREEDOM study extension. </w:t>
      </w:r>
      <w:r w:rsidR="00A26282" w:rsidRPr="00685573">
        <w:rPr>
          <w:rFonts w:asciiTheme="minorHAnsi" w:hAnsiTheme="minorHAnsi" w:cs="Arial"/>
          <w:color w:val="auto"/>
          <w:sz w:val="24"/>
          <w:lang w:val="en-US"/>
        </w:rPr>
        <w:t xml:space="preserve">J Bone Miner Res </w:t>
      </w:r>
      <w:r w:rsidRPr="00685573">
        <w:rPr>
          <w:rFonts w:asciiTheme="minorHAnsi" w:hAnsiTheme="minorHAnsi" w:cs="Arial"/>
          <w:bCs/>
          <w:color w:val="auto"/>
          <w:sz w:val="24"/>
          <w:lang w:val="en-US"/>
        </w:rPr>
        <w:t>29</w:t>
      </w:r>
      <w:r w:rsidRPr="00685573">
        <w:rPr>
          <w:rFonts w:asciiTheme="minorHAnsi" w:hAnsiTheme="minorHAnsi" w:cs="Arial"/>
          <w:color w:val="auto"/>
          <w:sz w:val="24"/>
          <w:lang w:val="en-US"/>
        </w:rPr>
        <w:t>(9):2051-2056.</w:t>
      </w:r>
      <w:r w:rsidR="00A26282" w:rsidRPr="00685573">
        <w:rPr>
          <w:rFonts w:asciiTheme="minorHAnsi" w:hAnsiTheme="minorHAnsi" w:cs="Arial"/>
          <w:color w:val="auto"/>
          <w:sz w:val="24"/>
          <w:lang w:val="en-US"/>
        </w:rPr>
        <w:t xml:space="preserve"> </w:t>
      </w:r>
      <w:hyperlink r:id="rId27" w:history="1">
        <w:r w:rsidR="00A26282" w:rsidRPr="00685573">
          <w:rPr>
            <w:rStyle w:val="Hyperlink"/>
            <w:rFonts w:asciiTheme="minorHAnsi" w:hAnsiTheme="minorHAnsi" w:cs="Arial"/>
            <w:sz w:val="24"/>
            <w:lang w:val="en-US"/>
          </w:rPr>
          <w:t>https://doi.org/10.1002/jbmr.2236</w:t>
        </w:r>
      </w:hyperlink>
      <w:r w:rsidR="00A26282" w:rsidRPr="00685573">
        <w:rPr>
          <w:rFonts w:asciiTheme="minorHAnsi" w:hAnsiTheme="minorHAnsi" w:cs="Arial"/>
          <w:color w:val="auto"/>
          <w:sz w:val="24"/>
          <w:lang w:val="en-US"/>
        </w:rPr>
        <w:t xml:space="preserve"> </w:t>
      </w:r>
    </w:p>
    <w:p w14:paraId="459C62F6" w14:textId="7D1A2702" w:rsidR="00C56A52" w:rsidRPr="00685573" w:rsidRDefault="00C56A52" w:rsidP="00A26282">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 xml:space="preserve">Brown JP, Roux C, Torring O, Ho PR, Beck Jensen JE, Gilchrist N, Recknor C, Austin </w:t>
      </w:r>
      <w:r w:rsidRPr="00685573">
        <w:rPr>
          <w:rFonts w:asciiTheme="minorHAnsi" w:hAnsiTheme="minorHAnsi" w:cs="Arial"/>
          <w:color w:val="auto"/>
          <w:sz w:val="24"/>
          <w:lang w:val="en-US"/>
        </w:rPr>
        <w:lastRenderedPageBreak/>
        <w:t>M, Wang A, Grauer A</w:t>
      </w:r>
      <w:r w:rsidR="00A26282"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Wagman RB (2013) Discontinuation of denosumab and associated fracture incidence: Analysis from the Fracture Reduction Evaluation of Denosumab in Osteoporosis Every 6 Months (FREEDOM) Trial. </w:t>
      </w:r>
      <w:r w:rsidR="00A26282" w:rsidRPr="00685573">
        <w:rPr>
          <w:rFonts w:asciiTheme="minorHAnsi" w:hAnsiTheme="minorHAnsi" w:cs="Arial"/>
          <w:color w:val="auto"/>
          <w:sz w:val="24"/>
          <w:lang w:val="en-US"/>
        </w:rPr>
        <w:t xml:space="preserve">J Bone Miner Res </w:t>
      </w:r>
      <w:r w:rsidRPr="00685573">
        <w:rPr>
          <w:rFonts w:asciiTheme="minorHAnsi" w:hAnsiTheme="minorHAnsi" w:cs="Arial"/>
          <w:i/>
          <w:iCs/>
          <w:color w:val="auto"/>
          <w:sz w:val="24"/>
          <w:lang w:val="en-US"/>
        </w:rPr>
        <w:t xml:space="preserve"> </w:t>
      </w:r>
      <w:r w:rsidRPr="00685573">
        <w:rPr>
          <w:rFonts w:asciiTheme="minorHAnsi" w:hAnsiTheme="minorHAnsi" w:cs="Arial"/>
          <w:bCs/>
          <w:color w:val="auto"/>
          <w:sz w:val="24"/>
          <w:lang w:val="en-US"/>
        </w:rPr>
        <w:t>28</w:t>
      </w:r>
      <w:r w:rsidRPr="00685573">
        <w:rPr>
          <w:rFonts w:asciiTheme="minorHAnsi" w:hAnsiTheme="minorHAnsi" w:cs="Arial"/>
          <w:color w:val="auto"/>
          <w:sz w:val="24"/>
          <w:lang w:val="en-US"/>
        </w:rPr>
        <w:t>(4):746-752.</w:t>
      </w:r>
      <w:r w:rsidR="00A26282" w:rsidRPr="00685573">
        <w:rPr>
          <w:rFonts w:asciiTheme="minorHAnsi" w:hAnsiTheme="minorHAnsi" w:cs="Arial"/>
          <w:color w:val="auto"/>
          <w:sz w:val="24"/>
          <w:lang w:val="en-US"/>
        </w:rPr>
        <w:t xml:space="preserve"> </w:t>
      </w:r>
      <w:hyperlink r:id="rId28" w:history="1">
        <w:r w:rsidR="00A26282" w:rsidRPr="00685573">
          <w:rPr>
            <w:rStyle w:val="Hyperlink"/>
            <w:rFonts w:asciiTheme="minorHAnsi" w:hAnsiTheme="minorHAnsi" w:cs="Arial"/>
            <w:sz w:val="24"/>
            <w:lang w:val="en-US"/>
          </w:rPr>
          <w:t>https://doi.org/10.1002/jbmr.1808</w:t>
        </w:r>
      </w:hyperlink>
      <w:r w:rsidR="00A26282" w:rsidRPr="00685573">
        <w:rPr>
          <w:rFonts w:asciiTheme="minorHAnsi" w:hAnsiTheme="minorHAnsi" w:cs="Arial"/>
          <w:color w:val="auto"/>
          <w:sz w:val="24"/>
          <w:lang w:val="en-US"/>
        </w:rPr>
        <w:t xml:space="preserve"> </w:t>
      </w:r>
    </w:p>
    <w:p w14:paraId="1B8D564E" w14:textId="3DEF04E7" w:rsidR="00C56A52" w:rsidRPr="00685573" w:rsidRDefault="00C56A52" w:rsidP="004B1C4D">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Cosman F, Cauley JA, Eastell R, Boonen</w:t>
      </w:r>
      <w:r w:rsidR="00A26282" w:rsidRPr="00685573">
        <w:rPr>
          <w:rFonts w:asciiTheme="minorHAnsi" w:hAnsiTheme="minorHAnsi" w:cs="Arial"/>
          <w:color w:val="auto"/>
          <w:sz w:val="24"/>
          <w:lang w:val="en-US"/>
        </w:rPr>
        <w:t xml:space="preserve"> </w:t>
      </w:r>
      <w:r w:rsidRPr="00685573">
        <w:rPr>
          <w:rFonts w:asciiTheme="minorHAnsi" w:hAnsiTheme="minorHAnsi" w:cs="Arial"/>
          <w:color w:val="auto"/>
          <w:sz w:val="24"/>
          <w:lang w:val="en-US"/>
        </w:rPr>
        <w:t>S, Palermo L, Reid IR, Cummings SR</w:t>
      </w:r>
      <w:r w:rsidR="00A26282"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Black DM (2014) Reassessment of fracture risk in women after 3 years of treatment with zoledronic acid: When is it reasonable to discontinue treatment? </w:t>
      </w:r>
      <w:r w:rsidR="004B1C4D" w:rsidRPr="00685573">
        <w:rPr>
          <w:rFonts w:asciiTheme="minorHAnsi" w:hAnsiTheme="minorHAnsi" w:cs="Arial"/>
          <w:color w:val="auto"/>
          <w:sz w:val="24"/>
          <w:lang w:val="en-US"/>
        </w:rPr>
        <w:t>J Clin Endocrinol Metab</w:t>
      </w:r>
      <w:r w:rsidR="004B1C4D" w:rsidRPr="00685573" w:rsidDel="004B1C4D">
        <w:rPr>
          <w:rFonts w:asciiTheme="minorHAnsi" w:hAnsiTheme="minorHAnsi" w:cs="Arial"/>
          <w:color w:val="auto"/>
          <w:sz w:val="24"/>
          <w:lang w:val="en-US"/>
        </w:rPr>
        <w:t xml:space="preserve"> </w:t>
      </w:r>
      <w:r w:rsidRPr="00685573">
        <w:rPr>
          <w:rFonts w:asciiTheme="minorHAnsi" w:hAnsiTheme="minorHAnsi" w:cs="Arial"/>
          <w:i/>
          <w:iCs/>
          <w:color w:val="auto"/>
          <w:sz w:val="24"/>
          <w:lang w:val="en-US"/>
        </w:rPr>
        <w:t xml:space="preserve"> </w:t>
      </w:r>
      <w:r w:rsidRPr="00685573">
        <w:rPr>
          <w:rFonts w:asciiTheme="minorHAnsi" w:hAnsiTheme="minorHAnsi" w:cs="Arial"/>
          <w:bCs/>
          <w:color w:val="auto"/>
          <w:sz w:val="24"/>
          <w:lang w:val="en-US"/>
        </w:rPr>
        <w:t>99</w:t>
      </w:r>
      <w:r w:rsidRPr="00685573">
        <w:rPr>
          <w:rFonts w:asciiTheme="minorHAnsi" w:hAnsiTheme="minorHAnsi" w:cs="Arial"/>
          <w:color w:val="auto"/>
          <w:sz w:val="24"/>
          <w:lang w:val="en-US"/>
        </w:rPr>
        <w:t>(12):4546-4554.</w:t>
      </w:r>
      <w:r w:rsidR="004B1C4D" w:rsidRPr="00685573">
        <w:rPr>
          <w:rFonts w:asciiTheme="minorHAnsi" w:hAnsiTheme="minorHAnsi" w:cs="Arial"/>
          <w:color w:val="auto"/>
          <w:sz w:val="24"/>
          <w:lang w:val="en-US"/>
        </w:rPr>
        <w:t xml:space="preserve"> </w:t>
      </w:r>
      <w:hyperlink r:id="rId29" w:history="1">
        <w:r w:rsidR="004B1C4D" w:rsidRPr="00685573">
          <w:rPr>
            <w:rStyle w:val="Hyperlink"/>
            <w:rFonts w:asciiTheme="minorHAnsi" w:hAnsiTheme="minorHAnsi" w:cs="Arial"/>
            <w:sz w:val="24"/>
            <w:lang w:val="en-US"/>
          </w:rPr>
          <w:t>https://doi.org/10.1210/jc.2014-1971</w:t>
        </w:r>
      </w:hyperlink>
      <w:r w:rsidR="004B1C4D" w:rsidRPr="00685573">
        <w:rPr>
          <w:rFonts w:asciiTheme="minorHAnsi" w:hAnsiTheme="minorHAnsi" w:cs="Arial"/>
          <w:color w:val="auto"/>
          <w:sz w:val="24"/>
          <w:lang w:val="en-US"/>
        </w:rPr>
        <w:t xml:space="preserve"> </w:t>
      </w:r>
    </w:p>
    <w:p w14:paraId="7639230E" w14:textId="1063BF88" w:rsidR="00C56A52" w:rsidRPr="00685573" w:rsidRDefault="00C56A52" w:rsidP="004B1C4D">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Eastell R, Boonen S, Cosman F, Reid IR, Palermo L, Cummings SR</w:t>
      </w:r>
      <w:r w:rsidR="004B1C4D"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Black DM (2015) Relationship between pretreatment rate of bone loss and bone density response to once-yearly ZOL: HORIZON-PFT extension study. </w:t>
      </w:r>
      <w:r w:rsidR="004B1C4D" w:rsidRPr="00685573">
        <w:rPr>
          <w:rFonts w:asciiTheme="minorHAnsi" w:hAnsiTheme="minorHAnsi" w:cs="Arial"/>
          <w:color w:val="auto"/>
          <w:sz w:val="24"/>
          <w:lang w:val="en-US"/>
        </w:rPr>
        <w:t>J Bone Miner Res</w:t>
      </w:r>
      <w:r w:rsidR="004B1C4D" w:rsidRPr="00685573" w:rsidDel="004B1C4D">
        <w:rPr>
          <w:rFonts w:asciiTheme="minorHAnsi" w:hAnsiTheme="minorHAnsi" w:cs="Arial"/>
          <w:i/>
          <w:iCs/>
          <w:color w:val="auto"/>
          <w:sz w:val="24"/>
          <w:lang w:val="en-US"/>
        </w:rPr>
        <w:t xml:space="preserve"> </w:t>
      </w:r>
      <w:r w:rsidRPr="00685573">
        <w:rPr>
          <w:rFonts w:asciiTheme="minorHAnsi" w:hAnsiTheme="minorHAnsi" w:cs="Arial"/>
          <w:i/>
          <w:iCs/>
          <w:color w:val="auto"/>
          <w:sz w:val="24"/>
          <w:lang w:val="en-US"/>
        </w:rPr>
        <w:t xml:space="preserve"> </w:t>
      </w:r>
      <w:r w:rsidRPr="00685573">
        <w:rPr>
          <w:rFonts w:asciiTheme="minorHAnsi" w:hAnsiTheme="minorHAnsi" w:cs="Arial"/>
          <w:bCs/>
          <w:color w:val="auto"/>
          <w:sz w:val="24"/>
          <w:lang w:val="en-US"/>
        </w:rPr>
        <w:t>30</w:t>
      </w:r>
      <w:r w:rsidRPr="00685573">
        <w:rPr>
          <w:rFonts w:asciiTheme="minorHAnsi" w:hAnsiTheme="minorHAnsi" w:cs="Arial"/>
          <w:color w:val="auto"/>
          <w:sz w:val="24"/>
          <w:lang w:val="en-US"/>
        </w:rPr>
        <w:t>(3):483-487.</w:t>
      </w:r>
      <w:r w:rsidR="004B1C4D" w:rsidRPr="00685573">
        <w:rPr>
          <w:rFonts w:asciiTheme="minorHAnsi" w:hAnsiTheme="minorHAnsi" w:cs="Arial"/>
          <w:color w:val="auto"/>
          <w:sz w:val="24"/>
          <w:lang w:val="en-US"/>
        </w:rPr>
        <w:t xml:space="preserve"> </w:t>
      </w:r>
      <w:hyperlink r:id="rId30" w:history="1">
        <w:r w:rsidR="004B1C4D" w:rsidRPr="00685573">
          <w:rPr>
            <w:rStyle w:val="Hyperlink"/>
            <w:rFonts w:asciiTheme="minorHAnsi" w:hAnsiTheme="minorHAnsi" w:cs="Arial"/>
            <w:sz w:val="24"/>
            <w:lang w:val="en-US"/>
          </w:rPr>
          <w:t>https://doi.org/10.1002/jbmr.2361</w:t>
        </w:r>
      </w:hyperlink>
      <w:r w:rsidR="004B1C4D" w:rsidRPr="00685573">
        <w:rPr>
          <w:rFonts w:asciiTheme="minorHAnsi" w:hAnsiTheme="minorHAnsi" w:cs="Arial"/>
          <w:color w:val="auto"/>
          <w:sz w:val="24"/>
          <w:lang w:val="en-US"/>
        </w:rPr>
        <w:t xml:space="preserve"> </w:t>
      </w:r>
    </w:p>
    <w:p w14:paraId="0902D4B6" w14:textId="245AE1A8" w:rsidR="00C56A52" w:rsidRPr="00685573" w:rsidRDefault="00C56A52" w:rsidP="00943E84">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Eastell R, Hannon RA, Wenderoth D, Rodriguez-Moreno J</w:t>
      </w:r>
      <w:r w:rsidR="0050438F"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Sawicki A (2011) Effect of stopping risedronate after long-term treatment on bone turnover.</w:t>
      </w:r>
      <w:r w:rsidR="00943E84" w:rsidRPr="00685573">
        <w:rPr>
          <w:rFonts w:asciiTheme="minorHAnsi" w:hAnsiTheme="minorHAnsi" w:cs="Arial"/>
          <w:color w:val="auto"/>
          <w:sz w:val="24"/>
          <w:lang w:val="en-US"/>
        </w:rPr>
        <w:t xml:space="preserve"> </w:t>
      </w:r>
      <w:r w:rsidR="0050438F" w:rsidRPr="00685573">
        <w:rPr>
          <w:rFonts w:asciiTheme="minorHAnsi" w:hAnsiTheme="minorHAnsi" w:cs="Arial"/>
          <w:color w:val="auto"/>
          <w:sz w:val="24"/>
          <w:lang w:val="en-US"/>
        </w:rPr>
        <w:t xml:space="preserve">J Clin Endocrinol Metab </w:t>
      </w:r>
      <w:r w:rsidRPr="00685573">
        <w:rPr>
          <w:rFonts w:asciiTheme="minorHAnsi" w:hAnsiTheme="minorHAnsi" w:cs="Arial"/>
          <w:bCs/>
          <w:color w:val="auto"/>
          <w:sz w:val="24"/>
          <w:lang w:val="en-US"/>
        </w:rPr>
        <w:t>96</w:t>
      </w:r>
      <w:r w:rsidRPr="00685573">
        <w:rPr>
          <w:rFonts w:asciiTheme="minorHAnsi" w:hAnsiTheme="minorHAnsi" w:cs="Arial"/>
          <w:color w:val="auto"/>
          <w:sz w:val="24"/>
          <w:lang w:val="en-US"/>
        </w:rPr>
        <w:t>(11):3367-3373.</w:t>
      </w:r>
      <w:r w:rsidR="00943E84" w:rsidRPr="00685573">
        <w:rPr>
          <w:rFonts w:asciiTheme="minorHAnsi" w:hAnsiTheme="minorHAnsi" w:cs="Arial"/>
          <w:color w:val="auto"/>
          <w:sz w:val="24"/>
          <w:lang w:val="en-US"/>
        </w:rPr>
        <w:t xml:space="preserve"> </w:t>
      </w:r>
      <w:hyperlink r:id="rId31" w:history="1">
        <w:r w:rsidR="00943E84" w:rsidRPr="00685573">
          <w:rPr>
            <w:rStyle w:val="Hyperlink"/>
            <w:rFonts w:asciiTheme="minorHAnsi" w:hAnsiTheme="minorHAnsi" w:cs="Arial"/>
            <w:sz w:val="24"/>
            <w:lang w:val="en-US"/>
          </w:rPr>
          <w:t>https://doi.org/10.1210/jc.2011-0412</w:t>
        </w:r>
      </w:hyperlink>
      <w:r w:rsidR="00943E84" w:rsidRPr="00685573">
        <w:rPr>
          <w:rFonts w:asciiTheme="minorHAnsi" w:hAnsiTheme="minorHAnsi" w:cs="Arial"/>
          <w:color w:val="auto"/>
          <w:sz w:val="24"/>
          <w:lang w:val="en-US"/>
        </w:rPr>
        <w:t xml:space="preserve"> </w:t>
      </w:r>
    </w:p>
    <w:p w14:paraId="7A166CC9" w14:textId="7DF2C98F" w:rsidR="00C56A52" w:rsidRPr="00685573" w:rsidRDefault="00C56A52" w:rsidP="00E12FF2">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Ferrari S, Adachi JD, Lippuner K, Zapalowski C, Miller PD, Reginster JY, Torring O, Kendler DL, Daizadeh NS, Wang A, O'Malley CD, Wagman RB, Libanati C</w:t>
      </w:r>
      <w:r w:rsidR="00E12FF2"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Lewiecki EM (2015) Further reductions in nonvertebral fracture rate with long-term denosumab treatment in the FREEDOM open-label extension and influence of hip bone mineral density after 3 years. </w:t>
      </w:r>
      <w:r w:rsidRPr="00685573">
        <w:rPr>
          <w:rFonts w:asciiTheme="minorHAnsi" w:hAnsiTheme="minorHAnsi" w:cs="Arial"/>
          <w:iCs/>
          <w:color w:val="auto"/>
          <w:sz w:val="24"/>
          <w:lang w:val="en-US"/>
        </w:rPr>
        <w:t xml:space="preserve">Osteoporos Int </w:t>
      </w:r>
      <w:r w:rsidRPr="00685573">
        <w:rPr>
          <w:rFonts w:asciiTheme="minorHAnsi" w:hAnsiTheme="minorHAnsi" w:cs="Arial"/>
          <w:bCs/>
          <w:color w:val="auto"/>
          <w:sz w:val="24"/>
          <w:lang w:val="en-US"/>
        </w:rPr>
        <w:t>26</w:t>
      </w:r>
      <w:r w:rsidRPr="00685573">
        <w:rPr>
          <w:rFonts w:asciiTheme="minorHAnsi" w:hAnsiTheme="minorHAnsi" w:cs="Arial"/>
          <w:color w:val="auto"/>
          <w:sz w:val="24"/>
          <w:lang w:val="en-US"/>
        </w:rPr>
        <w:t>(12):2763-2771.</w:t>
      </w:r>
      <w:r w:rsidR="00E12FF2" w:rsidRPr="00685573">
        <w:rPr>
          <w:rFonts w:asciiTheme="minorHAnsi" w:hAnsiTheme="minorHAnsi" w:cs="Arial"/>
          <w:color w:val="auto"/>
          <w:sz w:val="24"/>
          <w:lang w:val="en-US"/>
        </w:rPr>
        <w:t xml:space="preserve"> </w:t>
      </w:r>
      <w:hyperlink r:id="rId32" w:history="1">
        <w:r w:rsidR="00E12FF2" w:rsidRPr="00685573">
          <w:rPr>
            <w:rStyle w:val="Hyperlink"/>
            <w:rFonts w:asciiTheme="minorHAnsi" w:hAnsiTheme="minorHAnsi" w:cs="Arial"/>
            <w:sz w:val="24"/>
            <w:lang w:val="en-US"/>
          </w:rPr>
          <w:t>https://doi.org/10.1007/s00198-015-3179-x</w:t>
        </w:r>
      </w:hyperlink>
      <w:r w:rsidR="00E12FF2" w:rsidRPr="00685573">
        <w:rPr>
          <w:rFonts w:asciiTheme="minorHAnsi" w:hAnsiTheme="minorHAnsi" w:cs="Arial"/>
          <w:color w:val="auto"/>
          <w:sz w:val="24"/>
          <w:lang w:val="en-US"/>
        </w:rPr>
        <w:t xml:space="preserve"> </w:t>
      </w:r>
    </w:p>
    <w:p w14:paraId="5F0C3BBB" w14:textId="53021B93" w:rsidR="00C56A52" w:rsidRPr="00685573" w:rsidRDefault="00C56A52" w:rsidP="00A63ABE">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Hassler N, Gamsjaeger S, Hofstetter B, Brozek W, Klaushofer K</w:t>
      </w:r>
      <w:r w:rsidR="00A63ABE"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Paschalis EP (2015) Effects of long-term alendronate treatment on postmenopausal osteoporosis bone material properties. </w:t>
      </w:r>
      <w:r w:rsidRPr="00685573">
        <w:rPr>
          <w:rFonts w:asciiTheme="minorHAnsi" w:hAnsiTheme="minorHAnsi" w:cs="Arial"/>
          <w:iCs/>
          <w:color w:val="auto"/>
          <w:sz w:val="24"/>
          <w:lang w:val="en-US"/>
        </w:rPr>
        <w:t>Osteoporos Int</w:t>
      </w:r>
      <w:r w:rsidRPr="00685573">
        <w:rPr>
          <w:rFonts w:asciiTheme="minorHAnsi" w:hAnsiTheme="minorHAnsi" w:cs="Arial"/>
          <w:i/>
          <w:iCs/>
          <w:color w:val="auto"/>
          <w:sz w:val="24"/>
          <w:lang w:val="en-US"/>
        </w:rPr>
        <w:t xml:space="preserve"> </w:t>
      </w:r>
      <w:r w:rsidRPr="00685573">
        <w:rPr>
          <w:rFonts w:asciiTheme="minorHAnsi" w:hAnsiTheme="minorHAnsi" w:cs="Arial"/>
          <w:bCs/>
          <w:color w:val="auto"/>
          <w:sz w:val="24"/>
          <w:lang w:val="en-US"/>
        </w:rPr>
        <w:t>26</w:t>
      </w:r>
      <w:r w:rsidRPr="00685573">
        <w:rPr>
          <w:rFonts w:asciiTheme="minorHAnsi" w:hAnsiTheme="minorHAnsi" w:cs="Arial"/>
          <w:color w:val="auto"/>
          <w:sz w:val="24"/>
          <w:lang w:val="en-US"/>
        </w:rPr>
        <w:t>(1):339-352.</w:t>
      </w:r>
      <w:r w:rsidR="00A63ABE" w:rsidRPr="00685573">
        <w:rPr>
          <w:rFonts w:asciiTheme="minorHAnsi" w:hAnsiTheme="minorHAnsi" w:cs="Arial"/>
          <w:color w:val="auto"/>
          <w:sz w:val="24"/>
          <w:lang w:val="en-US"/>
        </w:rPr>
        <w:t xml:space="preserve"> </w:t>
      </w:r>
      <w:hyperlink r:id="rId33" w:history="1">
        <w:r w:rsidR="00A63ABE" w:rsidRPr="00685573">
          <w:rPr>
            <w:rStyle w:val="Hyperlink"/>
            <w:rFonts w:asciiTheme="minorHAnsi" w:hAnsiTheme="minorHAnsi" w:cs="Arial"/>
            <w:sz w:val="24"/>
            <w:lang w:val="en-US"/>
          </w:rPr>
          <w:t>https://doi.org/10.1007/s00198-014-2929-5</w:t>
        </w:r>
      </w:hyperlink>
      <w:r w:rsidR="00A63ABE" w:rsidRPr="00685573">
        <w:rPr>
          <w:rFonts w:asciiTheme="minorHAnsi" w:hAnsiTheme="minorHAnsi" w:cs="Arial"/>
          <w:color w:val="auto"/>
          <w:sz w:val="24"/>
          <w:lang w:val="en-US"/>
        </w:rPr>
        <w:t xml:space="preserve"> </w:t>
      </w:r>
    </w:p>
    <w:p w14:paraId="37387440" w14:textId="647E3BD9" w:rsidR="00C56A52" w:rsidRPr="00685573" w:rsidRDefault="00C56A52" w:rsidP="00A63ABE">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Leder BZ, Tsai JN, Uihlein AV, Wallace</w:t>
      </w:r>
      <w:r w:rsidR="00A63ABE" w:rsidRPr="00685573">
        <w:rPr>
          <w:rFonts w:asciiTheme="minorHAnsi" w:hAnsiTheme="minorHAnsi" w:cs="Arial"/>
          <w:color w:val="auto"/>
          <w:sz w:val="24"/>
          <w:lang w:val="en-US"/>
        </w:rPr>
        <w:t xml:space="preserve"> </w:t>
      </w:r>
      <w:r w:rsidRPr="00685573">
        <w:rPr>
          <w:rFonts w:asciiTheme="minorHAnsi" w:hAnsiTheme="minorHAnsi" w:cs="Arial"/>
          <w:color w:val="auto"/>
          <w:sz w:val="24"/>
          <w:lang w:val="en-US"/>
        </w:rPr>
        <w:t>PM, Lee H, Neer RM</w:t>
      </w:r>
      <w:r w:rsidR="00A63ABE"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Burnett-Bowie SAM (2015) Denosumab and teriparatide transitions in postmenopausal osteoporosis (the DATA-Switch study): Extension of a randomised controlled trial. </w:t>
      </w:r>
      <w:r w:rsidRPr="00685573">
        <w:rPr>
          <w:rFonts w:asciiTheme="minorHAnsi" w:hAnsiTheme="minorHAnsi" w:cs="Arial"/>
          <w:iCs/>
          <w:color w:val="auto"/>
          <w:sz w:val="24"/>
          <w:lang w:val="en-US"/>
        </w:rPr>
        <w:t>Lance</w:t>
      </w:r>
      <w:r w:rsidR="00A63ABE" w:rsidRPr="00685573">
        <w:rPr>
          <w:rFonts w:asciiTheme="minorHAnsi" w:hAnsiTheme="minorHAnsi" w:cs="Arial"/>
          <w:iCs/>
          <w:color w:val="auto"/>
          <w:sz w:val="24"/>
          <w:lang w:val="en-US"/>
        </w:rPr>
        <w:t>t</w:t>
      </w:r>
      <w:r w:rsidRPr="00685573">
        <w:rPr>
          <w:rFonts w:asciiTheme="minorHAnsi" w:hAnsiTheme="minorHAnsi" w:cs="Arial"/>
          <w:i/>
          <w:iCs/>
          <w:color w:val="auto"/>
          <w:sz w:val="24"/>
          <w:lang w:val="en-US"/>
        </w:rPr>
        <w:t xml:space="preserve"> </w:t>
      </w:r>
      <w:r w:rsidRPr="00685573">
        <w:rPr>
          <w:rFonts w:asciiTheme="minorHAnsi" w:hAnsiTheme="minorHAnsi" w:cs="Arial"/>
          <w:bCs/>
          <w:color w:val="auto"/>
          <w:sz w:val="24"/>
          <w:lang w:val="en-US"/>
        </w:rPr>
        <w:t>386</w:t>
      </w:r>
      <w:r w:rsidRPr="00685573">
        <w:rPr>
          <w:rFonts w:asciiTheme="minorHAnsi" w:hAnsiTheme="minorHAnsi" w:cs="Arial"/>
          <w:color w:val="auto"/>
          <w:sz w:val="24"/>
          <w:lang w:val="en-US"/>
        </w:rPr>
        <w:t>(9999):1147-1155.</w:t>
      </w:r>
      <w:r w:rsidR="00A63ABE" w:rsidRPr="00685573">
        <w:rPr>
          <w:rFonts w:asciiTheme="minorHAnsi" w:hAnsiTheme="minorHAnsi" w:cs="Arial"/>
          <w:color w:val="auto"/>
          <w:sz w:val="24"/>
          <w:lang w:val="en-US"/>
        </w:rPr>
        <w:t xml:space="preserve"> </w:t>
      </w:r>
      <w:hyperlink r:id="rId34" w:history="1">
        <w:r w:rsidR="00A63ABE" w:rsidRPr="00685573">
          <w:rPr>
            <w:rStyle w:val="Hyperlink"/>
            <w:rFonts w:asciiTheme="minorHAnsi" w:hAnsiTheme="minorHAnsi" w:cs="Arial"/>
            <w:sz w:val="24"/>
            <w:lang w:val="en-US"/>
          </w:rPr>
          <w:t>https://doi.org/10.1016/S0140-6736(15)61120-5</w:t>
        </w:r>
      </w:hyperlink>
      <w:r w:rsidR="00A63ABE" w:rsidRPr="00685573">
        <w:rPr>
          <w:rFonts w:asciiTheme="minorHAnsi" w:hAnsiTheme="minorHAnsi" w:cs="Arial"/>
          <w:color w:val="auto"/>
          <w:sz w:val="24"/>
          <w:lang w:val="en-US"/>
        </w:rPr>
        <w:t xml:space="preserve"> </w:t>
      </w:r>
    </w:p>
    <w:p w14:paraId="0BD082F6" w14:textId="05B4A703" w:rsidR="00C56A52" w:rsidRPr="00685573" w:rsidRDefault="00C56A52" w:rsidP="00DE0EE9">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McClung MR, Lewiecki EM, Geller ML, Bolognese MA, Peacock M, Weinstein RL, Ding B, Rockabrand E, Wagman RB</w:t>
      </w:r>
      <w:r w:rsidR="00A63ABE"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Miller PD (2013) Effect of denosumab on bone mineral density and biochemical markers of bone turnover: 8-year results of a </w:t>
      </w:r>
      <w:r w:rsidRPr="00685573">
        <w:rPr>
          <w:rFonts w:asciiTheme="minorHAnsi" w:hAnsiTheme="minorHAnsi" w:cs="Arial"/>
          <w:color w:val="auto"/>
          <w:sz w:val="24"/>
          <w:lang w:val="en-US"/>
        </w:rPr>
        <w:lastRenderedPageBreak/>
        <w:t xml:space="preserve">phase 2 clinical trial. </w:t>
      </w:r>
      <w:r w:rsidR="00A63ABE" w:rsidRPr="00685573">
        <w:rPr>
          <w:rFonts w:asciiTheme="minorHAnsi" w:hAnsiTheme="minorHAnsi" w:cs="Arial"/>
          <w:iCs/>
          <w:color w:val="auto"/>
          <w:sz w:val="24"/>
          <w:lang w:val="en-US"/>
        </w:rPr>
        <w:t>Osteoporos Int</w:t>
      </w:r>
      <w:r w:rsidR="00A63ABE" w:rsidRPr="00685573" w:rsidDel="00A63ABE">
        <w:rPr>
          <w:rFonts w:asciiTheme="minorHAnsi" w:hAnsiTheme="minorHAnsi" w:cs="Arial"/>
          <w:i/>
          <w:iCs/>
          <w:color w:val="auto"/>
          <w:sz w:val="24"/>
          <w:lang w:val="en-US"/>
        </w:rPr>
        <w:t xml:space="preserve"> </w:t>
      </w:r>
      <w:r w:rsidRPr="00685573">
        <w:rPr>
          <w:rFonts w:asciiTheme="minorHAnsi" w:hAnsiTheme="minorHAnsi" w:cs="Arial"/>
          <w:bCs/>
          <w:color w:val="auto"/>
          <w:sz w:val="24"/>
          <w:lang w:val="en-US"/>
        </w:rPr>
        <w:t>24</w:t>
      </w:r>
      <w:r w:rsidRPr="00685573">
        <w:rPr>
          <w:rFonts w:asciiTheme="minorHAnsi" w:hAnsiTheme="minorHAnsi" w:cs="Arial"/>
          <w:color w:val="auto"/>
          <w:sz w:val="24"/>
          <w:lang w:val="en-US"/>
        </w:rPr>
        <w:t>(1):227-235.</w:t>
      </w:r>
      <w:r w:rsidR="00DE0EE9" w:rsidRPr="00685573">
        <w:rPr>
          <w:rFonts w:asciiTheme="minorHAnsi" w:hAnsiTheme="minorHAnsi" w:cs="Arial"/>
          <w:color w:val="auto"/>
          <w:sz w:val="24"/>
          <w:lang w:val="en-US"/>
        </w:rPr>
        <w:t xml:space="preserve"> </w:t>
      </w:r>
      <w:hyperlink r:id="rId35" w:history="1">
        <w:r w:rsidR="00DE0EE9" w:rsidRPr="00685573">
          <w:rPr>
            <w:rStyle w:val="Hyperlink"/>
            <w:rFonts w:asciiTheme="minorHAnsi" w:hAnsiTheme="minorHAnsi" w:cs="Arial"/>
            <w:sz w:val="24"/>
            <w:lang w:val="en-US"/>
          </w:rPr>
          <w:t>https://doi.org/10.1007/s00198-012-2052-4</w:t>
        </w:r>
      </w:hyperlink>
      <w:r w:rsidR="00DE0EE9" w:rsidRPr="00685573">
        <w:rPr>
          <w:rFonts w:asciiTheme="minorHAnsi" w:hAnsiTheme="minorHAnsi" w:cs="Arial"/>
          <w:color w:val="auto"/>
          <w:sz w:val="24"/>
          <w:lang w:val="en-US"/>
        </w:rPr>
        <w:t xml:space="preserve"> </w:t>
      </w:r>
    </w:p>
    <w:p w14:paraId="593CC453" w14:textId="7F2A8FBC" w:rsidR="00C56A52" w:rsidRPr="00685573" w:rsidRDefault="00C56A52" w:rsidP="00DE0EE9">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McNabb B, Vittinghoff E, Eastell R, Schwartz AV, Bauer DC, Ensrud K, Barrett-Connor E</w:t>
      </w:r>
      <w:r w:rsidR="00DE0EE9"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Black DM (2014) A model of BMD changes after alendronate discontinuation to guide postalendronate BMD monitoring. </w:t>
      </w:r>
      <w:r w:rsidRPr="00685573">
        <w:rPr>
          <w:rFonts w:asciiTheme="minorHAnsi" w:hAnsiTheme="minorHAnsi" w:cs="Arial"/>
          <w:iCs/>
          <w:color w:val="auto"/>
          <w:sz w:val="24"/>
          <w:lang w:val="en-US"/>
        </w:rPr>
        <w:t>J Clin Endocrinol Metab</w:t>
      </w:r>
      <w:r w:rsidRPr="00685573">
        <w:rPr>
          <w:rFonts w:asciiTheme="minorHAnsi" w:hAnsiTheme="minorHAnsi" w:cs="Arial"/>
          <w:i/>
          <w:iCs/>
          <w:color w:val="auto"/>
          <w:sz w:val="24"/>
          <w:lang w:val="en-US"/>
        </w:rPr>
        <w:t xml:space="preserve"> </w:t>
      </w:r>
      <w:r w:rsidRPr="00685573">
        <w:rPr>
          <w:rFonts w:asciiTheme="minorHAnsi" w:hAnsiTheme="minorHAnsi" w:cs="Arial"/>
          <w:bCs/>
          <w:color w:val="auto"/>
          <w:sz w:val="24"/>
          <w:lang w:val="en-US"/>
        </w:rPr>
        <w:t>99</w:t>
      </w:r>
      <w:r w:rsidRPr="00685573">
        <w:rPr>
          <w:rFonts w:asciiTheme="minorHAnsi" w:hAnsiTheme="minorHAnsi" w:cs="Arial"/>
          <w:color w:val="auto"/>
          <w:sz w:val="24"/>
          <w:lang w:val="en-US"/>
        </w:rPr>
        <w:t>(11):4094-4100.</w:t>
      </w:r>
      <w:r w:rsidR="00DE0EE9" w:rsidRPr="00685573">
        <w:rPr>
          <w:rFonts w:asciiTheme="minorHAnsi" w:hAnsiTheme="minorHAnsi" w:cs="Arial"/>
          <w:color w:val="auto"/>
          <w:sz w:val="24"/>
          <w:lang w:val="en-US"/>
        </w:rPr>
        <w:t xml:space="preserve"> </w:t>
      </w:r>
      <w:hyperlink r:id="rId36" w:history="1">
        <w:r w:rsidR="00DE0EE9" w:rsidRPr="00685573">
          <w:rPr>
            <w:rStyle w:val="Hyperlink"/>
            <w:rFonts w:asciiTheme="minorHAnsi" w:hAnsiTheme="minorHAnsi" w:cs="Arial"/>
            <w:sz w:val="24"/>
            <w:lang w:val="en-US"/>
          </w:rPr>
          <w:t>https://doi.org/10.1210/jc.2014-1193</w:t>
        </w:r>
      </w:hyperlink>
      <w:r w:rsidR="00DE0EE9" w:rsidRPr="00685573">
        <w:rPr>
          <w:rFonts w:asciiTheme="minorHAnsi" w:hAnsiTheme="minorHAnsi" w:cs="Arial"/>
          <w:color w:val="auto"/>
          <w:sz w:val="24"/>
          <w:lang w:val="en-US"/>
        </w:rPr>
        <w:t xml:space="preserve"> </w:t>
      </w:r>
    </w:p>
    <w:p w14:paraId="0B447D65" w14:textId="46599865" w:rsidR="00C56A52" w:rsidRPr="00685573" w:rsidRDefault="00C56A52" w:rsidP="00DE0EE9">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McNabb BL, Vittinghoff</w:t>
      </w:r>
      <w:r w:rsidR="00DE0EE9" w:rsidRPr="00685573">
        <w:rPr>
          <w:rFonts w:asciiTheme="minorHAnsi" w:hAnsiTheme="minorHAnsi" w:cs="Arial"/>
          <w:color w:val="auto"/>
          <w:sz w:val="24"/>
          <w:lang w:val="en-US"/>
        </w:rPr>
        <w:t xml:space="preserve"> </w:t>
      </w:r>
      <w:r w:rsidRPr="00685573">
        <w:rPr>
          <w:rFonts w:asciiTheme="minorHAnsi" w:hAnsiTheme="minorHAnsi" w:cs="Arial"/>
          <w:color w:val="auto"/>
          <w:sz w:val="24"/>
          <w:lang w:val="en-US"/>
        </w:rPr>
        <w:t>E, Schwartz AV, Eastell R, Bauer DC, Ensrud K, Rosenberg E, Santora A, Barrett-Connor E</w:t>
      </w:r>
      <w:r w:rsidR="00DE0EE9"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Black DM (2013) BMD changes and predictors of increased bone loss in postmenopausal women after a 5-year course of alendronate. </w:t>
      </w:r>
      <w:r w:rsidRPr="00685573">
        <w:rPr>
          <w:rFonts w:asciiTheme="minorHAnsi" w:hAnsiTheme="minorHAnsi" w:cs="Arial"/>
          <w:iCs/>
          <w:color w:val="auto"/>
          <w:sz w:val="24"/>
          <w:lang w:val="en-US"/>
        </w:rPr>
        <w:t>J Bone Miner Res</w:t>
      </w:r>
      <w:r w:rsidRPr="00685573">
        <w:rPr>
          <w:rFonts w:asciiTheme="minorHAnsi" w:hAnsiTheme="minorHAnsi" w:cs="Arial"/>
          <w:i/>
          <w:iCs/>
          <w:color w:val="auto"/>
          <w:sz w:val="24"/>
          <w:lang w:val="en-US"/>
        </w:rPr>
        <w:t xml:space="preserve"> </w:t>
      </w:r>
      <w:r w:rsidRPr="00685573">
        <w:rPr>
          <w:rFonts w:asciiTheme="minorHAnsi" w:hAnsiTheme="minorHAnsi" w:cs="Arial"/>
          <w:bCs/>
          <w:color w:val="auto"/>
          <w:sz w:val="24"/>
          <w:lang w:val="en-US"/>
        </w:rPr>
        <w:t>28</w:t>
      </w:r>
      <w:r w:rsidRPr="00685573">
        <w:rPr>
          <w:rFonts w:asciiTheme="minorHAnsi" w:hAnsiTheme="minorHAnsi" w:cs="Arial"/>
          <w:color w:val="auto"/>
          <w:sz w:val="24"/>
          <w:lang w:val="en-US"/>
        </w:rPr>
        <w:t>(6):1319-1327.</w:t>
      </w:r>
      <w:r w:rsidR="00DE0EE9" w:rsidRPr="00685573">
        <w:rPr>
          <w:rFonts w:asciiTheme="minorHAnsi" w:hAnsiTheme="minorHAnsi" w:cs="Arial"/>
          <w:color w:val="auto"/>
          <w:sz w:val="24"/>
          <w:lang w:val="en-US"/>
        </w:rPr>
        <w:t xml:space="preserve"> </w:t>
      </w:r>
      <w:hyperlink r:id="rId37" w:history="1">
        <w:r w:rsidR="00DE0EE9" w:rsidRPr="00685573">
          <w:rPr>
            <w:rStyle w:val="Hyperlink"/>
            <w:rFonts w:asciiTheme="minorHAnsi" w:hAnsiTheme="minorHAnsi" w:cs="Arial"/>
            <w:sz w:val="24"/>
            <w:lang w:val="en-US"/>
          </w:rPr>
          <w:t>https://doi.org/10.1002/jbmr.1864</w:t>
        </w:r>
      </w:hyperlink>
      <w:r w:rsidR="00DE0EE9" w:rsidRPr="00685573">
        <w:rPr>
          <w:rFonts w:asciiTheme="minorHAnsi" w:hAnsiTheme="minorHAnsi" w:cs="Arial"/>
          <w:color w:val="auto"/>
          <w:sz w:val="24"/>
          <w:lang w:val="en-US"/>
        </w:rPr>
        <w:t xml:space="preserve"> </w:t>
      </w:r>
    </w:p>
    <w:p w14:paraId="5D8B4BFA" w14:textId="38FBBDE6" w:rsidR="00C56A52" w:rsidRPr="00685573" w:rsidRDefault="00C56A52" w:rsidP="00730B07">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Miller PD, Recker RR, Reginster JY, Riis BJ, Czerwinski</w:t>
      </w:r>
      <w:r w:rsidR="00730B07" w:rsidRPr="00685573">
        <w:rPr>
          <w:rFonts w:asciiTheme="minorHAnsi" w:hAnsiTheme="minorHAnsi" w:cs="Arial"/>
          <w:color w:val="auto"/>
          <w:sz w:val="24"/>
          <w:lang w:val="en-US"/>
        </w:rPr>
        <w:t xml:space="preserve"> </w:t>
      </w:r>
      <w:r w:rsidRPr="00685573">
        <w:rPr>
          <w:rFonts w:asciiTheme="minorHAnsi" w:hAnsiTheme="minorHAnsi" w:cs="Arial"/>
          <w:color w:val="auto"/>
          <w:sz w:val="24"/>
          <w:lang w:val="en-US"/>
        </w:rPr>
        <w:t>E, Masanauskaite D, Kenwright A, Lorenc R, Stakkestad JA</w:t>
      </w:r>
      <w:r w:rsidR="00730B07"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Lakatos P (2012) Efficacy of monthly oral ibandronate is sustained over 5 years: The MOBILE long-term extension study. </w:t>
      </w:r>
      <w:r w:rsidRPr="00685573">
        <w:rPr>
          <w:rFonts w:asciiTheme="minorHAnsi" w:hAnsiTheme="minorHAnsi" w:cs="Arial"/>
          <w:iCs/>
          <w:color w:val="auto"/>
          <w:sz w:val="24"/>
          <w:lang w:val="en-US"/>
        </w:rPr>
        <w:t>Osteoporos Int</w:t>
      </w:r>
      <w:r w:rsidRPr="00685573">
        <w:rPr>
          <w:rFonts w:asciiTheme="minorHAnsi" w:hAnsiTheme="minorHAnsi" w:cs="Arial"/>
          <w:i/>
          <w:iCs/>
          <w:color w:val="auto"/>
          <w:sz w:val="24"/>
          <w:lang w:val="en-US"/>
        </w:rPr>
        <w:t xml:space="preserve"> </w:t>
      </w:r>
      <w:r w:rsidRPr="00685573">
        <w:rPr>
          <w:rFonts w:asciiTheme="minorHAnsi" w:hAnsiTheme="minorHAnsi" w:cs="Arial"/>
          <w:bCs/>
          <w:color w:val="auto"/>
          <w:sz w:val="24"/>
          <w:lang w:val="en-US"/>
        </w:rPr>
        <w:t>23</w:t>
      </w:r>
      <w:r w:rsidRPr="00685573">
        <w:rPr>
          <w:rFonts w:asciiTheme="minorHAnsi" w:hAnsiTheme="minorHAnsi" w:cs="Arial"/>
          <w:color w:val="auto"/>
          <w:sz w:val="24"/>
          <w:lang w:val="en-US"/>
        </w:rPr>
        <w:t>(6):1747-1756.</w:t>
      </w:r>
      <w:r w:rsidR="00730B07" w:rsidRPr="00685573">
        <w:rPr>
          <w:rFonts w:asciiTheme="minorHAnsi" w:hAnsiTheme="minorHAnsi" w:cs="Arial"/>
          <w:color w:val="auto"/>
          <w:sz w:val="24"/>
          <w:lang w:val="en-US"/>
        </w:rPr>
        <w:t xml:space="preserve"> </w:t>
      </w:r>
      <w:hyperlink r:id="rId38" w:history="1">
        <w:r w:rsidR="00730B07" w:rsidRPr="00685573">
          <w:rPr>
            <w:rStyle w:val="Hyperlink"/>
            <w:rFonts w:asciiTheme="minorHAnsi" w:hAnsiTheme="minorHAnsi" w:cs="Arial"/>
            <w:sz w:val="24"/>
            <w:lang w:val="en-US"/>
          </w:rPr>
          <w:t>https://doi.org/10.1007/s00198-011-1773-0</w:t>
        </w:r>
      </w:hyperlink>
      <w:r w:rsidR="00730B07" w:rsidRPr="00685573">
        <w:rPr>
          <w:rFonts w:asciiTheme="minorHAnsi" w:hAnsiTheme="minorHAnsi" w:cs="Arial"/>
          <w:color w:val="auto"/>
          <w:sz w:val="24"/>
          <w:lang w:val="en-US"/>
        </w:rPr>
        <w:t xml:space="preserve"> </w:t>
      </w:r>
    </w:p>
    <w:p w14:paraId="43EEB02E" w14:textId="0AF8CD9D" w:rsidR="00C56A52" w:rsidRPr="00685573" w:rsidRDefault="00C56A52" w:rsidP="00C43211">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Miller PD, Wagman RB, Peacock M, Lewiecki EM, Bolognese MA, Weinstein RL, Ding B, San Martin J</w:t>
      </w:r>
      <w:r w:rsidR="00C43211"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McClung MR (2011) Effect of denosumab on bone mineral density and biochemical markers of bone turnover: Six-year results of a phase 2 clinical trial. </w:t>
      </w:r>
      <w:r w:rsidR="00C43211" w:rsidRPr="00685573">
        <w:rPr>
          <w:rFonts w:asciiTheme="minorHAnsi" w:hAnsiTheme="minorHAnsi" w:cs="Arial"/>
          <w:color w:val="auto"/>
          <w:sz w:val="24"/>
          <w:lang w:val="en-US"/>
        </w:rPr>
        <w:t>J Clin Endocrinol Metab</w:t>
      </w:r>
      <w:r w:rsidRPr="00685573">
        <w:rPr>
          <w:rFonts w:asciiTheme="minorHAnsi" w:hAnsiTheme="minorHAnsi" w:cs="Arial"/>
          <w:i/>
          <w:iCs/>
          <w:color w:val="auto"/>
          <w:sz w:val="24"/>
          <w:lang w:val="en-US"/>
        </w:rPr>
        <w:t xml:space="preserve"> </w:t>
      </w:r>
      <w:r w:rsidRPr="00685573">
        <w:rPr>
          <w:rFonts w:asciiTheme="minorHAnsi" w:hAnsiTheme="minorHAnsi" w:cs="Arial"/>
          <w:bCs/>
          <w:color w:val="auto"/>
          <w:sz w:val="24"/>
          <w:lang w:val="en-US"/>
        </w:rPr>
        <w:t>96</w:t>
      </w:r>
      <w:r w:rsidRPr="00685573">
        <w:rPr>
          <w:rFonts w:asciiTheme="minorHAnsi" w:hAnsiTheme="minorHAnsi" w:cs="Arial"/>
          <w:color w:val="auto"/>
          <w:sz w:val="24"/>
          <w:lang w:val="en-US"/>
        </w:rPr>
        <w:t>(2):394-402.</w:t>
      </w:r>
      <w:r w:rsidR="00C43211" w:rsidRPr="00685573">
        <w:rPr>
          <w:rFonts w:asciiTheme="minorHAnsi" w:hAnsiTheme="minorHAnsi" w:cs="Arial"/>
          <w:color w:val="auto"/>
          <w:sz w:val="24"/>
          <w:lang w:val="en-US"/>
        </w:rPr>
        <w:t xml:space="preserve"> </w:t>
      </w:r>
      <w:hyperlink r:id="rId39" w:history="1">
        <w:r w:rsidR="00C43211" w:rsidRPr="00685573">
          <w:rPr>
            <w:rStyle w:val="Hyperlink"/>
            <w:rFonts w:asciiTheme="minorHAnsi" w:hAnsiTheme="minorHAnsi" w:cs="Arial"/>
            <w:sz w:val="24"/>
            <w:lang w:val="en-US"/>
          </w:rPr>
          <w:t>https://doi.org/10.1210/jc.2010-1805</w:t>
        </w:r>
      </w:hyperlink>
      <w:r w:rsidR="00C43211" w:rsidRPr="00685573">
        <w:rPr>
          <w:rFonts w:asciiTheme="minorHAnsi" w:hAnsiTheme="minorHAnsi" w:cs="Arial"/>
          <w:color w:val="auto"/>
          <w:sz w:val="24"/>
          <w:lang w:val="en-US"/>
        </w:rPr>
        <w:t xml:space="preserve"> </w:t>
      </w:r>
    </w:p>
    <w:p w14:paraId="75BD09E6" w14:textId="79747C99" w:rsidR="00C56A52" w:rsidRPr="00685573" w:rsidRDefault="00C56A52" w:rsidP="00C43211">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Papapoulos</w:t>
      </w:r>
      <w:r w:rsidR="00C43211" w:rsidRPr="00685573">
        <w:rPr>
          <w:rFonts w:asciiTheme="minorHAnsi" w:hAnsiTheme="minorHAnsi" w:cs="Arial"/>
          <w:color w:val="auto"/>
          <w:sz w:val="24"/>
          <w:lang w:val="en-US"/>
        </w:rPr>
        <w:t xml:space="preserve"> </w:t>
      </w:r>
      <w:r w:rsidRPr="00685573">
        <w:rPr>
          <w:rFonts w:asciiTheme="minorHAnsi" w:hAnsiTheme="minorHAnsi" w:cs="Arial"/>
          <w:color w:val="auto"/>
          <w:sz w:val="24"/>
          <w:lang w:val="en-US"/>
        </w:rPr>
        <w:t>S, Chapurlat R, Libanati C, Brandi ML, Brown</w:t>
      </w:r>
      <w:r w:rsidR="00C43211" w:rsidRPr="00685573">
        <w:rPr>
          <w:rFonts w:asciiTheme="minorHAnsi" w:hAnsiTheme="minorHAnsi" w:cs="Arial"/>
          <w:color w:val="auto"/>
          <w:sz w:val="24"/>
          <w:lang w:val="en-US"/>
        </w:rPr>
        <w:t xml:space="preserve"> </w:t>
      </w:r>
      <w:r w:rsidRPr="00685573">
        <w:rPr>
          <w:rFonts w:asciiTheme="minorHAnsi" w:hAnsiTheme="minorHAnsi" w:cs="Arial"/>
          <w:color w:val="auto"/>
          <w:sz w:val="24"/>
          <w:lang w:val="en-US"/>
        </w:rPr>
        <w:t>JP, Czerwinski E, Krieg MA, Man Z, Mellstrom D, Radominski SC, Reginster JY, Resch H, Ivorra JAR, Roux C, Vittinghoff E, Austin M, Daizadeh N, Bradley MN, Grauer A, Cummings SR</w:t>
      </w:r>
      <w:r w:rsidR="00C43211"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Bone HG (2012) Five years of denosumab exposure in women with postmenopausal osteoporosis: Results from the first two years of the FREEDOM extension. </w:t>
      </w:r>
      <w:r w:rsidR="00C43211" w:rsidRPr="00685573">
        <w:rPr>
          <w:rFonts w:asciiTheme="minorHAnsi" w:hAnsiTheme="minorHAnsi" w:cs="Arial"/>
          <w:color w:val="auto"/>
          <w:sz w:val="24"/>
          <w:lang w:val="en-US"/>
        </w:rPr>
        <w:t>J Bone Miner Res</w:t>
      </w:r>
      <w:r w:rsidRPr="00685573">
        <w:rPr>
          <w:rFonts w:asciiTheme="minorHAnsi" w:hAnsiTheme="minorHAnsi" w:cs="Arial"/>
          <w:i/>
          <w:iCs/>
          <w:color w:val="auto"/>
          <w:sz w:val="24"/>
          <w:lang w:val="en-US"/>
        </w:rPr>
        <w:t xml:space="preserve"> </w:t>
      </w:r>
      <w:r w:rsidRPr="00685573">
        <w:rPr>
          <w:rFonts w:asciiTheme="minorHAnsi" w:hAnsiTheme="minorHAnsi" w:cs="Arial"/>
          <w:bCs/>
          <w:color w:val="auto"/>
          <w:sz w:val="24"/>
          <w:lang w:val="en-US"/>
        </w:rPr>
        <w:t>27</w:t>
      </w:r>
      <w:r w:rsidRPr="00685573">
        <w:rPr>
          <w:rFonts w:asciiTheme="minorHAnsi" w:hAnsiTheme="minorHAnsi" w:cs="Arial"/>
          <w:color w:val="auto"/>
          <w:sz w:val="24"/>
          <w:lang w:val="en-US"/>
        </w:rPr>
        <w:t>(3):694-701.</w:t>
      </w:r>
      <w:r w:rsidR="00C43211" w:rsidRPr="00685573">
        <w:rPr>
          <w:rFonts w:asciiTheme="minorHAnsi" w:hAnsiTheme="minorHAnsi" w:cs="Arial"/>
          <w:color w:val="auto"/>
          <w:sz w:val="24"/>
          <w:lang w:val="en-US"/>
        </w:rPr>
        <w:t xml:space="preserve"> </w:t>
      </w:r>
      <w:hyperlink r:id="rId40" w:history="1">
        <w:r w:rsidR="00C43211" w:rsidRPr="00685573">
          <w:rPr>
            <w:rStyle w:val="Hyperlink"/>
            <w:rFonts w:asciiTheme="minorHAnsi" w:hAnsiTheme="minorHAnsi" w:cs="Arial"/>
            <w:sz w:val="24"/>
            <w:lang w:val="en-US"/>
          </w:rPr>
          <w:t>https://doi.org/10.1002/jbmr.1479</w:t>
        </w:r>
      </w:hyperlink>
      <w:r w:rsidR="00C43211" w:rsidRPr="00685573">
        <w:rPr>
          <w:rFonts w:asciiTheme="minorHAnsi" w:hAnsiTheme="minorHAnsi" w:cs="Arial"/>
          <w:color w:val="auto"/>
          <w:sz w:val="24"/>
          <w:lang w:val="en-US"/>
        </w:rPr>
        <w:t xml:space="preserve"> </w:t>
      </w:r>
    </w:p>
    <w:p w14:paraId="7031B4D0" w14:textId="11197558" w:rsidR="00C56A52" w:rsidRPr="00685573" w:rsidRDefault="00C56A52" w:rsidP="006C5537">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Papapoulos S, Lippuner K, Roux C, Lin CJF, Kendler DL, Lewiecki EM, Brandi ML, Czerwinski E, Franek</w:t>
      </w:r>
      <w:r w:rsidR="006C5537" w:rsidRPr="00685573">
        <w:rPr>
          <w:rFonts w:asciiTheme="minorHAnsi" w:hAnsiTheme="minorHAnsi" w:cs="Arial"/>
          <w:color w:val="auto"/>
          <w:sz w:val="24"/>
          <w:lang w:val="en-US"/>
        </w:rPr>
        <w:t xml:space="preserve"> </w:t>
      </w:r>
      <w:r w:rsidRPr="00685573">
        <w:rPr>
          <w:rFonts w:asciiTheme="minorHAnsi" w:hAnsiTheme="minorHAnsi" w:cs="Arial"/>
          <w:color w:val="auto"/>
          <w:sz w:val="24"/>
          <w:lang w:val="en-US"/>
        </w:rPr>
        <w:t>E, Lakatos P, Mautalen C, Minisola S, Reginster JY, Jensen S, Daizadeh NS, Wang A, Gavin M, Libanati C, Wagman RB</w:t>
      </w:r>
      <w:r w:rsidR="006C5537"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Bone HG (2015) The effect of 8 or 5 years of denosumab treatment in postmenopausal women with osteoporosis: results from the FREEDOM Extension study. </w:t>
      </w:r>
      <w:r w:rsidRPr="00685573">
        <w:rPr>
          <w:rFonts w:asciiTheme="minorHAnsi" w:hAnsiTheme="minorHAnsi" w:cs="Arial"/>
          <w:iCs/>
          <w:color w:val="auto"/>
          <w:sz w:val="24"/>
          <w:lang w:val="en-US"/>
        </w:rPr>
        <w:t>Osteoporos In</w:t>
      </w:r>
      <w:r w:rsidR="006C5537" w:rsidRPr="00685573">
        <w:rPr>
          <w:rFonts w:asciiTheme="minorHAnsi" w:hAnsiTheme="minorHAnsi" w:cs="Arial"/>
          <w:iCs/>
          <w:color w:val="auto"/>
          <w:sz w:val="24"/>
          <w:lang w:val="en-US"/>
        </w:rPr>
        <w:t>t</w:t>
      </w:r>
      <w:r w:rsidRPr="00685573">
        <w:rPr>
          <w:rFonts w:asciiTheme="minorHAnsi" w:hAnsiTheme="minorHAnsi" w:cs="Arial"/>
          <w:i/>
          <w:iCs/>
          <w:color w:val="auto"/>
          <w:sz w:val="24"/>
          <w:lang w:val="en-US"/>
        </w:rPr>
        <w:t xml:space="preserve"> </w:t>
      </w:r>
      <w:r w:rsidRPr="00685573">
        <w:rPr>
          <w:rFonts w:asciiTheme="minorHAnsi" w:hAnsiTheme="minorHAnsi" w:cs="Arial"/>
          <w:bCs/>
          <w:color w:val="auto"/>
          <w:sz w:val="24"/>
          <w:lang w:val="en-US"/>
        </w:rPr>
        <w:t>26</w:t>
      </w:r>
      <w:r w:rsidRPr="00685573">
        <w:rPr>
          <w:rFonts w:asciiTheme="minorHAnsi" w:hAnsiTheme="minorHAnsi" w:cs="Arial"/>
          <w:color w:val="auto"/>
          <w:sz w:val="24"/>
          <w:lang w:val="en-US"/>
        </w:rPr>
        <w:t>(12):2773-2783.</w:t>
      </w:r>
      <w:r w:rsidR="006C5537" w:rsidRPr="00685573">
        <w:rPr>
          <w:rFonts w:asciiTheme="minorHAnsi" w:hAnsiTheme="minorHAnsi" w:cs="Arial"/>
          <w:color w:val="auto"/>
          <w:sz w:val="24"/>
          <w:lang w:val="en-US"/>
        </w:rPr>
        <w:t xml:space="preserve"> </w:t>
      </w:r>
      <w:hyperlink r:id="rId41" w:history="1">
        <w:r w:rsidR="006C5537" w:rsidRPr="00685573">
          <w:rPr>
            <w:rStyle w:val="Hyperlink"/>
            <w:rFonts w:asciiTheme="minorHAnsi" w:hAnsiTheme="minorHAnsi" w:cs="Arial"/>
            <w:sz w:val="24"/>
            <w:lang w:val="en-US"/>
          </w:rPr>
          <w:t>https://doi.org/10.1007/s00198-015-3234-7</w:t>
        </w:r>
      </w:hyperlink>
      <w:r w:rsidR="006C5537" w:rsidRPr="00685573">
        <w:rPr>
          <w:rFonts w:asciiTheme="minorHAnsi" w:hAnsiTheme="minorHAnsi" w:cs="Arial"/>
          <w:color w:val="auto"/>
          <w:sz w:val="24"/>
          <w:lang w:val="en-US"/>
        </w:rPr>
        <w:t xml:space="preserve"> </w:t>
      </w:r>
    </w:p>
    <w:p w14:paraId="3DF27DEF" w14:textId="1E52E778" w:rsidR="00C56A52" w:rsidRPr="00685573" w:rsidRDefault="00C56A52" w:rsidP="000B53D8">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lastRenderedPageBreak/>
        <w:t>Recknor C, Czerwinski E, Bone HG, Bonnick SL, Binkley N, Palacios S, Moffett A, Siddhanti S, Ferreira I, Ghelani P, Wagman RB, Hall JW, Bolognese MA</w:t>
      </w:r>
      <w:r w:rsidR="006C5537"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Benhamou CL (2013) Denosumab compared with ibandronate in postmenopausal women previously treated with bisphosphonate therapy: a randomized open-label trial. </w:t>
      </w:r>
      <w:r w:rsidRPr="00685573">
        <w:rPr>
          <w:rFonts w:asciiTheme="minorHAnsi" w:hAnsiTheme="minorHAnsi" w:cs="Arial"/>
          <w:iCs/>
          <w:color w:val="auto"/>
          <w:sz w:val="24"/>
          <w:lang w:val="en-US"/>
        </w:rPr>
        <w:t>Obstet Gynecol</w:t>
      </w:r>
      <w:r w:rsidRPr="00685573">
        <w:rPr>
          <w:rFonts w:asciiTheme="minorHAnsi" w:hAnsiTheme="minorHAnsi" w:cs="Arial"/>
          <w:i/>
          <w:iCs/>
          <w:color w:val="auto"/>
          <w:sz w:val="24"/>
          <w:lang w:val="en-US"/>
        </w:rPr>
        <w:t xml:space="preserve"> </w:t>
      </w:r>
      <w:r w:rsidRPr="00685573">
        <w:rPr>
          <w:rFonts w:asciiTheme="minorHAnsi" w:hAnsiTheme="minorHAnsi" w:cs="Arial"/>
          <w:bCs/>
          <w:color w:val="auto"/>
          <w:sz w:val="24"/>
          <w:lang w:val="en-US"/>
        </w:rPr>
        <w:t>121</w:t>
      </w:r>
      <w:r w:rsidRPr="00685573">
        <w:rPr>
          <w:rFonts w:asciiTheme="minorHAnsi" w:hAnsiTheme="minorHAnsi" w:cs="Arial"/>
          <w:color w:val="auto"/>
          <w:sz w:val="24"/>
          <w:lang w:val="en-US"/>
        </w:rPr>
        <w:t>(6):1291-1299.</w:t>
      </w:r>
      <w:r w:rsidR="000B53D8" w:rsidRPr="00685573">
        <w:rPr>
          <w:rFonts w:asciiTheme="minorHAnsi" w:hAnsiTheme="minorHAnsi" w:cs="Arial"/>
          <w:color w:val="auto"/>
          <w:sz w:val="24"/>
          <w:lang w:val="en-US"/>
        </w:rPr>
        <w:t xml:space="preserve"> </w:t>
      </w:r>
      <w:hyperlink r:id="rId42" w:history="1">
        <w:r w:rsidR="000B53D8" w:rsidRPr="00685573">
          <w:rPr>
            <w:rStyle w:val="Hyperlink"/>
            <w:rFonts w:asciiTheme="minorHAnsi" w:hAnsiTheme="minorHAnsi" w:cs="Arial"/>
            <w:sz w:val="24"/>
            <w:lang w:val="en-US"/>
          </w:rPr>
          <w:t>https://doi.org/10.1097/AOG.0b013e318291718c</w:t>
        </w:r>
      </w:hyperlink>
      <w:r w:rsidR="000B53D8" w:rsidRPr="00685573">
        <w:rPr>
          <w:rFonts w:asciiTheme="minorHAnsi" w:hAnsiTheme="minorHAnsi" w:cs="Arial"/>
          <w:color w:val="auto"/>
          <w:sz w:val="24"/>
          <w:lang w:val="en-US"/>
        </w:rPr>
        <w:t xml:space="preserve"> </w:t>
      </w:r>
    </w:p>
    <w:p w14:paraId="1F338FA9" w14:textId="65FD3DB0" w:rsidR="00C56A52" w:rsidRPr="00685573" w:rsidRDefault="00C56A52" w:rsidP="00181730">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Roschger P, Lombardi A, Misof BM, Maier G, Fratzl-Zelman N, Fratzl P</w:t>
      </w:r>
      <w:r w:rsidR="00181730"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Klaushofer K (2010) Mineralization density distribution of postmenopausal osteoporotic bone is restored to normal after long-term alendronate treatment: qBEI and sSAXS data from the fracture intervention trial long-term extension (FLEX). </w:t>
      </w:r>
      <w:r w:rsidR="00181730" w:rsidRPr="00685573">
        <w:rPr>
          <w:rFonts w:asciiTheme="minorHAnsi" w:hAnsiTheme="minorHAnsi" w:cs="Arial"/>
          <w:color w:val="auto"/>
          <w:sz w:val="24"/>
          <w:lang w:val="en-US"/>
        </w:rPr>
        <w:t>J Bone Miner Res</w:t>
      </w:r>
      <w:r w:rsidRPr="00685573">
        <w:rPr>
          <w:rFonts w:asciiTheme="minorHAnsi" w:hAnsiTheme="minorHAnsi" w:cs="Arial"/>
          <w:i/>
          <w:iCs/>
          <w:color w:val="auto"/>
          <w:sz w:val="24"/>
          <w:lang w:val="en-US"/>
        </w:rPr>
        <w:t xml:space="preserve"> </w:t>
      </w:r>
      <w:r w:rsidRPr="00685573">
        <w:rPr>
          <w:rFonts w:asciiTheme="minorHAnsi" w:hAnsiTheme="minorHAnsi" w:cs="Arial"/>
          <w:bCs/>
          <w:color w:val="auto"/>
          <w:sz w:val="24"/>
          <w:lang w:val="en-US"/>
        </w:rPr>
        <w:t>25</w:t>
      </w:r>
      <w:r w:rsidRPr="00685573">
        <w:rPr>
          <w:rFonts w:asciiTheme="minorHAnsi" w:hAnsiTheme="minorHAnsi" w:cs="Arial"/>
          <w:color w:val="auto"/>
          <w:sz w:val="24"/>
          <w:lang w:val="en-US"/>
        </w:rPr>
        <w:t>(1):48-55.</w:t>
      </w:r>
      <w:r w:rsidR="00181730" w:rsidRPr="00685573">
        <w:rPr>
          <w:rFonts w:asciiTheme="minorHAnsi" w:hAnsiTheme="minorHAnsi" w:cs="Arial"/>
          <w:color w:val="auto"/>
          <w:sz w:val="24"/>
          <w:lang w:val="en-US"/>
        </w:rPr>
        <w:t xml:space="preserve"> </w:t>
      </w:r>
      <w:hyperlink r:id="rId43" w:history="1">
        <w:r w:rsidR="00181730" w:rsidRPr="00685573">
          <w:rPr>
            <w:rStyle w:val="Hyperlink"/>
            <w:rFonts w:asciiTheme="minorHAnsi" w:hAnsiTheme="minorHAnsi" w:cs="Arial"/>
            <w:sz w:val="24"/>
            <w:lang w:val="en-US"/>
          </w:rPr>
          <w:t>https://doi.org/10.1359/jbmr.090702</w:t>
        </w:r>
      </w:hyperlink>
      <w:r w:rsidR="00181730" w:rsidRPr="00685573">
        <w:rPr>
          <w:rFonts w:asciiTheme="minorHAnsi" w:hAnsiTheme="minorHAnsi" w:cs="Arial"/>
          <w:color w:val="auto"/>
          <w:sz w:val="24"/>
          <w:lang w:val="en-US"/>
        </w:rPr>
        <w:t xml:space="preserve"> </w:t>
      </w:r>
    </w:p>
    <w:p w14:paraId="4D9372C4" w14:textId="5B5BD452" w:rsidR="00894053" w:rsidRPr="00685573" w:rsidRDefault="00894053" w:rsidP="00181730">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Ensrud KE, Barrett-Connor EL, Schwartz A, Santora AC, Bauer DC, Suryawanshi S, Feldstein A, Haskell WL, Hochberg MC, Torner JC, Lombardi A, Black DM</w:t>
      </w:r>
      <w:r w:rsidR="00181730" w:rsidRPr="00685573">
        <w:rPr>
          <w:rFonts w:asciiTheme="minorHAnsi" w:hAnsiTheme="minorHAnsi" w:cs="Arial"/>
          <w:color w:val="auto"/>
          <w:sz w:val="24"/>
          <w:lang w:val="en-US"/>
        </w:rPr>
        <w:t xml:space="preserve">, et al. </w:t>
      </w:r>
      <w:r w:rsidRPr="00685573">
        <w:rPr>
          <w:rFonts w:asciiTheme="minorHAnsi" w:hAnsiTheme="minorHAnsi" w:cs="Arial"/>
          <w:color w:val="auto"/>
          <w:sz w:val="24"/>
          <w:lang w:val="en-US"/>
        </w:rPr>
        <w:t xml:space="preserve">(2004) Randomized trial of effect of alendronate continuation versus discontinuation in women with low BMD: results from the Fracture Intervention Trial long-term extension. J Bone Miner Res 19(8):1259-69. </w:t>
      </w:r>
      <w:hyperlink r:id="rId44" w:history="1">
        <w:r w:rsidR="00181730" w:rsidRPr="00685573">
          <w:rPr>
            <w:rStyle w:val="Hyperlink"/>
            <w:rFonts w:asciiTheme="minorHAnsi" w:hAnsiTheme="minorHAnsi" w:cs="Arial"/>
            <w:sz w:val="24"/>
            <w:lang w:val="en-US"/>
          </w:rPr>
          <w:t>https://doi.org/10.1359/JBMR.040326</w:t>
        </w:r>
      </w:hyperlink>
      <w:r w:rsidR="00181730" w:rsidRPr="00685573">
        <w:rPr>
          <w:rFonts w:asciiTheme="minorHAnsi" w:hAnsiTheme="minorHAnsi" w:cs="Arial"/>
          <w:color w:val="auto"/>
          <w:sz w:val="24"/>
          <w:lang w:val="en-US"/>
        </w:rPr>
        <w:t xml:space="preserve"> </w:t>
      </w:r>
    </w:p>
    <w:p w14:paraId="038A3BE3" w14:textId="0885E922" w:rsidR="00B57CBA" w:rsidRPr="00685573" w:rsidRDefault="00B57CBA" w:rsidP="00181730">
      <w:pPr>
        <w:pStyle w:val="ListParagraph"/>
        <w:numPr>
          <w:ilvl w:val="0"/>
          <w:numId w:val="27"/>
        </w:numPr>
        <w:spacing w:after="60" w:line="360" w:lineRule="auto"/>
        <w:jc w:val="both"/>
        <w:rPr>
          <w:rStyle w:val="nowrap"/>
          <w:rFonts w:asciiTheme="minorHAnsi" w:hAnsiTheme="minorHAnsi"/>
          <w:color w:val="000000"/>
          <w:sz w:val="24"/>
          <w:shd w:val="clear" w:color="auto" w:fill="FFFFFF"/>
        </w:rPr>
      </w:pPr>
      <w:r w:rsidRPr="00685573">
        <w:rPr>
          <w:rFonts w:asciiTheme="minorHAnsi" w:hAnsiTheme="minorHAnsi"/>
          <w:color w:val="000000"/>
          <w:sz w:val="24"/>
          <w:shd w:val="clear" w:color="auto" w:fill="FFFFFF"/>
        </w:rPr>
        <w:t>Black DM, Schwartz AV, Ensrud KE, Cauley JA, Levis S, Quandt SA, Satterfield S, Wallace RB, Bauer DC, Palermo L, Wehren LE, Lombardi A, Santora AC, Cummings SR</w:t>
      </w:r>
      <w:r w:rsidR="00181730" w:rsidRPr="00685573">
        <w:rPr>
          <w:rFonts w:asciiTheme="minorHAnsi" w:hAnsiTheme="minorHAnsi"/>
          <w:color w:val="000000"/>
          <w:sz w:val="24"/>
          <w:shd w:val="clear" w:color="auto" w:fill="FFFFFF"/>
        </w:rPr>
        <w:t>, et al.</w:t>
      </w:r>
      <w:r w:rsidRPr="00685573">
        <w:rPr>
          <w:rFonts w:asciiTheme="minorHAnsi" w:hAnsiTheme="minorHAnsi"/>
          <w:color w:val="000000"/>
          <w:sz w:val="24"/>
          <w:shd w:val="clear" w:color="auto" w:fill="FFFFFF"/>
        </w:rPr>
        <w:t xml:space="preserve"> (2006)</w:t>
      </w:r>
      <w:r w:rsidR="00181730" w:rsidRPr="00685573">
        <w:rPr>
          <w:rFonts w:asciiTheme="minorHAnsi" w:hAnsiTheme="minorHAnsi"/>
          <w:color w:val="000000"/>
          <w:sz w:val="24"/>
          <w:shd w:val="clear" w:color="auto" w:fill="FFFFFF"/>
        </w:rPr>
        <w:t xml:space="preserve"> </w:t>
      </w:r>
      <w:r w:rsidRPr="00685573">
        <w:rPr>
          <w:rStyle w:val="ref-title"/>
          <w:rFonts w:asciiTheme="minorHAnsi" w:hAnsiTheme="minorHAnsi"/>
          <w:color w:val="000000"/>
          <w:sz w:val="24"/>
          <w:shd w:val="clear" w:color="auto" w:fill="FFFFFF"/>
        </w:rPr>
        <w:t>Effects of continuing or stopping alendronate after 5 years of treatment: the Fracture Intervention Trial Long-term Extension (FLEX): a randomized trial</w:t>
      </w:r>
      <w:r w:rsidRPr="00685573">
        <w:rPr>
          <w:rFonts w:asciiTheme="minorHAnsi" w:hAnsiTheme="minorHAnsi"/>
          <w:color w:val="000000"/>
          <w:sz w:val="24"/>
          <w:shd w:val="clear" w:color="auto" w:fill="FFFFFF"/>
        </w:rPr>
        <w:t>. </w:t>
      </w:r>
      <w:r w:rsidRPr="00685573">
        <w:rPr>
          <w:rStyle w:val="ref-journal"/>
          <w:rFonts w:asciiTheme="minorHAnsi" w:eastAsia="MS Gothic" w:hAnsiTheme="minorHAnsi"/>
          <w:color w:val="000000"/>
          <w:sz w:val="24"/>
          <w:shd w:val="clear" w:color="auto" w:fill="FFFFFF"/>
        </w:rPr>
        <w:t>JAMA</w:t>
      </w:r>
      <w:r w:rsidRPr="00685573">
        <w:rPr>
          <w:rFonts w:asciiTheme="minorHAnsi" w:hAnsiTheme="minorHAnsi"/>
          <w:color w:val="000000"/>
          <w:sz w:val="24"/>
          <w:shd w:val="clear" w:color="auto" w:fill="FFFFFF"/>
        </w:rPr>
        <w:t> </w:t>
      </w:r>
      <w:r w:rsidRPr="00685573">
        <w:rPr>
          <w:rStyle w:val="ref-vol"/>
          <w:rFonts w:asciiTheme="minorHAnsi" w:hAnsiTheme="minorHAnsi"/>
          <w:color w:val="000000"/>
          <w:sz w:val="24"/>
          <w:shd w:val="clear" w:color="auto" w:fill="FFFFFF"/>
        </w:rPr>
        <w:t>296</w:t>
      </w:r>
      <w:r w:rsidR="00181730" w:rsidRPr="00685573">
        <w:rPr>
          <w:rStyle w:val="ref-vol"/>
          <w:rFonts w:asciiTheme="minorHAnsi" w:hAnsiTheme="minorHAnsi"/>
          <w:color w:val="000000"/>
          <w:sz w:val="24"/>
          <w:shd w:val="clear" w:color="auto" w:fill="FFFFFF"/>
        </w:rPr>
        <w:t>(24)</w:t>
      </w:r>
      <w:r w:rsidRPr="00685573">
        <w:rPr>
          <w:rFonts w:asciiTheme="minorHAnsi" w:hAnsiTheme="minorHAnsi"/>
          <w:color w:val="000000"/>
          <w:sz w:val="24"/>
          <w:shd w:val="clear" w:color="auto" w:fill="FFFFFF"/>
        </w:rPr>
        <w:t>:2927–38</w:t>
      </w:r>
      <w:r w:rsidR="00181730" w:rsidRPr="00685573">
        <w:rPr>
          <w:rFonts w:asciiTheme="minorHAnsi" w:hAnsiTheme="minorHAnsi"/>
          <w:color w:val="000000"/>
          <w:sz w:val="24"/>
          <w:shd w:val="clear" w:color="auto" w:fill="FFFFFF"/>
        </w:rPr>
        <w:t xml:space="preserve">. </w:t>
      </w:r>
      <w:hyperlink r:id="rId45" w:history="1">
        <w:r w:rsidR="00181730" w:rsidRPr="00685573">
          <w:rPr>
            <w:rStyle w:val="Hyperlink"/>
            <w:rFonts w:asciiTheme="minorHAnsi" w:hAnsiTheme="minorHAnsi"/>
            <w:sz w:val="24"/>
            <w:shd w:val="clear" w:color="auto" w:fill="FFFFFF"/>
          </w:rPr>
          <w:t>https://doi.org/10.1001/jama.296.24.2927</w:t>
        </w:r>
      </w:hyperlink>
      <w:r w:rsidR="00181730" w:rsidRPr="00685573">
        <w:rPr>
          <w:rFonts w:asciiTheme="minorHAnsi" w:hAnsiTheme="minorHAnsi"/>
          <w:color w:val="000000"/>
          <w:sz w:val="24"/>
          <w:shd w:val="clear" w:color="auto" w:fill="FFFFFF"/>
        </w:rPr>
        <w:t xml:space="preserve"> </w:t>
      </w:r>
    </w:p>
    <w:p w14:paraId="33711AB2" w14:textId="6687D25F" w:rsidR="00196AAA" w:rsidRPr="00685573" w:rsidRDefault="00894053" w:rsidP="00181730">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 xml:space="preserve">Tsourdi E, Langdahl B, Cohen-Solal M, Aubry-Rozier B, Eriksen EF, Guañabens N, Obermayer-Pietsch B, Ralston SH, Eastell R, Zillikens MC </w:t>
      </w:r>
      <w:r w:rsidR="00455127" w:rsidRPr="00685573">
        <w:rPr>
          <w:rFonts w:asciiTheme="minorHAnsi" w:hAnsiTheme="minorHAnsi" w:cs="Arial"/>
          <w:color w:val="auto"/>
          <w:sz w:val="24"/>
          <w:lang w:val="en-US"/>
        </w:rPr>
        <w:t xml:space="preserve">(2017) </w:t>
      </w:r>
      <w:r w:rsidRPr="00685573">
        <w:rPr>
          <w:rFonts w:asciiTheme="minorHAnsi" w:hAnsiTheme="minorHAnsi" w:cs="Arial"/>
          <w:color w:val="auto"/>
          <w:sz w:val="24"/>
          <w:lang w:val="en-US"/>
        </w:rPr>
        <w:t>Discontinuation of Denosumab therapy for osteoporosis: A systematic review and position statement by ECTS.</w:t>
      </w:r>
      <w:r w:rsidR="00455127" w:rsidRPr="00685573">
        <w:rPr>
          <w:rFonts w:asciiTheme="minorHAnsi" w:hAnsiTheme="minorHAnsi" w:cs="Arial"/>
          <w:color w:val="auto"/>
          <w:sz w:val="24"/>
          <w:lang w:val="en-US"/>
        </w:rPr>
        <w:t xml:space="preserve"> </w:t>
      </w:r>
      <w:r w:rsidRPr="00685573">
        <w:rPr>
          <w:rFonts w:asciiTheme="minorHAnsi" w:hAnsiTheme="minorHAnsi" w:cs="Arial"/>
          <w:color w:val="auto"/>
          <w:sz w:val="24"/>
          <w:lang w:val="en-US"/>
        </w:rPr>
        <w:t xml:space="preserve">Bone 105:11-7. </w:t>
      </w:r>
      <w:hyperlink r:id="rId46" w:history="1">
        <w:r w:rsidR="00181730" w:rsidRPr="00685573">
          <w:rPr>
            <w:rStyle w:val="Hyperlink"/>
            <w:rFonts w:asciiTheme="minorHAnsi" w:hAnsiTheme="minorHAnsi" w:cs="Arial"/>
            <w:sz w:val="24"/>
            <w:lang w:val="en-US"/>
          </w:rPr>
          <w:t>https://doi.org/10.1016/j.bone.2017.08.003</w:t>
        </w:r>
      </w:hyperlink>
      <w:r w:rsidR="00181730" w:rsidRPr="00685573">
        <w:rPr>
          <w:rFonts w:asciiTheme="minorHAnsi" w:hAnsiTheme="minorHAnsi" w:cs="Arial"/>
          <w:color w:val="auto"/>
          <w:sz w:val="24"/>
          <w:lang w:val="en-US"/>
        </w:rPr>
        <w:t xml:space="preserve"> </w:t>
      </w:r>
    </w:p>
    <w:p w14:paraId="74397C0F" w14:textId="039E8538" w:rsidR="00AF06C4" w:rsidRPr="00685573" w:rsidRDefault="00AF06C4" w:rsidP="00181730">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 xml:space="preserve">Cummings SR, Ferrari S, Eastell R, Gilchrist N, Jensen JB, McClung M, Roux C, Torring </w:t>
      </w:r>
      <w:r w:rsidR="008D7B24" w:rsidRPr="00685573">
        <w:rPr>
          <w:rFonts w:asciiTheme="minorHAnsi" w:hAnsiTheme="minorHAnsi" w:cs="Arial"/>
          <w:color w:val="auto"/>
          <w:sz w:val="24"/>
          <w:lang w:val="en-US"/>
        </w:rPr>
        <w:t xml:space="preserve">O, Valter I, Wang AT, Brown JP (2017) </w:t>
      </w:r>
      <w:r w:rsidRPr="00685573">
        <w:rPr>
          <w:rFonts w:asciiTheme="minorHAnsi" w:hAnsiTheme="minorHAnsi" w:cs="Arial"/>
          <w:color w:val="auto"/>
          <w:sz w:val="24"/>
          <w:lang w:val="en-US"/>
        </w:rPr>
        <w:t>Vertebral fractures after discontinuation of denosumab: a post hoc analysis of the randomized place</w:t>
      </w:r>
      <w:r w:rsidR="008D7B24" w:rsidRPr="00685573">
        <w:rPr>
          <w:rFonts w:asciiTheme="minorHAnsi" w:hAnsiTheme="minorHAnsi" w:cs="Arial"/>
          <w:color w:val="auto"/>
          <w:sz w:val="24"/>
          <w:lang w:val="en-US"/>
        </w:rPr>
        <w:t>bo-control</w:t>
      </w:r>
      <w:r w:rsidRPr="00685573">
        <w:rPr>
          <w:rFonts w:asciiTheme="minorHAnsi" w:hAnsiTheme="minorHAnsi" w:cs="Arial"/>
          <w:color w:val="auto"/>
          <w:sz w:val="24"/>
          <w:lang w:val="en-US"/>
        </w:rPr>
        <w:t xml:space="preserve">led </w:t>
      </w:r>
      <w:r w:rsidR="008D7B24" w:rsidRPr="00685573">
        <w:rPr>
          <w:rFonts w:asciiTheme="minorHAnsi" w:hAnsiTheme="minorHAnsi" w:cs="Arial"/>
          <w:color w:val="auto"/>
          <w:sz w:val="24"/>
          <w:lang w:val="en-US"/>
        </w:rPr>
        <w:t xml:space="preserve">FREEDOM trial and its extension. J Bone Miner Res </w:t>
      </w:r>
      <w:r w:rsidR="005F42C0" w:rsidRPr="00685573">
        <w:rPr>
          <w:rFonts w:asciiTheme="minorHAnsi" w:hAnsiTheme="minorHAnsi" w:cs="Arial"/>
          <w:color w:val="auto"/>
          <w:sz w:val="24"/>
          <w:lang w:val="en-US"/>
        </w:rPr>
        <w:t>33(2):190-</w:t>
      </w:r>
      <w:r w:rsidR="00181730" w:rsidRPr="00685573">
        <w:rPr>
          <w:rFonts w:asciiTheme="minorHAnsi" w:hAnsiTheme="minorHAnsi" w:cs="Arial"/>
          <w:color w:val="auto"/>
          <w:sz w:val="24"/>
          <w:lang w:val="en-US"/>
        </w:rPr>
        <w:t xml:space="preserve">8. </w:t>
      </w:r>
      <w:hyperlink r:id="rId47" w:history="1">
        <w:r w:rsidR="00181730" w:rsidRPr="00685573">
          <w:rPr>
            <w:rStyle w:val="Hyperlink"/>
            <w:rFonts w:asciiTheme="minorHAnsi" w:hAnsiTheme="minorHAnsi" w:cs="Arial"/>
            <w:sz w:val="24"/>
            <w:lang w:val="en-US"/>
          </w:rPr>
          <w:t>https://doi.org/10.1002/jbmr.3359</w:t>
        </w:r>
      </w:hyperlink>
      <w:r w:rsidR="00181730" w:rsidRPr="00685573">
        <w:rPr>
          <w:rFonts w:asciiTheme="minorHAnsi" w:hAnsiTheme="minorHAnsi" w:cs="Arial"/>
          <w:color w:val="auto"/>
          <w:sz w:val="24"/>
          <w:lang w:val="en-US"/>
        </w:rPr>
        <w:t xml:space="preserve"> </w:t>
      </w:r>
    </w:p>
    <w:p w14:paraId="5EDA0264" w14:textId="73696EBC" w:rsidR="008D7B24" w:rsidRPr="00685573" w:rsidRDefault="008D7B24" w:rsidP="008B7F9D">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lastRenderedPageBreak/>
        <w:t>Anastasilakis AD, Polyzos SA, Makras P, Aubry-Rozier B, Kaouri S, Lamy O (2017) Clinical features of 24 patients with rebound associated vertebral fractures after denosumab discontinuation: systematic review and additional cases. J</w:t>
      </w:r>
      <w:r w:rsidR="00001F36" w:rsidRPr="00685573">
        <w:rPr>
          <w:rFonts w:asciiTheme="minorHAnsi" w:hAnsiTheme="minorHAnsi" w:cs="Arial"/>
          <w:color w:val="auto"/>
          <w:sz w:val="24"/>
          <w:lang w:val="en-US"/>
        </w:rPr>
        <w:t xml:space="preserve"> </w:t>
      </w:r>
      <w:r w:rsidRPr="00685573">
        <w:rPr>
          <w:rFonts w:asciiTheme="minorHAnsi" w:hAnsiTheme="minorHAnsi" w:cs="Arial"/>
          <w:color w:val="auto"/>
          <w:sz w:val="24"/>
          <w:lang w:val="en-US"/>
        </w:rPr>
        <w:t xml:space="preserve">Bone Miner Res </w:t>
      </w:r>
      <w:r w:rsidR="00001F36" w:rsidRPr="00685573">
        <w:rPr>
          <w:rFonts w:asciiTheme="minorHAnsi" w:hAnsiTheme="minorHAnsi" w:cs="Arial"/>
          <w:color w:val="auto"/>
          <w:sz w:val="24"/>
          <w:lang w:val="en-US"/>
        </w:rPr>
        <w:t>32(6):1291-6.</w:t>
      </w:r>
      <w:r w:rsidR="008B7F9D" w:rsidRPr="00685573">
        <w:rPr>
          <w:rFonts w:asciiTheme="minorHAnsi" w:hAnsiTheme="minorHAnsi" w:cs="Arial"/>
          <w:color w:val="auto"/>
          <w:sz w:val="24"/>
          <w:lang w:val="en-US"/>
        </w:rPr>
        <w:t xml:space="preserve"> </w:t>
      </w:r>
      <w:hyperlink r:id="rId48" w:history="1">
        <w:r w:rsidR="008B7F9D" w:rsidRPr="00685573">
          <w:rPr>
            <w:rStyle w:val="Hyperlink"/>
            <w:rFonts w:asciiTheme="minorHAnsi" w:hAnsiTheme="minorHAnsi" w:cs="Arial"/>
            <w:sz w:val="24"/>
            <w:lang w:val="en-US"/>
          </w:rPr>
          <w:t>https://doi.org/10.1002/jbmr.3110</w:t>
        </w:r>
      </w:hyperlink>
      <w:r w:rsidR="008B7F9D" w:rsidRPr="00685573">
        <w:rPr>
          <w:rFonts w:asciiTheme="minorHAnsi" w:hAnsiTheme="minorHAnsi" w:cs="Arial"/>
          <w:color w:val="auto"/>
          <w:sz w:val="24"/>
          <w:lang w:val="en-US"/>
        </w:rPr>
        <w:t xml:space="preserve"> </w:t>
      </w:r>
    </w:p>
    <w:p w14:paraId="3A9C175D" w14:textId="2ECA27BF" w:rsidR="008D7B24" w:rsidRPr="00685573" w:rsidRDefault="008D7B24" w:rsidP="005F42C0">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McClung MR, Wagman RB, Miller PD, Wang A, Lewiecki EM (2017) Observations following discontinuation of long-term denosumab therapy. Osteoporos Int 28</w:t>
      </w:r>
      <w:r w:rsidR="005F42C0" w:rsidRPr="00685573">
        <w:rPr>
          <w:rFonts w:asciiTheme="minorHAnsi" w:hAnsiTheme="minorHAnsi" w:cs="Arial"/>
          <w:color w:val="auto"/>
          <w:sz w:val="24"/>
          <w:lang w:val="en-US"/>
        </w:rPr>
        <w:t>(5)</w:t>
      </w:r>
      <w:r w:rsidRPr="00685573">
        <w:rPr>
          <w:rFonts w:asciiTheme="minorHAnsi" w:hAnsiTheme="minorHAnsi" w:cs="Arial"/>
          <w:color w:val="auto"/>
          <w:sz w:val="24"/>
          <w:lang w:val="en-US"/>
        </w:rPr>
        <w:t>: 1723-32</w:t>
      </w:r>
      <w:r w:rsidR="005F42C0" w:rsidRPr="00685573">
        <w:rPr>
          <w:rFonts w:asciiTheme="minorHAnsi" w:hAnsiTheme="minorHAnsi" w:cs="Arial"/>
          <w:color w:val="auto"/>
          <w:sz w:val="24"/>
          <w:lang w:val="en-US"/>
        </w:rPr>
        <w:t xml:space="preserve">. </w:t>
      </w:r>
      <w:hyperlink r:id="rId49" w:history="1">
        <w:r w:rsidR="005F42C0" w:rsidRPr="00685573">
          <w:rPr>
            <w:rStyle w:val="Hyperlink"/>
            <w:rFonts w:asciiTheme="minorHAnsi" w:hAnsiTheme="minorHAnsi" w:cs="Arial"/>
            <w:sz w:val="24"/>
            <w:lang w:val="en-US"/>
          </w:rPr>
          <w:t>https://doi.org/10.1007/s00198-017-3919-1</w:t>
        </w:r>
      </w:hyperlink>
      <w:r w:rsidR="005F42C0" w:rsidRPr="00685573">
        <w:rPr>
          <w:rFonts w:asciiTheme="minorHAnsi" w:hAnsiTheme="minorHAnsi" w:cs="Arial"/>
          <w:color w:val="auto"/>
          <w:sz w:val="24"/>
          <w:lang w:val="en-US"/>
        </w:rPr>
        <w:t xml:space="preserve"> </w:t>
      </w:r>
    </w:p>
    <w:p w14:paraId="687D4005" w14:textId="1C639132" w:rsidR="008D7B24" w:rsidRPr="00685573" w:rsidRDefault="008D7B24" w:rsidP="00886B5B">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 xml:space="preserve">Popp AW, Varathan N, Buffat H, Senn C, Perrelet R, Lippuner K (2018) Bone mineral density changes after 1 year of denosumab discontinuation in postmenopausal women with long-term denosumab treatment for osteoporosis. Calcif Tissue Int </w:t>
      </w:r>
      <w:r w:rsidR="00886B5B" w:rsidRPr="00685573">
        <w:rPr>
          <w:rFonts w:asciiTheme="minorHAnsi" w:hAnsiTheme="minorHAnsi" w:cs="Arial"/>
          <w:color w:val="auto"/>
          <w:sz w:val="24"/>
          <w:lang w:val="en-US"/>
        </w:rPr>
        <w:t xml:space="preserve">103(1):50-4. </w:t>
      </w:r>
      <w:hyperlink r:id="rId50" w:history="1">
        <w:r w:rsidR="00886B5B" w:rsidRPr="00685573">
          <w:rPr>
            <w:rStyle w:val="Hyperlink"/>
            <w:rFonts w:asciiTheme="minorHAnsi" w:hAnsiTheme="minorHAnsi" w:cs="Arial"/>
            <w:sz w:val="24"/>
            <w:lang w:val="en-US"/>
          </w:rPr>
          <w:t>https://doi.org/10.1007/s00223-018-0394-4</w:t>
        </w:r>
      </w:hyperlink>
      <w:r w:rsidR="00886B5B" w:rsidRPr="00685573">
        <w:rPr>
          <w:rFonts w:asciiTheme="minorHAnsi" w:hAnsiTheme="minorHAnsi" w:cs="Arial"/>
          <w:color w:val="auto"/>
          <w:sz w:val="24"/>
          <w:lang w:val="en-US"/>
        </w:rPr>
        <w:t xml:space="preserve"> </w:t>
      </w:r>
    </w:p>
    <w:p w14:paraId="4DB01CF2" w14:textId="6FB8402F" w:rsidR="008D7B24" w:rsidRPr="00685573" w:rsidRDefault="008D7B24" w:rsidP="009029FE">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Zanchetta MB, Boailchuk J, Massari F, Silveira F, Bogado C, Zanchetta JR (2018) Significant bone loss after stopping long-term denosumab treatment: a post FREEDOM study. Osteoporos Int 29</w:t>
      </w:r>
      <w:r w:rsidR="009029FE" w:rsidRPr="00685573">
        <w:rPr>
          <w:rFonts w:asciiTheme="minorHAnsi" w:hAnsiTheme="minorHAnsi" w:cs="Arial"/>
          <w:color w:val="auto"/>
          <w:sz w:val="24"/>
          <w:lang w:val="en-US"/>
        </w:rPr>
        <w:t>(1)</w:t>
      </w:r>
      <w:r w:rsidRPr="00685573">
        <w:rPr>
          <w:rFonts w:asciiTheme="minorHAnsi" w:hAnsiTheme="minorHAnsi" w:cs="Arial"/>
          <w:color w:val="auto"/>
          <w:sz w:val="24"/>
          <w:lang w:val="en-US"/>
        </w:rPr>
        <w:t>:41-7</w:t>
      </w:r>
      <w:r w:rsidR="009029FE" w:rsidRPr="00685573">
        <w:rPr>
          <w:rFonts w:asciiTheme="minorHAnsi" w:hAnsiTheme="minorHAnsi" w:cs="Arial"/>
          <w:color w:val="auto"/>
          <w:sz w:val="24"/>
          <w:lang w:val="en-US"/>
        </w:rPr>
        <w:t xml:space="preserve">. </w:t>
      </w:r>
      <w:hyperlink r:id="rId51" w:history="1">
        <w:r w:rsidR="009029FE" w:rsidRPr="00685573">
          <w:rPr>
            <w:rStyle w:val="Hyperlink"/>
            <w:rFonts w:asciiTheme="minorHAnsi" w:hAnsiTheme="minorHAnsi" w:cs="Arial"/>
            <w:sz w:val="24"/>
            <w:lang w:val="en-US"/>
          </w:rPr>
          <w:t>https://doi.org/10.1007/s00198-017-4242-6</w:t>
        </w:r>
      </w:hyperlink>
      <w:r w:rsidR="009029FE" w:rsidRPr="00685573">
        <w:rPr>
          <w:rFonts w:asciiTheme="minorHAnsi" w:hAnsiTheme="minorHAnsi" w:cs="Arial"/>
          <w:color w:val="auto"/>
          <w:sz w:val="24"/>
          <w:lang w:val="en-US"/>
        </w:rPr>
        <w:t xml:space="preserve"> </w:t>
      </w:r>
    </w:p>
    <w:p w14:paraId="6CA4C3D0" w14:textId="0A832D3C" w:rsidR="00AA0832" w:rsidRPr="00685573" w:rsidRDefault="00AA0832" w:rsidP="009029FE">
      <w:pPr>
        <w:pStyle w:val="ListParagraph"/>
        <w:numPr>
          <w:ilvl w:val="0"/>
          <w:numId w:val="27"/>
        </w:numPr>
        <w:spacing w:after="60" w:line="360" w:lineRule="auto"/>
        <w:jc w:val="both"/>
        <w:rPr>
          <w:rFonts w:asciiTheme="minorHAnsi" w:hAnsiTheme="minorHAnsi"/>
          <w:sz w:val="24"/>
        </w:rPr>
      </w:pPr>
      <w:r w:rsidRPr="00685573">
        <w:rPr>
          <w:rFonts w:asciiTheme="minorHAnsi" w:hAnsiTheme="minorHAnsi"/>
          <w:sz w:val="24"/>
        </w:rPr>
        <w:t>Brown JP, Roux C, Törring O, Ho PR, Beck Jensen JE, Gilchrist N, Recknor C, Austin M, Wang A, Grauer A, Wagman RB (2013) Discontinuation of denosumab and associated fracture incidence: analysis from the Fracture Reduction Evaluation of Denosumab in Osteoporosis Every 6 Months (FREEDOM) trial. J Bone Miner Res. 28</w:t>
      </w:r>
      <w:r w:rsidR="009029FE" w:rsidRPr="00685573">
        <w:rPr>
          <w:rFonts w:asciiTheme="minorHAnsi" w:hAnsiTheme="minorHAnsi"/>
          <w:sz w:val="24"/>
        </w:rPr>
        <w:t>(4)</w:t>
      </w:r>
      <w:r w:rsidRPr="00685573">
        <w:rPr>
          <w:rFonts w:asciiTheme="minorHAnsi" w:hAnsiTheme="minorHAnsi"/>
          <w:sz w:val="24"/>
        </w:rPr>
        <w:t>:746-52</w:t>
      </w:r>
      <w:r w:rsidR="009029FE" w:rsidRPr="00685573">
        <w:rPr>
          <w:rFonts w:asciiTheme="minorHAnsi" w:hAnsiTheme="minorHAnsi"/>
          <w:sz w:val="24"/>
        </w:rPr>
        <w:t xml:space="preserve">. </w:t>
      </w:r>
      <w:hyperlink r:id="rId52" w:history="1">
        <w:r w:rsidR="009029FE" w:rsidRPr="00685573">
          <w:rPr>
            <w:rStyle w:val="Hyperlink"/>
            <w:rFonts w:asciiTheme="minorHAnsi" w:hAnsiTheme="minorHAnsi"/>
            <w:sz w:val="24"/>
          </w:rPr>
          <w:t>https://doi.org/10.1002/jbmr.1808</w:t>
        </w:r>
      </w:hyperlink>
      <w:r w:rsidR="009029FE" w:rsidRPr="00685573">
        <w:rPr>
          <w:rFonts w:asciiTheme="minorHAnsi" w:hAnsiTheme="minorHAnsi"/>
          <w:sz w:val="24"/>
        </w:rPr>
        <w:t xml:space="preserve"> </w:t>
      </w:r>
    </w:p>
    <w:p w14:paraId="68DC2F2D" w14:textId="5630F434" w:rsidR="008D7B24" w:rsidRPr="00685573" w:rsidRDefault="008D7B24" w:rsidP="007C5B3A">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 xml:space="preserve">Adachi JD, Bone HG, </w:t>
      </w:r>
      <w:r w:rsidR="002D63D2" w:rsidRPr="00685573">
        <w:rPr>
          <w:rFonts w:asciiTheme="minorHAnsi" w:hAnsiTheme="minorHAnsi" w:cs="Arial"/>
          <w:color w:val="auto"/>
          <w:sz w:val="24"/>
          <w:lang w:val="en-US"/>
        </w:rPr>
        <w:t>Daizadeh NS, Dakin P, Papapoulos S, Hadji P, Recknor C, Bolognese MA, wang A, Lin CJF, Wagman RB, Ferrari S (2017) Influence of subject discontinuation on long-term nonvertebral fracture rate in the denosumab FREEDOM extension study. BMC Musculoskelet Disord 18:174</w:t>
      </w:r>
      <w:r w:rsidR="007C5B3A" w:rsidRPr="00685573">
        <w:rPr>
          <w:rFonts w:asciiTheme="minorHAnsi" w:hAnsiTheme="minorHAnsi" w:cs="Arial"/>
          <w:color w:val="auto"/>
          <w:sz w:val="24"/>
          <w:lang w:val="en-US"/>
        </w:rPr>
        <w:t xml:space="preserve">. </w:t>
      </w:r>
      <w:hyperlink r:id="rId53" w:history="1">
        <w:r w:rsidR="007C5B3A" w:rsidRPr="00685573">
          <w:rPr>
            <w:rStyle w:val="Hyperlink"/>
            <w:rFonts w:asciiTheme="minorHAnsi" w:hAnsiTheme="minorHAnsi" w:cs="Arial"/>
            <w:sz w:val="24"/>
            <w:lang w:val="en-US"/>
          </w:rPr>
          <w:t>https://doi.org/10.1186/s12891-017-1520-6</w:t>
        </w:r>
      </w:hyperlink>
      <w:r w:rsidR="007C5B3A" w:rsidRPr="00685573">
        <w:rPr>
          <w:rFonts w:asciiTheme="minorHAnsi" w:hAnsiTheme="minorHAnsi" w:cs="Arial"/>
          <w:color w:val="auto"/>
          <w:sz w:val="24"/>
          <w:lang w:val="en-US"/>
        </w:rPr>
        <w:t xml:space="preserve"> </w:t>
      </w:r>
    </w:p>
    <w:p w14:paraId="5CE65235" w14:textId="5A85AAFD" w:rsidR="00455127" w:rsidRPr="00685573" w:rsidRDefault="00455127" w:rsidP="007C5B3A">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 xml:space="preserve">Bone HG, Wagman RB, Brandi ML, Brown JP, Chapurlat R, Cummings SR, Czerwiński E, Fahrleitner-Pammer A, Kendler DL, Lippuner K, Reginster JY, Roux C, Malouf J, Bradley MN, Daizadeh NS, Wang A, Dakin P, Pannacciulli N, Dempster DW, Papapoulos S. 10 years of denosumab treatment in postmenopausal women with osteoporosis: results from the phase 3 randomised FREEDOM trial and open-label extension. Lancet Diabetes Endocrinol 2017 5(7):513-23. </w:t>
      </w:r>
      <w:hyperlink r:id="rId54" w:history="1">
        <w:r w:rsidR="007C5B3A" w:rsidRPr="00685573">
          <w:rPr>
            <w:rStyle w:val="Hyperlink"/>
            <w:rFonts w:asciiTheme="minorHAnsi" w:hAnsiTheme="minorHAnsi" w:cs="Arial"/>
            <w:sz w:val="24"/>
            <w:lang w:val="en-US"/>
          </w:rPr>
          <w:t>https://doi.org/10.1016/S2213-8587(17)30138-9</w:t>
        </w:r>
      </w:hyperlink>
      <w:r w:rsidR="007C5B3A" w:rsidRPr="00685573">
        <w:rPr>
          <w:rFonts w:asciiTheme="minorHAnsi" w:hAnsiTheme="minorHAnsi" w:cs="Arial"/>
          <w:color w:val="auto"/>
          <w:sz w:val="24"/>
          <w:lang w:val="en-US"/>
        </w:rPr>
        <w:t xml:space="preserve"> </w:t>
      </w:r>
    </w:p>
    <w:p w14:paraId="6EF6B0FA" w14:textId="54FD9A0E" w:rsidR="00671C15" w:rsidRPr="00685573" w:rsidRDefault="00671C15" w:rsidP="003D0B42">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lastRenderedPageBreak/>
        <w:t>Schwarz</w:t>
      </w:r>
      <w:r w:rsidR="002D63D2" w:rsidRPr="00685573">
        <w:rPr>
          <w:rFonts w:asciiTheme="minorHAnsi" w:hAnsiTheme="minorHAnsi" w:cs="Arial"/>
          <w:color w:val="auto"/>
          <w:sz w:val="24"/>
          <w:lang w:val="en-US"/>
        </w:rPr>
        <w:t xml:space="preserve"> AV, Bauer DC, Cummings SR, Cauley JA, Ensrud KE, Palermo L, Wallace RB, Hochberg MC, Feldstein AC, Lombardi A, Black DM; FLEX Research Group (2010) Efficacy of continued alendronate for fractures in women with and without prevalent vertebral fracture: the FLEX trial. J Bone </w:t>
      </w:r>
      <w:r w:rsidR="00340929" w:rsidRPr="00685573">
        <w:rPr>
          <w:rFonts w:asciiTheme="minorHAnsi" w:hAnsiTheme="minorHAnsi" w:cs="Arial"/>
          <w:color w:val="auto"/>
          <w:sz w:val="24"/>
          <w:lang w:val="en-US"/>
        </w:rPr>
        <w:t>Miner Res 25</w:t>
      </w:r>
      <w:r w:rsidR="003D0B42" w:rsidRPr="00685573">
        <w:rPr>
          <w:rFonts w:asciiTheme="minorHAnsi" w:hAnsiTheme="minorHAnsi" w:cs="Arial"/>
          <w:color w:val="auto"/>
          <w:sz w:val="24"/>
          <w:lang w:val="en-US"/>
        </w:rPr>
        <w:t>(5)</w:t>
      </w:r>
      <w:r w:rsidR="00340929" w:rsidRPr="00685573">
        <w:rPr>
          <w:rFonts w:asciiTheme="minorHAnsi" w:hAnsiTheme="minorHAnsi" w:cs="Arial"/>
          <w:color w:val="auto"/>
          <w:sz w:val="24"/>
          <w:lang w:val="en-US"/>
        </w:rPr>
        <w:t>:976-82</w:t>
      </w:r>
      <w:r w:rsidR="003D0B42" w:rsidRPr="00685573">
        <w:rPr>
          <w:rFonts w:asciiTheme="minorHAnsi" w:hAnsiTheme="minorHAnsi" w:cs="Arial"/>
          <w:color w:val="auto"/>
          <w:sz w:val="24"/>
          <w:lang w:val="en-US"/>
        </w:rPr>
        <w:t xml:space="preserve">. </w:t>
      </w:r>
      <w:hyperlink r:id="rId55" w:history="1">
        <w:r w:rsidR="003D0B42" w:rsidRPr="00685573">
          <w:rPr>
            <w:rStyle w:val="Hyperlink"/>
            <w:rFonts w:asciiTheme="minorHAnsi" w:hAnsiTheme="minorHAnsi" w:cs="Arial"/>
            <w:sz w:val="24"/>
            <w:lang w:val="en-US"/>
          </w:rPr>
          <w:t>https://doi.org/10.1002/jbmr.11</w:t>
        </w:r>
      </w:hyperlink>
      <w:r w:rsidR="003D0B42" w:rsidRPr="00685573">
        <w:rPr>
          <w:rFonts w:asciiTheme="minorHAnsi" w:hAnsiTheme="minorHAnsi" w:cs="Arial"/>
          <w:color w:val="auto"/>
          <w:sz w:val="24"/>
          <w:lang w:val="en-US"/>
        </w:rPr>
        <w:t xml:space="preserve"> </w:t>
      </w:r>
    </w:p>
    <w:p w14:paraId="058872BA" w14:textId="036B68FF" w:rsidR="00671C15" w:rsidRPr="00685573" w:rsidRDefault="00340929">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Bauer DC, Schwartz A, Palermo L, Cauley J, Hochberg M, Santora A, Cummings SR, Black DM</w:t>
      </w:r>
      <w:r w:rsidR="00921F65" w:rsidRPr="00685573">
        <w:rPr>
          <w:rFonts w:asciiTheme="minorHAnsi" w:hAnsiTheme="minorHAnsi" w:cs="Arial"/>
          <w:color w:val="auto"/>
          <w:sz w:val="24"/>
          <w:lang w:val="en-US"/>
        </w:rPr>
        <w:t xml:space="preserve"> (2014)</w:t>
      </w:r>
      <w:r w:rsidRPr="00685573">
        <w:rPr>
          <w:rFonts w:asciiTheme="minorHAnsi" w:hAnsiTheme="minorHAnsi" w:cs="Arial"/>
          <w:color w:val="auto"/>
          <w:sz w:val="24"/>
          <w:lang w:val="en-US"/>
        </w:rPr>
        <w:t xml:space="preserve"> Fracture prediction after discontinuation of 4 to 5 years of alendronate therapy: the FLEX study. JAMA Intern Med</w:t>
      </w:r>
      <w:r w:rsidR="00921F65" w:rsidRPr="00685573">
        <w:rPr>
          <w:rFonts w:asciiTheme="minorHAnsi" w:hAnsiTheme="minorHAnsi" w:cs="Arial"/>
          <w:color w:val="auto"/>
          <w:sz w:val="24"/>
          <w:lang w:val="en-US"/>
        </w:rPr>
        <w:t xml:space="preserve"> </w:t>
      </w:r>
      <w:r w:rsidRPr="00685573">
        <w:rPr>
          <w:rFonts w:asciiTheme="minorHAnsi" w:hAnsiTheme="minorHAnsi" w:cs="Arial"/>
          <w:color w:val="auto"/>
          <w:sz w:val="24"/>
          <w:lang w:val="en-US"/>
        </w:rPr>
        <w:t>174(7):1126-34</w:t>
      </w:r>
      <w:r w:rsidR="00921F65" w:rsidRPr="00685573">
        <w:rPr>
          <w:rFonts w:asciiTheme="minorHAnsi" w:hAnsiTheme="minorHAnsi" w:cs="Arial"/>
          <w:color w:val="auto"/>
          <w:sz w:val="24"/>
          <w:lang w:val="en-US"/>
        </w:rPr>
        <w:t xml:space="preserve">.  </w:t>
      </w:r>
      <w:hyperlink r:id="rId56" w:history="1">
        <w:r w:rsidR="00921F65" w:rsidRPr="00685573">
          <w:rPr>
            <w:rStyle w:val="Hyperlink"/>
            <w:rFonts w:asciiTheme="minorHAnsi" w:hAnsiTheme="minorHAnsi" w:cs="Arial"/>
            <w:sz w:val="24"/>
          </w:rPr>
          <w:t>https://doi.org/10.1001/jamainternmed.2014.1232</w:t>
        </w:r>
      </w:hyperlink>
      <w:r w:rsidR="00921F65" w:rsidRPr="00685573">
        <w:rPr>
          <w:rFonts w:asciiTheme="minorHAnsi" w:hAnsiTheme="minorHAnsi" w:cs="Arial"/>
          <w:color w:val="auto"/>
          <w:sz w:val="24"/>
          <w:lang w:val="en-US"/>
        </w:rPr>
        <w:t xml:space="preserve"> </w:t>
      </w:r>
    </w:p>
    <w:p w14:paraId="28DAF1EA" w14:textId="2062BD73" w:rsidR="006F6B4C" w:rsidRPr="00685573" w:rsidRDefault="006F6B4C" w:rsidP="00921F65">
      <w:pPr>
        <w:pStyle w:val="ListParagraph"/>
        <w:numPr>
          <w:ilvl w:val="0"/>
          <w:numId w:val="27"/>
        </w:numPr>
        <w:spacing w:after="60" w:line="360" w:lineRule="auto"/>
      </w:pPr>
      <w:r w:rsidRPr="00685573">
        <w:rPr>
          <w:rFonts w:asciiTheme="minorHAnsi" w:hAnsiTheme="minorHAnsi"/>
          <w:sz w:val="24"/>
        </w:rPr>
        <w:t>Cummings SR, Ferrari S, Eastell R, Gilchrist N, Jensen JB, McClung M, Roux C, Törring O, Valter I, Wang AT, Brown JP (2018) Vertebral Fractures After Discontinuation of Denosumab: A Post Hoc Analysis of the Randomized Placebo-Controlled FREEDOM Trial and Its Extension. J Bone Miner Res 33(2):190-8</w:t>
      </w:r>
      <w:r w:rsidRPr="00685573">
        <w:t>.</w:t>
      </w:r>
      <w:r w:rsidR="00921F65" w:rsidRPr="00685573">
        <w:t xml:space="preserve"> </w:t>
      </w:r>
      <w:r w:rsidRPr="00685573">
        <w:t xml:space="preserve"> </w:t>
      </w:r>
      <w:hyperlink r:id="rId57" w:history="1">
        <w:r w:rsidR="00921F65" w:rsidRPr="00685573">
          <w:rPr>
            <w:rStyle w:val="Hyperlink"/>
          </w:rPr>
          <w:t>https://doi.org/10.1002/jbmr.3337</w:t>
        </w:r>
      </w:hyperlink>
      <w:r w:rsidR="00921F65" w:rsidRPr="00685573">
        <w:t xml:space="preserve"> </w:t>
      </w:r>
    </w:p>
    <w:p w14:paraId="49CFEC0B" w14:textId="4F5571A5" w:rsidR="00F62D23" w:rsidRPr="00685573" w:rsidRDefault="00F62D23" w:rsidP="00F62D23">
      <w:pPr>
        <w:pStyle w:val="ListParagraph"/>
        <w:numPr>
          <w:ilvl w:val="0"/>
          <w:numId w:val="27"/>
        </w:numPr>
        <w:spacing w:after="60" w:line="360" w:lineRule="auto"/>
        <w:rPr>
          <w:rFonts w:asciiTheme="minorHAnsi" w:hAnsiTheme="minorHAnsi"/>
          <w:color w:val="2F5496" w:themeColor="accent5" w:themeShade="BF"/>
          <w:sz w:val="24"/>
        </w:rPr>
      </w:pPr>
      <w:r w:rsidRPr="00685573">
        <w:rPr>
          <w:rFonts w:asciiTheme="minorHAnsi" w:hAnsiTheme="minorHAnsi"/>
          <w:sz w:val="24"/>
        </w:rPr>
        <w:t xml:space="preserve">Naylor KE, Bradburn M, Paggiosi MA, Gossiel F, Peel NFA, McCloskey EV, Walsh JS, Eastell R (2018) Effects of discontinuing oral bisphosphonate treatments for postmenopausal osteoporosis on bone turnover markers and bone density. Osteoporos Int. 29(6):1407-1417. </w:t>
      </w:r>
      <w:r w:rsidRPr="00685573">
        <w:rPr>
          <w:rFonts w:asciiTheme="minorHAnsi" w:hAnsiTheme="minorHAnsi"/>
          <w:color w:val="2F5496" w:themeColor="accent5" w:themeShade="BF"/>
          <w:sz w:val="24"/>
        </w:rPr>
        <w:t>https://</w:t>
      </w:r>
      <w:r w:rsidRPr="00685573">
        <w:rPr>
          <w:rFonts w:asciiTheme="minorHAnsi" w:hAnsiTheme="minorHAnsi" w:cs="Arial"/>
          <w:color w:val="2F5496" w:themeColor="accent5" w:themeShade="BF"/>
          <w:sz w:val="24"/>
          <w:shd w:val="clear" w:color="auto" w:fill="FFFFFF"/>
        </w:rPr>
        <w:t xml:space="preserve"> doi: 10.1007/s00198-018-4460-6</w:t>
      </w:r>
    </w:p>
    <w:p w14:paraId="08CDF5CE" w14:textId="070A9B67" w:rsidR="002729DC" w:rsidRPr="00685573" w:rsidRDefault="00E50E8D" w:rsidP="00921F65">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Strom O, Landfeldt E, Garellick G (2015) Residual effect after oral bisphosphonate treatment and healthy adhere effects – the Swedish Adherence Register Analysis (SARA)</w:t>
      </w:r>
      <w:r w:rsidR="002729DC" w:rsidRPr="00685573">
        <w:rPr>
          <w:rFonts w:asciiTheme="minorHAnsi" w:hAnsiTheme="minorHAnsi" w:cs="Arial"/>
          <w:color w:val="auto"/>
          <w:sz w:val="24"/>
          <w:lang w:val="en-US"/>
        </w:rPr>
        <w:t>. Osteoporos Int 26</w:t>
      </w:r>
      <w:r w:rsidR="00921F65" w:rsidRPr="00685573">
        <w:rPr>
          <w:rFonts w:asciiTheme="minorHAnsi" w:hAnsiTheme="minorHAnsi" w:cs="Arial"/>
          <w:color w:val="auto"/>
          <w:sz w:val="24"/>
          <w:lang w:val="en-US"/>
        </w:rPr>
        <w:t>(1)</w:t>
      </w:r>
      <w:r w:rsidR="002729DC" w:rsidRPr="00685573">
        <w:rPr>
          <w:rFonts w:asciiTheme="minorHAnsi" w:hAnsiTheme="minorHAnsi" w:cs="Arial"/>
          <w:color w:val="auto"/>
          <w:sz w:val="24"/>
          <w:lang w:val="en-US"/>
        </w:rPr>
        <w:t>:315-25</w:t>
      </w:r>
      <w:r w:rsidR="00921F65" w:rsidRPr="00685573">
        <w:rPr>
          <w:rFonts w:asciiTheme="minorHAnsi" w:hAnsiTheme="minorHAnsi" w:cs="Arial"/>
          <w:color w:val="auto"/>
          <w:sz w:val="24"/>
          <w:lang w:val="en-US"/>
        </w:rPr>
        <w:t xml:space="preserve">. </w:t>
      </w:r>
      <w:hyperlink r:id="rId58" w:history="1">
        <w:r w:rsidR="00921F65" w:rsidRPr="00685573">
          <w:rPr>
            <w:rStyle w:val="Hyperlink"/>
            <w:rFonts w:asciiTheme="minorHAnsi" w:hAnsiTheme="minorHAnsi" w:cs="Arial"/>
            <w:sz w:val="24"/>
            <w:lang w:val="en-US"/>
          </w:rPr>
          <w:t>https://doi.org/10.1007/s00198-014-2900-5</w:t>
        </w:r>
      </w:hyperlink>
      <w:r w:rsidR="00921F65" w:rsidRPr="00685573">
        <w:rPr>
          <w:rFonts w:asciiTheme="minorHAnsi" w:hAnsiTheme="minorHAnsi" w:cs="Arial"/>
          <w:color w:val="auto"/>
          <w:sz w:val="24"/>
          <w:lang w:val="en-US"/>
        </w:rPr>
        <w:t xml:space="preserve"> </w:t>
      </w:r>
    </w:p>
    <w:p w14:paraId="5A24A47D" w14:textId="249A7452" w:rsidR="00652E8F" w:rsidRPr="00685573" w:rsidRDefault="00652E8F" w:rsidP="00921F65">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Xu LH, Adams-Huet B, Poindexter JR, Maalouf NM (2016) Determinants of change in bone mineral density and fracture risk during bisphosphonate holiday. Osteoporosis Int 27</w:t>
      </w:r>
      <w:r w:rsidR="00921F65" w:rsidRPr="00685573">
        <w:rPr>
          <w:rFonts w:asciiTheme="minorHAnsi" w:hAnsiTheme="minorHAnsi" w:cs="Arial"/>
          <w:color w:val="auto"/>
          <w:sz w:val="24"/>
          <w:lang w:val="en-US"/>
        </w:rPr>
        <w:t>(5)</w:t>
      </w:r>
      <w:r w:rsidRPr="00685573">
        <w:rPr>
          <w:rFonts w:asciiTheme="minorHAnsi" w:hAnsiTheme="minorHAnsi" w:cs="Arial"/>
          <w:color w:val="auto"/>
          <w:sz w:val="24"/>
          <w:lang w:val="en-US"/>
        </w:rPr>
        <w:t>:1701-8</w:t>
      </w:r>
      <w:r w:rsidR="00921F65" w:rsidRPr="00685573">
        <w:rPr>
          <w:rFonts w:asciiTheme="minorHAnsi" w:hAnsiTheme="minorHAnsi" w:cs="Arial"/>
          <w:color w:val="auto"/>
          <w:sz w:val="24"/>
          <w:lang w:val="en-US"/>
        </w:rPr>
        <w:t xml:space="preserve">. </w:t>
      </w:r>
      <w:hyperlink r:id="rId59" w:history="1">
        <w:r w:rsidR="00921F65" w:rsidRPr="00685573">
          <w:rPr>
            <w:rStyle w:val="Hyperlink"/>
            <w:rFonts w:asciiTheme="minorHAnsi" w:hAnsiTheme="minorHAnsi" w:cs="Arial"/>
            <w:sz w:val="24"/>
            <w:lang w:val="en-US"/>
          </w:rPr>
          <w:t>https://doi.org/10.1007/s00198-015-3447-9</w:t>
        </w:r>
      </w:hyperlink>
      <w:r w:rsidR="00921F65" w:rsidRPr="00685573">
        <w:rPr>
          <w:rFonts w:asciiTheme="minorHAnsi" w:hAnsiTheme="minorHAnsi" w:cs="Arial"/>
          <w:color w:val="auto"/>
          <w:sz w:val="24"/>
          <w:lang w:val="en-US"/>
        </w:rPr>
        <w:t xml:space="preserve"> </w:t>
      </w:r>
    </w:p>
    <w:p w14:paraId="0EBB8404" w14:textId="7F1A064C" w:rsidR="00C135D9" w:rsidRPr="00685573" w:rsidRDefault="00C135D9" w:rsidP="00E064A5">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Mignot</w:t>
      </w:r>
      <w:r w:rsidR="0050386A" w:rsidRPr="00685573">
        <w:rPr>
          <w:rFonts w:asciiTheme="minorHAnsi" w:hAnsiTheme="minorHAnsi" w:cs="Arial"/>
          <w:color w:val="auto"/>
          <w:sz w:val="24"/>
          <w:lang w:val="en-US"/>
        </w:rPr>
        <w:t xml:space="preserve"> MA, Taisne N, Legroux I, Cortet B, Paccou</w:t>
      </w:r>
      <w:r w:rsidR="00E064A5" w:rsidRPr="00685573">
        <w:rPr>
          <w:rFonts w:asciiTheme="minorHAnsi" w:hAnsiTheme="minorHAnsi" w:cs="Arial"/>
          <w:color w:val="auto"/>
          <w:sz w:val="24"/>
          <w:lang w:val="en-US"/>
        </w:rPr>
        <w:t xml:space="preserve"> </w:t>
      </w:r>
      <w:r w:rsidR="0050386A" w:rsidRPr="00685573">
        <w:rPr>
          <w:rFonts w:asciiTheme="minorHAnsi" w:hAnsiTheme="minorHAnsi" w:cs="Arial"/>
          <w:color w:val="auto"/>
          <w:sz w:val="24"/>
          <w:lang w:val="en-US"/>
        </w:rPr>
        <w:t>(2017) Bisphosphonate drug holidays in postmenopausal osteoporosis: effect on clinical fracture ri</w:t>
      </w:r>
      <w:r w:rsidR="00E064A5" w:rsidRPr="00685573">
        <w:rPr>
          <w:rFonts w:asciiTheme="minorHAnsi" w:hAnsiTheme="minorHAnsi" w:cs="Arial"/>
          <w:color w:val="auto"/>
          <w:sz w:val="24"/>
          <w:lang w:val="en-US"/>
        </w:rPr>
        <w:t xml:space="preserve">sk. Osteporosis Int 28:3431-8. </w:t>
      </w:r>
      <w:hyperlink r:id="rId60" w:history="1">
        <w:r w:rsidR="00E064A5" w:rsidRPr="00685573">
          <w:rPr>
            <w:rStyle w:val="Hyperlink"/>
            <w:rFonts w:asciiTheme="minorHAnsi" w:hAnsiTheme="minorHAnsi" w:cs="Arial"/>
            <w:sz w:val="24"/>
            <w:lang w:val="en-US"/>
          </w:rPr>
          <w:t>https://doi.org/10.1007/s00198-017-4215-9</w:t>
        </w:r>
      </w:hyperlink>
      <w:r w:rsidR="00E064A5" w:rsidRPr="00685573">
        <w:rPr>
          <w:rFonts w:asciiTheme="minorHAnsi" w:hAnsiTheme="minorHAnsi" w:cs="Arial"/>
          <w:color w:val="auto"/>
          <w:sz w:val="24"/>
          <w:lang w:val="en-US"/>
        </w:rPr>
        <w:t xml:space="preserve"> </w:t>
      </w:r>
    </w:p>
    <w:p w14:paraId="4AC45383" w14:textId="41F403B5" w:rsidR="00C135D9" w:rsidRPr="00685573" w:rsidRDefault="0050386A" w:rsidP="00E064A5">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Curtis JR, Westfall AO, Cheng H, Delzell E, Saag KG (2008) Risk of hip fracture after bisphosphonate discontinuation: implications for a</w:t>
      </w:r>
      <w:r w:rsidR="00E064A5" w:rsidRPr="00685573">
        <w:rPr>
          <w:rFonts w:asciiTheme="minorHAnsi" w:hAnsiTheme="minorHAnsi" w:cs="Arial"/>
          <w:color w:val="auto"/>
          <w:sz w:val="24"/>
          <w:lang w:val="en-US"/>
        </w:rPr>
        <w:t xml:space="preserve"> </w:t>
      </w:r>
      <w:r w:rsidRPr="00685573">
        <w:rPr>
          <w:rFonts w:asciiTheme="minorHAnsi" w:hAnsiTheme="minorHAnsi" w:cs="Arial"/>
          <w:color w:val="auto"/>
          <w:sz w:val="24"/>
          <w:lang w:val="en-US"/>
        </w:rPr>
        <w:t>dru</w:t>
      </w:r>
      <w:r w:rsidR="00E064A5" w:rsidRPr="00685573">
        <w:rPr>
          <w:rFonts w:asciiTheme="minorHAnsi" w:hAnsiTheme="minorHAnsi" w:cs="Arial"/>
          <w:color w:val="auto"/>
          <w:sz w:val="24"/>
          <w:lang w:val="en-US"/>
        </w:rPr>
        <w:t>g holiday. Osteoporosis Int 19:1613-</w:t>
      </w:r>
      <w:r w:rsidRPr="00685573">
        <w:rPr>
          <w:rFonts w:asciiTheme="minorHAnsi" w:hAnsiTheme="minorHAnsi" w:cs="Arial"/>
          <w:color w:val="auto"/>
          <w:sz w:val="24"/>
          <w:lang w:val="en-US"/>
        </w:rPr>
        <w:t>20</w:t>
      </w:r>
      <w:r w:rsidR="00E064A5" w:rsidRPr="00685573">
        <w:rPr>
          <w:rFonts w:asciiTheme="minorHAnsi" w:hAnsiTheme="minorHAnsi" w:cs="Arial"/>
          <w:color w:val="auto"/>
          <w:sz w:val="24"/>
          <w:lang w:val="en-US"/>
        </w:rPr>
        <w:t xml:space="preserve">. </w:t>
      </w:r>
      <w:hyperlink r:id="rId61" w:history="1">
        <w:r w:rsidR="00E064A5" w:rsidRPr="00685573">
          <w:rPr>
            <w:rStyle w:val="Hyperlink"/>
            <w:rFonts w:asciiTheme="minorHAnsi" w:hAnsiTheme="minorHAnsi" w:cs="Arial"/>
            <w:sz w:val="24"/>
            <w:lang w:val="en-US"/>
          </w:rPr>
          <w:t>https://doi.org/10.1007/s00198-008-0604-4</w:t>
        </w:r>
      </w:hyperlink>
      <w:r w:rsidR="00E064A5" w:rsidRPr="00685573">
        <w:rPr>
          <w:rFonts w:asciiTheme="minorHAnsi" w:hAnsiTheme="minorHAnsi" w:cs="Arial"/>
          <w:color w:val="auto"/>
          <w:sz w:val="24"/>
          <w:lang w:val="en-US"/>
        </w:rPr>
        <w:t xml:space="preserve"> </w:t>
      </w:r>
    </w:p>
    <w:p w14:paraId="0DA23DF6" w14:textId="0EBD3D15" w:rsidR="00652E8F" w:rsidRPr="00685573" w:rsidRDefault="00652E8F" w:rsidP="004519F1">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Black DM, Kelly MP, Genant HK, Palermo L, Eastell R, Bucci-Rechtweg C, Cauley J, Leung PC, Booen S, Santora A, de Papp A, Bauer DC</w:t>
      </w:r>
      <w:r w:rsidR="004519F1"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w:t>
      </w:r>
      <w:r w:rsidR="004519F1" w:rsidRPr="00685573">
        <w:rPr>
          <w:rFonts w:asciiTheme="minorHAnsi" w:hAnsiTheme="minorHAnsi" w:cs="Arial"/>
          <w:color w:val="auto"/>
          <w:sz w:val="24"/>
          <w:lang w:val="en-US"/>
        </w:rPr>
        <w:t>et al.</w:t>
      </w:r>
      <w:r w:rsidRPr="00685573">
        <w:rPr>
          <w:rFonts w:asciiTheme="minorHAnsi" w:hAnsiTheme="minorHAnsi" w:cs="Arial"/>
          <w:color w:val="auto"/>
          <w:sz w:val="24"/>
          <w:lang w:val="en-US"/>
        </w:rPr>
        <w:t xml:space="preserve"> (2010) </w:t>
      </w:r>
      <w:r w:rsidR="004519F1" w:rsidRPr="00685573">
        <w:rPr>
          <w:rFonts w:asciiTheme="minorHAnsi" w:hAnsiTheme="minorHAnsi" w:cs="Arial"/>
          <w:color w:val="auto"/>
          <w:sz w:val="24"/>
          <w:lang w:val="en-US"/>
        </w:rPr>
        <w:t xml:space="preserve">Bisphosphonates </w:t>
      </w:r>
      <w:r w:rsidR="004519F1" w:rsidRPr="00685573">
        <w:rPr>
          <w:rFonts w:asciiTheme="minorHAnsi" w:hAnsiTheme="minorHAnsi" w:cs="Arial"/>
          <w:color w:val="auto"/>
          <w:sz w:val="24"/>
          <w:lang w:val="en-US"/>
        </w:rPr>
        <w:lastRenderedPageBreak/>
        <w:t xml:space="preserve">and fractures of the subtrochanteric or diaphyseal femur. </w:t>
      </w:r>
      <w:r w:rsidRPr="00685573">
        <w:rPr>
          <w:rFonts w:asciiTheme="minorHAnsi" w:hAnsiTheme="minorHAnsi" w:cs="Arial"/>
          <w:color w:val="auto"/>
          <w:sz w:val="24"/>
          <w:lang w:val="en-US"/>
        </w:rPr>
        <w:t>N Engl J Med 362</w:t>
      </w:r>
      <w:r w:rsidR="004519F1" w:rsidRPr="00685573">
        <w:rPr>
          <w:rFonts w:asciiTheme="minorHAnsi" w:hAnsiTheme="minorHAnsi" w:cs="Arial"/>
          <w:color w:val="auto"/>
          <w:sz w:val="24"/>
          <w:lang w:val="en-US"/>
        </w:rPr>
        <w:t>(19)</w:t>
      </w:r>
      <w:r w:rsidRPr="00685573">
        <w:rPr>
          <w:rFonts w:asciiTheme="minorHAnsi" w:hAnsiTheme="minorHAnsi" w:cs="Arial"/>
          <w:color w:val="auto"/>
          <w:sz w:val="24"/>
          <w:lang w:val="en-US"/>
        </w:rPr>
        <w:t>:1761-71</w:t>
      </w:r>
      <w:r w:rsidR="004519F1" w:rsidRPr="00685573">
        <w:rPr>
          <w:rFonts w:asciiTheme="minorHAnsi" w:hAnsiTheme="minorHAnsi" w:cs="Arial"/>
          <w:color w:val="auto"/>
          <w:sz w:val="24"/>
          <w:lang w:val="en-US"/>
        </w:rPr>
        <w:t xml:space="preserve">. </w:t>
      </w:r>
      <w:hyperlink r:id="rId62" w:history="1">
        <w:r w:rsidR="004519F1" w:rsidRPr="00685573">
          <w:rPr>
            <w:rStyle w:val="Hyperlink"/>
            <w:rFonts w:asciiTheme="minorHAnsi" w:hAnsiTheme="minorHAnsi" w:cs="Arial"/>
            <w:sz w:val="24"/>
            <w:lang w:val="en-US"/>
          </w:rPr>
          <w:t>https://doi.org/10.1056/NEJMoa1001086</w:t>
        </w:r>
      </w:hyperlink>
      <w:r w:rsidR="004519F1" w:rsidRPr="00685573">
        <w:rPr>
          <w:rFonts w:asciiTheme="minorHAnsi" w:hAnsiTheme="minorHAnsi" w:cs="Arial"/>
          <w:color w:val="auto"/>
          <w:sz w:val="24"/>
          <w:lang w:val="en-US"/>
        </w:rPr>
        <w:t xml:space="preserve"> </w:t>
      </w:r>
    </w:p>
    <w:p w14:paraId="328A2972" w14:textId="7F4BD061" w:rsidR="00196AAA" w:rsidRPr="00685573" w:rsidRDefault="008B1B87" w:rsidP="000A77E1">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rPr>
      </w:pPr>
      <w:r w:rsidRPr="00685573">
        <w:rPr>
          <w:rFonts w:asciiTheme="minorHAnsi" w:hAnsiTheme="minorHAnsi" w:cs="Arial"/>
          <w:color w:val="auto"/>
          <w:sz w:val="24"/>
          <w:lang w:val="en-US"/>
        </w:rPr>
        <w:t>Schilcher J, Michaëlsson K, Aspenberg P</w:t>
      </w:r>
      <w:r w:rsidR="000A77E1" w:rsidRPr="00685573">
        <w:rPr>
          <w:rFonts w:asciiTheme="minorHAnsi" w:hAnsiTheme="minorHAnsi" w:cs="Arial"/>
          <w:color w:val="auto"/>
          <w:sz w:val="24"/>
          <w:lang w:val="en-US"/>
        </w:rPr>
        <w:t xml:space="preserve"> (2011)</w:t>
      </w:r>
      <w:r w:rsidRPr="00685573">
        <w:rPr>
          <w:rFonts w:asciiTheme="minorHAnsi" w:hAnsiTheme="minorHAnsi" w:cs="Arial"/>
          <w:color w:val="auto"/>
          <w:sz w:val="24"/>
          <w:lang w:val="en-US"/>
        </w:rPr>
        <w:t xml:space="preserve"> Bisphosphonate use and atypical fractures of the femoral shaft</w:t>
      </w:r>
      <w:r w:rsidR="000A77E1" w:rsidRPr="00685573">
        <w:rPr>
          <w:rFonts w:asciiTheme="minorHAnsi" w:hAnsiTheme="minorHAnsi" w:cs="Arial"/>
          <w:color w:val="auto"/>
          <w:sz w:val="24"/>
          <w:lang w:val="en-US"/>
        </w:rPr>
        <w:t>.</w:t>
      </w:r>
      <w:r w:rsidRPr="00685573">
        <w:rPr>
          <w:rFonts w:asciiTheme="minorHAnsi" w:hAnsiTheme="minorHAnsi" w:cs="Arial"/>
          <w:color w:val="auto"/>
          <w:sz w:val="24"/>
          <w:lang w:val="en-US"/>
        </w:rPr>
        <w:t xml:space="preserve"> N Engl J Med</w:t>
      </w:r>
      <w:r w:rsidR="000A77E1" w:rsidRPr="00685573">
        <w:rPr>
          <w:rFonts w:asciiTheme="minorHAnsi" w:hAnsiTheme="minorHAnsi" w:cs="Arial"/>
          <w:color w:val="auto"/>
          <w:sz w:val="24"/>
          <w:lang w:val="en-US"/>
        </w:rPr>
        <w:t xml:space="preserve"> </w:t>
      </w:r>
      <w:r w:rsidRPr="00685573">
        <w:rPr>
          <w:rFonts w:asciiTheme="minorHAnsi" w:hAnsiTheme="minorHAnsi" w:cs="Arial"/>
          <w:color w:val="auto"/>
          <w:sz w:val="24"/>
          <w:lang w:val="en-US"/>
        </w:rPr>
        <w:t xml:space="preserve">364(18):1728-37. </w:t>
      </w:r>
      <w:hyperlink r:id="rId63" w:history="1">
        <w:r w:rsidR="000A77E1" w:rsidRPr="00685573">
          <w:rPr>
            <w:rStyle w:val="Hyperlink"/>
            <w:rFonts w:asciiTheme="minorHAnsi" w:hAnsiTheme="minorHAnsi" w:cs="Arial"/>
            <w:sz w:val="24"/>
            <w:lang w:val="en-US"/>
          </w:rPr>
          <w:t>https://doi.org/10.1056/NEJMoa1010650</w:t>
        </w:r>
      </w:hyperlink>
      <w:r w:rsidR="000A77E1" w:rsidRPr="00685573">
        <w:rPr>
          <w:rFonts w:asciiTheme="minorHAnsi" w:hAnsiTheme="minorHAnsi" w:cs="Arial"/>
          <w:color w:val="auto"/>
          <w:sz w:val="24"/>
          <w:lang w:val="en-US"/>
        </w:rPr>
        <w:t xml:space="preserve"> </w:t>
      </w:r>
    </w:p>
    <w:p w14:paraId="598BCDDB" w14:textId="77777777" w:rsidR="003742DF" w:rsidRPr="00685573" w:rsidRDefault="003742DF" w:rsidP="003742DF">
      <w:pPr>
        <w:pStyle w:val="desc"/>
        <w:numPr>
          <w:ilvl w:val="0"/>
          <w:numId w:val="27"/>
        </w:numPr>
        <w:shd w:val="clear" w:color="auto" w:fill="FFFFFF"/>
        <w:spacing w:before="0" w:beforeAutospacing="0" w:after="120" w:afterAutospacing="0" w:line="360" w:lineRule="auto"/>
        <w:jc w:val="both"/>
        <w:rPr>
          <w:rFonts w:asciiTheme="minorHAnsi" w:hAnsiTheme="minorHAnsi" w:cs="Arial"/>
          <w:color w:val="4472C4" w:themeColor="accent5"/>
        </w:rPr>
      </w:pPr>
      <w:r w:rsidRPr="00685573">
        <w:rPr>
          <w:rFonts w:asciiTheme="minorHAnsi" w:hAnsiTheme="minorHAnsi" w:cs="Arial"/>
          <w:color w:val="000000"/>
        </w:rPr>
        <w:t xml:space="preserve">Schilcher J, Koeppen V, Aspenberg P, Michaëlsson K (2015) Risk of femoral fracture during and after bisphosphonate therapy. </w:t>
      </w:r>
      <w:r w:rsidRPr="00685573">
        <w:rPr>
          <w:rStyle w:val="jrnl"/>
          <w:rFonts w:asciiTheme="minorHAnsi" w:hAnsiTheme="minorHAnsi" w:cs="Arial"/>
          <w:color w:val="000000"/>
        </w:rPr>
        <w:t>Acta Orthop</w:t>
      </w:r>
      <w:r w:rsidRPr="00685573">
        <w:rPr>
          <w:rFonts w:asciiTheme="minorHAnsi" w:hAnsiTheme="minorHAnsi" w:cs="Arial"/>
          <w:color w:val="000000"/>
        </w:rPr>
        <w:t xml:space="preserve">. 2015 Feb;86(1):100-7. </w:t>
      </w:r>
      <w:r w:rsidRPr="00685573">
        <w:rPr>
          <w:rFonts w:asciiTheme="minorHAnsi" w:hAnsiTheme="minorHAnsi" w:cs="Arial"/>
          <w:color w:val="4472C4" w:themeColor="accent5"/>
        </w:rPr>
        <w:t xml:space="preserve">https:\\ doi: 10.3109/17453674.2015.1004149. </w:t>
      </w:r>
    </w:p>
    <w:p w14:paraId="69BC3D8D" w14:textId="77777777" w:rsidR="00EC403B" w:rsidRPr="00685573" w:rsidRDefault="00EC403B" w:rsidP="00A71CDE">
      <w:pPr>
        <w:numPr>
          <w:ilvl w:val="0"/>
          <w:numId w:val="27"/>
        </w:numPr>
        <w:spacing w:after="60" w:line="360" w:lineRule="auto"/>
        <w:ind w:left="1077" w:hanging="357"/>
        <w:rPr>
          <w:rFonts w:eastAsia="Times New Roman"/>
          <w:sz w:val="24"/>
          <w:szCs w:val="24"/>
          <w:lang w:val="en-US"/>
        </w:rPr>
      </w:pPr>
      <w:r w:rsidRPr="00685573">
        <w:rPr>
          <w:rFonts w:eastAsia="Times New Roman"/>
          <w:sz w:val="24"/>
          <w:szCs w:val="24"/>
          <w:lang w:val="en-US"/>
        </w:rPr>
        <w:t>Adams AL, Li BH, Ryan DS, Geiger EJ, Dell RM, Black DM. Do drug holidays reduce atypical femur fracture risk?: results from the Southern California Osteoporosis Cohort Study (SOCS). Abstract 1005 presented at the ASBMR meeting 2018  </w:t>
      </w:r>
    </w:p>
    <w:p w14:paraId="5508225E" w14:textId="1A860AC2" w:rsidR="005C015A" w:rsidRPr="00685573" w:rsidRDefault="005C015A" w:rsidP="00A71CDE">
      <w:pPr>
        <w:pStyle w:val="ListParagraph"/>
        <w:widowControl w:val="0"/>
        <w:numPr>
          <w:ilvl w:val="0"/>
          <w:numId w:val="27"/>
        </w:numPr>
        <w:autoSpaceDE w:val="0"/>
        <w:autoSpaceDN w:val="0"/>
        <w:adjustRightInd w:val="0"/>
        <w:spacing w:after="60" w:line="360" w:lineRule="auto"/>
        <w:ind w:left="1077" w:hanging="357"/>
        <w:jc w:val="both"/>
        <w:rPr>
          <w:rFonts w:asciiTheme="minorHAnsi" w:hAnsiTheme="minorHAnsi" w:cs="Arial"/>
          <w:color w:val="auto"/>
          <w:sz w:val="24"/>
          <w:lang w:val="en-US"/>
        </w:rPr>
      </w:pPr>
      <w:r w:rsidRPr="00685573">
        <w:rPr>
          <w:rFonts w:asciiTheme="minorHAnsi" w:hAnsiTheme="minorHAnsi" w:cs="Arial"/>
          <w:color w:val="auto"/>
          <w:sz w:val="24"/>
          <w:lang w:val="en-US"/>
        </w:rPr>
        <w:t>Dell RM, Adams AL, Greene DF, Funahashi TT, Silverman SL, Eisman EO, Zhou H, Burchetter RJ, Ott SM (2012). Incidence of atypical nontraumatic diaphyseal fractures of the femur. J Bone Miner Res 27</w:t>
      </w:r>
      <w:r w:rsidR="00BA0D1F" w:rsidRPr="00685573">
        <w:rPr>
          <w:rFonts w:asciiTheme="minorHAnsi" w:hAnsiTheme="minorHAnsi" w:cs="Arial"/>
          <w:color w:val="auto"/>
          <w:sz w:val="24"/>
          <w:lang w:val="en-US"/>
        </w:rPr>
        <w:t>(12)</w:t>
      </w:r>
      <w:r w:rsidRPr="00685573">
        <w:rPr>
          <w:rFonts w:asciiTheme="minorHAnsi" w:hAnsiTheme="minorHAnsi" w:cs="Arial"/>
          <w:color w:val="auto"/>
          <w:sz w:val="24"/>
          <w:lang w:val="en-US"/>
        </w:rPr>
        <w:t>:2544-50</w:t>
      </w:r>
      <w:r w:rsidR="00BA0D1F" w:rsidRPr="00685573">
        <w:rPr>
          <w:rFonts w:asciiTheme="minorHAnsi" w:hAnsiTheme="minorHAnsi" w:cs="Arial"/>
          <w:color w:val="auto"/>
          <w:sz w:val="24"/>
          <w:lang w:val="en-US"/>
        </w:rPr>
        <w:t xml:space="preserve">. </w:t>
      </w:r>
      <w:hyperlink r:id="rId64" w:history="1">
        <w:r w:rsidR="00BA0D1F" w:rsidRPr="00685573">
          <w:rPr>
            <w:rStyle w:val="Hyperlink"/>
            <w:rFonts w:asciiTheme="minorHAnsi" w:hAnsiTheme="minorHAnsi" w:cs="Arial"/>
            <w:sz w:val="24"/>
            <w:lang w:val="en-US"/>
          </w:rPr>
          <w:t>https://doi.org/10.1002/jbmr.1719</w:t>
        </w:r>
      </w:hyperlink>
      <w:r w:rsidR="00BA0D1F" w:rsidRPr="00685573">
        <w:rPr>
          <w:rFonts w:asciiTheme="minorHAnsi" w:hAnsiTheme="minorHAnsi" w:cs="Arial"/>
          <w:color w:val="auto"/>
          <w:sz w:val="24"/>
          <w:lang w:val="en-US"/>
        </w:rPr>
        <w:t xml:space="preserve"> </w:t>
      </w:r>
    </w:p>
    <w:p w14:paraId="577F7E65" w14:textId="6C4FC0E5" w:rsidR="00652E8F" w:rsidRPr="00685573" w:rsidRDefault="00652E8F" w:rsidP="003742DF">
      <w:pPr>
        <w:pStyle w:val="ListParagraph"/>
        <w:widowControl w:val="0"/>
        <w:numPr>
          <w:ilvl w:val="0"/>
          <w:numId w:val="27"/>
        </w:numPr>
        <w:autoSpaceDE w:val="0"/>
        <w:autoSpaceDN w:val="0"/>
        <w:adjustRightInd w:val="0"/>
        <w:spacing w:after="60" w:line="360" w:lineRule="auto"/>
        <w:ind w:left="1077" w:hanging="357"/>
        <w:jc w:val="both"/>
        <w:rPr>
          <w:rFonts w:asciiTheme="minorHAnsi" w:hAnsiTheme="minorHAnsi" w:cs="Arial"/>
          <w:color w:val="auto"/>
          <w:sz w:val="24"/>
          <w:lang w:val="en-US"/>
        </w:rPr>
      </w:pPr>
      <w:r w:rsidRPr="00685573">
        <w:rPr>
          <w:rFonts w:asciiTheme="minorHAnsi" w:hAnsiTheme="minorHAnsi" w:cs="Arial"/>
          <w:color w:val="auto"/>
          <w:sz w:val="24"/>
          <w:lang w:val="en-US"/>
        </w:rPr>
        <w:t>Khow KS, Shibu P, Yu SC, Chehade MJ, Visvanathan R</w:t>
      </w:r>
      <w:r w:rsidR="00BA0D1F" w:rsidRPr="00685573">
        <w:rPr>
          <w:rFonts w:asciiTheme="minorHAnsi" w:hAnsiTheme="minorHAnsi" w:cs="Arial"/>
          <w:color w:val="auto"/>
          <w:sz w:val="24"/>
          <w:lang w:val="en-US"/>
        </w:rPr>
        <w:t xml:space="preserve"> (2017)</w:t>
      </w:r>
      <w:r w:rsidRPr="00685573">
        <w:rPr>
          <w:rFonts w:asciiTheme="minorHAnsi" w:hAnsiTheme="minorHAnsi" w:cs="Arial"/>
          <w:color w:val="auto"/>
          <w:sz w:val="24"/>
          <w:lang w:val="en-US"/>
        </w:rPr>
        <w:t xml:space="preserve"> Epidemiology and Postoperative Outcomes of Atypical Femoral Fractures in Older Adults: A Systematic Review. J Nutr Health Aging</w:t>
      </w:r>
      <w:r w:rsidR="00BA0D1F" w:rsidRPr="00685573">
        <w:rPr>
          <w:rFonts w:asciiTheme="minorHAnsi" w:hAnsiTheme="minorHAnsi" w:cs="Arial"/>
          <w:color w:val="auto"/>
          <w:sz w:val="24"/>
          <w:lang w:val="en-US"/>
        </w:rPr>
        <w:t xml:space="preserve"> </w:t>
      </w:r>
      <w:r w:rsidRPr="00685573">
        <w:rPr>
          <w:rFonts w:asciiTheme="minorHAnsi" w:hAnsiTheme="minorHAnsi" w:cs="Arial"/>
          <w:color w:val="auto"/>
          <w:sz w:val="24"/>
          <w:lang w:val="en-US"/>
        </w:rPr>
        <w:t xml:space="preserve">21(1):83-91. </w:t>
      </w:r>
      <w:hyperlink r:id="rId65" w:history="1">
        <w:r w:rsidR="00BA0D1F" w:rsidRPr="00685573">
          <w:rPr>
            <w:rStyle w:val="Hyperlink"/>
            <w:rFonts w:asciiTheme="minorHAnsi" w:hAnsiTheme="minorHAnsi" w:cs="Arial"/>
            <w:sz w:val="24"/>
            <w:lang w:val="en-US"/>
          </w:rPr>
          <w:t>https://doi.org/10.1007/s12603-015-0652-3</w:t>
        </w:r>
      </w:hyperlink>
      <w:r w:rsidR="00BA0D1F" w:rsidRPr="00685573">
        <w:rPr>
          <w:rFonts w:asciiTheme="minorHAnsi" w:hAnsiTheme="minorHAnsi" w:cs="Arial"/>
          <w:color w:val="auto"/>
          <w:sz w:val="24"/>
          <w:lang w:val="en-US"/>
        </w:rPr>
        <w:t xml:space="preserve"> </w:t>
      </w:r>
    </w:p>
    <w:p w14:paraId="496DDA17" w14:textId="77777777" w:rsidR="003742DF" w:rsidRPr="00685573" w:rsidRDefault="003742DF" w:rsidP="003742DF">
      <w:pPr>
        <w:pStyle w:val="desc"/>
        <w:numPr>
          <w:ilvl w:val="0"/>
          <w:numId w:val="27"/>
        </w:numPr>
        <w:shd w:val="clear" w:color="auto" w:fill="FFFFFF"/>
        <w:spacing w:before="0" w:beforeAutospacing="0" w:after="120" w:afterAutospacing="0" w:line="360" w:lineRule="auto"/>
        <w:ind w:left="1077" w:hanging="357"/>
        <w:jc w:val="both"/>
        <w:rPr>
          <w:rFonts w:asciiTheme="minorHAnsi" w:hAnsiTheme="minorHAnsi" w:cs="Arial"/>
          <w:color w:val="000000"/>
        </w:rPr>
      </w:pPr>
      <w:r w:rsidRPr="00685573">
        <w:rPr>
          <w:rFonts w:asciiTheme="minorHAnsi" w:hAnsiTheme="minorHAnsi" w:cs="Arial"/>
          <w:color w:val="000000"/>
        </w:rPr>
        <w:t xml:space="preserve">Kharazmi M, Hallberg P, Schilcher J, Aspenberg P, Michaëlsson K (2016) Mortality after hip fracture. </w:t>
      </w:r>
      <w:r w:rsidRPr="00685573">
        <w:rPr>
          <w:rStyle w:val="jrnl"/>
          <w:rFonts w:asciiTheme="minorHAnsi" w:hAnsiTheme="minorHAnsi" w:cs="Arial"/>
          <w:color w:val="000000"/>
        </w:rPr>
        <w:t>J Bone Miner Res</w:t>
      </w:r>
      <w:r w:rsidRPr="00685573">
        <w:rPr>
          <w:rFonts w:asciiTheme="minorHAnsi" w:hAnsiTheme="minorHAnsi" w:cs="Arial"/>
          <w:color w:val="000000"/>
        </w:rPr>
        <w:t>. 2016 Mar;31(3):491-7. https:// doi: 10.1002/jbmr.2767.</w:t>
      </w:r>
    </w:p>
    <w:p w14:paraId="11D90B21" w14:textId="4AA804F5" w:rsidR="00722933" w:rsidRPr="00685573" w:rsidRDefault="00722933" w:rsidP="003742DF">
      <w:pPr>
        <w:pStyle w:val="ListParagraph"/>
        <w:numPr>
          <w:ilvl w:val="0"/>
          <w:numId w:val="27"/>
        </w:numPr>
        <w:spacing w:after="60" w:line="360" w:lineRule="auto"/>
        <w:jc w:val="both"/>
        <w:rPr>
          <w:rFonts w:ascii="Calibri" w:hAnsi="Calibri"/>
          <w:sz w:val="24"/>
        </w:rPr>
      </w:pPr>
      <w:r w:rsidRPr="00685573">
        <w:rPr>
          <w:rFonts w:ascii="Calibri" w:hAnsi="Calibri"/>
          <w:sz w:val="24"/>
        </w:rPr>
        <w:t>Marx RE (2003) Pamidronate and zoledronate induced avascular necrosis of the jaws: a growing epidemic. J Oral Maxillofac Surg 61</w:t>
      </w:r>
      <w:r w:rsidR="00923486" w:rsidRPr="00685573">
        <w:rPr>
          <w:rFonts w:ascii="Calibri" w:hAnsi="Calibri"/>
          <w:sz w:val="24"/>
        </w:rPr>
        <w:t>(9)</w:t>
      </w:r>
      <w:r w:rsidRPr="00685573">
        <w:rPr>
          <w:rFonts w:ascii="Calibri" w:hAnsi="Calibri"/>
          <w:sz w:val="24"/>
        </w:rPr>
        <w:t>:1115-7</w:t>
      </w:r>
      <w:r w:rsidR="00923486" w:rsidRPr="00685573">
        <w:rPr>
          <w:rFonts w:ascii="Calibri" w:hAnsi="Calibri"/>
          <w:sz w:val="24"/>
        </w:rPr>
        <w:t xml:space="preserve">. </w:t>
      </w:r>
      <w:hyperlink r:id="rId66" w:history="1">
        <w:r w:rsidR="00923486" w:rsidRPr="00685573">
          <w:rPr>
            <w:rStyle w:val="Hyperlink"/>
            <w:rFonts w:ascii="Calibri" w:hAnsi="Calibri"/>
            <w:sz w:val="24"/>
          </w:rPr>
          <w:t>https://doi.org/10.1016/S0278-2391(03)00720-1</w:t>
        </w:r>
      </w:hyperlink>
      <w:r w:rsidR="00923486" w:rsidRPr="00685573">
        <w:rPr>
          <w:rFonts w:ascii="Calibri" w:hAnsi="Calibri"/>
          <w:sz w:val="24"/>
        </w:rPr>
        <w:t xml:space="preserve"> </w:t>
      </w:r>
    </w:p>
    <w:p w14:paraId="4E8CB58C" w14:textId="7A56FC31" w:rsidR="00722933" w:rsidRPr="00685573" w:rsidRDefault="00722933" w:rsidP="003742DF">
      <w:pPr>
        <w:pStyle w:val="ListParagraph"/>
        <w:numPr>
          <w:ilvl w:val="0"/>
          <w:numId w:val="27"/>
        </w:numPr>
        <w:spacing w:after="60" w:line="360" w:lineRule="auto"/>
        <w:jc w:val="both"/>
        <w:rPr>
          <w:rFonts w:ascii="Calibri" w:hAnsi="Calibri"/>
          <w:sz w:val="24"/>
        </w:rPr>
      </w:pPr>
      <w:r w:rsidRPr="00685573">
        <w:rPr>
          <w:rFonts w:ascii="Calibri" w:hAnsi="Calibri"/>
          <w:sz w:val="24"/>
        </w:rPr>
        <w:t>Lo JC, O'Ryan FS, Gordon NP et al (2010) Prevalence of osteonecrosis of the jaw in patients with oral bisphosphonate exposure. J Oral Maxillofac Surg 68</w:t>
      </w:r>
      <w:r w:rsidR="00923486" w:rsidRPr="00685573">
        <w:rPr>
          <w:rFonts w:ascii="Calibri" w:hAnsi="Calibri"/>
          <w:sz w:val="24"/>
        </w:rPr>
        <w:t>(2)</w:t>
      </w:r>
      <w:r w:rsidRPr="00685573">
        <w:rPr>
          <w:rFonts w:ascii="Calibri" w:hAnsi="Calibri"/>
          <w:sz w:val="24"/>
        </w:rPr>
        <w:t>:243–53</w:t>
      </w:r>
      <w:r w:rsidR="00923486" w:rsidRPr="00685573">
        <w:rPr>
          <w:rFonts w:ascii="Calibri" w:hAnsi="Calibri"/>
          <w:sz w:val="24"/>
        </w:rPr>
        <w:t xml:space="preserve">. </w:t>
      </w:r>
      <w:hyperlink r:id="rId67" w:history="1">
        <w:r w:rsidR="00923486" w:rsidRPr="00685573">
          <w:rPr>
            <w:rStyle w:val="Hyperlink"/>
            <w:rFonts w:ascii="Calibri" w:hAnsi="Calibri"/>
            <w:sz w:val="24"/>
          </w:rPr>
          <w:t>https://doi.org/10.1016/j.joms.2009.03.050</w:t>
        </w:r>
      </w:hyperlink>
      <w:r w:rsidR="00923486" w:rsidRPr="00685573">
        <w:rPr>
          <w:rFonts w:ascii="Calibri" w:hAnsi="Calibri"/>
          <w:sz w:val="24"/>
        </w:rPr>
        <w:t xml:space="preserve"> </w:t>
      </w:r>
    </w:p>
    <w:p w14:paraId="340A3B09" w14:textId="7112BE22" w:rsidR="004D0F1D" w:rsidRPr="00685573" w:rsidRDefault="00F55737" w:rsidP="00201AB1">
      <w:pPr>
        <w:pStyle w:val="ListParagraph"/>
        <w:numPr>
          <w:ilvl w:val="0"/>
          <w:numId w:val="27"/>
        </w:numPr>
        <w:spacing w:after="60" w:line="360" w:lineRule="auto"/>
        <w:jc w:val="both"/>
        <w:rPr>
          <w:rFonts w:asciiTheme="minorHAnsi" w:hAnsiTheme="minorHAnsi"/>
          <w:color w:val="auto"/>
          <w:sz w:val="24"/>
          <w:lang w:val="en-US"/>
        </w:rPr>
      </w:pPr>
      <w:hyperlink r:id="rId68" w:history="1">
        <w:r w:rsidR="004D0F1D" w:rsidRPr="00685573">
          <w:rPr>
            <w:rStyle w:val="Hyperlink"/>
            <w:rFonts w:ascii="Calibri" w:eastAsia="MS Gothic" w:hAnsi="Calibri"/>
            <w:color w:val="auto"/>
            <w:sz w:val="24"/>
            <w:u w:val="none"/>
            <w:lang w:val="en-US"/>
          </w:rPr>
          <w:t>Khan AA</w:t>
        </w:r>
      </w:hyperlink>
      <w:r w:rsidR="004D0F1D" w:rsidRPr="00685573">
        <w:rPr>
          <w:rFonts w:ascii="Calibri" w:hAnsi="Calibri"/>
          <w:color w:val="auto"/>
          <w:sz w:val="24"/>
          <w:lang w:val="en-US"/>
        </w:rPr>
        <w:t xml:space="preserve">, </w:t>
      </w:r>
      <w:hyperlink r:id="rId69" w:history="1">
        <w:r w:rsidR="004D0F1D" w:rsidRPr="00685573">
          <w:rPr>
            <w:rStyle w:val="Hyperlink"/>
            <w:rFonts w:ascii="Calibri" w:eastAsia="MS Gothic" w:hAnsi="Calibri"/>
            <w:color w:val="auto"/>
            <w:sz w:val="24"/>
            <w:u w:val="none"/>
            <w:lang w:val="en-US"/>
          </w:rPr>
          <w:t>Morrison A</w:t>
        </w:r>
      </w:hyperlink>
      <w:r w:rsidR="004D0F1D" w:rsidRPr="00685573">
        <w:rPr>
          <w:rFonts w:ascii="Calibri" w:hAnsi="Calibri"/>
          <w:color w:val="auto"/>
          <w:sz w:val="24"/>
          <w:lang w:val="en-US"/>
        </w:rPr>
        <w:t xml:space="preserve">, </w:t>
      </w:r>
      <w:hyperlink r:id="rId70" w:history="1">
        <w:r w:rsidR="004D0F1D" w:rsidRPr="00685573">
          <w:rPr>
            <w:rStyle w:val="Hyperlink"/>
            <w:rFonts w:ascii="Calibri" w:eastAsia="MS Gothic" w:hAnsi="Calibri"/>
            <w:color w:val="auto"/>
            <w:sz w:val="24"/>
            <w:u w:val="none"/>
            <w:lang w:val="en-US"/>
          </w:rPr>
          <w:t>Hanley DA</w:t>
        </w:r>
      </w:hyperlink>
      <w:r w:rsidR="004D0F1D" w:rsidRPr="00685573">
        <w:rPr>
          <w:rFonts w:ascii="Calibri" w:hAnsi="Calibri"/>
          <w:color w:val="auto"/>
          <w:sz w:val="24"/>
          <w:lang w:val="en-US"/>
        </w:rPr>
        <w:t xml:space="preserve">, </w:t>
      </w:r>
      <w:hyperlink r:id="rId71" w:history="1">
        <w:r w:rsidR="004D0F1D" w:rsidRPr="00685573">
          <w:rPr>
            <w:rStyle w:val="Hyperlink"/>
            <w:rFonts w:ascii="Calibri" w:eastAsia="MS Gothic" w:hAnsi="Calibri"/>
            <w:color w:val="auto"/>
            <w:sz w:val="24"/>
            <w:u w:val="none"/>
            <w:lang w:val="en-US"/>
          </w:rPr>
          <w:t>Felsenberg D</w:t>
        </w:r>
      </w:hyperlink>
      <w:r w:rsidR="004D0F1D" w:rsidRPr="00685573">
        <w:rPr>
          <w:rFonts w:asciiTheme="minorHAnsi" w:hAnsiTheme="minorHAnsi"/>
          <w:color w:val="auto"/>
          <w:sz w:val="24"/>
          <w:lang w:val="en-US"/>
        </w:rPr>
        <w:t xml:space="preserve">, </w:t>
      </w:r>
      <w:hyperlink r:id="rId72" w:history="1">
        <w:r w:rsidR="004D0F1D" w:rsidRPr="00685573">
          <w:rPr>
            <w:rStyle w:val="Hyperlink"/>
            <w:rFonts w:asciiTheme="minorHAnsi" w:eastAsia="MS Gothic" w:hAnsiTheme="minorHAnsi"/>
            <w:color w:val="auto"/>
            <w:sz w:val="24"/>
            <w:u w:val="none"/>
            <w:lang w:val="en-US"/>
          </w:rPr>
          <w:t>McCauley LK</w:t>
        </w:r>
      </w:hyperlink>
      <w:r w:rsidR="004D0F1D" w:rsidRPr="00685573">
        <w:rPr>
          <w:rFonts w:asciiTheme="minorHAnsi" w:hAnsiTheme="minorHAnsi"/>
          <w:color w:val="auto"/>
          <w:sz w:val="24"/>
          <w:lang w:val="en-US"/>
        </w:rPr>
        <w:t xml:space="preserve">, </w:t>
      </w:r>
      <w:hyperlink r:id="rId73" w:history="1">
        <w:r w:rsidR="004D0F1D" w:rsidRPr="00685573">
          <w:rPr>
            <w:rStyle w:val="Hyperlink"/>
            <w:rFonts w:asciiTheme="minorHAnsi" w:eastAsia="MS Gothic" w:hAnsiTheme="minorHAnsi"/>
            <w:color w:val="auto"/>
            <w:sz w:val="24"/>
            <w:u w:val="none"/>
            <w:lang w:val="en-US"/>
          </w:rPr>
          <w:t>O'Ryan F</w:t>
        </w:r>
      </w:hyperlink>
      <w:r w:rsidR="004D0F1D" w:rsidRPr="00685573">
        <w:rPr>
          <w:rFonts w:asciiTheme="minorHAnsi" w:hAnsiTheme="minorHAnsi"/>
          <w:color w:val="auto"/>
          <w:sz w:val="24"/>
          <w:lang w:val="en-US"/>
        </w:rPr>
        <w:t xml:space="preserve">, </w:t>
      </w:r>
      <w:hyperlink r:id="rId74" w:history="1">
        <w:r w:rsidR="004D0F1D" w:rsidRPr="00685573">
          <w:rPr>
            <w:rStyle w:val="Hyperlink"/>
            <w:rFonts w:asciiTheme="minorHAnsi" w:eastAsia="MS Gothic" w:hAnsiTheme="minorHAnsi"/>
            <w:color w:val="auto"/>
            <w:sz w:val="24"/>
            <w:u w:val="none"/>
            <w:lang w:val="en-US"/>
          </w:rPr>
          <w:t>Reid IR</w:t>
        </w:r>
      </w:hyperlink>
      <w:r w:rsidR="004D0F1D" w:rsidRPr="00685573">
        <w:rPr>
          <w:rFonts w:asciiTheme="minorHAnsi" w:hAnsiTheme="minorHAnsi"/>
          <w:color w:val="auto"/>
          <w:sz w:val="24"/>
          <w:lang w:val="en-US"/>
        </w:rPr>
        <w:t xml:space="preserve">, </w:t>
      </w:r>
      <w:hyperlink r:id="rId75" w:history="1">
        <w:r w:rsidR="004D0F1D" w:rsidRPr="00685573">
          <w:rPr>
            <w:rStyle w:val="Hyperlink"/>
            <w:rFonts w:asciiTheme="minorHAnsi" w:eastAsia="MS Gothic" w:hAnsiTheme="minorHAnsi"/>
            <w:color w:val="auto"/>
            <w:sz w:val="24"/>
            <w:u w:val="none"/>
            <w:lang w:val="en-US"/>
          </w:rPr>
          <w:t>Ruggiero SL</w:t>
        </w:r>
      </w:hyperlink>
      <w:r w:rsidR="004D0F1D" w:rsidRPr="00685573">
        <w:rPr>
          <w:rFonts w:asciiTheme="minorHAnsi" w:hAnsiTheme="minorHAnsi"/>
          <w:color w:val="auto"/>
          <w:sz w:val="24"/>
          <w:lang w:val="en-US"/>
        </w:rPr>
        <w:t xml:space="preserve">, </w:t>
      </w:r>
      <w:hyperlink r:id="rId76" w:history="1">
        <w:r w:rsidR="004D0F1D" w:rsidRPr="00685573">
          <w:rPr>
            <w:rStyle w:val="Hyperlink"/>
            <w:rFonts w:asciiTheme="minorHAnsi" w:eastAsia="MS Gothic" w:hAnsiTheme="minorHAnsi"/>
            <w:color w:val="auto"/>
            <w:sz w:val="24"/>
            <w:u w:val="none"/>
            <w:lang w:val="en-US"/>
          </w:rPr>
          <w:t>Taguchi A</w:t>
        </w:r>
      </w:hyperlink>
      <w:r w:rsidR="004D0F1D" w:rsidRPr="00685573">
        <w:rPr>
          <w:rFonts w:asciiTheme="minorHAnsi" w:hAnsiTheme="minorHAnsi"/>
          <w:color w:val="auto"/>
          <w:sz w:val="24"/>
          <w:lang w:val="en-US"/>
        </w:rPr>
        <w:t xml:space="preserve">, </w:t>
      </w:r>
      <w:hyperlink r:id="rId77" w:history="1">
        <w:r w:rsidR="004D0F1D" w:rsidRPr="00685573">
          <w:rPr>
            <w:rStyle w:val="Hyperlink"/>
            <w:rFonts w:asciiTheme="minorHAnsi" w:eastAsia="MS Gothic" w:hAnsiTheme="minorHAnsi"/>
            <w:color w:val="auto"/>
            <w:sz w:val="24"/>
            <w:u w:val="none"/>
            <w:lang w:val="en-US"/>
          </w:rPr>
          <w:t>Tetradis S</w:t>
        </w:r>
      </w:hyperlink>
      <w:r w:rsidR="004D0F1D" w:rsidRPr="00685573">
        <w:rPr>
          <w:rFonts w:asciiTheme="minorHAnsi" w:hAnsiTheme="minorHAnsi"/>
          <w:color w:val="auto"/>
          <w:sz w:val="24"/>
          <w:lang w:val="en-US"/>
        </w:rPr>
        <w:t xml:space="preserve">, </w:t>
      </w:r>
      <w:hyperlink r:id="rId78" w:history="1">
        <w:r w:rsidR="004D0F1D" w:rsidRPr="00685573">
          <w:rPr>
            <w:rStyle w:val="Hyperlink"/>
            <w:rFonts w:asciiTheme="minorHAnsi" w:eastAsia="MS Gothic" w:hAnsiTheme="minorHAnsi"/>
            <w:color w:val="auto"/>
            <w:sz w:val="24"/>
            <w:u w:val="none"/>
            <w:lang w:val="en-US"/>
          </w:rPr>
          <w:t>Watts NB</w:t>
        </w:r>
      </w:hyperlink>
      <w:r w:rsidR="004D0F1D" w:rsidRPr="00685573">
        <w:rPr>
          <w:rFonts w:asciiTheme="minorHAnsi" w:hAnsiTheme="minorHAnsi"/>
          <w:color w:val="auto"/>
          <w:sz w:val="24"/>
          <w:lang w:val="en-US"/>
        </w:rPr>
        <w:t xml:space="preserve">, </w:t>
      </w:r>
      <w:hyperlink r:id="rId79" w:history="1">
        <w:r w:rsidR="004D0F1D" w:rsidRPr="00685573">
          <w:rPr>
            <w:rStyle w:val="Hyperlink"/>
            <w:rFonts w:asciiTheme="minorHAnsi" w:eastAsia="MS Gothic" w:hAnsiTheme="minorHAnsi"/>
            <w:color w:val="auto"/>
            <w:sz w:val="24"/>
            <w:u w:val="none"/>
            <w:lang w:val="en-US"/>
          </w:rPr>
          <w:t>Brandi ML</w:t>
        </w:r>
      </w:hyperlink>
      <w:r w:rsidR="004D0F1D" w:rsidRPr="00685573">
        <w:rPr>
          <w:rFonts w:asciiTheme="minorHAnsi" w:hAnsiTheme="minorHAnsi"/>
          <w:color w:val="auto"/>
          <w:sz w:val="24"/>
          <w:lang w:val="en-US"/>
        </w:rPr>
        <w:t xml:space="preserve">, </w:t>
      </w:r>
      <w:hyperlink r:id="rId80" w:history="1">
        <w:r w:rsidR="004D0F1D" w:rsidRPr="00685573">
          <w:rPr>
            <w:rStyle w:val="Hyperlink"/>
            <w:rFonts w:asciiTheme="minorHAnsi" w:eastAsia="MS Gothic" w:hAnsiTheme="minorHAnsi"/>
            <w:color w:val="auto"/>
            <w:sz w:val="24"/>
            <w:u w:val="none"/>
            <w:lang w:val="en-US"/>
          </w:rPr>
          <w:t>Peters E</w:t>
        </w:r>
      </w:hyperlink>
      <w:r w:rsidR="004D0F1D" w:rsidRPr="00685573">
        <w:rPr>
          <w:rFonts w:asciiTheme="minorHAnsi" w:hAnsiTheme="minorHAnsi"/>
          <w:color w:val="auto"/>
          <w:sz w:val="24"/>
          <w:lang w:val="en-US"/>
        </w:rPr>
        <w:t xml:space="preserve">, </w:t>
      </w:r>
      <w:hyperlink r:id="rId81" w:history="1">
        <w:r w:rsidR="004D0F1D" w:rsidRPr="00685573">
          <w:rPr>
            <w:rStyle w:val="Hyperlink"/>
            <w:rFonts w:asciiTheme="minorHAnsi" w:eastAsia="MS Gothic" w:hAnsiTheme="minorHAnsi"/>
            <w:color w:val="auto"/>
            <w:sz w:val="24"/>
            <w:u w:val="none"/>
            <w:lang w:val="en-US"/>
          </w:rPr>
          <w:t>Guise T</w:t>
        </w:r>
      </w:hyperlink>
      <w:r w:rsidR="004D0F1D" w:rsidRPr="00685573">
        <w:rPr>
          <w:rFonts w:asciiTheme="minorHAnsi" w:hAnsiTheme="minorHAnsi"/>
          <w:color w:val="auto"/>
          <w:sz w:val="24"/>
          <w:lang w:val="en-US"/>
        </w:rPr>
        <w:t xml:space="preserve">, </w:t>
      </w:r>
      <w:hyperlink r:id="rId82" w:history="1">
        <w:r w:rsidR="004D0F1D" w:rsidRPr="00685573">
          <w:rPr>
            <w:rStyle w:val="Hyperlink"/>
            <w:rFonts w:asciiTheme="minorHAnsi" w:eastAsia="MS Gothic" w:hAnsiTheme="minorHAnsi"/>
            <w:color w:val="auto"/>
            <w:sz w:val="24"/>
            <w:u w:val="none"/>
            <w:lang w:val="en-US"/>
          </w:rPr>
          <w:t>Eastell R</w:t>
        </w:r>
      </w:hyperlink>
      <w:r w:rsidR="004D0F1D" w:rsidRPr="00685573">
        <w:rPr>
          <w:rFonts w:asciiTheme="minorHAnsi" w:hAnsiTheme="minorHAnsi"/>
          <w:color w:val="auto"/>
          <w:sz w:val="24"/>
          <w:lang w:val="en-US"/>
        </w:rPr>
        <w:t xml:space="preserve">, </w:t>
      </w:r>
      <w:hyperlink r:id="rId83" w:history="1">
        <w:r w:rsidR="004D0F1D" w:rsidRPr="00685573">
          <w:rPr>
            <w:rStyle w:val="Hyperlink"/>
            <w:rFonts w:asciiTheme="minorHAnsi" w:eastAsia="MS Gothic" w:hAnsiTheme="minorHAnsi"/>
            <w:color w:val="auto"/>
            <w:sz w:val="24"/>
            <w:u w:val="none"/>
            <w:lang w:val="en-US"/>
          </w:rPr>
          <w:t>Cheung AM</w:t>
        </w:r>
      </w:hyperlink>
      <w:r w:rsidR="004D0F1D" w:rsidRPr="00685573">
        <w:rPr>
          <w:rFonts w:asciiTheme="minorHAnsi" w:hAnsiTheme="minorHAnsi"/>
          <w:color w:val="auto"/>
          <w:sz w:val="24"/>
          <w:lang w:val="en-US"/>
        </w:rPr>
        <w:t xml:space="preserve">, </w:t>
      </w:r>
      <w:hyperlink r:id="rId84" w:history="1">
        <w:r w:rsidR="004D0F1D" w:rsidRPr="00685573">
          <w:rPr>
            <w:rStyle w:val="Hyperlink"/>
            <w:rFonts w:asciiTheme="minorHAnsi" w:eastAsia="MS Gothic" w:hAnsiTheme="minorHAnsi"/>
            <w:color w:val="auto"/>
            <w:sz w:val="24"/>
            <w:u w:val="none"/>
            <w:lang w:val="en-US"/>
          </w:rPr>
          <w:t>Morin SN</w:t>
        </w:r>
      </w:hyperlink>
      <w:r w:rsidR="004D0F1D" w:rsidRPr="00685573">
        <w:rPr>
          <w:rFonts w:asciiTheme="minorHAnsi" w:hAnsiTheme="minorHAnsi"/>
          <w:color w:val="auto"/>
          <w:sz w:val="24"/>
          <w:lang w:val="en-US"/>
        </w:rPr>
        <w:t xml:space="preserve">, </w:t>
      </w:r>
      <w:hyperlink r:id="rId85" w:history="1">
        <w:r w:rsidR="004D0F1D" w:rsidRPr="00685573">
          <w:rPr>
            <w:rStyle w:val="Hyperlink"/>
            <w:rFonts w:asciiTheme="minorHAnsi" w:eastAsia="MS Gothic" w:hAnsiTheme="minorHAnsi"/>
            <w:color w:val="auto"/>
            <w:sz w:val="24"/>
            <w:u w:val="none"/>
            <w:lang w:val="en-US"/>
          </w:rPr>
          <w:t>Masri B</w:t>
        </w:r>
      </w:hyperlink>
      <w:r w:rsidR="004D0F1D" w:rsidRPr="00685573">
        <w:rPr>
          <w:rFonts w:asciiTheme="minorHAnsi" w:hAnsiTheme="minorHAnsi"/>
          <w:color w:val="auto"/>
          <w:sz w:val="24"/>
          <w:lang w:val="en-US"/>
        </w:rPr>
        <w:t xml:space="preserve">, </w:t>
      </w:r>
      <w:hyperlink r:id="rId86" w:history="1">
        <w:r w:rsidR="004D0F1D" w:rsidRPr="00685573">
          <w:rPr>
            <w:rStyle w:val="Hyperlink"/>
            <w:rFonts w:asciiTheme="minorHAnsi" w:eastAsia="MS Gothic" w:hAnsiTheme="minorHAnsi"/>
            <w:color w:val="auto"/>
            <w:sz w:val="24"/>
            <w:u w:val="none"/>
            <w:lang w:val="en-US"/>
          </w:rPr>
          <w:t>Cooper C</w:t>
        </w:r>
      </w:hyperlink>
      <w:r w:rsidR="004D0F1D" w:rsidRPr="00685573">
        <w:rPr>
          <w:rFonts w:asciiTheme="minorHAnsi" w:hAnsiTheme="minorHAnsi"/>
          <w:color w:val="auto"/>
          <w:sz w:val="24"/>
          <w:lang w:val="en-US"/>
        </w:rPr>
        <w:t xml:space="preserve">, </w:t>
      </w:r>
      <w:hyperlink r:id="rId87" w:history="1">
        <w:r w:rsidR="004D0F1D" w:rsidRPr="00685573">
          <w:rPr>
            <w:rStyle w:val="Hyperlink"/>
            <w:rFonts w:asciiTheme="minorHAnsi" w:eastAsia="MS Gothic" w:hAnsiTheme="minorHAnsi"/>
            <w:color w:val="auto"/>
            <w:sz w:val="24"/>
            <w:u w:val="none"/>
            <w:lang w:val="en-US"/>
          </w:rPr>
          <w:t>Morgan SL</w:t>
        </w:r>
      </w:hyperlink>
      <w:r w:rsidR="004D0F1D" w:rsidRPr="00685573">
        <w:rPr>
          <w:rFonts w:asciiTheme="minorHAnsi" w:hAnsiTheme="minorHAnsi"/>
          <w:color w:val="auto"/>
          <w:sz w:val="24"/>
          <w:lang w:val="en-US"/>
        </w:rPr>
        <w:t xml:space="preserve">, </w:t>
      </w:r>
      <w:hyperlink r:id="rId88" w:history="1">
        <w:r w:rsidR="004D0F1D" w:rsidRPr="00685573">
          <w:rPr>
            <w:rStyle w:val="Hyperlink"/>
            <w:rFonts w:asciiTheme="minorHAnsi" w:eastAsia="MS Gothic" w:hAnsiTheme="minorHAnsi"/>
            <w:color w:val="auto"/>
            <w:sz w:val="24"/>
            <w:u w:val="none"/>
            <w:lang w:val="en-US"/>
          </w:rPr>
          <w:t>Obermayer-Pietsch B</w:t>
        </w:r>
      </w:hyperlink>
      <w:r w:rsidR="004D0F1D" w:rsidRPr="00685573">
        <w:rPr>
          <w:rFonts w:asciiTheme="minorHAnsi" w:hAnsiTheme="minorHAnsi"/>
          <w:color w:val="auto"/>
          <w:sz w:val="24"/>
          <w:lang w:val="en-US"/>
        </w:rPr>
        <w:t xml:space="preserve">, </w:t>
      </w:r>
      <w:hyperlink r:id="rId89" w:history="1">
        <w:r w:rsidR="004D0F1D" w:rsidRPr="00685573">
          <w:rPr>
            <w:rStyle w:val="Hyperlink"/>
            <w:rFonts w:asciiTheme="minorHAnsi" w:eastAsia="MS Gothic" w:hAnsiTheme="minorHAnsi"/>
            <w:color w:val="auto"/>
            <w:sz w:val="24"/>
            <w:u w:val="none"/>
            <w:lang w:val="en-US"/>
          </w:rPr>
          <w:t>Langdahl BL</w:t>
        </w:r>
      </w:hyperlink>
      <w:r w:rsidR="004D0F1D" w:rsidRPr="00685573">
        <w:rPr>
          <w:rFonts w:asciiTheme="minorHAnsi" w:hAnsiTheme="minorHAnsi"/>
          <w:color w:val="auto"/>
          <w:sz w:val="24"/>
          <w:lang w:val="en-US"/>
        </w:rPr>
        <w:t xml:space="preserve">, </w:t>
      </w:r>
      <w:hyperlink r:id="rId90" w:history="1">
        <w:r w:rsidR="004D0F1D" w:rsidRPr="00685573">
          <w:rPr>
            <w:rStyle w:val="Hyperlink"/>
            <w:rFonts w:asciiTheme="minorHAnsi" w:eastAsia="MS Gothic" w:hAnsiTheme="minorHAnsi"/>
            <w:color w:val="auto"/>
            <w:sz w:val="24"/>
            <w:u w:val="none"/>
            <w:lang w:val="en-US"/>
          </w:rPr>
          <w:t>Al Dabagh R</w:t>
        </w:r>
      </w:hyperlink>
      <w:r w:rsidR="004D0F1D" w:rsidRPr="00685573">
        <w:rPr>
          <w:rFonts w:asciiTheme="minorHAnsi" w:hAnsiTheme="minorHAnsi"/>
          <w:color w:val="auto"/>
          <w:sz w:val="24"/>
          <w:lang w:val="en-US"/>
        </w:rPr>
        <w:t xml:space="preserve">, </w:t>
      </w:r>
      <w:hyperlink r:id="rId91" w:history="1">
        <w:r w:rsidR="004D0F1D" w:rsidRPr="00685573">
          <w:rPr>
            <w:rStyle w:val="Hyperlink"/>
            <w:rFonts w:asciiTheme="minorHAnsi" w:eastAsia="MS Gothic" w:hAnsiTheme="minorHAnsi"/>
            <w:color w:val="auto"/>
            <w:sz w:val="24"/>
            <w:u w:val="none"/>
            <w:lang w:val="en-US"/>
          </w:rPr>
          <w:t>Davison KS</w:t>
        </w:r>
      </w:hyperlink>
      <w:r w:rsidR="004D0F1D" w:rsidRPr="00685573">
        <w:rPr>
          <w:rFonts w:asciiTheme="minorHAnsi" w:hAnsiTheme="minorHAnsi"/>
          <w:color w:val="auto"/>
          <w:sz w:val="24"/>
          <w:lang w:val="en-US"/>
        </w:rPr>
        <w:t xml:space="preserve">, </w:t>
      </w:r>
      <w:hyperlink r:id="rId92" w:history="1">
        <w:r w:rsidR="004D0F1D" w:rsidRPr="00685573">
          <w:rPr>
            <w:rStyle w:val="Hyperlink"/>
            <w:rFonts w:asciiTheme="minorHAnsi" w:eastAsia="MS Gothic" w:hAnsiTheme="minorHAnsi"/>
            <w:color w:val="auto"/>
            <w:sz w:val="24"/>
            <w:u w:val="none"/>
            <w:lang w:val="en-US"/>
          </w:rPr>
          <w:t>Kendler DL</w:t>
        </w:r>
      </w:hyperlink>
      <w:r w:rsidR="004D0F1D" w:rsidRPr="00685573">
        <w:rPr>
          <w:rFonts w:asciiTheme="minorHAnsi" w:hAnsiTheme="minorHAnsi"/>
          <w:color w:val="auto"/>
          <w:sz w:val="24"/>
          <w:lang w:val="en-US"/>
        </w:rPr>
        <w:t xml:space="preserve">, </w:t>
      </w:r>
      <w:hyperlink r:id="rId93" w:history="1">
        <w:r w:rsidR="004D0F1D" w:rsidRPr="00685573">
          <w:rPr>
            <w:rStyle w:val="Hyperlink"/>
            <w:rFonts w:asciiTheme="minorHAnsi" w:eastAsia="MS Gothic" w:hAnsiTheme="minorHAnsi"/>
            <w:color w:val="auto"/>
            <w:sz w:val="24"/>
            <w:u w:val="none"/>
            <w:lang w:val="en-US"/>
          </w:rPr>
          <w:t>Sándor GK</w:t>
        </w:r>
      </w:hyperlink>
      <w:r w:rsidR="004D0F1D" w:rsidRPr="00685573">
        <w:rPr>
          <w:rFonts w:asciiTheme="minorHAnsi" w:hAnsiTheme="minorHAnsi"/>
          <w:color w:val="auto"/>
          <w:sz w:val="24"/>
          <w:lang w:val="en-US"/>
        </w:rPr>
        <w:t xml:space="preserve">, </w:t>
      </w:r>
      <w:hyperlink r:id="rId94" w:history="1">
        <w:r w:rsidR="004D0F1D" w:rsidRPr="00685573">
          <w:rPr>
            <w:rStyle w:val="Hyperlink"/>
            <w:rFonts w:asciiTheme="minorHAnsi" w:eastAsia="MS Gothic" w:hAnsiTheme="minorHAnsi"/>
            <w:color w:val="auto"/>
            <w:sz w:val="24"/>
            <w:u w:val="none"/>
            <w:lang w:val="en-US"/>
          </w:rPr>
          <w:t>Josse RG</w:t>
        </w:r>
      </w:hyperlink>
      <w:r w:rsidR="004D0F1D" w:rsidRPr="00685573">
        <w:rPr>
          <w:rFonts w:asciiTheme="minorHAnsi" w:hAnsiTheme="minorHAnsi"/>
          <w:color w:val="auto"/>
          <w:sz w:val="24"/>
          <w:lang w:val="en-US"/>
        </w:rPr>
        <w:t xml:space="preserve">, </w:t>
      </w:r>
      <w:hyperlink r:id="rId95" w:history="1">
        <w:r w:rsidR="004D0F1D" w:rsidRPr="00685573">
          <w:rPr>
            <w:rStyle w:val="Hyperlink"/>
            <w:rFonts w:asciiTheme="minorHAnsi" w:eastAsia="MS Gothic" w:hAnsiTheme="minorHAnsi"/>
            <w:color w:val="auto"/>
            <w:sz w:val="24"/>
            <w:u w:val="none"/>
            <w:lang w:val="en-US"/>
          </w:rPr>
          <w:t>Bhandari M</w:t>
        </w:r>
      </w:hyperlink>
      <w:r w:rsidR="004D0F1D" w:rsidRPr="00685573">
        <w:rPr>
          <w:rFonts w:asciiTheme="minorHAnsi" w:hAnsiTheme="minorHAnsi"/>
          <w:color w:val="auto"/>
          <w:sz w:val="24"/>
          <w:lang w:val="en-US"/>
        </w:rPr>
        <w:t xml:space="preserve">, </w:t>
      </w:r>
      <w:hyperlink r:id="rId96" w:history="1">
        <w:r w:rsidR="004D0F1D" w:rsidRPr="00685573">
          <w:rPr>
            <w:rStyle w:val="Hyperlink"/>
            <w:rFonts w:asciiTheme="minorHAnsi" w:eastAsia="MS Gothic" w:hAnsiTheme="minorHAnsi"/>
            <w:color w:val="auto"/>
            <w:sz w:val="24"/>
            <w:u w:val="none"/>
            <w:lang w:val="en-US"/>
          </w:rPr>
          <w:t>El Rabbany M</w:t>
        </w:r>
      </w:hyperlink>
      <w:r w:rsidR="004D0F1D" w:rsidRPr="00685573">
        <w:rPr>
          <w:rFonts w:asciiTheme="minorHAnsi" w:hAnsiTheme="minorHAnsi"/>
          <w:color w:val="auto"/>
          <w:sz w:val="24"/>
          <w:lang w:val="en-US"/>
        </w:rPr>
        <w:t xml:space="preserve">, </w:t>
      </w:r>
      <w:hyperlink r:id="rId97" w:history="1">
        <w:r w:rsidR="004D0F1D" w:rsidRPr="00685573">
          <w:rPr>
            <w:rStyle w:val="Hyperlink"/>
            <w:rFonts w:asciiTheme="minorHAnsi" w:eastAsia="MS Gothic" w:hAnsiTheme="minorHAnsi"/>
            <w:color w:val="auto"/>
            <w:sz w:val="24"/>
            <w:u w:val="none"/>
            <w:lang w:val="en-US"/>
          </w:rPr>
          <w:t>Pierroz DD</w:t>
        </w:r>
      </w:hyperlink>
      <w:r w:rsidR="004D0F1D" w:rsidRPr="00685573">
        <w:rPr>
          <w:rFonts w:asciiTheme="minorHAnsi" w:hAnsiTheme="minorHAnsi"/>
          <w:color w:val="auto"/>
          <w:sz w:val="24"/>
          <w:lang w:val="en-US"/>
        </w:rPr>
        <w:t xml:space="preserve">, </w:t>
      </w:r>
      <w:hyperlink r:id="rId98" w:history="1">
        <w:r w:rsidR="004D0F1D" w:rsidRPr="00685573">
          <w:rPr>
            <w:rStyle w:val="Hyperlink"/>
            <w:rFonts w:asciiTheme="minorHAnsi" w:eastAsia="MS Gothic" w:hAnsiTheme="minorHAnsi"/>
            <w:color w:val="auto"/>
            <w:sz w:val="24"/>
            <w:u w:val="none"/>
            <w:lang w:val="en-US"/>
          </w:rPr>
          <w:t>Sulimani R</w:t>
        </w:r>
      </w:hyperlink>
      <w:r w:rsidR="004D0F1D" w:rsidRPr="00685573">
        <w:rPr>
          <w:rFonts w:asciiTheme="minorHAnsi" w:hAnsiTheme="minorHAnsi"/>
          <w:color w:val="auto"/>
          <w:sz w:val="24"/>
          <w:lang w:val="en-US"/>
        </w:rPr>
        <w:t xml:space="preserve">, </w:t>
      </w:r>
      <w:hyperlink r:id="rId99" w:history="1">
        <w:r w:rsidR="004D0F1D" w:rsidRPr="00685573">
          <w:rPr>
            <w:rStyle w:val="Hyperlink"/>
            <w:rFonts w:asciiTheme="minorHAnsi" w:eastAsia="MS Gothic" w:hAnsiTheme="minorHAnsi"/>
            <w:color w:val="auto"/>
            <w:sz w:val="24"/>
            <w:u w:val="none"/>
            <w:lang w:val="en-US"/>
          </w:rPr>
          <w:t>Saunders DP</w:t>
        </w:r>
      </w:hyperlink>
      <w:r w:rsidR="004D0F1D" w:rsidRPr="00685573">
        <w:rPr>
          <w:rFonts w:asciiTheme="minorHAnsi" w:hAnsiTheme="minorHAnsi"/>
          <w:color w:val="auto"/>
          <w:sz w:val="24"/>
          <w:lang w:val="en-US"/>
        </w:rPr>
        <w:t xml:space="preserve">, </w:t>
      </w:r>
      <w:hyperlink r:id="rId100" w:history="1">
        <w:r w:rsidR="004D0F1D" w:rsidRPr="00685573">
          <w:rPr>
            <w:rStyle w:val="Hyperlink"/>
            <w:rFonts w:asciiTheme="minorHAnsi" w:eastAsia="MS Gothic" w:hAnsiTheme="minorHAnsi"/>
            <w:color w:val="auto"/>
            <w:sz w:val="24"/>
            <w:u w:val="none"/>
            <w:lang w:val="en-US"/>
          </w:rPr>
          <w:t>Brown JP</w:t>
        </w:r>
      </w:hyperlink>
      <w:r w:rsidR="004D0F1D" w:rsidRPr="00685573">
        <w:rPr>
          <w:rFonts w:asciiTheme="minorHAnsi" w:hAnsiTheme="minorHAnsi"/>
          <w:color w:val="auto"/>
          <w:sz w:val="24"/>
          <w:lang w:val="en-US"/>
        </w:rPr>
        <w:t xml:space="preserve">, </w:t>
      </w:r>
      <w:hyperlink r:id="rId101" w:history="1">
        <w:r w:rsidR="004D0F1D" w:rsidRPr="00685573">
          <w:rPr>
            <w:rStyle w:val="Hyperlink"/>
            <w:rFonts w:asciiTheme="minorHAnsi" w:eastAsia="MS Gothic" w:hAnsiTheme="minorHAnsi"/>
            <w:color w:val="auto"/>
            <w:sz w:val="24"/>
            <w:u w:val="none"/>
            <w:lang w:val="en-US"/>
          </w:rPr>
          <w:t>Compston J</w:t>
        </w:r>
      </w:hyperlink>
      <w:r w:rsidR="00923486" w:rsidRPr="00685573">
        <w:rPr>
          <w:rStyle w:val="Hyperlink"/>
          <w:rFonts w:asciiTheme="minorHAnsi" w:eastAsia="MS Gothic" w:hAnsiTheme="minorHAnsi"/>
          <w:color w:val="auto"/>
          <w:sz w:val="24"/>
          <w:u w:val="none"/>
          <w:lang w:val="en-US"/>
        </w:rPr>
        <w:t>, et al.</w:t>
      </w:r>
      <w:r w:rsidR="004D0F1D" w:rsidRPr="00685573">
        <w:rPr>
          <w:color w:val="1F497D"/>
          <w:lang w:val="en-US"/>
        </w:rPr>
        <w:t xml:space="preserve"> </w:t>
      </w:r>
      <w:r w:rsidR="004D0F1D" w:rsidRPr="00685573">
        <w:rPr>
          <w:rFonts w:asciiTheme="minorHAnsi" w:hAnsiTheme="minorHAnsi"/>
          <w:color w:val="auto"/>
          <w:sz w:val="24"/>
          <w:lang w:val="en-US"/>
        </w:rPr>
        <w:t xml:space="preserve">(2015) </w:t>
      </w:r>
      <w:r w:rsidR="004D0F1D" w:rsidRPr="00685573">
        <w:rPr>
          <w:rFonts w:asciiTheme="minorHAnsi" w:hAnsiTheme="minorHAnsi"/>
          <w:bCs/>
          <w:color w:val="auto"/>
          <w:sz w:val="24"/>
          <w:lang w:val="en-US"/>
        </w:rPr>
        <w:t xml:space="preserve">Diagnosis and management of osteonecrosis of the jaw: a systematic review and international consensus. </w:t>
      </w:r>
      <w:hyperlink r:id="rId102" w:tooltip="Journal of bone and mineral research : the official journal of the American Society for Bone and Mineral Research." w:history="1">
        <w:r w:rsidR="004D0F1D" w:rsidRPr="00685573">
          <w:rPr>
            <w:rFonts w:asciiTheme="minorHAnsi" w:eastAsiaTheme="minorHAnsi" w:hAnsiTheme="minorHAnsi" w:cstheme="minorBidi"/>
            <w:color w:val="auto"/>
            <w:sz w:val="24"/>
            <w:lang w:val="en-US"/>
          </w:rPr>
          <w:t>J Bone Miner Res</w:t>
        </w:r>
      </w:hyperlink>
      <w:r w:rsidR="00201AB1" w:rsidRPr="00685573">
        <w:rPr>
          <w:rFonts w:asciiTheme="minorHAnsi" w:eastAsiaTheme="minorHAnsi" w:hAnsiTheme="minorHAnsi" w:cstheme="minorBidi"/>
          <w:color w:val="auto"/>
          <w:sz w:val="24"/>
          <w:lang w:val="en-US"/>
        </w:rPr>
        <w:t xml:space="preserve"> </w:t>
      </w:r>
      <w:r w:rsidR="004D0F1D" w:rsidRPr="00685573">
        <w:rPr>
          <w:rFonts w:asciiTheme="minorHAnsi" w:eastAsiaTheme="minorHAnsi" w:hAnsiTheme="minorHAnsi" w:cstheme="minorBidi"/>
          <w:color w:val="auto"/>
          <w:sz w:val="24"/>
          <w:lang w:val="en-US"/>
        </w:rPr>
        <w:t>30</w:t>
      </w:r>
      <w:r w:rsidR="00201AB1" w:rsidRPr="00685573">
        <w:rPr>
          <w:rFonts w:asciiTheme="minorHAnsi" w:eastAsiaTheme="minorHAnsi" w:hAnsiTheme="minorHAnsi" w:cstheme="minorBidi"/>
          <w:color w:val="auto"/>
          <w:sz w:val="24"/>
          <w:lang w:val="en-US"/>
        </w:rPr>
        <w:t>(1)</w:t>
      </w:r>
      <w:r w:rsidR="004D0F1D" w:rsidRPr="00685573">
        <w:rPr>
          <w:rFonts w:asciiTheme="minorHAnsi" w:eastAsiaTheme="minorHAnsi" w:hAnsiTheme="minorHAnsi" w:cstheme="minorBidi"/>
          <w:color w:val="auto"/>
          <w:sz w:val="24"/>
          <w:lang w:val="en-US"/>
        </w:rPr>
        <w:t>:3-23</w:t>
      </w:r>
      <w:r w:rsidR="00201AB1" w:rsidRPr="00685573">
        <w:rPr>
          <w:rFonts w:asciiTheme="minorHAnsi" w:eastAsiaTheme="minorHAnsi" w:hAnsiTheme="minorHAnsi" w:cstheme="minorBidi"/>
          <w:color w:val="auto"/>
          <w:sz w:val="24"/>
          <w:lang w:val="en-US"/>
        </w:rPr>
        <w:t xml:space="preserve">. </w:t>
      </w:r>
      <w:hyperlink r:id="rId103" w:history="1">
        <w:r w:rsidR="00201AB1" w:rsidRPr="00685573">
          <w:rPr>
            <w:rStyle w:val="Hyperlink"/>
            <w:rFonts w:asciiTheme="minorHAnsi" w:eastAsiaTheme="minorHAnsi" w:hAnsiTheme="minorHAnsi" w:cstheme="minorBidi"/>
            <w:sz w:val="24"/>
            <w:lang w:val="en-US"/>
          </w:rPr>
          <w:t>https://doi.org/10.1002/jbmr.2405</w:t>
        </w:r>
      </w:hyperlink>
      <w:r w:rsidR="00201AB1" w:rsidRPr="00685573">
        <w:rPr>
          <w:rFonts w:asciiTheme="minorHAnsi" w:eastAsiaTheme="minorHAnsi" w:hAnsiTheme="minorHAnsi" w:cstheme="minorBidi"/>
          <w:color w:val="auto"/>
          <w:sz w:val="24"/>
          <w:lang w:val="en-US"/>
        </w:rPr>
        <w:t xml:space="preserve"> </w:t>
      </w:r>
    </w:p>
    <w:p w14:paraId="162CD862" w14:textId="77151EDA" w:rsidR="00722933" w:rsidRPr="00685573" w:rsidRDefault="00722933" w:rsidP="007E2561">
      <w:pPr>
        <w:pStyle w:val="ListParagraph"/>
        <w:numPr>
          <w:ilvl w:val="0"/>
          <w:numId w:val="27"/>
        </w:numPr>
        <w:spacing w:after="60" w:line="360" w:lineRule="auto"/>
        <w:jc w:val="both"/>
        <w:rPr>
          <w:rFonts w:ascii="Calibri" w:hAnsi="Calibri"/>
          <w:sz w:val="24"/>
        </w:rPr>
      </w:pPr>
      <w:r w:rsidRPr="00685573">
        <w:rPr>
          <w:rFonts w:ascii="Calibri" w:hAnsi="Calibri"/>
          <w:sz w:val="24"/>
        </w:rPr>
        <w:t xml:space="preserve">Woo SB, Hellstein JW, Kalmar JR. </w:t>
      </w:r>
      <w:r w:rsidR="007E2561" w:rsidRPr="00685573">
        <w:rPr>
          <w:rFonts w:ascii="Calibri" w:hAnsi="Calibri"/>
          <w:sz w:val="24"/>
        </w:rPr>
        <w:t xml:space="preserve">Systematic Review: </w:t>
      </w:r>
      <w:r w:rsidRPr="00685573">
        <w:rPr>
          <w:rFonts w:ascii="Calibri" w:hAnsi="Calibri"/>
          <w:sz w:val="24"/>
        </w:rPr>
        <w:t>Bisphosphonates and osteonecrosis of the jaws (2006) Ann Intern Med 144</w:t>
      </w:r>
      <w:r w:rsidR="007E2561" w:rsidRPr="00685573">
        <w:rPr>
          <w:rFonts w:ascii="Calibri" w:hAnsi="Calibri"/>
          <w:sz w:val="24"/>
        </w:rPr>
        <w:t>(10)</w:t>
      </w:r>
      <w:r w:rsidRPr="00685573">
        <w:rPr>
          <w:rFonts w:ascii="Calibri" w:hAnsi="Calibri"/>
          <w:sz w:val="24"/>
        </w:rPr>
        <w:t>:753-6</w:t>
      </w:r>
      <w:r w:rsidR="007E2561" w:rsidRPr="00685573">
        <w:rPr>
          <w:rFonts w:ascii="Calibri" w:hAnsi="Calibri"/>
          <w:sz w:val="24"/>
        </w:rPr>
        <w:t xml:space="preserve">1. </w:t>
      </w:r>
      <w:hyperlink r:id="rId104" w:history="1">
        <w:r w:rsidR="007E2561" w:rsidRPr="00685573">
          <w:rPr>
            <w:rStyle w:val="Hyperlink"/>
            <w:rFonts w:ascii="Calibri" w:hAnsi="Calibri"/>
            <w:sz w:val="24"/>
          </w:rPr>
          <w:t>https://doi.org/10.7326/0003-4819-144-10-200605160-00009</w:t>
        </w:r>
      </w:hyperlink>
      <w:r w:rsidR="007E2561" w:rsidRPr="00685573">
        <w:rPr>
          <w:rFonts w:ascii="Calibri" w:hAnsi="Calibri"/>
          <w:sz w:val="24"/>
        </w:rPr>
        <w:t xml:space="preserve"> </w:t>
      </w:r>
    </w:p>
    <w:p w14:paraId="5175D828" w14:textId="4CB38895" w:rsidR="00722933" w:rsidRPr="00685573" w:rsidRDefault="00722933" w:rsidP="00EC57ED">
      <w:pPr>
        <w:pStyle w:val="ListParagraph"/>
        <w:numPr>
          <w:ilvl w:val="0"/>
          <w:numId w:val="27"/>
        </w:numPr>
        <w:spacing w:after="60" w:line="360" w:lineRule="auto"/>
        <w:jc w:val="both"/>
        <w:rPr>
          <w:rFonts w:ascii="Calibri" w:hAnsi="Calibri"/>
          <w:sz w:val="24"/>
        </w:rPr>
      </w:pPr>
      <w:r w:rsidRPr="00685573">
        <w:rPr>
          <w:rFonts w:ascii="Calibri" w:hAnsi="Calibri"/>
          <w:sz w:val="24"/>
        </w:rPr>
        <w:t>Marx RE, Sawatari Y, Fortin M, Bromand V</w:t>
      </w:r>
      <w:r w:rsidR="00EC57ED" w:rsidRPr="00685573">
        <w:rPr>
          <w:rFonts w:ascii="Calibri" w:hAnsi="Calibri"/>
          <w:sz w:val="24"/>
        </w:rPr>
        <w:t xml:space="preserve"> (2005)</w:t>
      </w:r>
      <w:r w:rsidRPr="00685573">
        <w:rPr>
          <w:rFonts w:ascii="Calibri" w:hAnsi="Calibri"/>
          <w:sz w:val="24"/>
        </w:rPr>
        <w:t xml:space="preserve"> Bisphosphonate-induced exposed bone (osteonecrosis/ osteopetrosis) of the jaws: risk factors, recognition, prevention and treatment</w:t>
      </w:r>
      <w:r w:rsidR="00EC57ED" w:rsidRPr="00685573">
        <w:rPr>
          <w:rFonts w:ascii="Calibri" w:hAnsi="Calibri"/>
          <w:sz w:val="24"/>
        </w:rPr>
        <w:t>.</w:t>
      </w:r>
      <w:r w:rsidRPr="00685573">
        <w:rPr>
          <w:rFonts w:ascii="Calibri" w:hAnsi="Calibri"/>
          <w:sz w:val="24"/>
        </w:rPr>
        <w:t xml:space="preserve"> J Oral Maxillofac Surg 63</w:t>
      </w:r>
      <w:r w:rsidR="00EC57ED" w:rsidRPr="00685573">
        <w:rPr>
          <w:rFonts w:ascii="Calibri" w:hAnsi="Calibri"/>
          <w:sz w:val="24"/>
        </w:rPr>
        <w:t>(11)</w:t>
      </w:r>
      <w:r w:rsidRPr="00685573">
        <w:rPr>
          <w:rFonts w:ascii="Calibri" w:hAnsi="Calibri"/>
          <w:sz w:val="24"/>
        </w:rPr>
        <w:t>:1567-75</w:t>
      </w:r>
      <w:r w:rsidR="00EC57ED" w:rsidRPr="00685573">
        <w:rPr>
          <w:rFonts w:ascii="Calibri" w:hAnsi="Calibri"/>
          <w:sz w:val="24"/>
        </w:rPr>
        <w:t xml:space="preserve">. </w:t>
      </w:r>
      <w:hyperlink r:id="rId105" w:history="1">
        <w:r w:rsidR="00EC57ED" w:rsidRPr="00685573">
          <w:rPr>
            <w:rStyle w:val="Hyperlink"/>
            <w:rFonts w:ascii="Calibri" w:hAnsi="Calibri"/>
            <w:sz w:val="24"/>
          </w:rPr>
          <w:t>https://doi.org/10.1016/j.joms.2005.07.010</w:t>
        </w:r>
      </w:hyperlink>
      <w:r w:rsidR="00EC57ED" w:rsidRPr="00685573">
        <w:rPr>
          <w:rFonts w:ascii="Calibri" w:hAnsi="Calibri"/>
          <w:sz w:val="24"/>
        </w:rPr>
        <w:t xml:space="preserve"> </w:t>
      </w:r>
    </w:p>
    <w:p w14:paraId="30F244FB" w14:textId="7C5E39FB" w:rsidR="00722933" w:rsidRPr="00685573" w:rsidRDefault="00722933" w:rsidP="00B57CBA">
      <w:pPr>
        <w:pStyle w:val="ListParagraph"/>
        <w:numPr>
          <w:ilvl w:val="0"/>
          <w:numId w:val="27"/>
        </w:numPr>
        <w:spacing w:after="60" w:line="360" w:lineRule="auto"/>
        <w:ind w:left="1077" w:hanging="357"/>
        <w:jc w:val="both"/>
        <w:rPr>
          <w:rFonts w:asciiTheme="minorHAnsi" w:hAnsiTheme="minorHAnsi"/>
          <w:sz w:val="24"/>
        </w:rPr>
      </w:pPr>
      <w:r w:rsidRPr="00685573">
        <w:rPr>
          <w:rFonts w:asciiTheme="minorHAnsi" w:hAnsiTheme="minorHAnsi"/>
          <w:sz w:val="24"/>
        </w:rPr>
        <w:t xml:space="preserve">Masoodi N (2009) Oral bisphosphonates and the risk for osteonecrosis of the jaw. </w:t>
      </w:r>
      <w:r w:rsidR="0077578C" w:rsidRPr="00685573">
        <w:rPr>
          <w:rFonts w:asciiTheme="minorHAnsi" w:hAnsiTheme="minorHAnsi"/>
          <w:sz w:val="24"/>
        </w:rPr>
        <w:t>BJMP</w:t>
      </w:r>
      <w:r w:rsidRPr="00685573">
        <w:rPr>
          <w:rFonts w:asciiTheme="minorHAnsi" w:hAnsiTheme="minorHAnsi"/>
          <w:sz w:val="24"/>
        </w:rPr>
        <w:t xml:space="preserve"> 2</w:t>
      </w:r>
      <w:r w:rsidR="0077578C" w:rsidRPr="00685573">
        <w:rPr>
          <w:rFonts w:asciiTheme="minorHAnsi" w:hAnsiTheme="minorHAnsi"/>
          <w:sz w:val="24"/>
        </w:rPr>
        <w:t>(2)</w:t>
      </w:r>
      <w:r w:rsidRPr="00685573">
        <w:rPr>
          <w:rFonts w:asciiTheme="minorHAnsi" w:hAnsiTheme="minorHAnsi"/>
          <w:sz w:val="24"/>
        </w:rPr>
        <w:t>:11-5</w:t>
      </w:r>
      <w:r w:rsidR="0077578C" w:rsidRPr="00685573">
        <w:rPr>
          <w:rFonts w:asciiTheme="minorHAnsi" w:hAnsiTheme="minorHAnsi"/>
          <w:sz w:val="24"/>
        </w:rPr>
        <w:t>.</w:t>
      </w:r>
    </w:p>
    <w:p w14:paraId="594D31D7" w14:textId="45E35DB3" w:rsidR="00722933" w:rsidRPr="00685573" w:rsidRDefault="00722933" w:rsidP="0077578C">
      <w:pPr>
        <w:pStyle w:val="ListParagraph"/>
        <w:numPr>
          <w:ilvl w:val="0"/>
          <w:numId w:val="27"/>
        </w:numPr>
        <w:spacing w:after="60" w:line="360" w:lineRule="auto"/>
        <w:jc w:val="both"/>
        <w:rPr>
          <w:rFonts w:asciiTheme="minorHAnsi" w:hAnsiTheme="minorHAnsi" w:cs="Arial"/>
          <w:color w:val="000000"/>
          <w:sz w:val="24"/>
          <w:shd w:val="clear" w:color="auto" w:fill="FCFBFB"/>
        </w:rPr>
      </w:pPr>
      <w:r w:rsidRPr="00685573">
        <w:rPr>
          <w:rFonts w:asciiTheme="minorHAnsi" w:hAnsiTheme="minorHAnsi" w:cs="Arial"/>
          <w:color w:val="000000"/>
          <w:sz w:val="24"/>
          <w:shd w:val="clear" w:color="auto" w:fill="FCFBFB"/>
        </w:rPr>
        <w:t>Black DM, Delmas PD, Eastell R, Reid IR, Boonen S, Cauley JA, Cosman F, Lakatos P, Leung PC, Man Z, Mautalen C, Mesenbrink P, Hu H, Caminis J, Tong K, Rosario-Jansen T, Krasnow J, Hue TF, Sellmeyer D, Eriksen EF, Cummings SR (2007) Once-yearly zoledronic acid for treatment of postmenopausal osteoporosis. N Engl J Med 356</w:t>
      </w:r>
      <w:r w:rsidR="0077578C" w:rsidRPr="00685573">
        <w:rPr>
          <w:rFonts w:asciiTheme="minorHAnsi" w:hAnsiTheme="minorHAnsi" w:cs="Arial"/>
          <w:color w:val="000000"/>
          <w:sz w:val="24"/>
          <w:shd w:val="clear" w:color="auto" w:fill="FCFBFB"/>
        </w:rPr>
        <w:t>(18)</w:t>
      </w:r>
      <w:r w:rsidRPr="00685573">
        <w:rPr>
          <w:rFonts w:asciiTheme="minorHAnsi" w:hAnsiTheme="minorHAnsi" w:cs="Arial"/>
          <w:color w:val="000000"/>
          <w:sz w:val="24"/>
          <w:shd w:val="clear" w:color="auto" w:fill="FCFBFB"/>
        </w:rPr>
        <w:t>:1809-22</w:t>
      </w:r>
      <w:r w:rsidR="0077578C" w:rsidRPr="00685573">
        <w:rPr>
          <w:rFonts w:asciiTheme="minorHAnsi" w:hAnsiTheme="minorHAnsi" w:cs="Arial"/>
          <w:color w:val="000000"/>
          <w:sz w:val="24"/>
          <w:shd w:val="clear" w:color="auto" w:fill="FCFBFB"/>
        </w:rPr>
        <w:t xml:space="preserve">. </w:t>
      </w:r>
      <w:hyperlink r:id="rId106" w:history="1">
        <w:r w:rsidR="0077578C" w:rsidRPr="00685573">
          <w:rPr>
            <w:rStyle w:val="Hyperlink"/>
            <w:rFonts w:asciiTheme="minorHAnsi" w:hAnsiTheme="minorHAnsi" w:cs="Arial"/>
            <w:sz w:val="24"/>
            <w:shd w:val="clear" w:color="auto" w:fill="FCFBFB"/>
          </w:rPr>
          <w:t>https://doi.org/10.1056/NEJMoa067312</w:t>
        </w:r>
      </w:hyperlink>
      <w:r w:rsidR="0077578C" w:rsidRPr="00685573">
        <w:rPr>
          <w:rFonts w:asciiTheme="minorHAnsi" w:hAnsiTheme="minorHAnsi" w:cs="Arial"/>
          <w:color w:val="000000"/>
          <w:sz w:val="24"/>
          <w:shd w:val="clear" w:color="auto" w:fill="FCFBFB"/>
        </w:rPr>
        <w:t xml:space="preserve"> </w:t>
      </w:r>
    </w:p>
    <w:p w14:paraId="56B066A2" w14:textId="3E8E7E42" w:rsidR="00722933" w:rsidRPr="00685573" w:rsidRDefault="00722933" w:rsidP="00125219">
      <w:pPr>
        <w:pStyle w:val="ListParagraph"/>
        <w:numPr>
          <w:ilvl w:val="0"/>
          <w:numId w:val="27"/>
        </w:numPr>
        <w:spacing w:after="60" w:line="360" w:lineRule="auto"/>
        <w:jc w:val="both"/>
        <w:rPr>
          <w:rFonts w:asciiTheme="minorHAnsi" w:hAnsiTheme="minorHAnsi"/>
          <w:sz w:val="24"/>
        </w:rPr>
      </w:pPr>
      <w:r w:rsidRPr="00685573">
        <w:rPr>
          <w:rFonts w:asciiTheme="minorHAnsi" w:hAnsiTheme="minorHAnsi"/>
          <w:sz w:val="24"/>
        </w:rPr>
        <w:t>Choi WS, Lee JI, Yoon HJ, Min CK, Lee SH (2017) Medication-related osteonecrosis of the jaw: a preliminary retrospective study of 130 patients with multiple myeloma. Maxillofac Plast Reconstr Surg 39(1):1.</w:t>
      </w:r>
      <w:r w:rsidR="00125219" w:rsidRPr="00685573">
        <w:rPr>
          <w:rFonts w:asciiTheme="minorHAnsi" w:hAnsiTheme="minorHAnsi"/>
          <w:sz w:val="24"/>
        </w:rPr>
        <w:t xml:space="preserve"> </w:t>
      </w:r>
      <w:hyperlink r:id="rId107" w:history="1">
        <w:r w:rsidR="00125219" w:rsidRPr="00685573">
          <w:rPr>
            <w:rStyle w:val="Hyperlink"/>
            <w:rFonts w:asciiTheme="minorHAnsi" w:hAnsiTheme="minorHAnsi"/>
            <w:sz w:val="24"/>
          </w:rPr>
          <w:t>https://doi.org/10.1186/s40902-016-0099-4</w:t>
        </w:r>
      </w:hyperlink>
      <w:r w:rsidR="00125219" w:rsidRPr="00685573">
        <w:rPr>
          <w:rFonts w:asciiTheme="minorHAnsi" w:hAnsiTheme="minorHAnsi"/>
          <w:sz w:val="24"/>
        </w:rPr>
        <w:t xml:space="preserve"> </w:t>
      </w:r>
    </w:p>
    <w:p w14:paraId="485E452C" w14:textId="60E02F24" w:rsidR="00722933" w:rsidRPr="00685573" w:rsidRDefault="00722933" w:rsidP="00F80517">
      <w:pPr>
        <w:pStyle w:val="CommentText"/>
        <w:numPr>
          <w:ilvl w:val="0"/>
          <w:numId w:val="27"/>
        </w:numPr>
        <w:spacing w:after="60" w:line="360" w:lineRule="auto"/>
        <w:jc w:val="both"/>
        <w:rPr>
          <w:sz w:val="24"/>
          <w:szCs w:val="24"/>
        </w:rPr>
      </w:pPr>
      <w:r w:rsidRPr="00685573">
        <w:rPr>
          <w:sz w:val="24"/>
          <w:szCs w:val="24"/>
        </w:rPr>
        <w:t>Eiken PA, Prieto-Alhambra D, Eastell R, Abrahamsen B (2017) Surgically treated osteonecrosis and osteomyelitis of the jaw and oral cavity in patients highly adherent to alendronate treatment: a nationwide user-only cohort study including over 60,000 alendronate users. Osteporosis Int 28</w:t>
      </w:r>
      <w:r w:rsidR="00F80517" w:rsidRPr="00685573">
        <w:rPr>
          <w:sz w:val="24"/>
          <w:szCs w:val="24"/>
        </w:rPr>
        <w:t>(10)</w:t>
      </w:r>
      <w:r w:rsidRPr="00685573">
        <w:rPr>
          <w:sz w:val="24"/>
          <w:szCs w:val="24"/>
        </w:rPr>
        <w:t xml:space="preserve">:2921–8. </w:t>
      </w:r>
      <w:hyperlink r:id="rId108" w:history="1">
        <w:r w:rsidR="00F80517" w:rsidRPr="00685573">
          <w:rPr>
            <w:rStyle w:val="Hyperlink"/>
            <w:sz w:val="24"/>
            <w:szCs w:val="24"/>
          </w:rPr>
          <w:t>https://doi.org/10.1007/s00198-017-4132-y</w:t>
        </w:r>
      </w:hyperlink>
      <w:r w:rsidR="00F80517" w:rsidRPr="00685573">
        <w:rPr>
          <w:sz w:val="24"/>
          <w:szCs w:val="24"/>
        </w:rPr>
        <w:t xml:space="preserve"> </w:t>
      </w:r>
    </w:p>
    <w:p w14:paraId="2BD16D81" w14:textId="7B8E88D5" w:rsidR="00B57CBA" w:rsidRPr="00685573" w:rsidRDefault="00B57CBA" w:rsidP="00BE7F71">
      <w:pPr>
        <w:pStyle w:val="CommentText"/>
        <w:numPr>
          <w:ilvl w:val="0"/>
          <w:numId w:val="27"/>
        </w:numPr>
        <w:spacing w:after="60" w:line="360" w:lineRule="auto"/>
        <w:jc w:val="both"/>
        <w:rPr>
          <w:sz w:val="24"/>
          <w:szCs w:val="24"/>
        </w:rPr>
      </w:pPr>
      <w:r w:rsidRPr="00685573">
        <w:rPr>
          <w:sz w:val="24"/>
          <w:szCs w:val="24"/>
        </w:rPr>
        <w:t xml:space="preserve">Abrahamsen B, Eiken P, Prieto-Alhambra D, Eastell R (2016) Risk of hip, subtrochanteric, and femoral shaft fractures among mid and long term users of </w:t>
      </w:r>
      <w:r w:rsidRPr="00685573">
        <w:rPr>
          <w:sz w:val="24"/>
          <w:szCs w:val="24"/>
        </w:rPr>
        <w:lastRenderedPageBreak/>
        <w:t>alendronate: Nationwide cohort and nested case-control study. BMJ 2016;353</w:t>
      </w:r>
      <w:r w:rsidR="00AA0832" w:rsidRPr="00685573">
        <w:rPr>
          <w:sz w:val="24"/>
          <w:szCs w:val="24"/>
        </w:rPr>
        <w:t>: i3365</w:t>
      </w:r>
      <w:r w:rsidR="00BE7F71" w:rsidRPr="00685573">
        <w:rPr>
          <w:sz w:val="24"/>
          <w:szCs w:val="24"/>
        </w:rPr>
        <w:t xml:space="preserve">. </w:t>
      </w:r>
      <w:hyperlink r:id="rId109" w:history="1">
        <w:r w:rsidR="00BE7F71" w:rsidRPr="00685573">
          <w:rPr>
            <w:rStyle w:val="Hyperlink"/>
            <w:sz w:val="24"/>
            <w:szCs w:val="24"/>
          </w:rPr>
          <w:t>https://doi.org/10.1136/bmj.i3365</w:t>
        </w:r>
      </w:hyperlink>
      <w:r w:rsidR="00BE7F71" w:rsidRPr="00685573">
        <w:rPr>
          <w:sz w:val="24"/>
          <w:szCs w:val="24"/>
        </w:rPr>
        <w:t xml:space="preserve"> </w:t>
      </w:r>
    </w:p>
    <w:p w14:paraId="0AF802E8" w14:textId="67C8E78B" w:rsidR="007349DD" w:rsidRPr="00685573" w:rsidRDefault="007349DD" w:rsidP="00BE7F71">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eastAsia="en-GB"/>
        </w:rPr>
      </w:pPr>
      <w:r w:rsidRPr="00685573">
        <w:rPr>
          <w:rFonts w:asciiTheme="minorHAnsi" w:hAnsiTheme="minorHAnsi" w:cs="Arial"/>
          <w:color w:val="auto"/>
          <w:sz w:val="24"/>
          <w:lang w:val="en-US" w:eastAsia="en-GB"/>
        </w:rPr>
        <w:t>Bae SJ, Lee SH, Ahn SH, Kim</w:t>
      </w:r>
      <w:r w:rsidR="00BE7F71" w:rsidRPr="00685573">
        <w:rPr>
          <w:rFonts w:asciiTheme="minorHAnsi" w:hAnsiTheme="minorHAnsi" w:cs="Arial"/>
          <w:color w:val="auto"/>
          <w:sz w:val="24"/>
          <w:lang w:val="en-US" w:eastAsia="en-GB"/>
        </w:rPr>
        <w:t xml:space="preserve"> </w:t>
      </w:r>
      <w:r w:rsidRPr="00685573">
        <w:rPr>
          <w:rFonts w:asciiTheme="minorHAnsi" w:hAnsiTheme="minorHAnsi" w:cs="Arial"/>
          <w:color w:val="auto"/>
          <w:sz w:val="24"/>
          <w:lang w:val="en-US" w:eastAsia="en-GB"/>
        </w:rPr>
        <w:t>HM, Kim BJ</w:t>
      </w:r>
      <w:r w:rsidR="00BE7F71" w:rsidRPr="00685573">
        <w:rPr>
          <w:rFonts w:asciiTheme="minorHAnsi" w:hAnsiTheme="minorHAnsi" w:cs="Arial"/>
          <w:color w:val="auto"/>
          <w:sz w:val="24"/>
          <w:lang w:val="en-US" w:eastAsia="en-GB"/>
        </w:rPr>
        <w:t>,</w:t>
      </w:r>
      <w:r w:rsidRPr="00685573">
        <w:rPr>
          <w:rFonts w:asciiTheme="minorHAnsi" w:hAnsiTheme="minorHAnsi" w:cs="Arial"/>
          <w:color w:val="auto"/>
          <w:sz w:val="24"/>
          <w:lang w:val="en-US" w:eastAsia="en-GB"/>
        </w:rPr>
        <w:t xml:space="preserve"> Koh JM (2016) The circulating sphingosine-1-phosphate level predicts incident fracture in postmenopausal women: a 3.5-year follow-up observation study. </w:t>
      </w:r>
      <w:r w:rsidRPr="00685573">
        <w:rPr>
          <w:rFonts w:asciiTheme="minorHAnsi" w:hAnsiTheme="minorHAnsi" w:cs="Arial"/>
          <w:iCs/>
          <w:color w:val="auto"/>
          <w:sz w:val="24"/>
          <w:lang w:val="en-US" w:eastAsia="en-GB"/>
        </w:rPr>
        <w:t>Osteoporos Int</w:t>
      </w:r>
      <w:r w:rsidR="00BE7F71" w:rsidRPr="00685573">
        <w:rPr>
          <w:rFonts w:asciiTheme="minorHAnsi" w:hAnsiTheme="minorHAnsi" w:cs="Arial"/>
          <w:color w:val="auto"/>
          <w:sz w:val="24"/>
          <w:lang w:val="en-US" w:eastAsia="en-GB"/>
        </w:rPr>
        <w:t xml:space="preserve"> 27(8):2533-41. </w:t>
      </w:r>
      <w:hyperlink r:id="rId110" w:history="1">
        <w:r w:rsidR="00BE7F71" w:rsidRPr="00685573">
          <w:rPr>
            <w:rStyle w:val="Hyperlink"/>
            <w:rFonts w:asciiTheme="minorHAnsi" w:hAnsiTheme="minorHAnsi" w:cs="Arial"/>
            <w:sz w:val="24"/>
            <w:lang w:val="en-US" w:eastAsia="en-GB"/>
          </w:rPr>
          <w:t>https://doi.org/10.1007/s00198-016-3565-z</w:t>
        </w:r>
      </w:hyperlink>
      <w:r w:rsidR="00BE7F71" w:rsidRPr="00685573">
        <w:rPr>
          <w:rFonts w:asciiTheme="minorHAnsi" w:hAnsiTheme="minorHAnsi" w:cs="Arial"/>
          <w:color w:val="auto"/>
          <w:sz w:val="24"/>
          <w:lang w:val="en-US" w:eastAsia="en-GB"/>
        </w:rPr>
        <w:t xml:space="preserve"> </w:t>
      </w:r>
    </w:p>
    <w:p w14:paraId="4757AB87" w14:textId="2B563944" w:rsidR="005164C1" w:rsidRPr="00685573" w:rsidRDefault="005164C1" w:rsidP="00BE7F71">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eastAsia="en-GB"/>
        </w:rPr>
      </w:pPr>
      <w:r w:rsidRPr="00685573">
        <w:rPr>
          <w:rFonts w:asciiTheme="minorHAnsi" w:hAnsiTheme="minorHAnsi" w:cs="Arial"/>
          <w:color w:val="auto"/>
          <w:sz w:val="24"/>
          <w:lang w:val="en-US" w:eastAsia="en-GB"/>
        </w:rPr>
        <w:t>Morales-Santana S, Diez-Perez A, Olmos JM, Nogues</w:t>
      </w:r>
      <w:r w:rsidR="00BE7F71" w:rsidRPr="00685573">
        <w:rPr>
          <w:rFonts w:asciiTheme="minorHAnsi" w:hAnsiTheme="minorHAnsi" w:cs="Arial"/>
          <w:color w:val="auto"/>
          <w:sz w:val="24"/>
          <w:lang w:val="en-US" w:eastAsia="en-GB"/>
        </w:rPr>
        <w:t xml:space="preserve"> </w:t>
      </w:r>
      <w:r w:rsidRPr="00685573">
        <w:rPr>
          <w:rFonts w:asciiTheme="minorHAnsi" w:hAnsiTheme="minorHAnsi" w:cs="Arial"/>
          <w:color w:val="auto"/>
          <w:sz w:val="24"/>
          <w:lang w:val="en-US" w:eastAsia="en-GB"/>
        </w:rPr>
        <w:t>X, Sosa M, Diaz-Curiel M, Perez-Castrillon JL, Perez-Cano R, Torrijos A, Jodar E, Rio LD, Caeiro-Rey JR, Reyes-Garcia R, Garcia-Fontana B, Gonzalez-Macias J</w:t>
      </w:r>
      <w:r w:rsidR="00BE7F71" w:rsidRPr="00685573">
        <w:rPr>
          <w:rFonts w:asciiTheme="minorHAnsi" w:hAnsiTheme="minorHAnsi" w:cs="Arial"/>
          <w:color w:val="auto"/>
          <w:sz w:val="24"/>
          <w:lang w:val="en-US" w:eastAsia="en-GB"/>
        </w:rPr>
        <w:t>,</w:t>
      </w:r>
      <w:r w:rsidRPr="00685573">
        <w:rPr>
          <w:rFonts w:asciiTheme="minorHAnsi" w:hAnsiTheme="minorHAnsi" w:cs="Arial"/>
          <w:color w:val="auto"/>
          <w:sz w:val="24"/>
          <w:lang w:val="en-US" w:eastAsia="en-GB"/>
        </w:rPr>
        <w:t xml:space="preserve"> Munoz-Torres M (2015) Circulating sclerostin and estradiol levels are associated with inadequate response to bisphosphonates in postmenopausal women with osteoporosis. </w:t>
      </w:r>
      <w:r w:rsidRPr="00685573">
        <w:rPr>
          <w:rFonts w:asciiTheme="minorHAnsi" w:hAnsiTheme="minorHAnsi" w:cs="Arial"/>
          <w:iCs/>
          <w:color w:val="auto"/>
          <w:sz w:val="24"/>
          <w:lang w:val="en-US" w:eastAsia="en-GB"/>
        </w:rPr>
        <w:t>Maturitas</w:t>
      </w:r>
      <w:r w:rsidRPr="00685573">
        <w:rPr>
          <w:rFonts w:asciiTheme="minorHAnsi" w:hAnsiTheme="minorHAnsi" w:cs="Arial"/>
          <w:i/>
          <w:iCs/>
          <w:color w:val="auto"/>
          <w:sz w:val="24"/>
          <w:lang w:val="en-US" w:eastAsia="en-GB"/>
        </w:rPr>
        <w:t xml:space="preserve"> </w:t>
      </w:r>
      <w:r w:rsidRPr="00685573">
        <w:rPr>
          <w:rFonts w:asciiTheme="minorHAnsi" w:hAnsiTheme="minorHAnsi" w:cs="Arial"/>
          <w:bCs/>
          <w:color w:val="auto"/>
          <w:sz w:val="24"/>
          <w:lang w:val="en-US" w:eastAsia="en-GB"/>
        </w:rPr>
        <w:t>82</w:t>
      </w:r>
      <w:r w:rsidRPr="00685573">
        <w:rPr>
          <w:rFonts w:asciiTheme="minorHAnsi" w:hAnsiTheme="minorHAnsi" w:cs="Arial"/>
          <w:color w:val="auto"/>
          <w:sz w:val="24"/>
          <w:lang w:val="en-US" w:eastAsia="en-GB"/>
        </w:rPr>
        <w:t>(4):402-410.</w:t>
      </w:r>
      <w:r w:rsidR="00BE7F71" w:rsidRPr="00685573">
        <w:rPr>
          <w:rFonts w:asciiTheme="minorHAnsi" w:hAnsiTheme="minorHAnsi" w:cs="Arial"/>
          <w:color w:val="auto"/>
          <w:sz w:val="24"/>
          <w:lang w:val="en-US" w:eastAsia="en-GB"/>
        </w:rPr>
        <w:t xml:space="preserve"> </w:t>
      </w:r>
      <w:hyperlink r:id="rId111" w:history="1">
        <w:r w:rsidR="00BE7F71" w:rsidRPr="00685573">
          <w:rPr>
            <w:rStyle w:val="Hyperlink"/>
            <w:rFonts w:asciiTheme="minorHAnsi" w:hAnsiTheme="minorHAnsi" w:cs="Arial"/>
            <w:sz w:val="24"/>
            <w:lang w:val="en-US" w:eastAsia="en-GB"/>
          </w:rPr>
          <w:t>https://doi.org/10.1016/j.maturitas.2015.08.007</w:t>
        </w:r>
      </w:hyperlink>
      <w:r w:rsidR="00BE7F71" w:rsidRPr="00685573">
        <w:rPr>
          <w:rFonts w:asciiTheme="minorHAnsi" w:hAnsiTheme="minorHAnsi" w:cs="Arial"/>
          <w:color w:val="auto"/>
          <w:sz w:val="24"/>
          <w:lang w:val="en-US" w:eastAsia="en-GB"/>
        </w:rPr>
        <w:t xml:space="preserve"> </w:t>
      </w:r>
    </w:p>
    <w:p w14:paraId="46E23F43" w14:textId="1A4876B3" w:rsidR="005164C1" w:rsidRPr="00685573" w:rsidRDefault="005164C1" w:rsidP="001A4EE2">
      <w:pPr>
        <w:pStyle w:val="ListParagraph"/>
        <w:widowControl w:val="0"/>
        <w:numPr>
          <w:ilvl w:val="0"/>
          <w:numId w:val="27"/>
        </w:numPr>
        <w:autoSpaceDE w:val="0"/>
        <w:autoSpaceDN w:val="0"/>
        <w:adjustRightInd w:val="0"/>
        <w:spacing w:after="60" w:line="360" w:lineRule="auto"/>
        <w:jc w:val="both"/>
        <w:rPr>
          <w:rFonts w:asciiTheme="minorHAnsi" w:hAnsiTheme="minorHAnsi" w:cs="Arial"/>
          <w:color w:val="auto"/>
          <w:sz w:val="24"/>
          <w:lang w:val="en-US" w:eastAsia="en-GB"/>
        </w:rPr>
      </w:pPr>
      <w:r w:rsidRPr="00685573">
        <w:rPr>
          <w:rFonts w:asciiTheme="minorHAnsi" w:hAnsiTheme="minorHAnsi" w:cs="Arial"/>
          <w:color w:val="auto"/>
          <w:sz w:val="24"/>
          <w:lang w:val="en-US" w:eastAsia="en-GB"/>
        </w:rPr>
        <w:t>Shiraki M, Kuroda T, Shiraki Y, Tanaka S, Higuchi T</w:t>
      </w:r>
      <w:r w:rsidR="002E339A" w:rsidRPr="00685573">
        <w:rPr>
          <w:rFonts w:asciiTheme="minorHAnsi" w:hAnsiTheme="minorHAnsi" w:cs="Arial"/>
          <w:color w:val="auto"/>
          <w:sz w:val="24"/>
          <w:lang w:val="en-US" w:eastAsia="en-GB"/>
        </w:rPr>
        <w:t>,</w:t>
      </w:r>
      <w:r w:rsidRPr="00685573">
        <w:rPr>
          <w:rFonts w:asciiTheme="minorHAnsi" w:hAnsiTheme="minorHAnsi" w:cs="Arial"/>
          <w:color w:val="auto"/>
          <w:sz w:val="24"/>
          <w:lang w:val="en-US" w:eastAsia="en-GB"/>
        </w:rPr>
        <w:t xml:space="preserve"> Saito M (2011) Urinary pentosidine and plasma homocysteine levels at baseline predict future fractures in osteoporosis patients under bisphosphonate treatment. </w:t>
      </w:r>
      <w:r w:rsidR="001A4EE2" w:rsidRPr="00685573">
        <w:rPr>
          <w:rFonts w:asciiTheme="minorHAnsi" w:hAnsiTheme="minorHAnsi" w:cs="Arial"/>
          <w:color w:val="auto"/>
          <w:sz w:val="24"/>
          <w:lang w:val="en-US" w:eastAsia="en-GB"/>
        </w:rPr>
        <w:t>J Bone Miner Metab</w:t>
      </w:r>
      <w:r w:rsidR="001A4EE2" w:rsidRPr="00685573" w:rsidDel="001A4EE2">
        <w:rPr>
          <w:rFonts w:asciiTheme="minorHAnsi" w:hAnsiTheme="minorHAnsi" w:cs="Arial"/>
          <w:color w:val="auto"/>
          <w:sz w:val="24"/>
          <w:lang w:val="en-US" w:eastAsia="en-GB"/>
        </w:rPr>
        <w:t xml:space="preserve"> </w:t>
      </w:r>
      <w:r w:rsidRPr="00685573">
        <w:rPr>
          <w:rFonts w:asciiTheme="minorHAnsi" w:hAnsiTheme="minorHAnsi" w:cs="Arial"/>
          <w:i/>
          <w:iCs/>
          <w:color w:val="auto"/>
          <w:sz w:val="24"/>
          <w:lang w:val="en-US" w:eastAsia="en-GB"/>
        </w:rPr>
        <w:t xml:space="preserve"> </w:t>
      </w:r>
      <w:r w:rsidRPr="00685573">
        <w:rPr>
          <w:rFonts w:asciiTheme="minorHAnsi" w:hAnsiTheme="minorHAnsi" w:cs="Arial"/>
          <w:bCs/>
          <w:color w:val="auto"/>
          <w:sz w:val="24"/>
          <w:lang w:val="en-US" w:eastAsia="en-GB"/>
        </w:rPr>
        <w:t>29</w:t>
      </w:r>
      <w:r w:rsidRPr="00685573">
        <w:rPr>
          <w:rFonts w:asciiTheme="minorHAnsi" w:hAnsiTheme="minorHAnsi" w:cs="Arial"/>
          <w:color w:val="auto"/>
          <w:sz w:val="24"/>
          <w:lang w:val="en-US" w:eastAsia="en-GB"/>
        </w:rPr>
        <w:t>(1):62-70.</w:t>
      </w:r>
      <w:r w:rsidR="001A4EE2" w:rsidRPr="00685573">
        <w:rPr>
          <w:rFonts w:asciiTheme="minorHAnsi" w:hAnsiTheme="minorHAnsi" w:cs="Arial"/>
          <w:color w:val="auto"/>
          <w:sz w:val="24"/>
          <w:lang w:val="en-US" w:eastAsia="en-GB"/>
        </w:rPr>
        <w:t xml:space="preserve"> </w:t>
      </w:r>
      <w:hyperlink r:id="rId112" w:history="1">
        <w:r w:rsidR="001A4EE2" w:rsidRPr="00685573">
          <w:rPr>
            <w:rStyle w:val="Hyperlink"/>
            <w:rFonts w:asciiTheme="minorHAnsi" w:hAnsiTheme="minorHAnsi" w:cs="Arial"/>
            <w:sz w:val="24"/>
            <w:lang w:val="en-US" w:eastAsia="en-GB"/>
          </w:rPr>
          <w:t>https://doi.org/10.1007/s00774-010-0191-2</w:t>
        </w:r>
      </w:hyperlink>
      <w:r w:rsidR="001A4EE2" w:rsidRPr="00685573">
        <w:rPr>
          <w:rFonts w:asciiTheme="minorHAnsi" w:hAnsiTheme="minorHAnsi" w:cs="Arial"/>
          <w:color w:val="auto"/>
          <w:sz w:val="24"/>
          <w:lang w:val="en-US" w:eastAsia="en-GB"/>
        </w:rPr>
        <w:t xml:space="preserve"> </w:t>
      </w:r>
    </w:p>
    <w:p w14:paraId="1C5A7758" w14:textId="7F20794F" w:rsidR="007349DD" w:rsidRPr="00685573" w:rsidRDefault="007349DD" w:rsidP="001A4EE2">
      <w:pPr>
        <w:pStyle w:val="ListParagraph"/>
        <w:numPr>
          <w:ilvl w:val="0"/>
          <w:numId w:val="27"/>
        </w:numPr>
        <w:spacing w:line="360" w:lineRule="auto"/>
        <w:jc w:val="both"/>
        <w:rPr>
          <w:rFonts w:asciiTheme="minorHAnsi" w:hAnsiTheme="minorHAnsi"/>
          <w:color w:val="auto"/>
          <w:sz w:val="24"/>
        </w:rPr>
      </w:pPr>
      <w:r w:rsidRPr="00685573">
        <w:rPr>
          <w:rFonts w:asciiTheme="minorHAnsi" w:hAnsiTheme="minorHAnsi" w:cs="Arial"/>
          <w:color w:val="auto"/>
          <w:sz w:val="24"/>
          <w:lang w:val="en-US" w:eastAsia="en-GB"/>
        </w:rPr>
        <w:t>Cairoli E, Eller-Vainicher C, Ulivieri FM, Zhukouskaya VV, Palmieri S, Morelli V, Beck-Peccoz P</w:t>
      </w:r>
      <w:r w:rsidR="001A4EE2" w:rsidRPr="00685573">
        <w:rPr>
          <w:rFonts w:asciiTheme="minorHAnsi" w:hAnsiTheme="minorHAnsi" w:cs="Arial"/>
          <w:color w:val="auto"/>
          <w:sz w:val="24"/>
          <w:lang w:val="en-US" w:eastAsia="en-GB"/>
        </w:rPr>
        <w:t>,</w:t>
      </w:r>
      <w:r w:rsidRPr="00685573">
        <w:rPr>
          <w:rFonts w:asciiTheme="minorHAnsi" w:hAnsiTheme="minorHAnsi" w:cs="Arial"/>
          <w:color w:val="auto"/>
          <w:sz w:val="24"/>
          <w:lang w:val="en-US" w:eastAsia="en-GB"/>
        </w:rPr>
        <w:t xml:space="preserve"> Chiodini I (2014). Factors associated with bisphosphonate treatment failure in postmenopausal women with primary osteoporosis. </w:t>
      </w:r>
      <w:r w:rsidRPr="00685573">
        <w:rPr>
          <w:rFonts w:asciiTheme="minorHAnsi" w:hAnsiTheme="minorHAnsi" w:cs="Arial"/>
          <w:iCs/>
          <w:color w:val="auto"/>
          <w:sz w:val="24"/>
          <w:lang w:val="en-US" w:eastAsia="en-GB"/>
        </w:rPr>
        <w:t>Osteoporos Int</w:t>
      </w:r>
      <w:r w:rsidRPr="00685573">
        <w:rPr>
          <w:rFonts w:asciiTheme="minorHAnsi" w:hAnsiTheme="minorHAnsi" w:cs="Arial"/>
          <w:i/>
          <w:iCs/>
          <w:color w:val="auto"/>
          <w:sz w:val="24"/>
          <w:lang w:val="en-US" w:eastAsia="en-GB"/>
        </w:rPr>
        <w:t xml:space="preserve"> </w:t>
      </w:r>
      <w:r w:rsidRPr="00685573">
        <w:rPr>
          <w:rFonts w:asciiTheme="minorHAnsi" w:hAnsiTheme="minorHAnsi" w:cs="Arial"/>
          <w:bCs/>
          <w:color w:val="auto"/>
          <w:sz w:val="24"/>
          <w:lang w:val="en-US" w:eastAsia="en-GB"/>
        </w:rPr>
        <w:t>25</w:t>
      </w:r>
      <w:r w:rsidRPr="00685573">
        <w:rPr>
          <w:rFonts w:asciiTheme="minorHAnsi" w:hAnsiTheme="minorHAnsi" w:cs="Arial"/>
          <w:color w:val="auto"/>
          <w:sz w:val="24"/>
          <w:lang w:val="en-US" w:eastAsia="en-GB"/>
        </w:rPr>
        <w:t>(4):1401-10</w:t>
      </w:r>
      <w:r w:rsidR="001A4EE2" w:rsidRPr="00685573">
        <w:rPr>
          <w:rFonts w:asciiTheme="minorHAnsi" w:hAnsiTheme="minorHAnsi" w:cs="Arial"/>
          <w:color w:val="auto"/>
          <w:sz w:val="24"/>
          <w:lang w:val="en-US" w:eastAsia="en-GB"/>
        </w:rPr>
        <w:t xml:space="preserve">. </w:t>
      </w:r>
      <w:hyperlink r:id="rId113" w:history="1">
        <w:r w:rsidR="001A4EE2" w:rsidRPr="00685573">
          <w:rPr>
            <w:rStyle w:val="Hyperlink"/>
            <w:rFonts w:asciiTheme="minorHAnsi" w:hAnsiTheme="minorHAnsi" w:cs="Arial"/>
            <w:sz w:val="24"/>
            <w:lang w:val="en-US" w:eastAsia="en-GB"/>
          </w:rPr>
          <w:t>https://doi.org/10.1007/s00198-014-2619-3</w:t>
        </w:r>
      </w:hyperlink>
      <w:r w:rsidR="001A4EE2" w:rsidRPr="00685573">
        <w:rPr>
          <w:rFonts w:asciiTheme="minorHAnsi" w:hAnsiTheme="minorHAnsi" w:cs="Arial"/>
          <w:color w:val="auto"/>
          <w:sz w:val="24"/>
          <w:lang w:val="en-US" w:eastAsia="en-GB"/>
        </w:rPr>
        <w:t xml:space="preserve"> </w:t>
      </w:r>
    </w:p>
    <w:p w14:paraId="46ACA3E2" w14:textId="3A26DE89" w:rsidR="00F46332" w:rsidRPr="00685573" w:rsidRDefault="00F46332" w:rsidP="00810093">
      <w:pPr>
        <w:pStyle w:val="ListParagraph"/>
        <w:numPr>
          <w:ilvl w:val="0"/>
          <w:numId w:val="27"/>
        </w:numPr>
        <w:spacing w:after="60" w:line="360" w:lineRule="auto"/>
        <w:ind w:left="1077" w:hanging="357"/>
        <w:jc w:val="both"/>
        <w:rPr>
          <w:rFonts w:asciiTheme="minorHAnsi" w:hAnsiTheme="minorHAnsi"/>
          <w:color w:val="auto"/>
          <w:sz w:val="24"/>
        </w:rPr>
      </w:pPr>
      <w:r w:rsidRPr="00685573">
        <w:rPr>
          <w:rFonts w:asciiTheme="minorHAnsi" w:hAnsiTheme="minorHAnsi"/>
          <w:sz w:val="24"/>
        </w:rPr>
        <w:t>Adams AL, Adams JL, Raebel MA, Tang BT, Kuntz JL, Vijayadeva V, McGlynn EA, Gozansky WS</w:t>
      </w:r>
      <w:r w:rsidR="001A4EE2" w:rsidRPr="00685573">
        <w:rPr>
          <w:rFonts w:asciiTheme="minorHAnsi" w:hAnsiTheme="minorHAnsi"/>
          <w:sz w:val="24"/>
        </w:rPr>
        <w:t xml:space="preserve"> (2018)</w:t>
      </w:r>
      <w:r w:rsidRPr="00685573">
        <w:rPr>
          <w:rFonts w:asciiTheme="minorHAnsi" w:hAnsiTheme="minorHAnsi"/>
          <w:sz w:val="24"/>
        </w:rPr>
        <w:t xml:space="preserve"> Bisphosphonate Drug Holiday and Fracture Risk: A Population-Based Cohort Study. J Bone Miner Res</w:t>
      </w:r>
      <w:r w:rsidR="001A4EE2" w:rsidRPr="00685573">
        <w:rPr>
          <w:rFonts w:asciiTheme="minorHAnsi" w:hAnsiTheme="minorHAnsi"/>
          <w:sz w:val="24"/>
        </w:rPr>
        <w:t xml:space="preserve"> 33(7):1252-9. </w:t>
      </w:r>
      <w:hyperlink r:id="rId114" w:history="1">
        <w:r w:rsidR="001A4EE2" w:rsidRPr="00685573">
          <w:rPr>
            <w:rStyle w:val="Hyperlink"/>
            <w:rFonts w:asciiTheme="minorHAnsi" w:hAnsiTheme="minorHAnsi"/>
            <w:sz w:val="24"/>
          </w:rPr>
          <w:t>https://doi.org/10.1002/jbmr.3420</w:t>
        </w:r>
      </w:hyperlink>
      <w:r w:rsidR="001A4EE2" w:rsidRPr="00685573">
        <w:rPr>
          <w:rFonts w:asciiTheme="minorHAnsi" w:hAnsiTheme="minorHAnsi"/>
          <w:sz w:val="24"/>
        </w:rPr>
        <w:t xml:space="preserve"> </w:t>
      </w:r>
    </w:p>
    <w:p w14:paraId="02D1F829" w14:textId="36F912F0" w:rsidR="00414C29" w:rsidRPr="00685573" w:rsidRDefault="00414C29" w:rsidP="00810093">
      <w:pPr>
        <w:pStyle w:val="ListParagraph"/>
        <w:numPr>
          <w:ilvl w:val="0"/>
          <w:numId w:val="27"/>
        </w:numPr>
        <w:spacing w:after="60" w:line="360" w:lineRule="auto"/>
        <w:ind w:left="1077" w:hanging="357"/>
        <w:jc w:val="both"/>
        <w:rPr>
          <w:rFonts w:asciiTheme="minorHAnsi" w:hAnsiTheme="minorHAnsi"/>
          <w:color w:val="auto"/>
          <w:sz w:val="24"/>
        </w:rPr>
      </w:pPr>
      <w:r w:rsidRPr="00685573">
        <w:rPr>
          <w:rFonts w:asciiTheme="minorHAnsi" w:hAnsiTheme="minorHAnsi"/>
          <w:sz w:val="24"/>
          <w:lang w:val="en-US"/>
        </w:rPr>
        <w:t>Curtis J, Chen R, Li Z, Arora T, Saag K, Wright N, Daigle S, Kilgore M, Delzell E. The impact of bisphosphonate drug holidays on fracture rates. Abstract 1006 presented at the ASBMR meeting 2018</w:t>
      </w:r>
    </w:p>
    <w:p w14:paraId="2056367F" w14:textId="7189C305" w:rsidR="00C90852" w:rsidRPr="00685573" w:rsidRDefault="00C90852" w:rsidP="00810093">
      <w:pPr>
        <w:pStyle w:val="ListParagraph"/>
        <w:numPr>
          <w:ilvl w:val="0"/>
          <w:numId w:val="27"/>
        </w:numPr>
        <w:spacing w:after="60" w:line="360" w:lineRule="auto"/>
        <w:ind w:left="1077" w:hanging="357"/>
        <w:jc w:val="both"/>
        <w:rPr>
          <w:rFonts w:asciiTheme="minorHAnsi" w:hAnsiTheme="minorHAnsi"/>
          <w:color w:val="auto"/>
          <w:sz w:val="24"/>
        </w:rPr>
      </w:pPr>
      <w:r w:rsidRPr="00685573">
        <w:rPr>
          <w:rStyle w:val="Emphasis"/>
          <w:rFonts w:asciiTheme="minorHAnsi" w:hAnsiTheme="minorHAnsi" w:cs="Arial"/>
          <w:bCs/>
          <w:i w:val="0"/>
          <w:iCs w:val="0"/>
          <w:color w:val="auto"/>
          <w:sz w:val="24"/>
          <w:shd w:val="clear" w:color="auto" w:fill="FFFFFF"/>
        </w:rPr>
        <w:t>Watts</w:t>
      </w:r>
      <w:r w:rsidRPr="00685573">
        <w:rPr>
          <w:rFonts w:asciiTheme="minorHAnsi" w:hAnsiTheme="minorHAnsi" w:cs="Arial"/>
          <w:color w:val="auto"/>
          <w:sz w:val="24"/>
          <w:shd w:val="clear" w:color="auto" w:fill="FFFFFF"/>
        </w:rPr>
        <w:t xml:space="preserve"> NB, Chines A, Olszynski WP, McKeever CD, McClung MR, X Zhao, A Grauer (2008). Fracture risk remains reduced one year after discontinuation of risedronate. Osteoporosis Int 19(3): 365-372 </w:t>
      </w:r>
    </w:p>
    <w:p w14:paraId="6AF24E34" w14:textId="7189C305" w:rsidR="00F71B18" w:rsidRPr="00685573" w:rsidRDefault="00F71B18" w:rsidP="00F71B18">
      <w:pPr>
        <w:spacing w:after="60" w:line="360" w:lineRule="auto"/>
        <w:jc w:val="both"/>
        <w:rPr>
          <w:sz w:val="24"/>
        </w:rPr>
      </w:pPr>
    </w:p>
    <w:p w14:paraId="4B625793" w14:textId="77777777" w:rsidR="00A45183" w:rsidRPr="00685573" w:rsidRDefault="00F71B18" w:rsidP="00A45183">
      <w:pPr>
        <w:rPr>
          <w:b/>
        </w:rPr>
      </w:pPr>
      <w:r w:rsidRPr="00685573">
        <w:rPr>
          <w:sz w:val="24"/>
        </w:rPr>
        <w:br w:type="page"/>
      </w:r>
      <w:r w:rsidR="00A45183" w:rsidRPr="00685573">
        <w:rPr>
          <w:b/>
        </w:rPr>
        <w:lastRenderedPageBreak/>
        <w:t>Table 1 Key findings of available RCT data</w:t>
      </w:r>
    </w:p>
    <w:tbl>
      <w:tblPr>
        <w:tblStyle w:val="PlainTable4"/>
        <w:tblW w:w="0" w:type="auto"/>
        <w:tblLook w:val="04A0" w:firstRow="1" w:lastRow="0" w:firstColumn="1" w:lastColumn="0" w:noHBand="0" w:noVBand="1"/>
      </w:tblPr>
      <w:tblGrid>
        <w:gridCol w:w="1516"/>
        <w:gridCol w:w="1360"/>
        <w:gridCol w:w="1377"/>
        <w:gridCol w:w="3038"/>
        <w:gridCol w:w="1735"/>
      </w:tblGrid>
      <w:tr w:rsidR="00A45183" w:rsidRPr="00685573" w14:paraId="4B2C5CFD" w14:textId="77777777" w:rsidTr="00A45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 w:type="dxa"/>
          </w:tcPr>
          <w:p w14:paraId="58F4F88C" w14:textId="77777777" w:rsidR="00A45183" w:rsidRPr="00685573" w:rsidRDefault="00A45183" w:rsidP="00EF4355">
            <w:r w:rsidRPr="00685573">
              <w:t>Medication</w:t>
            </w:r>
          </w:p>
        </w:tc>
        <w:tc>
          <w:tcPr>
            <w:tcW w:w="1360" w:type="dxa"/>
          </w:tcPr>
          <w:p w14:paraId="48EFEC53" w14:textId="77777777" w:rsidR="00A45183" w:rsidRPr="00685573" w:rsidRDefault="00A45183" w:rsidP="00EF4355">
            <w:pPr>
              <w:cnfStyle w:val="100000000000" w:firstRow="1" w:lastRow="0" w:firstColumn="0" w:lastColumn="0" w:oddVBand="0" w:evenVBand="0" w:oddHBand="0" w:evenHBand="0" w:firstRowFirstColumn="0" w:firstRowLastColumn="0" w:lastRowFirstColumn="0" w:lastRowLastColumn="0"/>
            </w:pPr>
            <w:r w:rsidRPr="00685573">
              <w:t>Study</w:t>
            </w:r>
          </w:p>
        </w:tc>
        <w:tc>
          <w:tcPr>
            <w:tcW w:w="1377" w:type="dxa"/>
          </w:tcPr>
          <w:p w14:paraId="374A0159" w14:textId="77777777" w:rsidR="00A45183" w:rsidRPr="00685573" w:rsidRDefault="00A45183" w:rsidP="00EF4355">
            <w:pPr>
              <w:cnfStyle w:val="100000000000" w:firstRow="1" w:lastRow="0" w:firstColumn="0" w:lastColumn="0" w:oddVBand="0" w:evenVBand="0" w:oddHBand="0" w:evenHBand="0" w:firstRowFirstColumn="0" w:firstRowLastColumn="0" w:lastRowFirstColumn="0" w:lastRowLastColumn="0"/>
            </w:pPr>
            <w:r w:rsidRPr="00685573">
              <w:t>Outcomes recorded</w:t>
            </w:r>
          </w:p>
        </w:tc>
        <w:tc>
          <w:tcPr>
            <w:tcW w:w="3038" w:type="dxa"/>
          </w:tcPr>
          <w:p w14:paraId="2D227AF7" w14:textId="77777777" w:rsidR="00A45183" w:rsidRPr="00685573" w:rsidRDefault="00A45183" w:rsidP="00EF4355">
            <w:pPr>
              <w:cnfStyle w:val="100000000000" w:firstRow="1" w:lastRow="0" w:firstColumn="0" w:lastColumn="0" w:oddVBand="0" w:evenVBand="0" w:oddHBand="0" w:evenHBand="0" w:firstRowFirstColumn="0" w:firstRowLastColumn="0" w:lastRowFirstColumn="0" w:lastRowLastColumn="0"/>
            </w:pPr>
            <w:r w:rsidRPr="00685573">
              <w:t>Key findings</w:t>
            </w:r>
          </w:p>
        </w:tc>
        <w:tc>
          <w:tcPr>
            <w:tcW w:w="1735" w:type="dxa"/>
          </w:tcPr>
          <w:p w14:paraId="1ED42216" w14:textId="77777777" w:rsidR="00A45183" w:rsidRPr="00685573" w:rsidRDefault="00A45183" w:rsidP="00EF4355">
            <w:pPr>
              <w:cnfStyle w:val="100000000000" w:firstRow="1" w:lastRow="0" w:firstColumn="0" w:lastColumn="0" w:oddVBand="0" w:evenVBand="0" w:oddHBand="0" w:evenHBand="0" w:firstRowFirstColumn="0" w:firstRowLastColumn="0" w:lastRowFirstColumn="0" w:lastRowLastColumn="0"/>
            </w:pPr>
            <w:r w:rsidRPr="00685573">
              <w:t>Reference</w:t>
            </w:r>
          </w:p>
        </w:tc>
      </w:tr>
      <w:tr w:rsidR="00A45183" w:rsidRPr="00685573" w14:paraId="2E49D5FD" w14:textId="77777777" w:rsidTr="00A45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 w:type="dxa"/>
          </w:tcPr>
          <w:p w14:paraId="7FF83C2F" w14:textId="77777777" w:rsidR="00A45183" w:rsidRPr="00685573" w:rsidRDefault="00A45183" w:rsidP="00EF4355">
            <w:r w:rsidRPr="00685573">
              <w:t>Alendronate</w:t>
            </w:r>
          </w:p>
        </w:tc>
        <w:tc>
          <w:tcPr>
            <w:tcW w:w="1360" w:type="dxa"/>
          </w:tcPr>
          <w:p w14:paraId="7129D4F3" w14:textId="77777777" w:rsidR="00A45183" w:rsidRPr="00685573" w:rsidRDefault="00A45183" w:rsidP="00EF4355">
            <w:pPr>
              <w:cnfStyle w:val="000000100000" w:firstRow="0" w:lastRow="0" w:firstColumn="0" w:lastColumn="0" w:oddVBand="0" w:evenVBand="0" w:oddHBand="1" w:evenHBand="0" w:firstRowFirstColumn="0" w:firstRowLastColumn="0" w:lastRowFirstColumn="0" w:lastRowLastColumn="0"/>
            </w:pPr>
            <w:r w:rsidRPr="00685573">
              <w:t>FLEX</w:t>
            </w:r>
          </w:p>
        </w:tc>
        <w:tc>
          <w:tcPr>
            <w:tcW w:w="1377" w:type="dxa"/>
          </w:tcPr>
          <w:p w14:paraId="6CDB7479" w14:textId="77777777" w:rsidR="00A45183" w:rsidRPr="00685573" w:rsidRDefault="00A45183" w:rsidP="00EF4355">
            <w:pPr>
              <w:cnfStyle w:val="000000100000" w:firstRow="0" w:lastRow="0" w:firstColumn="0" w:lastColumn="0" w:oddVBand="0" w:evenVBand="0" w:oddHBand="1" w:evenHBand="0" w:firstRowFirstColumn="0" w:firstRowLastColumn="0" w:lastRowFirstColumn="0" w:lastRowLastColumn="0"/>
            </w:pPr>
            <w:r w:rsidRPr="00685573">
              <w:t>BMD; fracture</w:t>
            </w:r>
          </w:p>
        </w:tc>
        <w:tc>
          <w:tcPr>
            <w:tcW w:w="3038" w:type="dxa"/>
          </w:tcPr>
          <w:p w14:paraId="3A102C16" w14:textId="77777777" w:rsidR="00A45183" w:rsidRPr="00685573" w:rsidRDefault="00A45183" w:rsidP="00EF4355">
            <w:pPr>
              <w:cnfStyle w:val="000000100000" w:firstRow="0" w:lastRow="0" w:firstColumn="0" w:lastColumn="0" w:oddVBand="0" w:evenVBand="0" w:oddHBand="1" w:evenHBand="0" w:firstRowFirstColumn="0" w:firstRowLastColumn="0" w:lastRowFirstColumn="0" w:lastRowLastColumn="0"/>
            </w:pPr>
            <w:r w:rsidRPr="00685573">
              <w:t>2-2.5% difference in BMD in groups receiving 5 or 8 years therapy; clinical vertebral fractures higher in 5 year group</w:t>
            </w:r>
          </w:p>
        </w:tc>
        <w:tc>
          <w:tcPr>
            <w:tcW w:w="1735" w:type="dxa"/>
          </w:tcPr>
          <w:p w14:paraId="197811A6" w14:textId="77777777" w:rsidR="00A45183" w:rsidRPr="00685573" w:rsidRDefault="00A45183" w:rsidP="00EF4355">
            <w:pPr>
              <w:cnfStyle w:val="000000100000" w:firstRow="0" w:lastRow="0" w:firstColumn="0" w:lastColumn="0" w:oddVBand="0" w:evenVBand="0" w:oddHBand="1" w:evenHBand="0" w:firstRowFirstColumn="0" w:firstRowLastColumn="0" w:lastRowFirstColumn="0" w:lastRowLastColumn="0"/>
            </w:pPr>
            <w:r w:rsidRPr="00685573">
              <w:t>37,38</w:t>
            </w:r>
          </w:p>
        </w:tc>
      </w:tr>
      <w:tr w:rsidR="00A45183" w:rsidRPr="00685573" w14:paraId="3581C77D" w14:textId="77777777" w:rsidTr="00A45183">
        <w:tc>
          <w:tcPr>
            <w:cnfStyle w:val="001000000000" w:firstRow="0" w:lastRow="0" w:firstColumn="1" w:lastColumn="0" w:oddVBand="0" w:evenVBand="0" w:oddHBand="0" w:evenHBand="0" w:firstRowFirstColumn="0" w:firstRowLastColumn="0" w:lastRowFirstColumn="0" w:lastRowLastColumn="0"/>
            <w:tcW w:w="1516" w:type="dxa"/>
          </w:tcPr>
          <w:p w14:paraId="61A305BA" w14:textId="77777777" w:rsidR="00A45183" w:rsidRPr="00685573" w:rsidRDefault="00A45183" w:rsidP="00EF4355">
            <w:r w:rsidRPr="00685573">
              <w:t>Risedronate</w:t>
            </w:r>
          </w:p>
        </w:tc>
        <w:tc>
          <w:tcPr>
            <w:tcW w:w="1360" w:type="dxa"/>
          </w:tcPr>
          <w:p w14:paraId="461FA0F6" w14:textId="77777777" w:rsidR="00A45183" w:rsidRPr="00685573" w:rsidRDefault="00A45183" w:rsidP="00EF4355">
            <w:pPr>
              <w:cnfStyle w:val="000000000000" w:firstRow="0" w:lastRow="0" w:firstColumn="0" w:lastColumn="0" w:oddVBand="0" w:evenVBand="0" w:oddHBand="0" w:evenHBand="0" w:firstRowFirstColumn="0" w:firstRowLastColumn="0" w:lastRowFirstColumn="0" w:lastRowLastColumn="0"/>
            </w:pPr>
            <w:r w:rsidRPr="00685573">
              <w:t>VERT</w:t>
            </w:r>
          </w:p>
        </w:tc>
        <w:tc>
          <w:tcPr>
            <w:tcW w:w="1377" w:type="dxa"/>
          </w:tcPr>
          <w:p w14:paraId="466EE8E4" w14:textId="77777777" w:rsidR="00A45183" w:rsidRPr="00685573" w:rsidRDefault="00A45183" w:rsidP="00EF4355">
            <w:pPr>
              <w:cnfStyle w:val="000000000000" w:firstRow="0" w:lastRow="0" w:firstColumn="0" w:lastColumn="0" w:oddVBand="0" w:evenVBand="0" w:oddHBand="0" w:evenHBand="0" w:firstRowFirstColumn="0" w:firstRowLastColumn="0" w:lastRowFirstColumn="0" w:lastRowLastColumn="0"/>
            </w:pPr>
            <w:r w:rsidRPr="00685573">
              <w:t>BTM; BMD</w:t>
            </w:r>
          </w:p>
        </w:tc>
        <w:tc>
          <w:tcPr>
            <w:tcW w:w="3038" w:type="dxa"/>
          </w:tcPr>
          <w:p w14:paraId="27E93F68" w14:textId="77777777" w:rsidR="00A45183" w:rsidRPr="00685573" w:rsidRDefault="00A45183" w:rsidP="00EF4355">
            <w:pPr>
              <w:cnfStyle w:val="000000000000" w:firstRow="0" w:lastRow="0" w:firstColumn="0" w:lastColumn="0" w:oddVBand="0" w:evenVBand="0" w:oddHBand="0" w:evenHBand="0" w:firstRowFirstColumn="0" w:firstRowLastColumn="0" w:lastRowFirstColumn="0" w:lastRowLastColumn="0"/>
            </w:pPr>
            <w:r w:rsidRPr="00685573">
              <w:t>Difference between 2 and 7 years therapy</w:t>
            </w:r>
          </w:p>
        </w:tc>
        <w:tc>
          <w:tcPr>
            <w:tcW w:w="1735" w:type="dxa"/>
          </w:tcPr>
          <w:p w14:paraId="3A3244AF" w14:textId="77777777" w:rsidR="00A45183" w:rsidRPr="00685573" w:rsidRDefault="00A45183" w:rsidP="00EF4355">
            <w:pPr>
              <w:cnfStyle w:val="000000000000" w:firstRow="0" w:lastRow="0" w:firstColumn="0" w:lastColumn="0" w:oddVBand="0" w:evenVBand="0" w:oddHBand="0" w:evenHBand="0" w:firstRowFirstColumn="0" w:firstRowLastColumn="0" w:lastRowFirstColumn="0" w:lastRowLastColumn="0"/>
            </w:pPr>
            <w:r w:rsidRPr="00685573">
              <w:t>24</w:t>
            </w:r>
          </w:p>
        </w:tc>
      </w:tr>
      <w:tr w:rsidR="00A45183" w:rsidRPr="00685573" w14:paraId="52F2CBA4" w14:textId="77777777" w:rsidTr="00A45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 w:type="dxa"/>
          </w:tcPr>
          <w:p w14:paraId="4ECEDF0D" w14:textId="77777777" w:rsidR="00A45183" w:rsidRPr="00685573" w:rsidRDefault="00A45183" w:rsidP="00EF4355">
            <w:r w:rsidRPr="00685573">
              <w:t>Risedronate</w:t>
            </w:r>
          </w:p>
        </w:tc>
        <w:tc>
          <w:tcPr>
            <w:tcW w:w="1360" w:type="dxa"/>
          </w:tcPr>
          <w:p w14:paraId="714FCAFD" w14:textId="77777777" w:rsidR="00A45183" w:rsidRPr="00685573" w:rsidRDefault="00A45183" w:rsidP="00EF4355">
            <w:pPr>
              <w:cnfStyle w:val="000000100000" w:firstRow="0" w:lastRow="0" w:firstColumn="0" w:lastColumn="0" w:oddVBand="0" w:evenVBand="0" w:oddHBand="1" w:evenHBand="0" w:firstRowFirstColumn="0" w:firstRowLastColumn="0" w:lastRowFirstColumn="0" w:lastRowLastColumn="0"/>
            </w:pPr>
            <w:r w:rsidRPr="00685573">
              <w:t>VERT-NA</w:t>
            </w:r>
          </w:p>
        </w:tc>
        <w:tc>
          <w:tcPr>
            <w:tcW w:w="1377" w:type="dxa"/>
          </w:tcPr>
          <w:p w14:paraId="1D2B40E0" w14:textId="77777777" w:rsidR="00A45183" w:rsidRPr="00685573" w:rsidRDefault="00A45183" w:rsidP="00EF4355">
            <w:pPr>
              <w:cnfStyle w:val="000000100000" w:firstRow="0" w:lastRow="0" w:firstColumn="0" w:lastColumn="0" w:oddVBand="0" w:evenVBand="0" w:oddHBand="1" w:evenHBand="0" w:firstRowFirstColumn="0" w:firstRowLastColumn="0" w:lastRowFirstColumn="0" w:lastRowLastColumn="0"/>
            </w:pPr>
            <w:r w:rsidRPr="00685573">
              <w:t>BTM: BMD; fracture</w:t>
            </w:r>
          </w:p>
        </w:tc>
        <w:tc>
          <w:tcPr>
            <w:tcW w:w="3038" w:type="dxa"/>
          </w:tcPr>
          <w:p w14:paraId="1F6499AF" w14:textId="77777777" w:rsidR="00A45183" w:rsidRPr="00685573" w:rsidRDefault="00A45183" w:rsidP="00EF4355">
            <w:pPr>
              <w:cnfStyle w:val="000000100000" w:firstRow="0" w:lastRow="0" w:firstColumn="0" w:lastColumn="0" w:oddVBand="0" w:evenVBand="0" w:oddHBand="1" w:evenHBand="0" w:firstRowFirstColumn="0" w:firstRowLastColumn="0" w:lastRowFirstColumn="0" w:lastRowLastColumn="0"/>
            </w:pPr>
            <w:r w:rsidRPr="00685573">
              <w:rPr>
                <w:rFonts w:ascii="Arial" w:hAnsi="Arial" w:cs="Arial"/>
                <w:color w:val="000000"/>
                <w:sz w:val="20"/>
                <w:szCs w:val="20"/>
                <w:shd w:val="clear" w:color="auto" w:fill="FFFFFF"/>
              </w:rPr>
              <w:t>One year after discontinuation of 3 year's treatment with risedronate, BMD decreased at the lumbar spine and hip and BTM returned to control group levels. Risk of new morphometric vertebral fractures remained lower in previous risedronate patients vs previous control patients.</w:t>
            </w:r>
          </w:p>
        </w:tc>
        <w:tc>
          <w:tcPr>
            <w:tcW w:w="1735" w:type="dxa"/>
          </w:tcPr>
          <w:p w14:paraId="71688CE9" w14:textId="77777777" w:rsidR="00A45183" w:rsidRPr="00685573" w:rsidRDefault="00A45183" w:rsidP="00EF4355">
            <w:pPr>
              <w:cnfStyle w:val="000000100000" w:firstRow="0" w:lastRow="0" w:firstColumn="0" w:lastColumn="0" w:oddVBand="0" w:evenVBand="0" w:oddHBand="1" w:evenHBand="0" w:firstRowFirstColumn="0" w:firstRowLastColumn="0" w:lastRowFirstColumn="0" w:lastRowLastColumn="0"/>
            </w:pPr>
            <w:r w:rsidRPr="00685573">
              <w:t>79</w:t>
            </w:r>
          </w:p>
        </w:tc>
      </w:tr>
      <w:tr w:rsidR="00A45183" w:rsidRPr="00685573" w14:paraId="4F6C103A" w14:textId="77777777" w:rsidTr="00A45183">
        <w:tc>
          <w:tcPr>
            <w:cnfStyle w:val="001000000000" w:firstRow="0" w:lastRow="0" w:firstColumn="1" w:lastColumn="0" w:oddVBand="0" w:evenVBand="0" w:oddHBand="0" w:evenHBand="0" w:firstRowFirstColumn="0" w:firstRowLastColumn="0" w:lastRowFirstColumn="0" w:lastRowLastColumn="0"/>
            <w:tcW w:w="1516" w:type="dxa"/>
          </w:tcPr>
          <w:p w14:paraId="477B3C4D" w14:textId="77777777" w:rsidR="00A45183" w:rsidRPr="00685573" w:rsidRDefault="00A45183" w:rsidP="00EF4355">
            <w:r w:rsidRPr="00685573">
              <w:t>Zoledronate</w:t>
            </w:r>
          </w:p>
        </w:tc>
        <w:tc>
          <w:tcPr>
            <w:tcW w:w="1360" w:type="dxa"/>
          </w:tcPr>
          <w:p w14:paraId="5DC53B20" w14:textId="77777777" w:rsidR="00A45183" w:rsidRPr="00685573" w:rsidRDefault="00A45183" w:rsidP="00EF4355">
            <w:pPr>
              <w:cnfStyle w:val="000000000000" w:firstRow="0" w:lastRow="0" w:firstColumn="0" w:lastColumn="0" w:oddVBand="0" w:evenVBand="0" w:oddHBand="0" w:evenHBand="0" w:firstRowFirstColumn="0" w:firstRowLastColumn="0" w:lastRowFirstColumn="0" w:lastRowLastColumn="0"/>
            </w:pPr>
            <w:r w:rsidRPr="00685573">
              <w:t xml:space="preserve">HORIZON (6 </w:t>
            </w:r>
            <w:r w:rsidRPr="00685573">
              <w:rPr>
                <w:i/>
              </w:rPr>
              <w:t>vs</w:t>
            </w:r>
            <w:r w:rsidRPr="00685573">
              <w:t xml:space="preserve"> 3 years therapy)</w:t>
            </w:r>
          </w:p>
        </w:tc>
        <w:tc>
          <w:tcPr>
            <w:tcW w:w="1377" w:type="dxa"/>
          </w:tcPr>
          <w:p w14:paraId="727A1CB4" w14:textId="77777777" w:rsidR="00A45183" w:rsidRPr="00685573" w:rsidRDefault="00A45183" w:rsidP="00EF4355">
            <w:pPr>
              <w:cnfStyle w:val="000000000000" w:firstRow="0" w:lastRow="0" w:firstColumn="0" w:lastColumn="0" w:oddVBand="0" w:evenVBand="0" w:oddHBand="0" w:evenHBand="0" w:firstRowFirstColumn="0" w:firstRowLastColumn="0" w:lastRowFirstColumn="0" w:lastRowLastColumn="0"/>
            </w:pPr>
            <w:r w:rsidRPr="00685573">
              <w:t>BTM; BMD; fracture</w:t>
            </w:r>
          </w:p>
        </w:tc>
        <w:tc>
          <w:tcPr>
            <w:tcW w:w="3038" w:type="dxa"/>
          </w:tcPr>
          <w:p w14:paraId="51AC1CAD" w14:textId="77777777" w:rsidR="00A45183" w:rsidRPr="00685573" w:rsidRDefault="00A45183" w:rsidP="00EF4355">
            <w:pPr>
              <w:cnfStyle w:val="000000000000" w:firstRow="0" w:lastRow="0" w:firstColumn="0" w:lastColumn="0" w:oddVBand="0" w:evenVBand="0" w:oddHBand="0" w:evenHBand="0" w:firstRowFirstColumn="0" w:firstRowLastColumn="0" w:lastRowFirstColumn="0" w:lastRowLastColumn="0"/>
            </w:pPr>
            <w:r w:rsidRPr="00685573">
              <w:t xml:space="preserve">In participants receiving 3 years </w:t>
            </w:r>
            <w:r w:rsidRPr="00685573">
              <w:rPr>
                <w:i/>
              </w:rPr>
              <w:t>vs</w:t>
            </w:r>
            <w:r w:rsidRPr="00685573">
              <w:t xml:space="preserve"> 6 years therapy, differences seen in BTM (start to return to normal but remain below baseline in 3 year group); FN BMD trended downwards in 3 year group; morphometric vertebral fracture higher in 3 year group</w:t>
            </w:r>
          </w:p>
        </w:tc>
        <w:tc>
          <w:tcPr>
            <w:tcW w:w="1735" w:type="dxa"/>
          </w:tcPr>
          <w:p w14:paraId="52D4F948" w14:textId="77777777" w:rsidR="00A45183" w:rsidRPr="00685573" w:rsidRDefault="00A45183" w:rsidP="00EF4355">
            <w:pPr>
              <w:cnfStyle w:val="000000000000" w:firstRow="0" w:lastRow="0" w:firstColumn="0" w:lastColumn="0" w:oddVBand="0" w:evenVBand="0" w:oddHBand="0" w:evenHBand="0" w:firstRowFirstColumn="0" w:firstRowLastColumn="0" w:lastRowFirstColumn="0" w:lastRowLastColumn="0"/>
            </w:pPr>
            <w:r w:rsidRPr="00685573">
              <w:t>14</w:t>
            </w:r>
          </w:p>
        </w:tc>
      </w:tr>
      <w:tr w:rsidR="00A45183" w:rsidRPr="00685573" w14:paraId="31AFD727" w14:textId="77777777" w:rsidTr="00A45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 w:type="dxa"/>
          </w:tcPr>
          <w:p w14:paraId="7FB76F70" w14:textId="77777777" w:rsidR="00A45183" w:rsidRPr="00685573" w:rsidRDefault="00A45183" w:rsidP="00EF4355">
            <w:r w:rsidRPr="00685573">
              <w:t>Zoledronate</w:t>
            </w:r>
          </w:p>
        </w:tc>
        <w:tc>
          <w:tcPr>
            <w:tcW w:w="1360" w:type="dxa"/>
          </w:tcPr>
          <w:p w14:paraId="3B3B0AE2" w14:textId="77777777" w:rsidR="00A45183" w:rsidRPr="00685573" w:rsidRDefault="00A45183" w:rsidP="00EF4355">
            <w:pPr>
              <w:cnfStyle w:val="000000100000" w:firstRow="0" w:lastRow="0" w:firstColumn="0" w:lastColumn="0" w:oddVBand="0" w:evenVBand="0" w:oddHBand="1" w:evenHBand="0" w:firstRowFirstColumn="0" w:firstRowLastColumn="0" w:lastRowFirstColumn="0" w:lastRowLastColumn="0"/>
            </w:pPr>
            <w:r w:rsidRPr="00685573">
              <w:t xml:space="preserve">HORIZON (9 </w:t>
            </w:r>
            <w:r w:rsidRPr="00685573">
              <w:rPr>
                <w:i/>
              </w:rPr>
              <w:t>vs</w:t>
            </w:r>
            <w:r w:rsidRPr="00685573">
              <w:t xml:space="preserve"> 6 year therapy)</w:t>
            </w:r>
          </w:p>
        </w:tc>
        <w:tc>
          <w:tcPr>
            <w:tcW w:w="1377" w:type="dxa"/>
          </w:tcPr>
          <w:p w14:paraId="631D48DB" w14:textId="77777777" w:rsidR="00A45183" w:rsidRPr="00685573" w:rsidRDefault="00A45183" w:rsidP="00EF4355">
            <w:pPr>
              <w:cnfStyle w:val="000000100000" w:firstRow="0" w:lastRow="0" w:firstColumn="0" w:lastColumn="0" w:oddVBand="0" w:evenVBand="0" w:oddHBand="1" w:evenHBand="0" w:firstRowFirstColumn="0" w:firstRowLastColumn="0" w:lastRowFirstColumn="0" w:lastRowLastColumn="0"/>
            </w:pPr>
            <w:r w:rsidRPr="00685573">
              <w:t>BTM; BMD; fracture</w:t>
            </w:r>
          </w:p>
        </w:tc>
        <w:tc>
          <w:tcPr>
            <w:tcW w:w="3038" w:type="dxa"/>
          </w:tcPr>
          <w:p w14:paraId="7580E1B5" w14:textId="77777777" w:rsidR="00A45183" w:rsidRPr="00685573" w:rsidRDefault="00A45183" w:rsidP="00EF4355">
            <w:pPr>
              <w:cnfStyle w:val="000000100000" w:firstRow="0" w:lastRow="0" w:firstColumn="0" w:lastColumn="0" w:oddVBand="0" w:evenVBand="0" w:oddHBand="1" w:evenHBand="0" w:firstRowFirstColumn="0" w:firstRowLastColumn="0" w:lastRowFirstColumn="0" w:lastRowLastColumn="0"/>
            </w:pPr>
            <w:r w:rsidRPr="00685573">
              <w:t>Small non-significant differences in BTM, BMD and fracture between the two groups</w:t>
            </w:r>
          </w:p>
        </w:tc>
        <w:tc>
          <w:tcPr>
            <w:tcW w:w="1735" w:type="dxa"/>
          </w:tcPr>
          <w:p w14:paraId="6C5FC906" w14:textId="77777777" w:rsidR="00A45183" w:rsidRPr="00685573" w:rsidRDefault="00A45183" w:rsidP="00EF4355">
            <w:pPr>
              <w:cnfStyle w:val="000000100000" w:firstRow="0" w:lastRow="0" w:firstColumn="0" w:lastColumn="0" w:oddVBand="0" w:evenVBand="0" w:oddHBand="1" w:evenHBand="0" w:firstRowFirstColumn="0" w:firstRowLastColumn="0" w:lastRowFirstColumn="0" w:lastRowLastColumn="0"/>
            </w:pPr>
            <w:r w:rsidRPr="00685573">
              <w:t>16</w:t>
            </w:r>
          </w:p>
        </w:tc>
      </w:tr>
      <w:tr w:rsidR="00A45183" w:rsidRPr="00685573" w14:paraId="3DF4A7E9" w14:textId="77777777" w:rsidTr="00A45183">
        <w:tc>
          <w:tcPr>
            <w:cnfStyle w:val="001000000000" w:firstRow="0" w:lastRow="0" w:firstColumn="1" w:lastColumn="0" w:oddVBand="0" w:evenVBand="0" w:oddHBand="0" w:evenHBand="0" w:firstRowFirstColumn="0" w:firstRowLastColumn="0" w:lastRowFirstColumn="0" w:lastRowLastColumn="0"/>
            <w:tcW w:w="1516" w:type="dxa"/>
          </w:tcPr>
          <w:p w14:paraId="41DDC344" w14:textId="77777777" w:rsidR="00A45183" w:rsidRPr="00685573" w:rsidRDefault="00A45183" w:rsidP="00EF4355">
            <w:r w:rsidRPr="00685573">
              <w:t>Ibandronate</w:t>
            </w:r>
          </w:p>
        </w:tc>
        <w:tc>
          <w:tcPr>
            <w:tcW w:w="1360" w:type="dxa"/>
          </w:tcPr>
          <w:p w14:paraId="7398E835" w14:textId="77777777" w:rsidR="00A45183" w:rsidRPr="00685573" w:rsidRDefault="00A45183" w:rsidP="00EF4355">
            <w:pPr>
              <w:cnfStyle w:val="000000000000" w:firstRow="0" w:lastRow="0" w:firstColumn="0" w:lastColumn="0" w:oddVBand="0" w:evenVBand="0" w:oddHBand="0" w:evenHBand="0" w:firstRowFirstColumn="0" w:firstRowLastColumn="0" w:lastRowFirstColumn="0" w:lastRowLastColumn="0"/>
            </w:pPr>
          </w:p>
        </w:tc>
        <w:tc>
          <w:tcPr>
            <w:tcW w:w="1377" w:type="dxa"/>
          </w:tcPr>
          <w:p w14:paraId="4C1137A8" w14:textId="77777777" w:rsidR="00A45183" w:rsidRPr="00685573" w:rsidRDefault="00A45183" w:rsidP="00EF4355">
            <w:pPr>
              <w:cnfStyle w:val="000000000000" w:firstRow="0" w:lastRow="0" w:firstColumn="0" w:lastColumn="0" w:oddVBand="0" w:evenVBand="0" w:oddHBand="0" w:evenHBand="0" w:firstRowFirstColumn="0" w:firstRowLastColumn="0" w:lastRowFirstColumn="0" w:lastRowLastColumn="0"/>
            </w:pPr>
            <w:r w:rsidRPr="00685573">
              <w:t>BTM; BMD</w:t>
            </w:r>
          </w:p>
        </w:tc>
        <w:tc>
          <w:tcPr>
            <w:tcW w:w="3038" w:type="dxa"/>
          </w:tcPr>
          <w:p w14:paraId="4B91125B" w14:textId="77777777" w:rsidR="00A45183" w:rsidRPr="00685573" w:rsidRDefault="00A45183" w:rsidP="00EF4355">
            <w:pPr>
              <w:cnfStyle w:val="000000000000" w:firstRow="0" w:lastRow="0" w:firstColumn="0" w:lastColumn="0" w:oddVBand="0" w:evenVBand="0" w:oddHBand="0" w:evenHBand="0" w:firstRowFirstColumn="0" w:firstRowLastColumn="0" w:lastRowFirstColumn="0" w:lastRowLastColumn="0"/>
            </w:pPr>
            <w:r w:rsidRPr="00685573">
              <w:t>Discontinuation of 3 BiPs (Alendronate, risedronate, ibandronate) all resulted in reduction in hip BMD and rise in BTM</w:t>
            </w:r>
          </w:p>
        </w:tc>
        <w:tc>
          <w:tcPr>
            <w:tcW w:w="1735" w:type="dxa"/>
          </w:tcPr>
          <w:p w14:paraId="1779FD3C" w14:textId="77777777" w:rsidR="00A45183" w:rsidRPr="00685573" w:rsidRDefault="00A45183" w:rsidP="00EF4355">
            <w:pPr>
              <w:cnfStyle w:val="000000000000" w:firstRow="0" w:lastRow="0" w:firstColumn="0" w:lastColumn="0" w:oddVBand="0" w:evenVBand="0" w:oddHBand="0" w:evenHBand="0" w:firstRowFirstColumn="0" w:firstRowLastColumn="0" w:lastRowFirstColumn="0" w:lastRowLastColumn="0"/>
            </w:pPr>
            <w:r w:rsidRPr="00685573">
              <w:t>51</w:t>
            </w:r>
          </w:p>
        </w:tc>
      </w:tr>
      <w:tr w:rsidR="00A45183" w:rsidRPr="00685573" w14:paraId="56C32F28" w14:textId="77777777" w:rsidTr="00A45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 w:type="dxa"/>
          </w:tcPr>
          <w:p w14:paraId="6DDA6990" w14:textId="77777777" w:rsidR="00A45183" w:rsidRPr="00685573" w:rsidRDefault="00A45183" w:rsidP="00EF4355">
            <w:r w:rsidRPr="00685573">
              <w:t>Denosumab</w:t>
            </w:r>
          </w:p>
        </w:tc>
        <w:tc>
          <w:tcPr>
            <w:tcW w:w="1360" w:type="dxa"/>
          </w:tcPr>
          <w:p w14:paraId="6F10A3EF" w14:textId="77777777" w:rsidR="00A45183" w:rsidRPr="00685573" w:rsidRDefault="00A45183" w:rsidP="00EF4355">
            <w:pPr>
              <w:cnfStyle w:val="000000100000" w:firstRow="0" w:lastRow="0" w:firstColumn="0" w:lastColumn="0" w:oddVBand="0" w:evenVBand="0" w:oddHBand="1" w:evenHBand="0" w:firstRowFirstColumn="0" w:firstRowLastColumn="0" w:lastRowFirstColumn="0" w:lastRowLastColumn="0"/>
            </w:pPr>
            <w:r w:rsidRPr="00685573">
              <w:t>FREEDOM</w:t>
            </w:r>
          </w:p>
        </w:tc>
        <w:tc>
          <w:tcPr>
            <w:tcW w:w="1377" w:type="dxa"/>
          </w:tcPr>
          <w:p w14:paraId="6C6DF3F2" w14:textId="77777777" w:rsidR="00A45183" w:rsidRPr="00685573" w:rsidRDefault="00A45183" w:rsidP="00EF4355">
            <w:pPr>
              <w:cnfStyle w:val="000000100000" w:firstRow="0" w:lastRow="0" w:firstColumn="0" w:lastColumn="0" w:oddVBand="0" w:evenVBand="0" w:oddHBand="1" w:evenHBand="0" w:firstRowFirstColumn="0" w:firstRowLastColumn="0" w:lastRowFirstColumn="0" w:lastRowLastColumn="0"/>
            </w:pPr>
            <w:r w:rsidRPr="00685573">
              <w:t>BMD; vertebral fracture</w:t>
            </w:r>
          </w:p>
        </w:tc>
        <w:tc>
          <w:tcPr>
            <w:tcW w:w="3038" w:type="dxa"/>
          </w:tcPr>
          <w:p w14:paraId="513468F3" w14:textId="77777777" w:rsidR="00A45183" w:rsidRPr="00685573" w:rsidRDefault="00A45183" w:rsidP="00EF4355">
            <w:pPr>
              <w:cnfStyle w:val="000000100000" w:firstRow="0" w:lastRow="0" w:firstColumn="0" w:lastColumn="0" w:oddVBand="0" w:evenVBand="0" w:oddHBand="1" w:evenHBand="0" w:firstRowFirstColumn="0" w:firstRowLastColumn="0" w:lastRowFirstColumn="0" w:lastRowLastColumn="0"/>
            </w:pPr>
            <w:r w:rsidRPr="00685573">
              <w:t>10 year treatment associated with lower vertebral and non-vertebral fracture rates than virtual placebo cohort; if not followed by BiP therapy, denosumab withdrawal associated with bone loss and vertebral fracture</w:t>
            </w:r>
          </w:p>
        </w:tc>
        <w:tc>
          <w:tcPr>
            <w:tcW w:w="1735" w:type="dxa"/>
          </w:tcPr>
          <w:p w14:paraId="62AB0A9E" w14:textId="77777777" w:rsidR="00A45183" w:rsidRPr="00685573" w:rsidRDefault="00A45183" w:rsidP="00EF4355">
            <w:pPr>
              <w:cnfStyle w:val="000000100000" w:firstRow="0" w:lastRow="0" w:firstColumn="0" w:lastColumn="0" w:oddVBand="0" w:evenVBand="0" w:oddHBand="1" w:evenHBand="0" w:firstRowFirstColumn="0" w:firstRowLastColumn="0" w:lastRowFirstColumn="0" w:lastRowLastColumn="0"/>
            </w:pPr>
            <w:r w:rsidRPr="00685573">
              <w:t>39-46</w:t>
            </w:r>
          </w:p>
        </w:tc>
      </w:tr>
    </w:tbl>
    <w:p w14:paraId="18F4F09E" w14:textId="77777777" w:rsidR="00A45183" w:rsidRPr="00685573" w:rsidRDefault="00A45183" w:rsidP="00A45183"/>
    <w:p w14:paraId="5E0871CF" w14:textId="77777777" w:rsidR="00A45183" w:rsidRPr="00685573" w:rsidRDefault="00A45183" w:rsidP="00A45183"/>
    <w:p w14:paraId="0502FAA7" w14:textId="77777777" w:rsidR="00A45183" w:rsidRPr="00685573" w:rsidRDefault="00A45183" w:rsidP="00A45183">
      <w:r w:rsidRPr="00685573">
        <w:t>BTM bone turnover marker</w:t>
      </w:r>
    </w:p>
    <w:p w14:paraId="5E569416" w14:textId="77777777" w:rsidR="00A45183" w:rsidRPr="00685573" w:rsidRDefault="00A45183" w:rsidP="00A45183">
      <w:r w:rsidRPr="00685573">
        <w:t>BMD bone mineral density</w:t>
      </w:r>
    </w:p>
    <w:p w14:paraId="3A7BEB68" w14:textId="77777777" w:rsidR="00A45183" w:rsidRPr="00685573" w:rsidRDefault="00A45183" w:rsidP="00A45183">
      <w:r w:rsidRPr="00685573">
        <w:t>BiP bisphosphonate</w:t>
      </w:r>
    </w:p>
    <w:p w14:paraId="677315D0" w14:textId="77777777" w:rsidR="00A45183" w:rsidRPr="00685573" w:rsidRDefault="00A45183" w:rsidP="00A45183">
      <w:pPr>
        <w:rPr>
          <w:b/>
        </w:rPr>
      </w:pPr>
      <w:r w:rsidRPr="00685573">
        <w:rPr>
          <w:b/>
        </w:rPr>
        <w:lastRenderedPageBreak/>
        <w:t>Table 2 Summary of risk of atypical femoral fracture in BiP users, relative to placebo from an analysis by Black et al [56]</w:t>
      </w:r>
    </w:p>
    <w:p w14:paraId="4518C905" w14:textId="77777777" w:rsidR="00A45183" w:rsidRPr="00685573" w:rsidRDefault="00A45183" w:rsidP="00A45183">
      <w:pPr>
        <w:rPr>
          <w:b/>
        </w:rPr>
      </w:pPr>
    </w:p>
    <w:tbl>
      <w:tblPr>
        <w:tblStyle w:val="PlainTable4"/>
        <w:tblW w:w="0" w:type="auto"/>
        <w:tblLook w:val="04A0" w:firstRow="1" w:lastRow="0" w:firstColumn="1" w:lastColumn="0" w:noHBand="0" w:noVBand="1"/>
      </w:tblPr>
      <w:tblGrid>
        <w:gridCol w:w="3117"/>
        <w:gridCol w:w="2979"/>
        <w:gridCol w:w="2930"/>
      </w:tblGrid>
      <w:tr w:rsidR="00A45183" w:rsidRPr="00685573" w14:paraId="130C466B" w14:textId="77777777" w:rsidTr="00EF43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62E49357" w14:textId="77777777" w:rsidR="00A45183" w:rsidRPr="00685573" w:rsidRDefault="00A45183" w:rsidP="00EF4355">
            <w:r w:rsidRPr="00685573">
              <w:t>Study population (drug used vs placebo)</w:t>
            </w:r>
          </w:p>
        </w:tc>
        <w:tc>
          <w:tcPr>
            <w:tcW w:w="4649" w:type="dxa"/>
          </w:tcPr>
          <w:p w14:paraId="75F5583A" w14:textId="77777777" w:rsidR="00A45183" w:rsidRPr="00685573" w:rsidRDefault="00A45183" w:rsidP="00EF4355">
            <w:pPr>
              <w:jc w:val="center"/>
              <w:cnfStyle w:val="100000000000" w:firstRow="1" w:lastRow="0" w:firstColumn="0" w:lastColumn="0" w:oddVBand="0" w:evenVBand="0" w:oddHBand="0" w:evenHBand="0" w:firstRowFirstColumn="0" w:firstRowLastColumn="0" w:lastRowFirstColumn="0" w:lastRowLastColumn="0"/>
            </w:pPr>
            <w:r w:rsidRPr="00685573">
              <w:t>Study</w:t>
            </w:r>
          </w:p>
        </w:tc>
        <w:tc>
          <w:tcPr>
            <w:tcW w:w="4650" w:type="dxa"/>
          </w:tcPr>
          <w:p w14:paraId="6046B14A" w14:textId="77777777" w:rsidR="00A45183" w:rsidRPr="00685573" w:rsidRDefault="00A45183" w:rsidP="00EF4355">
            <w:pPr>
              <w:jc w:val="center"/>
              <w:cnfStyle w:val="100000000000" w:firstRow="1" w:lastRow="0" w:firstColumn="0" w:lastColumn="0" w:oddVBand="0" w:evenVBand="0" w:oddHBand="0" w:evenHBand="0" w:firstRowFirstColumn="0" w:firstRowLastColumn="0" w:lastRowFirstColumn="0" w:lastRowLastColumn="0"/>
            </w:pPr>
            <w:r w:rsidRPr="00685573">
              <w:t>Relative hazard atypical fracture in active treated group, with 95% CI</w:t>
            </w:r>
          </w:p>
        </w:tc>
      </w:tr>
      <w:tr w:rsidR="00A45183" w:rsidRPr="00685573" w14:paraId="06A9B88A" w14:textId="77777777" w:rsidTr="00EF4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58F624E0" w14:textId="77777777" w:rsidR="00A45183" w:rsidRPr="00685573" w:rsidRDefault="00A45183" w:rsidP="00EF4355">
            <w:r w:rsidRPr="00685573">
              <w:t>Alendronate</w:t>
            </w:r>
          </w:p>
        </w:tc>
        <w:tc>
          <w:tcPr>
            <w:tcW w:w="4649" w:type="dxa"/>
          </w:tcPr>
          <w:p w14:paraId="75F19371" w14:textId="77777777" w:rsidR="00A45183" w:rsidRPr="00685573" w:rsidRDefault="00A45183" w:rsidP="00EF4355">
            <w:pPr>
              <w:jc w:val="center"/>
              <w:cnfStyle w:val="000000100000" w:firstRow="0" w:lastRow="0" w:firstColumn="0" w:lastColumn="0" w:oddVBand="0" w:evenVBand="0" w:oddHBand="1" w:evenHBand="0" w:firstRowFirstColumn="0" w:firstRowLastColumn="0" w:lastRowFirstColumn="0" w:lastRowLastColumn="0"/>
            </w:pPr>
            <w:r w:rsidRPr="00685573">
              <w:t>FIT</w:t>
            </w:r>
          </w:p>
        </w:tc>
        <w:tc>
          <w:tcPr>
            <w:tcW w:w="4650" w:type="dxa"/>
          </w:tcPr>
          <w:p w14:paraId="4FB24FBC" w14:textId="77777777" w:rsidR="00A45183" w:rsidRPr="00685573" w:rsidRDefault="00A45183" w:rsidP="00EF4355">
            <w:pPr>
              <w:jc w:val="center"/>
              <w:cnfStyle w:val="000000100000" w:firstRow="0" w:lastRow="0" w:firstColumn="0" w:lastColumn="0" w:oddVBand="0" w:evenVBand="0" w:oddHBand="1" w:evenHBand="0" w:firstRowFirstColumn="0" w:firstRowLastColumn="0" w:lastRowFirstColumn="0" w:lastRowLastColumn="0"/>
            </w:pPr>
            <w:r w:rsidRPr="00685573">
              <w:t>1.03 (0.06-16.46)</w:t>
            </w:r>
          </w:p>
        </w:tc>
      </w:tr>
      <w:tr w:rsidR="00A45183" w:rsidRPr="00685573" w14:paraId="233ACE52" w14:textId="77777777" w:rsidTr="00EF4355">
        <w:tc>
          <w:tcPr>
            <w:cnfStyle w:val="001000000000" w:firstRow="0" w:lastRow="0" w:firstColumn="1" w:lastColumn="0" w:oddVBand="0" w:evenVBand="0" w:oddHBand="0" w:evenHBand="0" w:firstRowFirstColumn="0" w:firstRowLastColumn="0" w:lastRowFirstColumn="0" w:lastRowLastColumn="0"/>
            <w:tcW w:w="4649" w:type="dxa"/>
          </w:tcPr>
          <w:p w14:paraId="3819466C" w14:textId="77777777" w:rsidR="00A45183" w:rsidRPr="00685573" w:rsidRDefault="00A45183" w:rsidP="00EF4355">
            <w:r w:rsidRPr="00685573">
              <w:t>Zoledronate</w:t>
            </w:r>
          </w:p>
        </w:tc>
        <w:tc>
          <w:tcPr>
            <w:tcW w:w="4649" w:type="dxa"/>
          </w:tcPr>
          <w:p w14:paraId="3CAF713B" w14:textId="77777777" w:rsidR="00A45183" w:rsidRPr="00685573" w:rsidRDefault="00A45183" w:rsidP="00EF4355">
            <w:pPr>
              <w:jc w:val="center"/>
              <w:cnfStyle w:val="000000000000" w:firstRow="0" w:lastRow="0" w:firstColumn="0" w:lastColumn="0" w:oddVBand="0" w:evenVBand="0" w:oddHBand="0" w:evenHBand="0" w:firstRowFirstColumn="0" w:firstRowLastColumn="0" w:lastRowFirstColumn="0" w:lastRowLastColumn="0"/>
            </w:pPr>
            <w:r w:rsidRPr="00685573">
              <w:t>HORIZON</w:t>
            </w:r>
          </w:p>
        </w:tc>
        <w:tc>
          <w:tcPr>
            <w:tcW w:w="4650" w:type="dxa"/>
          </w:tcPr>
          <w:p w14:paraId="3197AFAA" w14:textId="77777777" w:rsidR="00A45183" w:rsidRPr="00685573" w:rsidRDefault="00A45183" w:rsidP="00EF4355">
            <w:pPr>
              <w:jc w:val="center"/>
              <w:cnfStyle w:val="000000000000" w:firstRow="0" w:lastRow="0" w:firstColumn="0" w:lastColumn="0" w:oddVBand="0" w:evenVBand="0" w:oddHBand="0" w:evenHBand="0" w:firstRowFirstColumn="0" w:firstRowLastColumn="0" w:lastRowFirstColumn="0" w:lastRowLastColumn="0"/>
            </w:pPr>
            <w:r w:rsidRPr="00685573">
              <w:t>1.50 (0.25-9)</w:t>
            </w:r>
          </w:p>
        </w:tc>
      </w:tr>
      <w:tr w:rsidR="00A45183" w:rsidRPr="00685573" w14:paraId="2A418D0E" w14:textId="77777777" w:rsidTr="00EF4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2209F728" w14:textId="77777777" w:rsidR="00A45183" w:rsidRPr="00685573" w:rsidRDefault="00A45183" w:rsidP="00EF4355">
            <w:r w:rsidRPr="00685573">
              <w:t>Alendronate</w:t>
            </w:r>
          </w:p>
        </w:tc>
        <w:tc>
          <w:tcPr>
            <w:tcW w:w="4649" w:type="dxa"/>
          </w:tcPr>
          <w:p w14:paraId="735B8B6D" w14:textId="77777777" w:rsidR="00A45183" w:rsidRPr="00685573" w:rsidRDefault="00A45183" w:rsidP="00EF4355">
            <w:pPr>
              <w:jc w:val="center"/>
              <w:cnfStyle w:val="000000100000" w:firstRow="0" w:lastRow="0" w:firstColumn="0" w:lastColumn="0" w:oddVBand="0" w:evenVBand="0" w:oddHBand="1" w:evenHBand="0" w:firstRowFirstColumn="0" w:firstRowLastColumn="0" w:lastRowFirstColumn="0" w:lastRowLastColumn="0"/>
            </w:pPr>
            <w:r w:rsidRPr="00685573">
              <w:t>FLEX</w:t>
            </w:r>
          </w:p>
        </w:tc>
        <w:tc>
          <w:tcPr>
            <w:tcW w:w="4650" w:type="dxa"/>
          </w:tcPr>
          <w:p w14:paraId="1A00C2E5" w14:textId="77777777" w:rsidR="00A45183" w:rsidRPr="00685573" w:rsidRDefault="00A45183" w:rsidP="00EF4355">
            <w:pPr>
              <w:jc w:val="center"/>
              <w:cnfStyle w:val="000000100000" w:firstRow="0" w:lastRow="0" w:firstColumn="0" w:lastColumn="0" w:oddVBand="0" w:evenVBand="0" w:oddHBand="1" w:evenHBand="0" w:firstRowFirstColumn="0" w:firstRowLastColumn="0" w:lastRowFirstColumn="0" w:lastRowLastColumn="0"/>
            </w:pPr>
            <w:r w:rsidRPr="00685573">
              <w:t>1.33 (0.12-14.67)</w:t>
            </w:r>
          </w:p>
        </w:tc>
      </w:tr>
    </w:tbl>
    <w:p w14:paraId="2FCD1EF7" w14:textId="77777777" w:rsidR="00A45183" w:rsidRPr="00685573" w:rsidRDefault="00A45183" w:rsidP="00A45183">
      <w:pPr>
        <w:rPr>
          <w:b/>
        </w:rPr>
      </w:pPr>
    </w:p>
    <w:p w14:paraId="5DA5943A" w14:textId="343459DA" w:rsidR="00F71B18" w:rsidRPr="00685573" w:rsidRDefault="00F71B18">
      <w:pPr>
        <w:rPr>
          <w:sz w:val="24"/>
        </w:rPr>
      </w:pPr>
    </w:p>
    <w:p w14:paraId="6FC833B0" w14:textId="53D95E04" w:rsidR="007743E3" w:rsidRPr="002729DC" w:rsidRDefault="00F71B18" w:rsidP="00F71B18">
      <w:pPr>
        <w:spacing w:after="60" w:line="360" w:lineRule="auto"/>
        <w:jc w:val="both"/>
        <w:rPr>
          <w:sz w:val="24"/>
        </w:rPr>
      </w:pPr>
      <w:r w:rsidRPr="00685573">
        <w:rPr>
          <w:noProof/>
          <w:sz w:val="24"/>
          <w:lang w:eastAsia="en-GB"/>
        </w:rPr>
        <w:lastRenderedPageBreak/>
        <w:drawing>
          <wp:inline distT="0" distB="0" distL="0" distR="0" wp14:anchorId="05141FEB" wp14:editId="7F5DFDAA">
            <wp:extent cx="4985385" cy="886333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atment cessation Figure.jpg"/>
                    <pic:cNvPicPr/>
                  </pic:nvPicPr>
                  <pic:blipFill>
                    <a:blip r:embed="rId115">
                      <a:extLst>
                        <a:ext uri="{28A0092B-C50C-407E-A947-70E740481C1C}">
                          <a14:useLocalDpi xmlns:a14="http://schemas.microsoft.com/office/drawing/2010/main" val="0"/>
                        </a:ext>
                      </a:extLst>
                    </a:blip>
                    <a:stretch>
                      <a:fillRect/>
                    </a:stretch>
                  </pic:blipFill>
                  <pic:spPr>
                    <a:xfrm>
                      <a:off x="0" y="0"/>
                      <a:ext cx="4985385" cy="8863330"/>
                    </a:xfrm>
                    <a:prstGeom prst="rect">
                      <a:avLst/>
                    </a:prstGeom>
                  </pic:spPr>
                </pic:pic>
              </a:graphicData>
            </a:graphic>
          </wp:inline>
        </w:drawing>
      </w:r>
    </w:p>
    <w:sectPr w:rsidR="007743E3" w:rsidRPr="002729DC">
      <w:footerReference w:type="default" r:id="rId116"/>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067404" w16cid:durableId="1FA7FC5C"/>
  <w16cid:commentId w16cid:paraId="1F455679" w16cid:durableId="1FA2C7D9"/>
  <w16cid:commentId w16cid:paraId="5BF5EBF2" w16cid:durableId="1FA2C156"/>
  <w16cid:commentId w16cid:paraId="7C63B300" w16cid:durableId="1FAA6A0A"/>
  <w16cid:commentId w16cid:paraId="075BE46F" w16cid:durableId="1FAA6CE8"/>
  <w16cid:commentId w16cid:paraId="56B660FC" w16cid:durableId="1FAA721D"/>
  <w16cid:commentId w16cid:paraId="30AF968C" w16cid:durableId="1FAA714F"/>
  <w16cid:commentId w16cid:paraId="524F7663" w16cid:durableId="1FAA73CB"/>
  <w16cid:commentId w16cid:paraId="572C3249" w16cid:durableId="1FAA747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8F4E2" w14:textId="77777777" w:rsidR="00252DFC" w:rsidRDefault="00252DFC" w:rsidP="00AE7A7C">
      <w:pPr>
        <w:spacing w:after="0" w:line="240" w:lineRule="auto"/>
      </w:pPr>
      <w:r>
        <w:separator/>
      </w:r>
    </w:p>
  </w:endnote>
  <w:endnote w:type="continuationSeparator" w:id="0">
    <w:p w14:paraId="6B9369EF" w14:textId="77777777" w:rsidR="00252DFC" w:rsidRDefault="00252DFC" w:rsidP="00AE7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CtmwgpAdvTT3713a231">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154407"/>
      <w:docPartObj>
        <w:docPartGallery w:val="Page Numbers (Bottom of Page)"/>
        <w:docPartUnique/>
      </w:docPartObj>
    </w:sdtPr>
    <w:sdtEndPr>
      <w:rPr>
        <w:noProof/>
      </w:rPr>
    </w:sdtEndPr>
    <w:sdtContent>
      <w:p w14:paraId="570EFA87" w14:textId="05370748" w:rsidR="00353E69" w:rsidRDefault="00353E69">
        <w:pPr>
          <w:pStyle w:val="Footer"/>
          <w:jc w:val="right"/>
        </w:pPr>
        <w:r>
          <w:fldChar w:fldCharType="begin"/>
        </w:r>
        <w:r>
          <w:instrText xml:space="preserve"> PAGE   \* MERGEFORMAT </w:instrText>
        </w:r>
        <w:r>
          <w:fldChar w:fldCharType="separate"/>
        </w:r>
        <w:r w:rsidR="00F55737">
          <w:rPr>
            <w:noProof/>
          </w:rPr>
          <w:t>1</w:t>
        </w:r>
        <w:r>
          <w:rPr>
            <w:noProof/>
          </w:rPr>
          <w:fldChar w:fldCharType="end"/>
        </w:r>
      </w:p>
    </w:sdtContent>
  </w:sdt>
  <w:p w14:paraId="594EC061" w14:textId="77777777" w:rsidR="00353E69" w:rsidRDefault="00353E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CB30C" w14:textId="77777777" w:rsidR="00252DFC" w:rsidRDefault="00252DFC" w:rsidP="00AE7A7C">
      <w:pPr>
        <w:spacing w:after="0" w:line="240" w:lineRule="auto"/>
      </w:pPr>
      <w:r>
        <w:separator/>
      </w:r>
    </w:p>
  </w:footnote>
  <w:footnote w:type="continuationSeparator" w:id="0">
    <w:p w14:paraId="022E3CA3" w14:textId="77777777" w:rsidR="00252DFC" w:rsidRDefault="00252DFC" w:rsidP="00AE7A7C">
      <w:pPr>
        <w:spacing w:after="0" w:line="240" w:lineRule="auto"/>
      </w:pPr>
      <w:r>
        <w:continuationSeparator/>
      </w:r>
    </w:p>
  </w:footnote>
  <w:footnote w:id="1">
    <w:p w14:paraId="06A556B6" w14:textId="53B22475" w:rsidR="00353E69" w:rsidRPr="00EE0CCB" w:rsidRDefault="00353E69">
      <w:pPr>
        <w:pStyle w:val="FootnoteText"/>
        <w:rPr>
          <w:lang w:val="en-US"/>
        </w:rPr>
      </w:pPr>
      <w:r>
        <w:rPr>
          <w:rStyle w:val="FootnoteReference"/>
        </w:rPr>
        <w:footnoteRef/>
      </w:r>
      <w:r>
        <w:t xml:space="preserve"> </w:t>
      </w:r>
      <w:r w:rsidRPr="00EE0CCB">
        <w:rPr>
          <w:lang w:val="en-US"/>
        </w:rPr>
        <w:t>On behalf</w:t>
      </w:r>
      <w:r>
        <w:rPr>
          <w:lang w:val="en-US"/>
        </w:rPr>
        <w:t xml:space="preserve"> </w:t>
      </w:r>
      <w:r w:rsidRPr="00EE0CCB">
        <w:rPr>
          <w:lang w:val="en-US"/>
        </w:rPr>
        <w:t>of the IOF</w:t>
      </w:r>
      <w:r>
        <w:rPr>
          <w:lang w:val="en-US"/>
        </w:rPr>
        <w:t xml:space="preserve"> Epidemiology/ Quality of Life Working G</w:t>
      </w:r>
      <w:r w:rsidRPr="00EE0CCB">
        <w:rPr>
          <w:lang w:val="en-US"/>
        </w:rPr>
        <w:t>roup</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4D56"/>
    <w:multiLevelType w:val="hybridMultilevel"/>
    <w:tmpl w:val="358A777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390BDD"/>
    <w:multiLevelType w:val="hybridMultilevel"/>
    <w:tmpl w:val="C22EFC7E"/>
    <w:lvl w:ilvl="0" w:tplc="4232E462">
      <w:start w:val="1"/>
      <w:numFmt w:val="bullet"/>
      <w:lvlText w:val=""/>
      <w:lvlJc w:val="left"/>
      <w:pPr>
        <w:tabs>
          <w:tab w:val="num" w:pos="680"/>
        </w:tabs>
        <w:ind w:left="680" w:hanging="283"/>
      </w:pPr>
      <w:rPr>
        <w:rFonts w:ascii="Symbol" w:hAnsi="Symbol" w:hint="default"/>
        <w:color w:val="F65112"/>
        <w:sz w:val="24"/>
        <w:szCs w:val="24"/>
      </w:rPr>
    </w:lvl>
    <w:lvl w:ilvl="1" w:tplc="04090003" w:tentative="1">
      <w:start w:val="1"/>
      <w:numFmt w:val="bullet"/>
      <w:lvlText w:val="o"/>
      <w:lvlJc w:val="left"/>
      <w:pPr>
        <w:ind w:left="1440" w:hanging="360"/>
      </w:pPr>
      <w:rPr>
        <w:rFonts w:ascii="Courier New" w:hAnsi="Courier New" w:hint="default"/>
      </w:rPr>
    </w:lvl>
    <w:lvl w:ilvl="2" w:tplc="04090003">
      <w:start w:val="1"/>
      <w:numFmt w:val="bullet"/>
      <w:lvlText w:val="o"/>
      <w:lvlJc w:val="left"/>
      <w:pPr>
        <w:ind w:left="180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D073E"/>
    <w:multiLevelType w:val="hybridMultilevel"/>
    <w:tmpl w:val="FFD8B3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hint="default"/>
      </w:rPr>
    </w:lvl>
    <w:lvl w:ilvl="3" w:tplc="04090003">
      <w:start w:val="1"/>
      <w:numFmt w:val="bullet"/>
      <w:lvlText w:val="o"/>
      <w:lvlJc w:val="left"/>
      <w:pPr>
        <w:ind w:left="2520" w:hanging="360"/>
      </w:pPr>
      <w:rPr>
        <w:rFonts w:ascii="Courier New" w:hAnsi="Courier New"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D65AE3"/>
    <w:multiLevelType w:val="hybridMultilevel"/>
    <w:tmpl w:val="0874A7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4090005">
      <w:start w:val="1"/>
      <w:numFmt w:val="bullet"/>
      <w:lvlText w:val=""/>
      <w:lvlJc w:val="left"/>
      <w:pPr>
        <w:ind w:left="1800" w:hanging="360"/>
      </w:pPr>
      <w:rPr>
        <w:rFonts w:ascii="Wingdings" w:hAnsi="Wingdings"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9B6FC3"/>
    <w:multiLevelType w:val="hybridMultilevel"/>
    <w:tmpl w:val="9F888F32"/>
    <w:lvl w:ilvl="0" w:tplc="04090003">
      <w:start w:val="1"/>
      <w:numFmt w:val="bullet"/>
      <w:lvlText w:val="o"/>
      <w:lvlJc w:val="left"/>
      <w:pPr>
        <w:ind w:left="1437" w:hanging="360"/>
      </w:pPr>
      <w:rPr>
        <w:rFonts w:ascii="Courier New" w:hAnsi="Courier New" w:hint="default"/>
      </w:rPr>
    </w:lvl>
    <w:lvl w:ilvl="1" w:tplc="04090003" w:tentative="1">
      <w:start w:val="1"/>
      <w:numFmt w:val="bullet"/>
      <w:lvlText w:val="o"/>
      <w:lvlJc w:val="left"/>
      <w:pPr>
        <w:ind w:left="2157" w:hanging="360"/>
      </w:pPr>
      <w:rPr>
        <w:rFonts w:ascii="Courier New" w:hAnsi="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5" w15:restartNumberingAfterBreak="0">
    <w:nsid w:val="230835AD"/>
    <w:multiLevelType w:val="hybridMultilevel"/>
    <w:tmpl w:val="C2FE2B3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36068C"/>
    <w:multiLevelType w:val="hybridMultilevel"/>
    <w:tmpl w:val="367C7A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070354"/>
    <w:multiLevelType w:val="hybridMultilevel"/>
    <w:tmpl w:val="2FFE7CF4"/>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4090003">
      <w:start w:val="1"/>
      <w:numFmt w:val="bullet"/>
      <w:lvlText w:val="o"/>
      <w:lvlJc w:val="left"/>
      <w:pPr>
        <w:ind w:left="1800" w:hanging="360"/>
      </w:pPr>
      <w:rPr>
        <w:rFonts w:ascii="Courier New" w:hAnsi="Courier New"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0A7F2C"/>
    <w:multiLevelType w:val="hybridMultilevel"/>
    <w:tmpl w:val="FC780A5A"/>
    <w:lvl w:ilvl="0" w:tplc="04090003">
      <w:start w:val="1"/>
      <w:numFmt w:val="bullet"/>
      <w:lvlText w:val="o"/>
      <w:lvlJc w:val="left"/>
      <w:pPr>
        <w:ind w:left="1494" w:hanging="360"/>
      </w:pPr>
      <w:rPr>
        <w:rFonts w:ascii="Courier New" w:hAnsi="Courier New"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29084645"/>
    <w:multiLevelType w:val="hybridMultilevel"/>
    <w:tmpl w:val="F8CE97E8"/>
    <w:lvl w:ilvl="0" w:tplc="08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42477F"/>
    <w:multiLevelType w:val="hybridMultilevel"/>
    <w:tmpl w:val="3D4E2D70"/>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F82537B"/>
    <w:multiLevelType w:val="hybridMultilevel"/>
    <w:tmpl w:val="D65C19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4090003">
      <w:start w:val="1"/>
      <w:numFmt w:val="bullet"/>
      <w:lvlText w:val="o"/>
      <w:lvlJc w:val="left"/>
      <w:pPr>
        <w:ind w:left="1800" w:hanging="360"/>
      </w:pPr>
      <w:rPr>
        <w:rFonts w:ascii="Courier New" w:hAnsi="Courier New"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671559"/>
    <w:multiLevelType w:val="hybridMultilevel"/>
    <w:tmpl w:val="3620F73E"/>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B4A4DCC"/>
    <w:multiLevelType w:val="hybridMultilevel"/>
    <w:tmpl w:val="9BB050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3F3F97"/>
    <w:multiLevelType w:val="hybridMultilevel"/>
    <w:tmpl w:val="858A985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ED81459"/>
    <w:multiLevelType w:val="hybridMultilevel"/>
    <w:tmpl w:val="AC9E98F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0CF7C5E"/>
    <w:multiLevelType w:val="hybridMultilevel"/>
    <w:tmpl w:val="D3F4E1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88274F"/>
    <w:multiLevelType w:val="hybridMultilevel"/>
    <w:tmpl w:val="618CD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8D4869"/>
    <w:multiLevelType w:val="hybridMultilevel"/>
    <w:tmpl w:val="C4384952"/>
    <w:lvl w:ilvl="0" w:tplc="53323440">
      <w:numFmt w:val="bullet"/>
      <w:lvlText w:val="-"/>
      <w:lvlJc w:val="left"/>
      <w:pPr>
        <w:ind w:left="720" w:hanging="360"/>
      </w:pPr>
      <w:rPr>
        <w:rFonts w:ascii="Calibri" w:eastAsia="Calibri" w:hAnsi="Calibri"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9" w15:restartNumberingAfterBreak="0">
    <w:nsid w:val="46FB4450"/>
    <w:multiLevelType w:val="hybridMultilevel"/>
    <w:tmpl w:val="F95CE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496B5C"/>
    <w:multiLevelType w:val="hybridMultilevel"/>
    <w:tmpl w:val="0EDEAC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4090003">
      <w:start w:val="1"/>
      <w:numFmt w:val="bullet"/>
      <w:lvlText w:val="o"/>
      <w:lvlJc w:val="left"/>
      <w:pPr>
        <w:ind w:left="1800" w:hanging="360"/>
      </w:pPr>
      <w:rPr>
        <w:rFonts w:ascii="Courier New" w:hAnsi="Courier New"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A36B71"/>
    <w:multiLevelType w:val="hybridMultilevel"/>
    <w:tmpl w:val="28B403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4090003">
      <w:start w:val="1"/>
      <w:numFmt w:val="bullet"/>
      <w:lvlText w:val="o"/>
      <w:lvlJc w:val="left"/>
      <w:pPr>
        <w:ind w:left="1800" w:hanging="360"/>
      </w:pPr>
      <w:rPr>
        <w:rFonts w:ascii="Courier New" w:hAnsi="Courier New"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A85306"/>
    <w:multiLevelType w:val="hybridMultilevel"/>
    <w:tmpl w:val="958CAAE2"/>
    <w:lvl w:ilvl="0" w:tplc="F56277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E1937AA"/>
    <w:multiLevelType w:val="hybridMultilevel"/>
    <w:tmpl w:val="6302B13E"/>
    <w:lvl w:ilvl="0" w:tplc="04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17C2CFD"/>
    <w:multiLevelType w:val="hybridMultilevel"/>
    <w:tmpl w:val="5A7E1F7C"/>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0D17D6"/>
    <w:multiLevelType w:val="hybridMultilevel"/>
    <w:tmpl w:val="F5CE6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C46D42"/>
    <w:multiLevelType w:val="hybridMultilevel"/>
    <w:tmpl w:val="78EEC496"/>
    <w:lvl w:ilvl="0" w:tplc="F56277E6">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B34605"/>
    <w:multiLevelType w:val="hybridMultilevel"/>
    <w:tmpl w:val="D744CC1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A6F749C"/>
    <w:multiLevelType w:val="hybridMultilevel"/>
    <w:tmpl w:val="CBAE8298"/>
    <w:lvl w:ilvl="0" w:tplc="7A301F90">
      <w:start w:val="1"/>
      <w:numFmt w:val="bullet"/>
      <w:lvlText w:val="•"/>
      <w:lvlJc w:val="left"/>
      <w:pPr>
        <w:tabs>
          <w:tab w:val="num" w:pos="720"/>
        </w:tabs>
        <w:ind w:left="720" w:hanging="360"/>
      </w:pPr>
      <w:rPr>
        <w:rFonts w:ascii="Arial" w:hAnsi="Arial" w:cs="Times New Roman" w:hint="default"/>
      </w:rPr>
    </w:lvl>
    <w:lvl w:ilvl="1" w:tplc="3F3094F8">
      <w:start w:val="359"/>
      <w:numFmt w:val="bullet"/>
      <w:lvlText w:val="o"/>
      <w:lvlJc w:val="left"/>
      <w:pPr>
        <w:tabs>
          <w:tab w:val="num" w:pos="1440"/>
        </w:tabs>
        <w:ind w:left="1440" w:hanging="360"/>
      </w:pPr>
      <w:rPr>
        <w:rFonts w:ascii="Courier New" w:hAnsi="Courier New" w:cs="Times New Roman" w:hint="default"/>
      </w:rPr>
    </w:lvl>
    <w:lvl w:ilvl="2" w:tplc="970E9B14">
      <w:start w:val="1"/>
      <w:numFmt w:val="bullet"/>
      <w:lvlText w:val="•"/>
      <w:lvlJc w:val="left"/>
      <w:pPr>
        <w:tabs>
          <w:tab w:val="num" w:pos="2160"/>
        </w:tabs>
        <w:ind w:left="2160" w:hanging="360"/>
      </w:pPr>
      <w:rPr>
        <w:rFonts w:ascii="Arial" w:hAnsi="Arial" w:cs="Times New Roman" w:hint="default"/>
      </w:rPr>
    </w:lvl>
    <w:lvl w:ilvl="3" w:tplc="D9E859F2">
      <w:start w:val="1"/>
      <w:numFmt w:val="bullet"/>
      <w:lvlText w:val="•"/>
      <w:lvlJc w:val="left"/>
      <w:pPr>
        <w:tabs>
          <w:tab w:val="num" w:pos="2880"/>
        </w:tabs>
        <w:ind w:left="2880" w:hanging="360"/>
      </w:pPr>
      <w:rPr>
        <w:rFonts w:ascii="Arial" w:hAnsi="Arial" w:cs="Times New Roman" w:hint="default"/>
      </w:rPr>
    </w:lvl>
    <w:lvl w:ilvl="4" w:tplc="17C06808">
      <w:start w:val="1"/>
      <w:numFmt w:val="bullet"/>
      <w:lvlText w:val="•"/>
      <w:lvlJc w:val="left"/>
      <w:pPr>
        <w:tabs>
          <w:tab w:val="num" w:pos="3600"/>
        </w:tabs>
        <w:ind w:left="3600" w:hanging="360"/>
      </w:pPr>
      <w:rPr>
        <w:rFonts w:ascii="Arial" w:hAnsi="Arial" w:cs="Times New Roman" w:hint="default"/>
      </w:rPr>
    </w:lvl>
    <w:lvl w:ilvl="5" w:tplc="8DD468C0">
      <w:start w:val="1"/>
      <w:numFmt w:val="bullet"/>
      <w:lvlText w:val="•"/>
      <w:lvlJc w:val="left"/>
      <w:pPr>
        <w:tabs>
          <w:tab w:val="num" w:pos="4320"/>
        </w:tabs>
        <w:ind w:left="4320" w:hanging="360"/>
      </w:pPr>
      <w:rPr>
        <w:rFonts w:ascii="Arial" w:hAnsi="Arial" w:cs="Times New Roman" w:hint="default"/>
      </w:rPr>
    </w:lvl>
    <w:lvl w:ilvl="6" w:tplc="F40E82DE">
      <w:start w:val="1"/>
      <w:numFmt w:val="bullet"/>
      <w:lvlText w:val="•"/>
      <w:lvlJc w:val="left"/>
      <w:pPr>
        <w:tabs>
          <w:tab w:val="num" w:pos="5040"/>
        </w:tabs>
        <w:ind w:left="5040" w:hanging="360"/>
      </w:pPr>
      <w:rPr>
        <w:rFonts w:ascii="Arial" w:hAnsi="Arial" w:cs="Times New Roman" w:hint="default"/>
      </w:rPr>
    </w:lvl>
    <w:lvl w:ilvl="7" w:tplc="2706650A">
      <w:start w:val="1"/>
      <w:numFmt w:val="bullet"/>
      <w:lvlText w:val="•"/>
      <w:lvlJc w:val="left"/>
      <w:pPr>
        <w:tabs>
          <w:tab w:val="num" w:pos="5760"/>
        </w:tabs>
        <w:ind w:left="5760" w:hanging="360"/>
      </w:pPr>
      <w:rPr>
        <w:rFonts w:ascii="Arial" w:hAnsi="Arial" w:cs="Times New Roman" w:hint="default"/>
      </w:rPr>
    </w:lvl>
    <w:lvl w:ilvl="8" w:tplc="A4DC36F2">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6D6E72D7"/>
    <w:multiLevelType w:val="hybridMultilevel"/>
    <w:tmpl w:val="ED289A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3">
      <w:start w:val="1"/>
      <w:numFmt w:val="bullet"/>
      <w:lvlText w:val="o"/>
      <w:lvlJc w:val="left"/>
      <w:pPr>
        <w:ind w:left="2520" w:hanging="360"/>
      </w:pPr>
      <w:rPr>
        <w:rFonts w:ascii="Courier New" w:hAnsi="Courier New" w:cs="Courier New"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F112C33"/>
    <w:multiLevelType w:val="hybridMultilevel"/>
    <w:tmpl w:val="9A08BE6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DE55A0"/>
    <w:multiLevelType w:val="hybridMultilevel"/>
    <w:tmpl w:val="2752C0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4090003">
      <w:start w:val="1"/>
      <w:numFmt w:val="bullet"/>
      <w:lvlText w:val="o"/>
      <w:lvlJc w:val="left"/>
      <w:pPr>
        <w:ind w:left="1800" w:hanging="360"/>
      </w:pPr>
      <w:rPr>
        <w:rFonts w:ascii="Courier New" w:hAnsi="Courier New"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9"/>
  </w:num>
  <w:num w:numId="2">
    <w:abstractNumId w:val="2"/>
  </w:num>
  <w:num w:numId="3">
    <w:abstractNumId w:val="1"/>
  </w:num>
  <w:num w:numId="4">
    <w:abstractNumId w:val="17"/>
  </w:num>
  <w:num w:numId="5">
    <w:abstractNumId w:val="16"/>
  </w:num>
  <w:num w:numId="6">
    <w:abstractNumId w:val="9"/>
  </w:num>
  <w:num w:numId="7">
    <w:abstractNumId w:val="20"/>
  </w:num>
  <w:num w:numId="8">
    <w:abstractNumId w:val="12"/>
  </w:num>
  <w:num w:numId="9">
    <w:abstractNumId w:val="30"/>
  </w:num>
  <w:num w:numId="10">
    <w:abstractNumId w:val="11"/>
  </w:num>
  <w:num w:numId="11">
    <w:abstractNumId w:val="7"/>
  </w:num>
  <w:num w:numId="12">
    <w:abstractNumId w:val="31"/>
  </w:num>
  <w:num w:numId="13">
    <w:abstractNumId w:val="24"/>
  </w:num>
  <w:num w:numId="14">
    <w:abstractNumId w:val="0"/>
  </w:num>
  <w:num w:numId="15">
    <w:abstractNumId w:val="21"/>
  </w:num>
  <w:num w:numId="16">
    <w:abstractNumId w:val="14"/>
  </w:num>
  <w:num w:numId="17">
    <w:abstractNumId w:val="10"/>
  </w:num>
  <w:num w:numId="18">
    <w:abstractNumId w:val="3"/>
  </w:num>
  <w:num w:numId="19">
    <w:abstractNumId w:val="5"/>
  </w:num>
  <w:num w:numId="20">
    <w:abstractNumId w:val="8"/>
  </w:num>
  <w:num w:numId="21">
    <w:abstractNumId w:val="4"/>
  </w:num>
  <w:num w:numId="22">
    <w:abstractNumId w:val="15"/>
  </w:num>
  <w:num w:numId="23">
    <w:abstractNumId w:val="13"/>
  </w:num>
  <w:num w:numId="24">
    <w:abstractNumId w:val="27"/>
  </w:num>
  <w:num w:numId="25">
    <w:abstractNumId w:val="23"/>
  </w:num>
  <w:num w:numId="26">
    <w:abstractNumId w:val="25"/>
  </w:num>
  <w:num w:numId="27">
    <w:abstractNumId w:val="22"/>
  </w:num>
  <w:num w:numId="28">
    <w:abstractNumId w:val="26"/>
  </w:num>
  <w:num w:numId="29">
    <w:abstractNumId w:val="6"/>
  </w:num>
  <w:num w:numId="30">
    <w:abstractNumId w:val="19"/>
  </w:num>
  <w:num w:numId="31">
    <w:abstractNumId w:val="18"/>
  </w:num>
  <w:num w:numId="32">
    <w:abstractNumId w:val="18"/>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7B3"/>
    <w:rsid w:val="00001F36"/>
    <w:rsid w:val="000042C8"/>
    <w:rsid w:val="00005085"/>
    <w:rsid w:val="0001529E"/>
    <w:rsid w:val="00022B29"/>
    <w:rsid w:val="00024CC1"/>
    <w:rsid w:val="0002519D"/>
    <w:rsid w:val="00034AB3"/>
    <w:rsid w:val="0003525F"/>
    <w:rsid w:val="00035FBE"/>
    <w:rsid w:val="000361C8"/>
    <w:rsid w:val="0004185C"/>
    <w:rsid w:val="000467F0"/>
    <w:rsid w:val="00047709"/>
    <w:rsid w:val="00051B1B"/>
    <w:rsid w:val="00053F70"/>
    <w:rsid w:val="0005402D"/>
    <w:rsid w:val="000600D4"/>
    <w:rsid w:val="000624EB"/>
    <w:rsid w:val="00063537"/>
    <w:rsid w:val="00077FF0"/>
    <w:rsid w:val="000A77E1"/>
    <w:rsid w:val="000A7E18"/>
    <w:rsid w:val="000B3DF5"/>
    <w:rsid w:val="000B53D8"/>
    <w:rsid w:val="000C680A"/>
    <w:rsid w:val="000D709E"/>
    <w:rsid w:val="000E3D2D"/>
    <w:rsid w:val="000E52DE"/>
    <w:rsid w:val="000E6B79"/>
    <w:rsid w:val="000F289D"/>
    <w:rsid w:val="00114DAA"/>
    <w:rsid w:val="001249F1"/>
    <w:rsid w:val="00125219"/>
    <w:rsid w:val="001257C7"/>
    <w:rsid w:val="0013322F"/>
    <w:rsid w:val="00133DBB"/>
    <w:rsid w:val="00133E95"/>
    <w:rsid w:val="00136882"/>
    <w:rsid w:val="001401B8"/>
    <w:rsid w:val="00147A83"/>
    <w:rsid w:val="0015270E"/>
    <w:rsid w:val="001639D0"/>
    <w:rsid w:val="00171C02"/>
    <w:rsid w:val="0017239D"/>
    <w:rsid w:val="001751B7"/>
    <w:rsid w:val="00181730"/>
    <w:rsid w:val="00182D9A"/>
    <w:rsid w:val="0018449E"/>
    <w:rsid w:val="00193FF5"/>
    <w:rsid w:val="00196AAA"/>
    <w:rsid w:val="001A3318"/>
    <w:rsid w:val="001A4EE2"/>
    <w:rsid w:val="001A67AB"/>
    <w:rsid w:val="001A7768"/>
    <w:rsid w:val="001B0019"/>
    <w:rsid w:val="001B0C6C"/>
    <w:rsid w:val="001B638F"/>
    <w:rsid w:val="001C0CC3"/>
    <w:rsid w:val="001D0F15"/>
    <w:rsid w:val="001E5D1C"/>
    <w:rsid w:val="001F3E9B"/>
    <w:rsid w:val="00201AB1"/>
    <w:rsid w:val="00201DB8"/>
    <w:rsid w:val="002126CF"/>
    <w:rsid w:val="002163C6"/>
    <w:rsid w:val="00216F98"/>
    <w:rsid w:val="0021714B"/>
    <w:rsid w:val="00217E42"/>
    <w:rsid w:val="00224570"/>
    <w:rsid w:val="00224B02"/>
    <w:rsid w:val="00224D22"/>
    <w:rsid w:val="0023497F"/>
    <w:rsid w:val="0023529F"/>
    <w:rsid w:val="00242732"/>
    <w:rsid w:val="00243051"/>
    <w:rsid w:val="00250168"/>
    <w:rsid w:val="00252DFC"/>
    <w:rsid w:val="002535BB"/>
    <w:rsid w:val="00256752"/>
    <w:rsid w:val="00264791"/>
    <w:rsid w:val="00270DA9"/>
    <w:rsid w:val="002729DC"/>
    <w:rsid w:val="00274CE4"/>
    <w:rsid w:val="00277E95"/>
    <w:rsid w:val="0028200E"/>
    <w:rsid w:val="002847E3"/>
    <w:rsid w:val="002A2A66"/>
    <w:rsid w:val="002A2AFF"/>
    <w:rsid w:val="002D410E"/>
    <w:rsid w:val="002D63D2"/>
    <w:rsid w:val="002D6558"/>
    <w:rsid w:val="002E020C"/>
    <w:rsid w:val="002E283D"/>
    <w:rsid w:val="002E339A"/>
    <w:rsid w:val="002E54CC"/>
    <w:rsid w:val="002E5A34"/>
    <w:rsid w:val="002E5AD2"/>
    <w:rsid w:val="002F6B16"/>
    <w:rsid w:val="00302C6E"/>
    <w:rsid w:val="00306378"/>
    <w:rsid w:val="0030789D"/>
    <w:rsid w:val="00311B3C"/>
    <w:rsid w:val="00312A1B"/>
    <w:rsid w:val="0031725B"/>
    <w:rsid w:val="0032066F"/>
    <w:rsid w:val="00322182"/>
    <w:rsid w:val="00325AF1"/>
    <w:rsid w:val="00335A97"/>
    <w:rsid w:val="00340147"/>
    <w:rsid w:val="00340929"/>
    <w:rsid w:val="00340A6D"/>
    <w:rsid w:val="00351681"/>
    <w:rsid w:val="00353E69"/>
    <w:rsid w:val="00357894"/>
    <w:rsid w:val="003613DA"/>
    <w:rsid w:val="00371495"/>
    <w:rsid w:val="003742DF"/>
    <w:rsid w:val="0037466C"/>
    <w:rsid w:val="00374AF0"/>
    <w:rsid w:val="003772EE"/>
    <w:rsid w:val="00392963"/>
    <w:rsid w:val="00393B58"/>
    <w:rsid w:val="003A0B2D"/>
    <w:rsid w:val="003A524E"/>
    <w:rsid w:val="003B4129"/>
    <w:rsid w:val="003B5191"/>
    <w:rsid w:val="003B6437"/>
    <w:rsid w:val="003C7E1A"/>
    <w:rsid w:val="003D0B42"/>
    <w:rsid w:val="003D4747"/>
    <w:rsid w:val="003D769A"/>
    <w:rsid w:val="003E5C89"/>
    <w:rsid w:val="003E6CB2"/>
    <w:rsid w:val="003E793F"/>
    <w:rsid w:val="003F5654"/>
    <w:rsid w:val="00414C29"/>
    <w:rsid w:val="00420366"/>
    <w:rsid w:val="0042201D"/>
    <w:rsid w:val="00423460"/>
    <w:rsid w:val="004260D9"/>
    <w:rsid w:val="004307F1"/>
    <w:rsid w:val="004311F7"/>
    <w:rsid w:val="0044100E"/>
    <w:rsid w:val="00443158"/>
    <w:rsid w:val="004519F1"/>
    <w:rsid w:val="00453440"/>
    <w:rsid w:val="00455127"/>
    <w:rsid w:val="004564C6"/>
    <w:rsid w:val="004573A5"/>
    <w:rsid w:val="004600AB"/>
    <w:rsid w:val="00477223"/>
    <w:rsid w:val="004772C0"/>
    <w:rsid w:val="004A4CF0"/>
    <w:rsid w:val="004B1C4D"/>
    <w:rsid w:val="004C7F59"/>
    <w:rsid w:val="004D0F1D"/>
    <w:rsid w:val="004D50F6"/>
    <w:rsid w:val="004D5AAF"/>
    <w:rsid w:val="004E1575"/>
    <w:rsid w:val="004E6C30"/>
    <w:rsid w:val="004F04E6"/>
    <w:rsid w:val="004F3989"/>
    <w:rsid w:val="004F5A8B"/>
    <w:rsid w:val="0050050F"/>
    <w:rsid w:val="00502E52"/>
    <w:rsid w:val="0050386A"/>
    <w:rsid w:val="0050438F"/>
    <w:rsid w:val="005164C1"/>
    <w:rsid w:val="00520AC7"/>
    <w:rsid w:val="00522838"/>
    <w:rsid w:val="00534B8E"/>
    <w:rsid w:val="00537FEA"/>
    <w:rsid w:val="00546EEA"/>
    <w:rsid w:val="00547771"/>
    <w:rsid w:val="00566A05"/>
    <w:rsid w:val="00567C7D"/>
    <w:rsid w:val="00573637"/>
    <w:rsid w:val="005747B3"/>
    <w:rsid w:val="00576707"/>
    <w:rsid w:val="00581C99"/>
    <w:rsid w:val="005858A2"/>
    <w:rsid w:val="005A0628"/>
    <w:rsid w:val="005B6C5B"/>
    <w:rsid w:val="005C015A"/>
    <w:rsid w:val="005C0AB6"/>
    <w:rsid w:val="005D1B9A"/>
    <w:rsid w:val="005F263F"/>
    <w:rsid w:val="005F42C0"/>
    <w:rsid w:val="005F6EA1"/>
    <w:rsid w:val="005F7B57"/>
    <w:rsid w:val="00615C68"/>
    <w:rsid w:val="0062013C"/>
    <w:rsid w:val="0062714F"/>
    <w:rsid w:val="00627511"/>
    <w:rsid w:val="00652E8F"/>
    <w:rsid w:val="006536A1"/>
    <w:rsid w:val="0066463A"/>
    <w:rsid w:val="00671C15"/>
    <w:rsid w:val="006731A7"/>
    <w:rsid w:val="006802A0"/>
    <w:rsid w:val="00685573"/>
    <w:rsid w:val="006A1D05"/>
    <w:rsid w:val="006A3180"/>
    <w:rsid w:val="006A4152"/>
    <w:rsid w:val="006B2BF5"/>
    <w:rsid w:val="006B3E61"/>
    <w:rsid w:val="006B412D"/>
    <w:rsid w:val="006C0B65"/>
    <w:rsid w:val="006C4716"/>
    <w:rsid w:val="006C5537"/>
    <w:rsid w:val="006F17FB"/>
    <w:rsid w:val="006F6B4C"/>
    <w:rsid w:val="006F7B48"/>
    <w:rsid w:val="007001DC"/>
    <w:rsid w:val="00702697"/>
    <w:rsid w:val="0071198A"/>
    <w:rsid w:val="00711C47"/>
    <w:rsid w:val="007179B5"/>
    <w:rsid w:val="00722933"/>
    <w:rsid w:val="0072325E"/>
    <w:rsid w:val="00724372"/>
    <w:rsid w:val="00730044"/>
    <w:rsid w:val="00730B07"/>
    <w:rsid w:val="00731284"/>
    <w:rsid w:val="00731C75"/>
    <w:rsid w:val="007349DD"/>
    <w:rsid w:val="00735EE1"/>
    <w:rsid w:val="007427A2"/>
    <w:rsid w:val="00745B24"/>
    <w:rsid w:val="00754E17"/>
    <w:rsid w:val="00754E7E"/>
    <w:rsid w:val="00756E63"/>
    <w:rsid w:val="00766FEB"/>
    <w:rsid w:val="007743E3"/>
    <w:rsid w:val="0077578C"/>
    <w:rsid w:val="00775806"/>
    <w:rsid w:val="00775C4B"/>
    <w:rsid w:val="0077697E"/>
    <w:rsid w:val="00777F68"/>
    <w:rsid w:val="00790F87"/>
    <w:rsid w:val="00794B57"/>
    <w:rsid w:val="007A4600"/>
    <w:rsid w:val="007B2059"/>
    <w:rsid w:val="007B5402"/>
    <w:rsid w:val="007B62E1"/>
    <w:rsid w:val="007C5B3A"/>
    <w:rsid w:val="007D6A41"/>
    <w:rsid w:val="007E1E35"/>
    <w:rsid w:val="007E2561"/>
    <w:rsid w:val="007E2E6E"/>
    <w:rsid w:val="007F743B"/>
    <w:rsid w:val="00800C23"/>
    <w:rsid w:val="00801BD1"/>
    <w:rsid w:val="00802BD8"/>
    <w:rsid w:val="00810093"/>
    <w:rsid w:val="00810186"/>
    <w:rsid w:val="00810254"/>
    <w:rsid w:val="008242A6"/>
    <w:rsid w:val="00835984"/>
    <w:rsid w:val="00854045"/>
    <w:rsid w:val="00855C91"/>
    <w:rsid w:val="00860D60"/>
    <w:rsid w:val="0086119E"/>
    <w:rsid w:val="00862E97"/>
    <w:rsid w:val="00870C24"/>
    <w:rsid w:val="00871C70"/>
    <w:rsid w:val="0087298B"/>
    <w:rsid w:val="00883C8F"/>
    <w:rsid w:val="008848BE"/>
    <w:rsid w:val="00884AE0"/>
    <w:rsid w:val="00886B5B"/>
    <w:rsid w:val="00886DBA"/>
    <w:rsid w:val="00890BA7"/>
    <w:rsid w:val="0089183E"/>
    <w:rsid w:val="00894053"/>
    <w:rsid w:val="008943BB"/>
    <w:rsid w:val="00896980"/>
    <w:rsid w:val="008A2932"/>
    <w:rsid w:val="008A29A0"/>
    <w:rsid w:val="008A4ECC"/>
    <w:rsid w:val="008B1B87"/>
    <w:rsid w:val="008B4420"/>
    <w:rsid w:val="008B4825"/>
    <w:rsid w:val="008B6E8B"/>
    <w:rsid w:val="008B7F9D"/>
    <w:rsid w:val="008C43BD"/>
    <w:rsid w:val="008C7504"/>
    <w:rsid w:val="008D7B24"/>
    <w:rsid w:val="008E10C9"/>
    <w:rsid w:val="008E48E4"/>
    <w:rsid w:val="008E718A"/>
    <w:rsid w:val="008E79FD"/>
    <w:rsid w:val="00901D3C"/>
    <w:rsid w:val="00902985"/>
    <w:rsid w:val="009029FE"/>
    <w:rsid w:val="00903C4E"/>
    <w:rsid w:val="00913AC4"/>
    <w:rsid w:val="00914436"/>
    <w:rsid w:val="009154C2"/>
    <w:rsid w:val="00916DAB"/>
    <w:rsid w:val="00920533"/>
    <w:rsid w:val="009217A6"/>
    <w:rsid w:val="00921F65"/>
    <w:rsid w:val="009233F8"/>
    <w:rsid w:val="00923486"/>
    <w:rsid w:val="00943E84"/>
    <w:rsid w:val="00950EF0"/>
    <w:rsid w:val="0095414B"/>
    <w:rsid w:val="009626C1"/>
    <w:rsid w:val="00962B98"/>
    <w:rsid w:val="00965260"/>
    <w:rsid w:val="009700F0"/>
    <w:rsid w:val="009722A4"/>
    <w:rsid w:val="00974FCF"/>
    <w:rsid w:val="009761D2"/>
    <w:rsid w:val="00984F4D"/>
    <w:rsid w:val="00995A7F"/>
    <w:rsid w:val="0099600A"/>
    <w:rsid w:val="00996FE0"/>
    <w:rsid w:val="009A1B43"/>
    <w:rsid w:val="009A245D"/>
    <w:rsid w:val="009B13D9"/>
    <w:rsid w:val="009B1C3A"/>
    <w:rsid w:val="009C17BB"/>
    <w:rsid w:val="009C5A3C"/>
    <w:rsid w:val="009D270E"/>
    <w:rsid w:val="009E1A62"/>
    <w:rsid w:val="009F0024"/>
    <w:rsid w:val="009F712A"/>
    <w:rsid w:val="00A001E8"/>
    <w:rsid w:val="00A014BF"/>
    <w:rsid w:val="00A03B4E"/>
    <w:rsid w:val="00A13492"/>
    <w:rsid w:val="00A17D2E"/>
    <w:rsid w:val="00A249F9"/>
    <w:rsid w:val="00A26282"/>
    <w:rsid w:val="00A278C1"/>
    <w:rsid w:val="00A327E2"/>
    <w:rsid w:val="00A432F7"/>
    <w:rsid w:val="00A45183"/>
    <w:rsid w:val="00A4587A"/>
    <w:rsid w:val="00A52EB7"/>
    <w:rsid w:val="00A53A94"/>
    <w:rsid w:val="00A61138"/>
    <w:rsid w:val="00A619A3"/>
    <w:rsid w:val="00A61CBD"/>
    <w:rsid w:val="00A634AF"/>
    <w:rsid w:val="00A63ABE"/>
    <w:rsid w:val="00A71CDE"/>
    <w:rsid w:val="00A71F2B"/>
    <w:rsid w:val="00A72BA1"/>
    <w:rsid w:val="00A80024"/>
    <w:rsid w:val="00A95D68"/>
    <w:rsid w:val="00AA0832"/>
    <w:rsid w:val="00AA0E63"/>
    <w:rsid w:val="00AA60BF"/>
    <w:rsid w:val="00AA6866"/>
    <w:rsid w:val="00AA784F"/>
    <w:rsid w:val="00AB0F4D"/>
    <w:rsid w:val="00AB1908"/>
    <w:rsid w:val="00AB7661"/>
    <w:rsid w:val="00AC2BDA"/>
    <w:rsid w:val="00AC4EE9"/>
    <w:rsid w:val="00AC5152"/>
    <w:rsid w:val="00AD0213"/>
    <w:rsid w:val="00AD1173"/>
    <w:rsid w:val="00AD79DA"/>
    <w:rsid w:val="00AD7E54"/>
    <w:rsid w:val="00AE7A4E"/>
    <w:rsid w:val="00AE7A7C"/>
    <w:rsid w:val="00AF06C4"/>
    <w:rsid w:val="00AF52C7"/>
    <w:rsid w:val="00B05F01"/>
    <w:rsid w:val="00B06D14"/>
    <w:rsid w:val="00B14978"/>
    <w:rsid w:val="00B3379F"/>
    <w:rsid w:val="00B53DC2"/>
    <w:rsid w:val="00B55033"/>
    <w:rsid w:val="00B55056"/>
    <w:rsid w:val="00B57CBA"/>
    <w:rsid w:val="00B6225A"/>
    <w:rsid w:val="00B67317"/>
    <w:rsid w:val="00B70807"/>
    <w:rsid w:val="00B7494D"/>
    <w:rsid w:val="00B8006D"/>
    <w:rsid w:val="00B87604"/>
    <w:rsid w:val="00B9350D"/>
    <w:rsid w:val="00BA0D1F"/>
    <w:rsid w:val="00BA3B7A"/>
    <w:rsid w:val="00BA6C19"/>
    <w:rsid w:val="00BB31C2"/>
    <w:rsid w:val="00BB64AB"/>
    <w:rsid w:val="00BC504D"/>
    <w:rsid w:val="00BD2B2C"/>
    <w:rsid w:val="00BE0693"/>
    <w:rsid w:val="00BE6930"/>
    <w:rsid w:val="00BE7F71"/>
    <w:rsid w:val="00BF1FB9"/>
    <w:rsid w:val="00BF60CA"/>
    <w:rsid w:val="00BF6515"/>
    <w:rsid w:val="00C06744"/>
    <w:rsid w:val="00C135D9"/>
    <w:rsid w:val="00C13740"/>
    <w:rsid w:val="00C24AD9"/>
    <w:rsid w:val="00C2761D"/>
    <w:rsid w:val="00C4227B"/>
    <w:rsid w:val="00C42B5F"/>
    <w:rsid w:val="00C43211"/>
    <w:rsid w:val="00C43273"/>
    <w:rsid w:val="00C43F8A"/>
    <w:rsid w:val="00C51968"/>
    <w:rsid w:val="00C548E1"/>
    <w:rsid w:val="00C56A52"/>
    <w:rsid w:val="00C60D77"/>
    <w:rsid w:val="00C6189C"/>
    <w:rsid w:val="00C66F7F"/>
    <w:rsid w:val="00C67DAD"/>
    <w:rsid w:val="00C71A0B"/>
    <w:rsid w:val="00C71A19"/>
    <w:rsid w:val="00C80A3D"/>
    <w:rsid w:val="00C87515"/>
    <w:rsid w:val="00C90852"/>
    <w:rsid w:val="00CA42BF"/>
    <w:rsid w:val="00CA4943"/>
    <w:rsid w:val="00CB3A52"/>
    <w:rsid w:val="00CB6D0B"/>
    <w:rsid w:val="00CB7A30"/>
    <w:rsid w:val="00CD4A1C"/>
    <w:rsid w:val="00CD69FA"/>
    <w:rsid w:val="00CE0FC1"/>
    <w:rsid w:val="00CE19B4"/>
    <w:rsid w:val="00CE7535"/>
    <w:rsid w:val="00D0374A"/>
    <w:rsid w:val="00D04A78"/>
    <w:rsid w:val="00D06869"/>
    <w:rsid w:val="00D160BF"/>
    <w:rsid w:val="00D23807"/>
    <w:rsid w:val="00D30BCA"/>
    <w:rsid w:val="00D33348"/>
    <w:rsid w:val="00D36FF8"/>
    <w:rsid w:val="00D44178"/>
    <w:rsid w:val="00D5099B"/>
    <w:rsid w:val="00D56D75"/>
    <w:rsid w:val="00D70CEF"/>
    <w:rsid w:val="00D72E2B"/>
    <w:rsid w:val="00D8151B"/>
    <w:rsid w:val="00D91F83"/>
    <w:rsid w:val="00D95F41"/>
    <w:rsid w:val="00DB19D8"/>
    <w:rsid w:val="00DB273D"/>
    <w:rsid w:val="00DB344E"/>
    <w:rsid w:val="00DC3C39"/>
    <w:rsid w:val="00DD2993"/>
    <w:rsid w:val="00DD341D"/>
    <w:rsid w:val="00DE0EE9"/>
    <w:rsid w:val="00DF14B4"/>
    <w:rsid w:val="00DF70DA"/>
    <w:rsid w:val="00E01051"/>
    <w:rsid w:val="00E02A7D"/>
    <w:rsid w:val="00E02E41"/>
    <w:rsid w:val="00E03EA9"/>
    <w:rsid w:val="00E043AD"/>
    <w:rsid w:val="00E064A5"/>
    <w:rsid w:val="00E07A97"/>
    <w:rsid w:val="00E11EF1"/>
    <w:rsid w:val="00E12278"/>
    <w:rsid w:val="00E12FF2"/>
    <w:rsid w:val="00E14F71"/>
    <w:rsid w:val="00E17035"/>
    <w:rsid w:val="00E26F1F"/>
    <w:rsid w:val="00E303B5"/>
    <w:rsid w:val="00E4007A"/>
    <w:rsid w:val="00E44B1B"/>
    <w:rsid w:val="00E460ED"/>
    <w:rsid w:val="00E50E8D"/>
    <w:rsid w:val="00E602FC"/>
    <w:rsid w:val="00E647B9"/>
    <w:rsid w:val="00E74856"/>
    <w:rsid w:val="00E86621"/>
    <w:rsid w:val="00E966B5"/>
    <w:rsid w:val="00EB28FC"/>
    <w:rsid w:val="00EC0AB0"/>
    <w:rsid w:val="00EC403B"/>
    <w:rsid w:val="00EC57ED"/>
    <w:rsid w:val="00ED230F"/>
    <w:rsid w:val="00ED6929"/>
    <w:rsid w:val="00EE0198"/>
    <w:rsid w:val="00EE0CCB"/>
    <w:rsid w:val="00EE3077"/>
    <w:rsid w:val="00EE68E7"/>
    <w:rsid w:val="00F14BF5"/>
    <w:rsid w:val="00F278E3"/>
    <w:rsid w:val="00F3321F"/>
    <w:rsid w:val="00F46332"/>
    <w:rsid w:val="00F55737"/>
    <w:rsid w:val="00F56C8E"/>
    <w:rsid w:val="00F570E1"/>
    <w:rsid w:val="00F62D23"/>
    <w:rsid w:val="00F63BBA"/>
    <w:rsid w:val="00F71B18"/>
    <w:rsid w:val="00F80328"/>
    <w:rsid w:val="00F80517"/>
    <w:rsid w:val="00F90F5D"/>
    <w:rsid w:val="00F913E0"/>
    <w:rsid w:val="00F94717"/>
    <w:rsid w:val="00FA0FA0"/>
    <w:rsid w:val="00FB7826"/>
    <w:rsid w:val="00FC0409"/>
    <w:rsid w:val="00FD049C"/>
    <w:rsid w:val="00FD7D4C"/>
    <w:rsid w:val="00FE34A9"/>
    <w:rsid w:val="00FE3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6AC1"/>
  <w15:chartTrackingRefBased/>
  <w15:docId w15:val="{56915353-ECE5-41A0-BF07-20656C87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C01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BodyText"/>
    <w:next w:val="BodyText"/>
    <w:link w:val="Heading2Char"/>
    <w:unhideWhenUsed/>
    <w:qFormat/>
    <w:rsid w:val="000E52DE"/>
    <w:pPr>
      <w:spacing w:before="240"/>
      <w:outlineLvl w:val="1"/>
    </w:pPr>
    <w:rPr>
      <w:b/>
      <w:bCs/>
      <w:iCs/>
      <w:color w:val="666666"/>
      <w:sz w:val="24"/>
      <w:szCs w:val="28"/>
    </w:rPr>
  </w:style>
  <w:style w:type="paragraph" w:styleId="Heading3">
    <w:name w:val="heading 3"/>
    <w:basedOn w:val="BodyText"/>
    <w:next w:val="BodyText"/>
    <w:link w:val="Heading3Char"/>
    <w:unhideWhenUsed/>
    <w:qFormat/>
    <w:rsid w:val="000E52DE"/>
    <w:pPr>
      <w:keepNext/>
      <w:spacing w:before="120" w:after="0"/>
      <w:outlineLvl w:val="2"/>
    </w:pPr>
    <w:rPr>
      <w:rFonts w:eastAsia="MS Gothic"/>
      <w:b/>
      <w:bCs/>
      <w:color w:val="F65112"/>
      <w:szCs w:val="22"/>
    </w:rPr>
  </w:style>
  <w:style w:type="paragraph" w:styleId="Heading4">
    <w:name w:val="heading 4"/>
    <w:basedOn w:val="Normal"/>
    <w:next w:val="Normal"/>
    <w:link w:val="Heading4Char"/>
    <w:uiPriority w:val="9"/>
    <w:semiHidden/>
    <w:unhideWhenUsed/>
    <w:qFormat/>
    <w:rsid w:val="00671C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E52DE"/>
    <w:rPr>
      <w:rFonts w:ascii="Arial" w:eastAsia="Times New Roman" w:hAnsi="Arial" w:cs="Times New Roman"/>
      <w:b/>
      <w:bCs/>
      <w:iCs/>
      <w:color w:val="666666"/>
      <w:sz w:val="24"/>
      <w:szCs w:val="28"/>
    </w:rPr>
  </w:style>
  <w:style w:type="character" w:customStyle="1" w:styleId="Heading3Char">
    <w:name w:val="Heading 3 Char"/>
    <w:basedOn w:val="DefaultParagraphFont"/>
    <w:link w:val="Heading3"/>
    <w:rsid w:val="000E52DE"/>
    <w:rPr>
      <w:rFonts w:ascii="Arial" w:eastAsia="MS Gothic" w:hAnsi="Arial" w:cs="Times New Roman"/>
      <w:b/>
      <w:bCs/>
      <w:color w:val="F65112"/>
    </w:rPr>
  </w:style>
  <w:style w:type="paragraph" w:styleId="BodyText">
    <w:name w:val="Body Text"/>
    <w:link w:val="BodyTextChar"/>
    <w:qFormat/>
    <w:rsid w:val="000E52DE"/>
    <w:pPr>
      <w:spacing w:after="120" w:line="240" w:lineRule="auto"/>
    </w:pPr>
    <w:rPr>
      <w:rFonts w:ascii="Arial" w:eastAsia="Times New Roman" w:hAnsi="Arial" w:cs="Times New Roman"/>
      <w:color w:val="191919"/>
      <w:szCs w:val="24"/>
    </w:rPr>
  </w:style>
  <w:style w:type="character" w:customStyle="1" w:styleId="BodyTextChar">
    <w:name w:val="Body Text Char"/>
    <w:basedOn w:val="DefaultParagraphFont"/>
    <w:link w:val="BodyText"/>
    <w:rsid w:val="000E52DE"/>
    <w:rPr>
      <w:rFonts w:ascii="Arial" w:eastAsia="Times New Roman" w:hAnsi="Arial" w:cs="Times New Roman"/>
      <w:color w:val="191919"/>
      <w:szCs w:val="24"/>
    </w:rPr>
  </w:style>
  <w:style w:type="paragraph" w:styleId="ListParagraph">
    <w:name w:val="List Paragraph"/>
    <w:basedOn w:val="BodyText"/>
    <w:uiPriority w:val="34"/>
    <w:qFormat/>
    <w:rsid w:val="003B5191"/>
    <w:pPr>
      <w:ind w:left="720"/>
      <w:contextualSpacing/>
    </w:pPr>
  </w:style>
  <w:style w:type="character" w:customStyle="1" w:styleId="hlfld-fulltext">
    <w:name w:val="hlfld-fulltext"/>
    <w:basedOn w:val="DefaultParagraphFont"/>
    <w:rsid w:val="003B5191"/>
  </w:style>
  <w:style w:type="character" w:customStyle="1" w:styleId="abstract">
    <w:name w:val="abstract"/>
    <w:basedOn w:val="DefaultParagraphFont"/>
    <w:rsid w:val="003B5191"/>
  </w:style>
  <w:style w:type="character" w:customStyle="1" w:styleId="st">
    <w:name w:val="st"/>
    <w:basedOn w:val="DefaultParagraphFont"/>
    <w:rsid w:val="003B5191"/>
  </w:style>
  <w:style w:type="character" w:styleId="CommentReference">
    <w:name w:val="annotation reference"/>
    <w:basedOn w:val="DefaultParagraphFont"/>
    <w:uiPriority w:val="99"/>
    <w:semiHidden/>
    <w:unhideWhenUsed/>
    <w:rsid w:val="00C56A52"/>
    <w:rPr>
      <w:sz w:val="16"/>
      <w:szCs w:val="16"/>
    </w:rPr>
  </w:style>
  <w:style w:type="paragraph" w:styleId="CommentText">
    <w:name w:val="annotation text"/>
    <w:basedOn w:val="Normal"/>
    <w:link w:val="CommentTextChar"/>
    <w:uiPriority w:val="99"/>
    <w:unhideWhenUsed/>
    <w:rsid w:val="00C56A52"/>
    <w:pPr>
      <w:spacing w:line="240" w:lineRule="auto"/>
    </w:pPr>
    <w:rPr>
      <w:sz w:val="20"/>
      <w:szCs w:val="20"/>
    </w:rPr>
  </w:style>
  <w:style w:type="character" w:customStyle="1" w:styleId="CommentTextChar">
    <w:name w:val="Comment Text Char"/>
    <w:basedOn w:val="DefaultParagraphFont"/>
    <w:link w:val="CommentText"/>
    <w:uiPriority w:val="99"/>
    <w:rsid w:val="00C56A52"/>
    <w:rPr>
      <w:sz w:val="20"/>
      <w:szCs w:val="20"/>
    </w:rPr>
  </w:style>
  <w:style w:type="paragraph" w:styleId="CommentSubject">
    <w:name w:val="annotation subject"/>
    <w:basedOn w:val="CommentText"/>
    <w:next w:val="CommentText"/>
    <w:link w:val="CommentSubjectChar"/>
    <w:uiPriority w:val="99"/>
    <w:semiHidden/>
    <w:unhideWhenUsed/>
    <w:rsid w:val="00C56A52"/>
    <w:rPr>
      <w:b/>
      <w:bCs/>
    </w:rPr>
  </w:style>
  <w:style w:type="character" w:customStyle="1" w:styleId="CommentSubjectChar">
    <w:name w:val="Comment Subject Char"/>
    <w:basedOn w:val="CommentTextChar"/>
    <w:link w:val="CommentSubject"/>
    <w:uiPriority w:val="99"/>
    <w:semiHidden/>
    <w:rsid w:val="00C56A52"/>
    <w:rPr>
      <w:b/>
      <w:bCs/>
      <w:sz w:val="20"/>
      <w:szCs w:val="20"/>
    </w:rPr>
  </w:style>
  <w:style w:type="paragraph" w:styleId="BalloonText">
    <w:name w:val="Balloon Text"/>
    <w:basedOn w:val="Normal"/>
    <w:link w:val="BalloonTextChar"/>
    <w:uiPriority w:val="99"/>
    <w:semiHidden/>
    <w:unhideWhenUsed/>
    <w:rsid w:val="00C56A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A52"/>
    <w:rPr>
      <w:rFonts w:ascii="Segoe UI" w:hAnsi="Segoe UI" w:cs="Segoe UI"/>
      <w:sz w:val="18"/>
      <w:szCs w:val="18"/>
    </w:rPr>
  </w:style>
  <w:style w:type="paragraph" w:styleId="PlainText">
    <w:name w:val="Plain Text"/>
    <w:basedOn w:val="Normal"/>
    <w:link w:val="PlainTextChar"/>
    <w:uiPriority w:val="99"/>
    <w:unhideWhenUsed/>
    <w:rsid w:val="001C0CC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C0CC3"/>
    <w:rPr>
      <w:rFonts w:ascii="Calibri" w:hAnsi="Calibri"/>
      <w:szCs w:val="21"/>
    </w:rPr>
  </w:style>
  <w:style w:type="character" w:customStyle="1" w:styleId="highlight2">
    <w:name w:val="highlight2"/>
    <w:basedOn w:val="DefaultParagraphFont"/>
    <w:rsid w:val="0003525F"/>
  </w:style>
  <w:style w:type="character" w:customStyle="1" w:styleId="Heading1Char">
    <w:name w:val="Heading 1 Char"/>
    <w:basedOn w:val="DefaultParagraphFont"/>
    <w:link w:val="Heading1"/>
    <w:uiPriority w:val="9"/>
    <w:rsid w:val="005C015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C015A"/>
    <w:rPr>
      <w:color w:val="0000FF"/>
      <w:u w:val="single"/>
    </w:rPr>
  </w:style>
  <w:style w:type="character" w:customStyle="1" w:styleId="highlight">
    <w:name w:val="highlight"/>
    <w:basedOn w:val="DefaultParagraphFont"/>
    <w:rsid w:val="005C015A"/>
  </w:style>
  <w:style w:type="character" w:customStyle="1" w:styleId="Heading4Char">
    <w:name w:val="Heading 4 Char"/>
    <w:basedOn w:val="DefaultParagraphFont"/>
    <w:link w:val="Heading4"/>
    <w:uiPriority w:val="9"/>
    <w:semiHidden/>
    <w:rsid w:val="00671C15"/>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671C15"/>
    <w:rPr>
      <w:rFonts w:ascii="Times New Roman" w:hAnsi="Times New Roman" w:cs="Times New Roman"/>
      <w:sz w:val="24"/>
      <w:szCs w:val="24"/>
    </w:rPr>
  </w:style>
  <w:style w:type="paragraph" w:styleId="Revision">
    <w:name w:val="Revision"/>
    <w:hidden/>
    <w:uiPriority w:val="99"/>
    <w:semiHidden/>
    <w:rsid w:val="00D23807"/>
    <w:pPr>
      <w:spacing w:after="0" w:line="240" w:lineRule="auto"/>
    </w:pPr>
  </w:style>
  <w:style w:type="character" w:customStyle="1" w:styleId="jrnl">
    <w:name w:val="jrnl"/>
    <w:basedOn w:val="DefaultParagraphFont"/>
    <w:rsid w:val="00AA784F"/>
  </w:style>
  <w:style w:type="paragraph" w:styleId="Title">
    <w:name w:val="Title"/>
    <w:aliases w:val="title"/>
    <w:basedOn w:val="Normal"/>
    <w:link w:val="TitleChar"/>
    <w:uiPriority w:val="10"/>
    <w:qFormat/>
    <w:rsid w:val="00537FEA"/>
    <w:pPr>
      <w:spacing w:before="100" w:beforeAutospacing="1" w:after="100" w:afterAutospacing="1" w:line="240" w:lineRule="auto"/>
    </w:pPr>
    <w:rPr>
      <w:rFonts w:ascii="Times New Roman" w:hAnsi="Times New Roman" w:cs="Times New Roman"/>
      <w:sz w:val="24"/>
      <w:szCs w:val="24"/>
      <w:lang w:eastAsia="en-GB"/>
    </w:rPr>
  </w:style>
  <w:style w:type="character" w:customStyle="1" w:styleId="TitleChar">
    <w:name w:val="Title Char"/>
    <w:aliases w:val="title Char"/>
    <w:basedOn w:val="DefaultParagraphFont"/>
    <w:link w:val="Title"/>
    <w:uiPriority w:val="10"/>
    <w:rsid w:val="00537FEA"/>
    <w:rPr>
      <w:rFonts w:ascii="Times New Roman" w:hAnsi="Times New Roman" w:cs="Times New Roman"/>
      <w:sz w:val="24"/>
      <w:szCs w:val="24"/>
      <w:lang w:eastAsia="en-GB"/>
    </w:rPr>
  </w:style>
  <w:style w:type="paragraph" w:customStyle="1" w:styleId="desc">
    <w:name w:val="desc"/>
    <w:basedOn w:val="Normal"/>
    <w:rsid w:val="00537FEA"/>
    <w:pPr>
      <w:spacing w:before="100" w:beforeAutospacing="1" w:after="100" w:afterAutospacing="1" w:line="240" w:lineRule="auto"/>
    </w:pPr>
    <w:rPr>
      <w:rFonts w:ascii="Times New Roman" w:hAnsi="Times New Roman" w:cs="Times New Roman"/>
      <w:sz w:val="24"/>
      <w:szCs w:val="24"/>
      <w:lang w:eastAsia="en-GB"/>
    </w:rPr>
  </w:style>
  <w:style w:type="paragraph" w:customStyle="1" w:styleId="details">
    <w:name w:val="details"/>
    <w:basedOn w:val="Normal"/>
    <w:rsid w:val="00537FEA"/>
    <w:pPr>
      <w:spacing w:before="100" w:beforeAutospacing="1" w:after="100" w:afterAutospacing="1" w:line="240" w:lineRule="auto"/>
    </w:pPr>
    <w:rPr>
      <w:rFonts w:ascii="Times New Roman" w:hAnsi="Times New Roman" w:cs="Times New Roman"/>
      <w:sz w:val="24"/>
      <w:szCs w:val="24"/>
      <w:lang w:eastAsia="en-GB"/>
    </w:rPr>
  </w:style>
  <w:style w:type="character" w:customStyle="1" w:styleId="ref-title">
    <w:name w:val="ref-title"/>
    <w:basedOn w:val="DefaultParagraphFont"/>
    <w:rsid w:val="00B57CBA"/>
  </w:style>
  <w:style w:type="character" w:customStyle="1" w:styleId="ref-journal">
    <w:name w:val="ref-journal"/>
    <w:basedOn w:val="DefaultParagraphFont"/>
    <w:rsid w:val="00B57CBA"/>
  </w:style>
  <w:style w:type="character" w:customStyle="1" w:styleId="ref-vol">
    <w:name w:val="ref-vol"/>
    <w:basedOn w:val="DefaultParagraphFont"/>
    <w:rsid w:val="00B57CBA"/>
  </w:style>
  <w:style w:type="character" w:customStyle="1" w:styleId="nowrap">
    <w:name w:val="nowrap"/>
    <w:basedOn w:val="DefaultParagraphFont"/>
    <w:rsid w:val="00B57CBA"/>
  </w:style>
  <w:style w:type="character" w:styleId="FollowedHyperlink">
    <w:name w:val="FollowedHyperlink"/>
    <w:basedOn w:val="DefaultParagraphFont"/>
    <w:uiPriority w:val="99"/>
    <w:semiHidden/>
    <w:unhideWhenUsed/>
    <w:rsid w:val="008A29A0"/>
    <w:rPr>
      <w:color w:val="954F72" w:themeColor="followedHyperlink"/>
      <w:u w:val="single"/>
    </w:rPr>
  </w:style>
  <w:style w:type="paragraph" w:styleId="Header">
    <w:name w:val="header"/>
    <w:basedOn w:val="Normal"/>
    <w:link w:val="HeaderChar"/>
    <w:uiPriority w:val="99"/>
    <w:unhideWhenUsed/>
    <w:rsid w:val="00AE7A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7A7C"/>
  </w:style>
  <w:style w:type="paragraph" w:styleId="Footer">
    <w:name w:val="footer"/>
    <w:basedOn w:val="Normal"/>
    <w:link w:val="FooterChar"/>
    <w:uiPriority w:val="99"/>
    <w:unhideWhenUsed/>
    <w:rsid w:val="00AE7A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7A7C"/>
  </w:style>
  <w:style w:type="paragraph" w:styleId="FootnoteText">
    <w:name w:val="footnote text"/>
    <w:basedOn w:val="Normal"/>
    <w:link w:val="FootnoteTextChar"/>
    <w:uiPriority w:val="99"/>
    <w:semiHidden/>
    <w:unhideWhenUsed/>
    <w:rsid w:val="00EE0C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CCB"/>
    <w:rPr>
      <w:sz w:val="20"/>
      <w:szCs w:val="20"/>
    </w:rPr>
  </w:style>
  <w:style w:type="character" w:styleId="FootnoteReference">
    <w:name w:val="footnote reference"/>
    <w:basedOn w:val="DefaultParagraphFont"/>
    <w:uiPriority w:val="99"/>
    <w:semiHidden/>
    <w:unhideWhenUsed/>
    <w:rsid w:val="00EE0CCB"/>
    <w:rPr>
      <w:vertAlign w:val="superscript"/>
    </w:rPr>
  </w:style>
  <w:style w:type="character" w:styleId="Emphasis">
    <w:name w:val="Emphasis"/>
    <w:basedOn w:val="DefaultParagraphFont"/>
    <w:uiPriority w:val="20"/>
    <w:qFormat/>
    <w:rsid w:val="00C90852"/>
    <w:rPr>
      <w:i/>
      <w:iCs/>
    </w:rPr>
  </w:style>
  <w:style w:type="table" w:styleId="PlainTable4">
    <w:name w:val="Plain Table 4"/>
    <w:basedOn w:val="TableNormal"/>
    <w:uiPriority w:val="44"/>
    <w:rsid w:val="00A4518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31524">
      <w:bodyDiv w:val="1"/>
      <w:marLeft w:val="0"/>
      <w:marRight w:val="0"/>
      <w:marTop w:val="0"/>
      <w:marBottom w:val="0"/>
      <w:divBdr>
        <w:top w:val="none" w:sz="0" w:space="0" w:color="auto"/>
        <w:left w:val="none" w:sz="0" w:space="0" w:color="auto"/>
        <w:bottom w:val="none" w:sz="0" w:space="0" w:color="auto"/>
        <w:right w:val="none" w:sz="0" w:space="0" w:color="auto"/>
      </w:divBdr>
    </w:div>
    <w:div w:id="410124842">
      <w:bodyDiv w:val="1"/>
      <w:marLeft w:val="0"/>
      <w:marRight w:val="0"/>
      <w:marTop w:val="0"/>
      <w:marBottom w:val="0"/>
      <w:divBdr>
        <w:top w:val="none" w:sz="0" w:space="0" w:color="auto"/>
        <w:left w:val="none" w:sz="0" w:space="0" w:color="auto"/>
        <w:bottom w:val="none" w:sz="0" w:space="0" w:color="auto"/>
        <w:right w:val="none" w:sz="0" w:space="0" w:color="auto"/>
      </w:divBdr>
    </w:div>
    <w:div w:id="958419135">
      <w:bodyDiv w:val="1"/>
      <w:marLeft w:val="0"/>
      <w:marRight w:val="0"/>
      <w:marTop w:val="0"/>
      <w:marBottom w:val="0"/>
      <w:divBdr>
        <w:top w:val="none" w:sz="0" w:space="0" w:color="auto"/>
        <w:left w:val="none" w:sz="0" w:space="0" w:color="auto"/>
        <w:bottom w:val="none" w:sz="0" w:space="0" w:color="auto"/>
        <w:right w:val="none" w:sz="0" w:space="0" w:color="auto"/>
      </w:divBdr>
      <w:divsChild>
        <w:div w:id="262765511">
          <w:marLeft w:val="0"/>
          <w:marRight w:val="0"/>
          <w:marTop w:val="0"/>
          <w:marBottom w:val="0"/>
          <w:divBdr>
            <w:top w:val="none" w:sz="0" w:space="0" w:color="auto"/>
            <w:left w:val="none" w:sz="0" w:space="0" w:color="auto"/>
            <w:bottom w:val="none" w:sz="0" w:space="0" w:color="auto"/>
            <w:right w:val="none" w:sz="0" w:space="0" w:color="auto"/>
          </w:divBdr>
        </w:div>
      </w:divsChild>
    </w:div>
    <w:div w:id="969945200">
      <w:bodyDiv w:val="1"/>
      <w:marLeft w:val="0"/>
      <w:marRight w:val="0"/>
      <w:marTop w:val="0"/>
      <w:marBottom w:val="0"/>
      <w:divBdr>
        <w:top w:val="none" w:sz="0" w:space="0" w:color="auto"/>
        <w:left w:val="none" w:sz="0" w:space="0" w:color="auto"/>
        <w:bottom w:val="none" w:sz="0" w:space="0" w:color="auto"/>
        <w:right w:val="none" w:sz="0" w:space="0" w:color="auto"/>
      </w:divBdr>
      <w:divsChild>
        <w:div w:id="83188524">
          <w:marLeft w:val="420"/>
          <w:marRight w:val="0"/>
          <w:marTop w:val="0"/>
          <w:marBottom w:val="0"/>
          <w:divBdr>
            <w:top w:val="none" w:sz="0" w:space="0" w:color="auto"/>
            <w:left w:val="none" w:sz="0" w:space="0" w:color="auto"/>
            <w:bottom w:val="none" w:sz="0" w:space="0" w:color="auto"/>
            <w:right w:val="none" w:sz="0" w:space="0" w:color="auto"/>
          </w:divBdr>
          <w:divsChild>
            <w:div w:id="180604260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1301376128">
      <w:bodyDiv w:val="1"/>
      <w:marLeft w:val="0"/>
      <w:marRight w:val="0"/>
      <w:marTop w:val="0"/>
      <w:marBottom w:val="0"/>
      <w:divBdr>
        <w:top w:val="none" w:sz="0" w:space="0" w:color="auto"/>
        <w:left w:val="none" w:sz="0" w:space="0" w:color="auto"/>
        <w:bottom w:val="none" w:sz="0" w:space="0" w:color="auto"/>
        <w:right w:val="none" w:sz="0" w:space="0" w:color="auto"/>
      </w:divBdr>
    </w:div>
    <w:div w:id="1483349059">
      <w:bodyDiv w:val="1"/>
      <w:marLeft w:val="0"/>
      <w:marRight w:val="0"/>
      <w:marTop w:val="0"/>
      <w:marBottom w:val="0"/>
      <w:divBdr>
        <w:top w:val="none" w:sz="0" w:space="0" w:color="auto"/>
        <w:left w:val="none" w:sz="0" w:space="0" w:color="auto"/>
        <w:bottom w:val="none" w:sz="0" w:space="0" w:color="auto"/>
        <w:right w:val="none" w:sz="0" w:space="0" w:color="auto"/>
      </w:divBdr>
    </w:div>
    <w:div w:id="1497303079">
      <w:bodyDiv w:val="1"/>
      <w:marLeft w:val="0"/>
      <w:marRight w:val="0"/>
      <w:marTop w:val="0"/>
      <w:marBottom w:val="0"/>
      <w:divBdr>
        <w:top w:val="none" w:sz="0" w:space="0" w:color="auto"/>
        <w:left w:val="none" w:sz="0" w:space="0" w:color="auto"/>
        <w:bottom w:val="none" w:sz="0" w:space="0" w:color="auto"/>
        <w:right w:val="none" w:sz="0" w:space="0" w:color="auto"/>
      </w:divBdr>
    </w:div>
    <w:div w:id="1598904199">
      <w:bodyDiv w:val="1"/>
      <w:marLeft w:val="0"/>
      <w:marRight w:val="0"/>
      <w:marTop w:val="0"/>
      <w:marBottom w:val="0"/>
      <w:divBdr>
        <w:top w:val="none" w:sz="0" w:space="0" w:color="auto"/>
        <w:left w:val="none" w:sz="0" w:space="0" w:color="auto"/>
        <w:bottom w:val="none" w:sz="0" w:space="0" w:color="auto"/>
        <w:right w:val="none" w:sz="0" w:space="0" w:color="auto"/>
      </w:divBdr>
    </w:div>
    <w:div w:id="1689136550">
      <w:bodyDiv w:val="1"/>
      <w:marLeft w:val="0"/>
      <w:marRight w:val="0"/>
      <w:marTop w:val="0"/>
      <w:marBottom w:val="0"/>
      <w:divBdr>
        <w:top w:val="none" w:sz="0" w:space="0" w:color="auto"/>
        <w:left w:val="none" w:sz="0" w:space="0" w:color="auto"/>
        <w:bottom w:val="none" w:sz="0" w:space="0" w:color="auto"/>
        <w:right w:val="none" w:sz="0" w:space="0" w:color="auto"/>
      </w:divBdr>
    </w:div>
    <w:div w:id="1806459677">
      <w:bodyDiv w:val="1"/>
      <w:marLeft w:val="0"/>
      <w:marRight w:val="0"/>
      <w:marTop w:val="0"/>
      <w:marBottom w:val="0"/>
      <w:divBdr>
        <w:top w:val="none" w:sz="0" w:space="0" w:color="auto"/>
        <w:left w:val="none" w:sz="0" w:space="0" w:color="auto"/>
        <w:bottom w:val="none" w:sz="0" w:space="0" w:color="auto"/>
        <w:right w:val="none" w:sz="0" w:space="0" w:color="auto"/>
      </w:divBdr>
    </w:div>
    <w:div w:id="1822383655">
      <w:bodyDiv w:val="1"/>
      <w:marLeft w:val="0"/>
      <w:marRight w:val="0"/>
      <w:marTop w:val="0"/>
      <w:marBottom w:val="0"/>
      <w:divBdr>
        <w:top w:val="none" w:sz="0" w:space="0" w:color="auto"/>
        <w:left w:val="none" w:sz="0" w:space="0" w:color="auto"/>
        <w:bottom w:val="none" w:sz="0" w:space="0" w:color="auto"/>
        <w:right w:val="none" w:sz="0" w:space="0" w:color="auto"/>
      </w:divBdr>
    </w:div>
    <w:div w:id="2078549335">
      <w:bodyDiv w:val="1"/>
      <w:marLeft w:val="0"/>
      <w:marRight w:val="0"/>
      <w:marTop w:val="0"/>
      <w:marBottom w:val="0"/>
      <w:divBdr>
        <w:top w:val="none" w:sz="0" w:space="0" w:color="auto"/>
        <w:left w:val="none" w:sz="0" w:space="0" w:color="auto"/>
        <w:bottom w:val="none" w:sz="0" w:space="0" w:color="auto"/>
        <w:right w:val="none" w:sz="0" w:space="0" w:color="auto"/>
      </w:divBdr>
    </w:div>
    <w:div w:id="2079592024">
      <w:bodyDiv w:val="1"/>
      <w:marLeft w:val="0"/>
      <w:marRight w:val="0"/>
      <w:marTop w:val="0"/>
      <w:marBottom w:val="0"/>
      <w:divBdr>
        <w:top w:val="none" w:sz="0" w:space="0" w:color="auto"/>
        <w:left w:val="none" w:sz="0" w:space="0" w:color="auto"/>
        <w:bottom w:val="none" w:sz="0" w:space="0" w:color="auto"/>
        <w:right w:val="none" w:sz="0" w:space="0" w:color="auto"/>
      </w:divBdr>
    </w:div>
    <w:div w:id="208032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359/jbmr.090711" TargetMode="External"/><Relationship Id="rId117" Type="http://schemas.openxmlformats.org/officeDocument/2006/relationships/fontTable" Target="fontTable.xml"/><Relationship Id="rId21" Type="http://schemas.openxmlformats.org/officeDocument/2006/relationships/hyperlink" Target="https://doi.org/10.1002/jbmr.1494" TargetMode="External"/><Relationship Id="rId42" Type="http://schemas.openxmlformats.org/officeDocument/2006/relationships/hyperlink" Target="https://doi.org/10.1097/AOG.0b013e318291718c" TargetMode="External"/><Relationship Id="rId47" Type="http://schemas.openxmlformats.org/officeDocument/2006/relationships/hyperlink" Target="https://doi.org/10.1002/jbmr.3359" TargetMode="External"/><Relationship Id="rId63" Type="http://schemas.openxmlformats.org/officeDocument/2006/relationships/hyperlink" Target="https://doi.org/10.1056/NEJMoa1010650" TargetMode="External"/><Relationship Id="rId68" Type="http://schemas.openxmlformats.org/officeDocument/2006/relationships/hyperlink" Target="https://www.ncbi.nlm.nih.gov/pubmed/?term=Khan%20AA%5BAuthor%5D&amp;cauthor=true&amp;cauthor_uid=25414052" TargetMode="External"/><Relationship Id="rId84" Type="http://schemas.openxmlformats.org/officeDocument/2006/relationships/hyperlink" Target="https://www.ncbi.nlm.nih.gov/pubmed/?term=Morin%20SN%5BAuthor%5D&amp;cauthor=true&amp;cauthor_uid=25414052" TargetMode="External"/><Relationship Id="rId89" Type="http://schemas.openxmlformats.org/officeDocument/2006/relationships/hyperlink" Target="https://www.ncbi.nlm.nih.gov/pubmed/?term=Langdahl%20BL%5BAuthor%5D&amp;cauthor=true&amp;cauthor_uid=25414052" TargetMode="External"/><Relationship Id="rId112" Type="http://schemas.openxmlformats.org/officeDocument/2006/relationships/hyperlink" Target="https://doi.org/10.1007/s00774-010-0191-2" TargetMode="External"/><Relationship Id="rId16" Type="http://schemas.openxmlformats.org/officeDocument/2006/relationships/hyperlink" Target="https://doi.org/10.1002/jbmr.253" TargetMode="External"/><Relationship Id="rId107" Type="http://schemas.openxmlformats.org/officeDocument/2006/relationships/hyperlink" Target="https://doi.org/10.1186/s40902-016-0099-4" TargetMode="External"/><Relationship Id="rId11" Type="http://schemas.openxmlformats.org/officeDocument/2006/relationships/hyperlink" Target="https://doi.org/10.1007/s00198-008-0651-x" TargetMode="External"/><Relationship Id="rId24" Type="http://schemas.openxmlformats.org/officeDocument/2006/relationships/hyperlink" Target="https://doi.org/10.1210/jc.2010-1502" TargetMode="External"/><Relationship Id="rId32" Type="http://schemas.openxmlformats.org/officeDocument/2006/relationships/hyperlink" Target="https://doi.org/10.1007/s00198-015-3179-x" TargetMode="External"/><Relationship Id="rId37" Type="http://schemas.openxmlformats.org/officeDocument/2006/relationships/hyperlink" Target="https://doi.org/10.1002/jbmr.1864" TargetMode="External"/><Relationship Id="rId40" Type="http://schemas.openxmlformats.org/officeDocument/2006/relationships/hyperlink" Target="https://doi.org/10.1002/jbmr.1479" TargetMode="External"/><Relationship Id="rId45" Type="http://schemas.openxmlformats.org/officeDocument/2006/relationships/hyperlink" Target="https://doi.org/10.1001/jama.296.24.2927" TargetMode="External"/><Relationship Id="rId53" Type="http://schemas.openxmlformats.org/officeDocument/2006/relationships/hyperlink" Target="https://doi.org/10.1186/s12891-017-1520-6" TargetMode="External"/><Relationship Id="rId58" Type="http://schemas.openxmlformats.org/officeDocument/2006/relationships/hyperlink" Target="https://doi.org/10.1007/s00198-014-2900-5" TargetMode="External"/><Relationship Id="rId66" Type="http://schemas.openxmlformats.org/officeDocument/2006/relationships/hyperlink" Target="https://doi.org/10.1016/S0278-2391(03)00720-1" TargetMode="External"/><Relationship Id="rId74" Type="http://schemas.openxmlformats.org/officeDocument/2006/relationships/hyperlink" Target="https://www.ncbi.nlm.nih.gov/pubmed/?term=Reid%20IR%5BAuthor%5D&amp;cauthor=true&amp;cauthor_uid=25414052" TargetMode="External"/><Relationship Id="rId79" Type="http://schemas.openxmlformats.org/officeDocument/2006/relationships/hyperlink" Target="https://www.ncbi.nlm.nih.gov/pubmed/?term=Brandi%20ML%5BAuthor%5D&amp;cauthor=true&amp;cauthor_uid=25414052" TargetMode="External"/><Relationship Id="rId87" Type="http://schemas.openxmlformats.org/officeDocument/2006/relationships/hyperlink" Target="https://www.ncbi.nlm.nih.gov/pubmed/?term=Morgan%20SL%5BAuthor%5D&amp;cauthor=true&amp;cauthor_uid=25414052" TargetMode="External"/><Relationship Id="rId102" Type="http://schemas.openxmlformats.org/officeDocument/2006/relationships/hyperlink" Target="https://www.ncbi.nlm.nih.gov/pubmed/25414052" TargetMode="External"/><Relationship Id="rId110" Type="http://schemas.openxmlformats.org/officeDocument/2006/relationships/hyperlink" Target="https://doi.org/10.1007/s00198-016-3565-z" TargetMode="External"/><Relationship Id="rId115" Type="http://schemas.openxmlformats.org/officeDocument/2006/relationships/image" Target="media/image1.jpg"/><Relationship Id="rId5" Type="http://schemas.openxmlformats.org/officeDocument/2006/relationships/webSettings" Target="webSettings.xml"/><Relationship Id="rId61" Type="http://schemas.openxmlformats.org/officeDocument/2006/relationships/hyperlink" Target="https://doi.org/10.1007/s00198-008-0604-4" TargetMode="External"/><Relationship Id="rId82" Type="http://schemas.openxmlformats.org/officeDocument/2006/relationships/hyperlink" Target="https://www.ncbi.nlm.nih.gov/pubmed/?term=Eastell%20R%5BAuthor%5D&amp;cauthor=true&amp;cauthor_uid=25414052" TargetMode="External"/><Relationship Id="rId90" Type="http://schemas.openxmlformats.org/officeDocument/2006/relationships/hyperlink" Target="https://www.ncbi.nlm.nih.gov/pubmed/?term=Al%20Dabagh%20R%5BAuthor%5D&amp;cauthor=true&amp;cauthor_uid=25414052" TargetMode="External"/><Relationship Id="rId95" Type="http://schemas.openxmlformats.org/officeDocument/2006/relationships/hyperlink" Target="https://www.ncbi.nlm.nih.gov/pubmed/?term=Bhandari%20M%5BAuthor%5D&amp;cauthor=true&amp;cauthor_uid=25414052" TargetMode="External"/><Relationship Id="rId19" Type="http://schemas.openxmlformats.org/officeDocument/2006/relationships/hyperlink" Target="https://doi/10.1136/bmj.e3698" TargetMode="External"/><Relationship Id="rId14" Type="http://schemas.openxmlformats.org/officeDocument/2006/relationships/hyperlink" Target="https://doi.org/10.1016/j.maturitas.2017.04.008" TargetMode="External"/><Relationship Id="rId22" Type="http://schemas.openxmlformats.org/officeDocument/2006/relationships/hyperlink" Target="https://doi.org/10.1002/jbmr.1494%20" TargetMode="External"/><Relationship Id="rId27" Type="http://schemas.openxmlformats.org/officeDocument/2006/relationships/hyperlink" Target="https://doi.org/10.1002/jbmr.2236" TargetMode="External"/><Relationship Id="rId30" Type="http://schemas.openxmlformats.org/officeDocument/2006/relationships/hyperlink" Target="https://doi.org/10.1002/jbmr.2361" TargetMode="External"/><Relationship Id="rId35" Type="http://schemas.openxmlformats.org/officeDocument/2006/relationships/hyperlink" Target="https://doi.org/10.1007/s00198-012-2052-4" TargetMode="External"/><Relationship Id="rId43" Type="http://schemas.openxmlformats.org/officeDocument/2006/relationships/hyperlink" Target="https://doi.org/10.1359/jbmr.090702" TargetMode="External"/><Relationship Id="rId48" Type="http://schemas.openxmlformats.org/officeDocument/2006/relationships/hyperlink" Target="https://doi.org/10.1002/jbmr.3110" TargetMode="External"/><Relationship Id="rId56" Type="http://schemas.openxmlformats.org/officeDocument/2006/relationships/hyperlink" Target="https://doi.org/10.1001/jamainternmed.2014.1232" TargetMode="External"/><Relationship Id="rId64" Type="http://schemas.openxmlformats.org/officeDocument/2006/relationships/hyperlink" Target="https://doi.org/10.1002/jbmr.1719" TargetMode="External"/><Relationship Id="rId69" Type="http://schemas.openxmlformats.org/officeDocument/2006/relationships/hyperlink" Target="https://www.ncbi.nlm.nih.gov/pubmed/?term=Morrison%20A%5BAuthor%5D&amp;cauthor=true&amp;cauthor_uid=25414052" TargetMode="External"/><Relationship Id="rId77" Type="http://schemas.openxmlformats.org/officeDocument/2006/relationships/hyperlink" Target="https://www.ncbi.nlm.nih.gov/pubmed/?term=Tetradis%20S%5BAuthor%5D&amp;cauthor=true&amp;cauthor_uid=25414052" TargetMode="External"/><Relationship Id="rId100" Type="http://schemas.openxmlformats.org/officeDocument/2006/relationships/hyperlink" Target="https://www.ncbi.nlm.nih.gov/pubmed/?term=Brown%20JP%5BAuthor%5D&amp;cauthor=true&amp;cauthor_uid=25414052" TargetMode="External"/><Relationship Id="rId105" Type="http://schemas.openxmlformats.org/officeDocument/2006/relationships/hyperlink" Target="https://doi.org/10.1016/j.joms.2005.07.010" TargetMode="External"/><Relationship Id="rId113" Type="http://schemas.openxmlformats.org/officeDocument/2006/relationships/hyperlink" Target="https://doi.org/10.1007/s00198-014-2619-3" TargetMode="External"/><Relationship Id="rId118" Type="http://schemas.openxmlformats.org/officeDocument/2006/relationships/theme" Target="theme/theme1.xml"/><Relationship Id="rId8" Type="http://schemas.openxmlformats.org/officeDocument/2006/relationships/hyperlink" Target="https://doi.org/10.1007/s00198-006-0172-4" TargetMode="External"/><Relationship Id="rId51" Type="http://schemas.openxmlformats.org/officeDocument/2006/relationships/hyperlink" Target="https://doi.org/10.1007/s00198-017-4242-6" TargetMode="External"/><Relationship Id="rId72" Type="http://schemas.openxmlformats.org/officeDocument/2006/relationships/hyperlink" Target="https://www.ncbi.nlm.nih.gov/pubmed/?term=McCauley%20LK%5BAuthor%5D&amp;cauthor=true&amp;cauthor_uid=25414052" TargetMode="External"/><Relationship Id="rId80" Type="http://schemas.openxmlformats.org/officeDocument/2006/relationships/hyperlink" Target="https://www.ncbi.nlm.nih.gov/pubmed/?term=Peters%20E%5BAuthor%5D&amp;cauthor=true&amp;cauthor_uid=25414052" TargetMode="External"/><Relationship Id="rId85" Type="http://schemas.openxmlformats.org/officeDocument/2006/relationships/hyperlink" Target="https://www.ncbi.nlm.nih.gov/pubmed/?term=Masri%20B%5BAuthor%5D&amp;cauthor=true&amp;cauthor_uid=25414052" TargetMode="External"/><Relationship Id="rId93" Type="http://schemas.openxmlformats.org/officeDocument/2006/relationships/hyperlink" Target="https://www.ncbi.nlm.nih.gov/pubmed/?term=S%C3%A1ndor%20GK%5BAuthor%5D&amp;cauthor=true&amp;cauthor_uid=25414052" TargetMode="External"/><Relationship Id="rId98" Type="http://schemas.openxmlformats.org/officeDocument/2006/relationships/hyperlink" Target="https://www.ncbi.nlm.nih.gov/pubmed/?term=Sulimani%20R%5BAuthor%5D&amp;cauthor=true&amp;cauthor_uid=25414052" TargetMode="External"/><Relationship Id="rId3" Type="http://schemas.openxmlformats.org/officeDocument/2006/relationships/styles" Target="styles.xml"/><Relationship Id="rId12" Type="http://schemas.openxmlformats.org/officeDocument/2006/relationships/hyperlink" Target="https://doi.org/10.1007/s00198-015-3453-y" TargetMode="External"/><Relationship Id="rId17" Type="http://schemas.openxmlformats.org/officeDocument/2006/relationships/hyperlink" Target="https://doi.org/10.1002/jbmr.2708" TargetMode="External"/><Relationship Id="rId25" Type="http://schemas.openxmlformats.org/officeDocument/2006/relationships/hyperlink" Target="https://doi.org/10.1210/jc.2013-1597" TargetMode="External"/><Relationship Id="rId33" Type="http://schemas.openxmlformats.org/officeDocument/2006/relationships/hyperlink" Target="https://doi.org/10.1007/s00198-014-2929-5" TargetMode="External"/><Relationship Id="rId38" Type="http://schemas.openxmlformats.org/officeDocument/2006/relationships/hyperlink" Target="https://doi.org/10.1007/s00198-011-1773-0" TargetMode="External"/><Relationship Id="rId46" Type="http://schemas.openxmlformats.org/officeDocument/2006/relationships/hyperlink" Target="https://doi.org/10.1016/j.bone.2017.08.003" TargetMode="External"/><Relationship Id="rId59" Type="http://schemas.openxmlformats.org/officeDocument/2006/relationships/hyperlink" Target="https://doi.org/10.1007/s00198-015-3447-9" TargetMode="External"/><Relationship Id="rId67" Type="http://schemas.openxmlformats.org/officeDocument/2006/relationships/hyperlink" Target="https://doi.org/10.1016/j.joms.2009.03.050" TargetMode="External"/><Relationship Id="rId103" Type="http://schemas.openxmlformats.org/officeDocument/2006/relationships/hyperlink" Target="https://doi.org/10.1002/jbmr.2405" TargetMode="External"/><Relationship Id="rId108" Type="http://schemas.openxmlformats.org/officeDocument/2006/relationships/hyperlink" Target="https://doi.org/10.1007/s00198-017-4132-y" TargetMode="External"/><Relationship Id="rId116" Type="http://schemas.openxmlformats.org/officeDocument/2006/relationships/footer" Target="footer1.xml"/><Relationship Id="rId20" Type="http://schemas.openxmlformats.org/officeDocument/2006/relationships/hyperlink" Target="https://doi.org/10.1007/s00198-011-1793-9" TargetMode="External"/><Relationship Id="rId41" Type="http://schemas.openxmlformats.org/officeDocument/2006/relationships/hyperlink" Target="https://doi.org/10.1007/s00198-015-3234-7" TargetMode="External"/><Relationship Id="rId54" Type="http://schemas.openxmlformats.org/officeDocument/2006/relationships/hyperlink" Target="https://doi.org/10.1016/S2213-8587(17)30138-9" TargetMode="External"/><Relationship Id="rId62" Type="http://schemas.openxmlformats.org/officeDocument/2006/relationships/hyperlink" Target="https://doi.org/10.1056/NEJMoa1001086" TargetMode="External"/><Relationship Id="rId70" Type="http://schemas.openxmlformats.org/officeDocument/2006/relationships/hyperlink" Target="https://www.ncbi.nlm.nih.gov/pubmed/?term=Hanley%20DA%5BAuthor%5D&amp;cauthor=true&amp;cauthor_uid=25414052" TargetMode="External"/><Relationship Id="rId75" Type="http://schemas.openxmlformats.org/officeDocument/2006/relationships/hyperlink" Target="https://www.ncbi.nlm.nih.gov/pubmed/?term=Ruggiero%20SL%5BAuthor%5D&amp;cauthor=true&amp;cauthor_uid=25414052" TargetMode="External"/><Relationship Id="rId83" Type="http://schemas.openxmlformats.org/officeDocument/2006/relationships/hyperlink" Target="https://www.ncbi.nlm.nih.gov/pubmed/?term=Cheung%20AM%5BAuthor%5D&amp;cauthor=true&amp;cauthor_uid=25414052" TargetMode="External"/><Relationship Id="rId88" Type="http://schemas.openxmlformats.org/officeDocument/2006/relationships/hyperlink" Target="https://www.ncbi.nlm.nih.gov/pubmed/?term=Obermayer-Pietsch%20B%5BAuthor%5D&amp;cauthor=true&amp;cauthor_uid=25414052" TargetMode="External"/><Relationship Id="rId91" Type="http://schemas.openxmlformats.org/officeDocument/2006/relationships/hyperlink" Target="https://www.ncbi.nlm.nih.gov/pubmed/?term=Davison%20KS%5BAuthor%5D&amp;cauthor=true&amp;cauthor_uid=25414052" TargetMode="External"/><Relationship Id="rId96" Type="http://schemas.openxmlformats.org/officeDocument/2006/relationships/hyperlink" Target="https://www.ncbi.nlm.nih.gov/pubmed/?term=El%20Rabbany%20M%5BAuthor%5D&amp;cauthor=true&amp;cauthor_uid=25414052" TargetMode="External"/><Relationship Id="rId111" Type="http://schemas.openxmlformats.org/officeDocument/2006/relationships/hyperlink" Target="https://doi.org/10.1016/j.maturitas.2015.08.007" TargetMode="External"/><Relationship Id="rId1" Type="http://schemas.openxmlformats.org/officeDocument/2006/relationships/customXml" Target="../customXml/item1.xml"/><Relationship Id="rId6" Type="http://schemas.openxmlformats.org/officeDocument/2006/relationships/footnotes" Target="footnotes.xml"/><Relationship Id="rId246" Type="http://schemas.microsoft.com/office/2016/09/relationships/commentsIds" Target="commentsIds.xml"/><Relationship Id="rId15" Type="http://schemas.openxmlformats.org/officeDocument/2006/relationships/hyperlink" Target="https://doi.org/10.4158/EP.16.6.1016" TargetMode="External"/><Relationship Id="rId23" Type="http://schemas.openxmlformats.org/officeDocument/2006/relationships/hyperlink" Target="https://doi.org/10.1002/jbmr.2442" TargetMode="External"/><Relationship Id="rId28" Type="http://schemas.openxmlformats.org/officeDocument/2006/relationships/hyperlink" Target="https://doi.org/10.1002/jbmr.1808" TargetMode="External"/><Relationship Id="rId36" Type="http://schemas.openxmlformats.org/officeDocument/2006/relationships/hyperlink" Target="https://doi.org/10.1210/jc.2014-1193" TargetMode="External"/><Relationship Id="rId49" Type="http://schemas.openxmlformats.org/officeDocument/2006/relationships/hyperlink" Target="https://doi.org/10.1007/s00198-017-3919-1" TargetMode="External"/><Relationship Id="rId57" Type="http://schemas.openxmlformats.org/officeDocument/2006/relationships/hyperlink" Target="https://doi.org/10.1002/jbmr.3337" TargetMode="External"/><Relationship Id="rId106" Type="http://schemas.openxmlformats.org/officeDocument/2006/relationships/hyperlink" Target="https://doi.org/10.1056/NEJMoa067312" TargetMode="External"/><Relationship Id="rId114" Type="http://schemas.openxmlformats.org/officeDocument/2006/relationships/hyperlink" Target="https://doi.org/10.1002/jbmr.3420" TargetMode="External"/><Relationship Id="rId10" Type="http://schemas.openxmlformats.org/officeDocument/2006/relationships/hyperlink" Target="https://doi.org/10.1007/s00198-017-4144-7" TargetMode="External"/><Relationship Id="rId31" Type="http://schemas.openxmlformats.org/officeDocument/2006/relationships/hyperlink" Target="https://doi.org/10.1210/jc.2011-0412" TargetMode="External"/><Relationship Id="rId44" Type="http://schemas.openxmlformats.org/officeDocument/2006/relationships/hyperlink" Target="https://doi.org/10.1359/JBMR.040326" TargetMode="External"/><Relationship Id="rId52" Type="http://schemas.openxmlformats.org/officeDocument/2006/relationships/hyperlink" Target="https://doi.org/10.1002/jbmr.1808" TargetMode="External"/><Relationship Id="rId60" Type="http://schemas.openxmlformats.org/officeDocument/2006/relationships/hyperlink" Target="https://doi.org/10.1007/s00198-017-4215-9" TargetMode="External"/><Relationship Id="rId65" Type="http://schemas.openxmlformats.org/officeDocument/2006/relationships/hyperlink" Target="https://doi.org/10.1007/s12603-015-0652-3" TargetMode="External"/><Relationship Id="rId73" Type="http://schemas.openxmlformats.org/officeDocument/2006/relationships/hyperlink" Target="https://www.ncbi.nlm.nih.gov/pubmed/?term=O'Ryan%20F%5BAuthor%5D&amp;cauthor=true&amp;cauthor_uid=25414052" TargetMode="External"/><Relationship Id="rId78" Type="http://schemas.openxmlformats.org/officeDocument/2006/relationships/hyperlink" Target="https://www.ncbi.nlm.nih.gov/pubmed/?term=Watts%20NB%5BAuthor%5D&amp;cauthor=true&amp;cauthor_uid=25414052" TargetMode="External"/><Relationship Id="rId81" Type="http://schemas.openxmlformats.org/officeDocument/2006/relationships/hyperlink" Target="https://www.ncbi.nlm.nih.gov/pubmed/?term=Guise%20T%5BAuthor%5D&amp;cauthor=true&amp;cauthor_uid=25414052" TargetMode="External"/><Relationship Id="rId86" Type="http://schemas.openxmlformats.org/officeDocument/2006/relationships/hyperlink" Target="https://www.ncbi.nlm.nih.gov/pubmed/?term=Cooper%20C%5BAuthor%5D&amp;cauthor=true&amp;cauthor_uid=25414052" TargetMode="External"/><Relationship Id="rId94" Type="http://schemas.openxmlformats.org/officeDocument/2006/relationships/hyperlink" Target="https://www.ncbi.nlm.nih.gov/pubmed/?term=Josse%20RG%5BAuthor%5D&amp;cauthor=true&amp;cauthor_uid=25414052" TargetMode="External"/><Relationship Id="rId99" Type="http://schemas.openxmlformats.org/officeDocument/2006/relationships/hyperlink" Target="https://www.ncbi.nlm.nih.gov/pubmed/?term=Saunders%20DP%5BAuthor%5D&amp;cauthor=true&amp;cauthor_uid=25414052" TargetMode="External"/><Relationship Id="rId101" Type="http://schemas.openxmlformats.org/officeDocument/2006/relationships/hyperlink" Target="https://www.ncbi.nlm.nih.gov/pubmed/?term=Compston%20J%5BAuthor%5D&amp;cauthor=true&amp;cauthor_uid=25414052" TargetMode="External"/><Relationship Id="rId4" Type="http://schemas.openxmlformats.org/officeDocument/2006/relationships/settings" Target="settings.xml"/><Relationship Id="rId9" Type="http://schemas.openxmlformats.org/officeDocument/2006/relationships/hyperlink" Target="https://doi.org/10.1007/s00198-006-0274-z" TargetMode="External"/><Relationship Id="rId13" Type="http://schemas.openxmlformats.org/officeDocument/2006/relationships/hyperlink" Target="https://doi.org/10.1056/NEJMp1202619" TargetMode="External"/><Relationship Id="rId18" Type="http://schemas.openxmlformats.org/officeDocument/2006/relationships/hyperlink" Target="https://doi.org/10.1007/s11657-017-0324-5" TargetMode="External"/><Relationship Id="rId39" Type="http://schemas.openxmlformats.org/officeDocument/2006/relationships/hyperlink" Target="https://doi.org/10.1210/jc.2010-1805" TargetMode="External"/><Relationship Id="rId109" Type="http://schemas.openxmlformats.org/officeDocument/2006/relationships/hyperlink" Target="https://doi.org/10.1136/bmj.i3365" TargetMode="External"/><Relationship Id="rId34" Type="http://schemas.openxmlformats.org/officeDocument/2006/relationships/hyperlink" Target="https://doi.org/10.1016/S0140-6736(15)61120-5" TargetMode="External"/><Relationship Id="rId50" Type="http://schemas.openxmlformats.org/officeDocument/2006/relationships/hyperlink" Target="https://doi.org/10.1007/s00223-018-0394-4" TargetMode="External"/><Relationship Id="rId55" Type="http://schemas.openxmlformats.org/officeDocument/2006/relationships/hyperlink" Target="https://doi.org/10.1002/jbmr.11" TargetMode="External"/><Relationship Id="rId76" Type="http://schemas.openxmlformats.org/officeDocument/2006/relationships/hyperlink" Target="https://www.ncbi.nlm.nih.gov/pubmed/?term=Taguchi%20A%5BAuthor%5D&amp;cauthor=true&amp;cauthor_uid=25414052" TargetMode="External"/><Relationship Id="rId97" Type="http://schemas.openxmlformats.org/officeDocument/2006/relationships/hyperlink" Target="https://www.ncbi.nlm.nih.gov/pubmed/?term=Pierroz%20DD%5BAuthor%5D&amp;cauthor=true&amp;cauthor_uid=25414052" TargetMode="External"/><Relationship Id="rId104" Type="http://schemas.openxmlformats.org/officeDocument/2006/relationships/hyperlink" Target="https://doi.org/10.7326/0003-4819-144-10-200605160-00009" TargetMode="External"/><Relationship Id="rId7" Type="http://schemas.openxmlformats.org/officeDocument/2006/relationships/endnotes" Target="endnotes.xml"/><Relationship Id="rId71" Type="http://schemas.openxmlformats.org/officeDocument/2006/relationships/hyperlink" Target="https://www.ncbi.nlm.nih.gov/pubmed/?term=Felsenberg%20D%5BAuthor%5D&amp;cauthor=true&amp;cauthor_uid=25414052" TargetMode="External"/><Relationship Id="rId92" Type="http://schemas.openxmlformats.org/officeDocument/2006/relationships/hyperlink" Target="https://www.ncbi.nlm.nih.gov/pubmed/?term=Kendler%20DL%5BAuthor%5D&amp;cauthor=true&amp;cauthor_uid=25414052" TargetMode="External"/><Relationship Id="rId2" Type="http://schemas.openxmlformats.org/officeDocument/2006/relationships/numbering" Target="numbering.xml"/><Relationship Id="rId29" Type="http://schemas.openxmlformats.org/officeDocument/2006/relationships/hyperlink" Target="https://doi.org/10.1210/jc.2014-19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7F139-892D-4A0D-A3C9-321B78136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10426</Words>
  <Characters>59434</Characters>
  <Application>Microsoft Office Word</Application>
  <DocSecurity>4</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Dennison</dc:creator>
  <cp:keywords/>
  <dc:description/>
  <cp:lastModifiedBy>Karen Drake</cp:lastModifiedBy>
  <cp:revision>2</cp:revision>
  <cp:lastPrinted>2019-03-28T09:01:00Z</cp:lastPrinted>
  <dcterms:created xsi:type="dcterms:W3CDTF">2019-03-28T09:09:00Z</dcterms:created>
  <dcterms:modified xsi:type="dcterms:W3CDTF">2019-03-28T09:09:00Z</dcterms:modified>
</cp:coreProperties>
</file>