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893" w:rsidRPr="00157DEE" w:rsidRDefault="00E335E0" w:rsidP="005B68AB">
      <w:pPr>
        <w:pStyle w:val="BodyText"/>
      </w:pPr>
      <w:r w:rsidRPr="00157DEE">
        <w:t xml:space="preserve">In this issue, Curtis and colleagues discuss the impact of guideline and policy changes which may affect clinical practice during the conduct of a pragmatic clinical trial. </w:t>
      </w:r>
      <w:r w:rsidR="00C05B66" w:rsidRPr="00157DEE">
        <w:t>They go on to make recommendations based on their experience as to how to overcome challenges introduced by these changes.</w:t>
      </w:r>
      <w:r w:rsidR="005D59D0">
        <w:t xml:space="preserve"> </w:t>
      </w:r>
      <w:r w:rsidRPr="00157DEE">
        <w:t xml:space="preserve">The potential impact of these changes is that the environment in which a trial is conducted </w:t>
      </w:r>
      <w:r w:rsidR="00C656B9">
        <w:t>mutates as the trial is underway</w:t>
      </w:r>
      <w:r w:rsidRPr="00157DEE">
        <w:t xml:space="preserve">. This </w:t>
      </w:r>
      <w:r w:rsidR="00C656B9">
        <w:t>may</w:t>
      </w:r>
      <w:r w:rsidRPr="00157DEE">
        <w:t xml:space="preserve"> affect the way in which hospital or public health services are organised, the availability or licensing conditions of the study interventions, or may impact on the equipoise of the clinical community conducting the trial shifting community willingness to recruit to a study.</w:t>
      </w:r>
    </w:p>
    <w:p w:rsidR="00C05B66" w:rsidRPr="00157DEE" w:rsidRDefault="00CE2359" w:rsidP="00157DEE">
      <w:pPr>
        <w:pStyle w:val="BodyText"/>
      </w:pPr>
      <w:r w:rsidRPr="00157DEE">
        <w:t>The paper has many strengths to commend it. This sort of meta-research – investigating the research process – is important in its own right.</w:t>
      </w:r>
      <w:r w:rsidR="00065C6D" w:rsidRPr="00157DEE">
        <w:t xml:space="preserve"> </w:t>
      </w:r>
      <w:r w:rsidR="004F6745" w:rsidRPr="00157DEE">
        <w:t>It’s essential to make the research process more robust</w:t>
      </w:r>
      <w:r w:rsidR="00F239DD" w:rsidRPr="00157DEE">
        <w:t xml:space="preserve"> and efficient</w:t>
      </w:r>
      <w:r w:rsidR="004F6745" w:rsidRPr="00157DEE">
        <w:t xml:space="preserve"> </w:t>
      </w:r>
      <w:r w:rsidR="00F239DD" w:rsidRPr="00157DEE">
        <w:fldChar w:fldCharType="begin"/>
      </w:r>
      <w:r w:rsidR="00CA2C77">
        <w:instrText xml:space="preserve"> ADDIN PAPERS2_CITATIONS &lt;citation&gt;&lt;priority&gt;0&lt;/priority&gt;&lt;uuid&gt;1BF57A65-A6DD-4113-91BF-D37A64AB93BA&lt;/uuid&gt;&lt;publications&gt;&lt;publication&gt;&lt;subtype&gt;400&lt;/subtype&gt;&lt;publisher&gt;Public Library of Science&lt;/publisher&gt;&lt;title&gt;Meta-research: Evaluation and Improvement of Research Methods and Practices&lt;/title&gt;&lt;url&gt;http://dx.plos.org/10.1371/journal.pbio.1002264&lt;/url&gt;&lt;volume&gt;13&lt;/volume&gt;&lt;publication_date&gt;99201510021200000000222000&lt;/publication_date&gt;&lt;uuid&gt;A8CA6429-FE06-4B2A-8F6C-988BCD31BF3A&lt;/uuid&gt;&lt;type&gt;400&lt;/type&gt;&lt;number&gt;10&lt;/number&gt;&lt;doi&gt;10.1371/journal.pbio.1002264&lt;/doi&gt;&lt;startpage&gt;e1002264&lt;/startpage&gt;&lt;bundle&gt;&lt;publication&gt;&lt;title&gt;PLOS Biol&lt;/title&gt;&lt;uuid&gt;1B9A7591-6629-4BFD-9556-3C0506333BFB&lt;/uuid&gt;&lt;subtype&gt;-100&lt;/subtype&gt;&lt;publisher&gt;Public Library of Science&lt;/publisher&gt;&lt;type&gt;-100&lt;/type&gt;&lt;/publication&gt;&lt;/bundle&gt;&lt;authors&gt;&lt;author&gt;&lt;lastName&gt;Ioannidis&lt;/lastName&gt;&lt;firstName&gt;John&lt;/firstName&gt;&lt;middleNames&gt;P A&lt;/middleNames&gt;&lt;/author&gt;&lt;author&gt;&lt;lastName&gt;Fanelli&lt;/lastName&gt;&lt;firstName&gt;Daniele&lt;/firstName&gt;&lt;/author&gt;&lt;author&gt;&lt;lastName&gt;Dunne&lt;/lastName&gt;&lt;firstName&gt;Debbie&lt;/firstName&gt;&lt;middleNames&gt;Drake&lt;/middleNames&gt;&lt;/author&gt;&lt;author&gt;&lt;lastName&gt;Goodman&lt;/lastName&gt;&lt;firstName&gt;Steven&lt;/firstName&gt;&lt;middleNames&gt;N&lt;/middleNames&gt;&lt;/author&gt;&lt;/authors&gt;&lt;/publication&gt;&lt;/publications&gt;&lt;cites&gt;&lt;/cites&gt;&lt;/citation&gt;</w:instrText>
      </w:r>
      <w:r w:rsidR="00F239DD" w:rsidRPr="00157DEE">
        <w:fldChar w:fldCharType="separate"/>
      </w:r>
      <w:r w:rsidR="00FF21A6">
        <w:rPr>
          <w:rFonts w:ascii="Helvetica" w:hAnsi="Helvetica" w:cs="Helvetica"/>
          <w:vertAlign w:val="superscript"/>
          <w:lang w:val="en-US"/>
        </w:rPr>
        <w:t>1</w:t>
      </w:r>
      <w:r w:rsidR="00F239DD" w:rsidRPr="00157DEE">
        <w:fldChar w:fldCharType="end"/>
      </w:r>
      <w:r w:rsidR="00F239DD" w:rsidRPr="00157DEE">
        <w:t xml:space="preserve">. Getting the research process wrong contributes substantially to research waste </w:t>
      </w:r>
      <w:r w:rsidR="00F239DD" w:rsidRPr="00157DEE">
        <w:fldChar w:fldCharType="begin"/>
      </w:r>
      <w:r w:rsidR="00CA2C77">
        <w:instrText xml:space="preserve"> ADDIN PAPERS2_CITATIONS &lt;citation&gt;&lt;priority&gt;1&lt;/priority&gt;&lt;uuid&gt;3C7030F2-5130-42E1-805C-4D367518D2EF&lt;/uuid&gt;&lt;publications&gt;&lt;publication&gt;&lt;subtype&gt;400&lt;/subtype&gt;&lt;location&gt;200,4,51.7522792,-1.2558838&lt;/location&gt;&lt;title&gt;Avoidable waste in the production and reporting of research evidence.&lt;/title&gt;&lt;url&gt;http://eutils.ncbi.nlm.nih.gov/entrez/eutils/elink.fcgi?dbfrom=pubmed&amp;amp;id=19525005&amp;amp;retmode=ref&amp;amp;cmd=prlinks&lt;/url&gt;&lt;volume&gt;374&lt;/volume&gt;&lt;publication_date&gt;99200907041200000000222000&lt;/publication_date&gt;&lt;uuid&gt;D5770542-DC46-40FC-9842-D1D624AD9811&lt;/uuid&gt;&lt;type&gt;400&lt;/type&gt;&lt;number&gt;9683&lt;/number&gt;&lt;doi&gt;10.1016/S0140-6736(09)60329-9&lt;/doi&gt;&lt;institution&gt;James Lind Library, James Lind Initiative, Oxford, UK. ichalmers@jameslindlibrary.org&lt;/institution&gt;&lt;startpage&gt;86&lt;/startpage&gt;&lt;endpage&gt;89&lt;/endpage&gt;&lt;authors&gt;&lt;author&gt;&lt;lastName&gt;Chalmers&lt;/lastName&gt;&lt;firstName&gt;Iain&lt;/firstName&gt;&lt;/author&gt;&lt;author&gt;&lt;lastName&gt;Glasziou&lt;/lastName&gt;&lt;firstName&gt;Paul&lt;/firstName&gt;&lt;middleNames&gt;P&lt;/middleNames&gt;&lt;/author&gt;&lt;/authors&gt;&lt;/publication&gt;&lt;/publications&gt;&lt;cites&gt;&lt;/cites&gt;&lt;/citation&gt;</w:instrText>
      </w:r>
      <w:r w:rsidR="00F239DD" w:rsidRPr="00157DEE">
        <w:fldChar w:fldCharType="separate"/>
      </w:r>
      <w:r w:rsidR="00FF21A6">
        <w:rPr>
          <w:rFonts w:ascii="Helvetica" w:hAnsi="Helvetica" w:cs="Helvetica"/>
          <w:vertAlign w:val="superscript"/>
          <w:lang w:val="en-US"/>
        </w:rPr>
        <w:t>2</w:t>
      </w:r>
      <w:r w:rsidR="00F239DD" w:rsidRPr="00157DEE">
        <w:fldChar w:fldCharType="end"/>
      </w:r>
      <w:r w:rsidR="00F239DD" w:rsidRPr="00157DEE">
        <w:t xml:space="preserve">. </w:t>
      </w:r>
      <w:r w:rsidR="008C031C">
        <w:t xml:space="preserve">Here, </w:t>
      </w:r>
      <w:r w:rsidR="00F239DD" w:rsidRPr="00157DEE">
        <w:t xml:space="preserve">Curtis has considered live issues, and </w:t>
      </w:r>
      <w:proofErr w:type="gramStart"/>
      <w:r w:rsidR="00F239DD" w:rsidRPr="00157DEE">
        <w:t>real life</w:t>
      </w:r>
      <w:proofErr w:type="gramEnd"/>
      <w:r w:rsidR="00F239DD" w:rsidRPr="00157DEE">
        <w:t xml:space="preserve"> external influences</w:t>
      </w:r>
      <w:r w:rsidR="008C031C">
        <w:t>, and attempted to extract some general approaches to dealing with them.</w:t>
      </w:r>
    </w:p>
    <w:p w:rsidR="00F239DD" w:rsidRPr="00157DEE" w:rsidRDefault="00CE2359" w:rsidP="00157DEE">
      <w:pPr>
        <w:pStyle w:val="BodyText"/>
      </w:pPr>
      <w:r w:rsidRPr="00157DEE">
        <w:t xml:space="preserve">However, there are two major </w:t>
      </w:r>
      <w:r w:rsidR="008C031C">
        <w:t>challenges</w:t>
      </w:r>
      <w:r w:rsidRPr="00157DEE">
        <w:t xml:space="preserve"> which make this paper less useful than it might be</w:t>
      </w:r>
      <w:r w:rsidR="008C031C">
        <w:t xml:space="preserve">. One can only be addressed by </w:t>
      </w:r>
      <w:r w:rsidR="00B860DF">
        <w:t>the authors</w:t>
      </w:r>
      <w:r w:rsidR="008C031C">
        <w:t>, but the other</w:t>
      </w:r>
      <w:r w:rsidRPr="00157DEE">
        <w:t xml:space="preserve"> could be addressed by the </w:t>
      </w:r>
      <w:r w:rsidR="008C031C">
        <w:t xml:space="preserve">wider </w:t>
      </w:r>
      <w:r w:rsidRPr="00157DEE">
        <w:t>research community.</w:t>
      </w:r>
    </w:p>
    <w:p w:rsidR="00F239DD" w:rsidRPr="00157DEE" w:rsidRDefault="00F239DD" w:rsidP="00157DEE">
      <w:pPr>
        <w:pStyle w:val="BodyText"/>
      </w:pPr>
      <w:r w:rsidRPr="00157DEE">
        <w:t xml:space="preserve">Firstly, the process by which the recommendations have been generated is opaque. The best guidelines make their processes clear, so the potential user can understand how they are created and take a view on whether they trust that process, and hence whether or not to follow the guidelines. NICE, for example, publish their methods manuals and have a rigorous process of challenge should the agreed process not be followed </w:t>
      </w:r>
      <w:r w:rsidRPr="00157DEE">
        <w:fldChar w:fldCharType="begin"/>
      </w:r>
      <w:r w:rsidR="00CA2C77">
        <w:instrText xml:space="preserve"> ADDIN PAPERS2_CITATIONS &lt;citation&gt;&lt;priority&gt;2&lt;/priority&gt;&lt;uuid&gt;BA8BD23B-8D28-4914-B287-89C509514911&lt;/uuid&gt;&lt;publications&gt;&lt;publication&gt;&lt;subtype&gt;0&lt;/subtype&gt;&lt;publisher&gt;National Institute for Health and Care Excellence&lt;/publisher&gt;&lt;title&gt;Guide to the methods of technology appraisal 2013&lt;/title&gt;&lt;url&gt;http://www.nice.org.uk/media/D45/1E/GuideToMethodsTechnologyAppraisal2013.pdf&lt;/url&gt;&lt;publication_date&gt;99201304041200000000222000&lt;/publication_date&gt;&lt;uuid&gt;610251E2-4DBC-4E04-ACB1-162F04422692&lt;/uuid&gt;&lt;type&gt;0&lt;/type&gt;&lt;citekey&gt;NICE:2013vz&lt;/citekey&gt;&lt;institution&gt;NICE&lt;/institution&gt;&lt;bundle&gt;&lt;marked_edited&gt;0&lt;/marked_edited&gt;&lt;created_at&gt;2014-03-10 12:59:36 +0000&lt;/created_at&gt;&lt;marked_deleted&gt;0&lt;/marked_deleted&gt;&lt;quality&gt;0&lt;/quality&gt;&lt;open_access&gt;0&lt;/open_access&gt;&lt;marked_duplicate&gt;0&lt;/marked_duplicate&gt;&lt;author_year_string&gt;Anon.&lt;/author_year_string&gt;&lt;update_count&gt;0&lt;/update_count&gt;&lt;label&gt;0&lt;/label&gt;&lt;matched&gt;0&lt;/matched&gt;&lt;type&gt;-300&lt;/type&gt;&lt;uuid&gt;F79D2DB2-8580-4565-9472-72887AF31C00&lt;/uuid&gt;&lt;factor&gt;0&lt;/factor&gt;&lt;citekey_base&gt;niceorguk&lt;/citekey_base&gt;&lt;searchresult&gt;0&lt;/searchresult&gt;&lt;attributed_title&gt;nice.org.uk&lt;/attributed_title&gt;&lt;manuscript&gt;0&lt;/manuscript&gt;&lt;times_cited&gt;0&lt;/times_cited&gt;&lt;initial&gt;N&lt;/initial&gt;&lt;newly_added&gt;0&lt;/newly_added&gt;&lt;canonical_title&gt;nice org uk&lt;/canonical_title&gt;&lt;read_status&gt;0&lt;/read_status&gt;&lt;updated_at&gt;2014-12-16 11:13:39 +0000&lt;/updated_at&gt;&lt;flagged&gt;0&lt;/flagged&gt;&lt;privacy_level&gt;0&lt;/privacy_level&gt;&lt;publication_count&gt;1&lt;/publication_count&gt;&lt;draft&gt;0&lt;/draft&gt;&lt;title&gt;nice.org.uk&lt;/title&gt;&lt;rating&gt;0&lt;/rating&gt;&lt;imported_date&gt;2014-03-10 12:59:36 +0000&lt;/imported_date&gt;&lt;subtype&gt;-300&lt;/subtype&gt;&lt;times_read&gt;0&lt;/times_read&gt;&lt;/bundle&gt;&lt;authors&gt;&lt;author&gt;&lt;lastName&gt;NICE&lt;/lastName&gt;&lt;/author&gt;&lt;/authors&gt;&lt;/publication&gt;&lt;/publications&gt;&lt;cites&gt;&lt;/cites&gt;&lt;/citation&gt;</w:instrText>
      </w:r>
      <w:r w:rsidRPr="00157DEE">
        <w:fldChar w:fldCharType="separate"/>
      </w:r>
      <w:r w:rsidR="00FF21A6">
        <w:rPr>
          <w:rFonts w:ascii="Helvetica" w:hAnsi="Helvetica" w:cs="Helvetica"/>
          <w:vertAlign w:val="superscript"/>
          <w:lang w:val="en-US"/>
        </w:rPr>
        <w:t>3</w:t>
      </w:r>
      <w:r w:rsidRPr="00157DEE">
        <w:fldChar w:fldCharType="end"/>
      </w:r>
      <w:r w:rsidRPr="00157DEE">
        <w:t>. Even ad</w:t>
      </w:r>
      <w:r w:rsidR="00157DEE" w:rsidRPr="00157DEE">
        <w:t>-</w:t>
      </w:r>
      <w:r w:rsidRPr="00157DEE">
        <w:t xml:space="preserve">hoc clinical groups working together to produce guidelines can be transparent about their processes </w:t>
      </w:r>
      <w:r w:rsidRPr="00157DEE">
        <w:fldChar w:fldCharType="begin"/>
      </w:r>
      <w:r w:rsidR="00CA2C77">
        <w:instrText xml:space="preserve"> ADDIN PAPERS2_CITATIONS &lt;citation&gt;&lt;priority&gt;3&lt;/priority&gt;&lt;uuid&gt;8A42A206-1B90-41A2-B98E-29950ADC336B&lt;/uuid&gt;&lt;publications&gt;&lt;publication&gt;&lt;subtype&gt;400&lt;/subtype&gt;&lt;title&gt;The Southampton Consensus Guidelines for Laparoscopic Liver Surgery: From Indication to Implementation.&lt;/title&gt;&lt;url&gt;http://Insights.ovid.com/crossref?an=00000658-900000000-95877&lt;/url&gt;&lt;publication_date&gt;99201710231200000000222000&lt;/publication_date&gt;&lt;uuid&gt;448CE710-40E3-49ED-8320-C8F08D83C575&lt;/uuid&gt;&lt;type&gt;400&lt;/type&gt;&lt;subtitle&gt;From Indication to Implementation&lt;/subtitle&gt;&lt;doi&gt;10.1097/SLA.0000000000002524&lt;/doi&gt;&lt;institution&gt;*University Hospital Southampton, Southampton, UK †San Raffaele Hospital, Milan, Italy ‡Antoine-Beclere Hospital, Paris, France §The Intervention Centre, Department of HBP surgery, Oslo University Hospital and Institute of Clinical Medicine, Oslo University, Oslo, Norway ¶Gent University Hospital Medical School, Gent, Belgium ||Moscow Clinical Scientific Centre, Moscow, Russia **Plymouth Hospital NHS Trust, Plymouth, UK ††Loreto Nuovo Hospital, Naples, Italy ‡‡Academic Medical Centre, Amsterdam, Netherlands §§University Hospital Reina, Sofia Cordoba, Spain ¶¶Institut Mutualiste Montsouris, Paris, France ||||AZ Groeninge, Kortrijk, Belgium ***Croix Rousse University Hospital, Lyon, France †††King's College Hospital, London, UK ‡‡‡Leeds Teaching Hospitals NHS Trust, Leeds, UK §§§Navarra University, Pamplona, Spain ¶¶¶Malaga University Hospital, Malaga, Spain ||||||Pierre and Marie Curie University, Paris, France ****Beaujon Hospital, Clichy, France ††††University Hospital Birmingham, Birmingham, UK ‡‡‡‡Maastricht University Medical Centre, Maastricht, Nehterlands §§§§Newcastle upon Tyne NHS Foundation Trust, Newcastle, UK ¶¶¶¶Southampton Clinical Trials Unit, University Hospital Southampton, Southampton, UK ||||||||Louisiana State University and Medical Center, New Orleans, LA *****University Hospital Zurich, Zurich, Switzerland †††††Agia Olga Hospital, Athens, Greece ‡‡‡‡‡Royal Free Hospital NHS Trust, London, UK §§§§§University of Pittsburgh, Pittsburgh, PA ¶¶¶¶¶Mainz University Hospital, Mainz, Germany ||||||||||Mater hospital, Belfast, Northern Ireland ******Iwate Medical University, Morioka, Japan ††††††Mayo Clinic, Jacksonville, FL ‡‡‡‡‡‡Hepatobiliary Centre-Paul Brousse Hospital, Villejuif-Paris, France.&lt;/institution&gt;&lt;startpage&gt;1&lt;/startpage&gt;&lt;bundle&gt;&lt;publication&gt;&lt;title&gt;Annals of surgery&lt;/title&gt;&lt;uuid&gt;8A0D269C-4065-4267-ABE3-2EC668DC744C&lt;/uuid&gt;&lt;subtype&gt;-100&lt;/subtype&gt;&lt;publisher&gt;Discipline of Surgery, University of Adelaide, The Queen Elizabeth Hospital, Woodville South, South Australia. joris.broeders@adelaide.edu.au&lt;/publisher&gt;&lt;type&gt;-100&lt;/type&gt;&lt;/publication&gt;&lt;/bundle&gt;&lt;authors&gt;&lt;author&gt;&lt;lastName&gt;Abu Hilal&lt;/lastName&gt;&lt;firstName&gt;Mohammad&lt;/firstName&gt;&lt;/author&gt;&lt;author&gt;&lt;lastName&gt;Aldrighetti&lt;/lastName&gt;&lt;firstName&gt;Luca&lt;/firstName&gt;&lt;/author&gt;&lt;author&gt;&lt;lastName&gt;Dagher&lt;/lastName&gt;&lt;firstName&gt;Ibrahim&lt;/firstName&gt;&lt;/author&gt;&lt;author&gt;&lt;lastName&gt;Edwin&lt;/lastName&gt;&lt;firstName&gt;Bjorn&lt;/firstName&gt;&lt;/author&gt;&lt;author&gt;&lt;lastName&gt;Troisi&lt;/lastName&gt;&lt;firstName&gt;Roberto&lt;/firstName&gt;&lt;middleNames&gt;Ivan&lt;/middleNames&gt;&lt;/author&gt;&lt;author&gt;&lt;lastName&gt;Alikhanov&lt;/lastName&gt;&lt;firstName&gt;Ruslan&lt;/firstName&gt;&lt;/author&gt;&lt;author&gt;&lt;lastName&gt;Aroori&lt;/lastName&gt;&lt;firstName&gt;Somaiah&lt;/firstName&gt;&lt;/author&gt;&lt;author&gt;&lt;lastName&gt;Belli&lt;/lastName&gt;&lt;firstName&gt;Giulio&lt;/firstName&gt;&lt;/author&gt;&lt;author&gt;&lt;lastName&gt;Besselink&lt;/lastName&gt;&lt;firstName&gt;Marc&lt;/firstName&gt;&lt;/author&gt;&lt;author&gt;&lt;lastName&gt;Briceno&lt;/lastName&gt;&lt;firstName&gt;Javier&lt;/firstName&gt;&lt;/author&gt;&lt;author&gt;&lt;lastName&gt;Gayet&lt;/lastName&gt;&lt;firstName&gt;Brice&lt;/firstName&gt;&lt;/author&gt;&lt;author&gt;&lt;lastName&gt;D’Hondt&lt;/lastName&gt;&lt;firstName&gt;Mathieu&lt;/firstName&gt;&lt;/author&gt;&lt;author&gt;&lt;lastName&gt;Lesurtel&lt;/lastName&gt;&lt;firstName&gt;Mickael&lt;/firstName&gt;&lt;/author&gt;&lt;author&gt;&lt;lastName&gt;Menon&lt;/lastName&gt;&lt;firstName&gt;Krishna&lt;/firstName&gt;&lt;/author&gt;&lt;author&gt;&lt;lastName&gt;Lodge&lt;/lastName&gt;&lt;firstName&gt;Peter&lt;/firstName&gt;&lt;/author&gt;&lt;author&gt;&lt;lastName&gt;Rotellar&lt;/lastName&gt;&lt;firstName&gt;Fernando&lt;/firstName&gt;&lt;/author&gt;&lt;author&gt;&lt;lastName&gt;Santoyo&lt;/lastName&gt;&lt;firstName&gt;Julio&lt;/firstName&gt;&lt;/author&gt;&lt;author&gt;&lt;lastName&gt;Scatton&lt;/lastName&gt;&lt;firstName&gt;Olivier&lt;/firstName&gt;&lt;/author&gt;&lt;author&gt;&lt;lastName&gt;Soubrane&lt;/lastName&gt;&lt;firstName&gt;Olivier&lt;/firstName&gt;&lt;/author&gt;&lt;author&gt;&lt;lastName&gt;Sutcliffe&lt;/lastName&gt;&lt;firstName&gt;Robert&lt;/firstName&gt;&lt;/author&gt;&lt;author&gt;&lt;lastName&gt;Dam&lt;/lastName&gt;&lt;nonDroppingParticle&gt;Van&lt;/nonDroppingParticle&gt;&lt;firstName&gt;Ronald&lt;/firstName&gt;&lt;/author&gt;&lt;author&gt;&lt;lastName&gt;White&lt;/lastName&gt;&lt;firstName&gt;Steve&lt;/firstName&gt;&lt;/author&gt;&lt;author&gt;&lt;lastName&gt;Halls&lt;/lastName&gt;&lt;firstName&gt;Mark&lt;/firstName&gt;&lt;middleNames&gt;Christopher&lt;/middleNames&gt;&lt;/author&gt;&lt;author&gt;&lt;lastName&gt;Cipriani&lt;/lastName&gt;&lt;firstName&gt;Federica&lt;/firstName&gt;&lt;/author&gt;&lt;author&gt;&lt;lastName&gt;Poel&lt;/lastName&gt;&lt;nonDroppingParticle&gt;Van der&lt;/nonDroppingParticle&gt;&lt;firstName&gt;Marcel&lt;/firstName&gt;&lt;/author&gt;&lt;author&gt;&lt;lastName&gt;Ciria&lt;/lastName&gt;&lt;firstName&gt;Ruben&lt;/firstName&gt;&lt;/author&gt;&lt;author&gt;&lt;lastName&gt;Barkhatov&lt;/lastName&gt;&lt;firstName&gt;Leonid&lt;/firstName&gt;&lt;/author&gt;&lt;author&gt;&lt;lastName&gt;Gomez-Luque&lt;/lastName&gt;&lt;firstName&gt;Yrene&lt;/firstName&gt;&lt;/author&gt;&lt;author&gt;&lt;lastName&gt;Ocana-Garcia&lt;/lastName&gt;&lt;firstName&gt;Sira&lt;/firstName&gt;&lt;/author&gt;&lt;author&gt;&lt;lastName&gt;Cook&lt;/lastName&gt;&lt;firstName&gt;Andrew&lt;/firstName&gt;&lt;/author&gt;&lt;author&gt;&lt;lastName&gt;Buell&lt;/lastName&gt;&lt;firstName&gt;Joseph&lt;/firstName&gt;&lt;/author&gt;&lt;author&gt;&lt;lastName&gt;Clavien&lt;/lastName&gt;&lt;firstName&gt;Pierre-Alain&lt;/firstName&gt;&lt;/author&gt;&lt;author&gt;&lt;lastName&gt;Dervenis&lt;/lastName&gt;&lt;firstName&gt;Christos&lt;/firstName&gt;&lt;/author&gt;&lt;author&gt;&lt;lastName&gt;Fusai&lt;/lastName&gt;&lt;firstName&gt;Giuseppe&lt;/firstName&gt;&lt;/author&gt;&lt;author&gt;&lt;lastName&gt;Geller&lt;/lastName&gt;&lt;firstName&gt;David&lt;/firstName&gt;&lt;/author&gt;&lt;author&gt;&lt;lastName&gt;Lang&lt;/lastName&gt;&lt;firstName&gt;Hauke&lt;/firstName&gt;&lt;/author&gt;&lt;author&gt;&lt;lastName&gt;Primrose&lt;/lastName&gt;&lt;firstName&gt;John&lt;/firstName&gt;&lt;/author&gt;&lt;author&gt;&lt;lastName&gt;Taylor&lt;/lastName&gt;&lt;firstName&gt;Mark&lt;/firstName&gt;&lt;/author&gt;&lt;author&gt;&lt;lastName&gt;Gulik&lt;/lastName&gt;&lt;nonDroppingParticle&gt;Van&lt;/nonDroppingParticle&gt;&lt;firstName&gt;Thomas&lt;/firstName&gt;&lt;/author&gt;&lt;author&gt;&lt;lastName&gt;Wakabayashi&lt;/lastName&gt;&lt;firstName&gt;Go&lt;/firstName&gt;&lt;/author&gt;&lt;author&gt;&lt;lastName&gt;Asbun&lt;/lastName&gt;&lt;firstName&gt;Horacio&lt;/firstName&gt;&lt;/author&gt;&lt;author&gt;&lt;lastName&gt;Cherqui&lt;/lastName&gt;&lt;firstName&gt;Daniel&lt;/firstName&gt;&lt;/author&gt;&lt;/authors&gt;&lt;/publication&gt;&lt;/publications&gt;&lt;cites&gt;&lt;/cites&gt;&lt;/citation&gt;</w:instrText>
      </w:r>
      <w:r w:rsidRPr="00157DEE">
        <w:fldChar w:fldCharType="separate"/>
      </w:r>
      <w:r w:rsidR="00FF21A6">
        <w:rPr>
          <w:rFonts w:ascii="Helvetica" w:hAnsi="Helvetica" w:cs="Helvetica"/>
          <w:vertAlign w:val="superscript"/>
          <w:lang w:val="en-US"/>
        </w:rPr>
        <w:t>4</w:t>
      </w:r>
      <w:r w:rsidRPr="00157DEE">
        <w:fldChar w:fldCharType="end"/>
      </w:r>
      <w:r w:rsidRPr="00157DEE">
        <w:t xml:space="preserve">. The recommendations presented here may be greatly </w:t>
      </w:r>
      <w:r w:rsidR="00157DEE" w:rsidRPr="00157DEE">
        <w:t>strengthened</w:t>
      </w:r>
      <w:r w:rsidRPr="00157DEE">
        <w:t xml:space="preserve"> if the method of production was clearer.</w:t>
      </w:r>
    </w:p>
    <w:p w:rsidR="00F239DD" w:rsidRDefault="004D7B96" w:rsidP="00157DEE">
      <w:pPr>
        <w:pStyle w:val="BodyText"/>
      </w:pPr>
      <w:r>
        <w:t>Secondly, t</w:t>
      </w:r>
      <w:r w:rsidR="00F239DD" w:rsidRPr="00157DEE">
        <w:t xml:space="preserve">he bigger </w:t>
      </w:r>
      <w:r w:rsidR="00FC0415">
        <w:t>issue</w:t>
      </w:r>
      <w:r w:rsidR="00F239DD" w:rsidRPr="00157DEE">
        <w:t xml:space="preserve"> </w:t>
      </w:r>
      <w:r w:rsidR="00157DEE" w:rsidRPr="00157DEE">
        <w:t>is mentioned, but not thoroughly addressed, by the authors. This is very much the experience of a single group within an atypical context for pragmatic trials – the United States of America. Compared to other developed countries, the USA is late to the world of pragmatic trials</w:t>
      </w:r>
      <w:r w:rsidR="00397E9E">
        <w:t xml:space="preserve"> – with </w:t>
      </w:r>
      <w:r w:rsidR="00FC0415">
        <w:t>p</w:t>
      </w:r>
      <w:r w:rsidR="00397E9E">
        <w:t xml:space="preserve">ragmatic </w:t>
      </w:r>
      <w:r w:rsidR="00FC0415">
        <w:t>t</w:t>
      </w:r>
      <w:r w:rsidR="00397E9E">
        <w:t>rials not taking off until well into the first decade of the 21</w:t>
      </w:r>
      <w:r w:rsidR="00397E9E" w:rsidRPr="00397E9E">
        <w:rPr>
          <w:vertAlign w:val="superscript"/>
        </w:rPr>
        <w:t>st</w:t>
      </w:r>
      <w:r w:rsidR="00397E9E">
        <w:t xml:space="preserve"> century, </w:t>
      </w:r>
      <w:r w:rsidR="00376376">
        <w:t xml:space="preserve">compared, for example, to a programme of </w:t>
      </w:r>
      <w:r w:rsidR="00376376">
        <w:lastRenderedPageBreak/>
        <w:t xml:space="preserve">pragmatic trials in the UK starting in the </w:t>
      </w:r>
      <w:r w:rsidR="00FC0415">
        <w:t>mid</w:t>
      </w:r>
      <w:r w:rsidR="00376376">
        <w:t xml:space="preserve"> 1990s </w:t>
      </w:r>
      <w:r w:rsidR="00376376">
        <w:rPr>
          <w:rFonts w:ascii="Helvetica" w:hAnsi="Helvetica" w:cs="Helvetica"/>
          <w:lang w:val="en-US"/>
        </w:rPr>
        <w:fldChar w:fldCharType="begin"/>
      </w:r>
      <w:r w:rsidR="00CA2C77">
        <w:rPr>
          <w:rFonts w:ascii="Helvetica" w:hAnsi="Helvetica" w:cs="Helvetica"/>
          <w:lang w:val="en-US"/>
        </w:rPr>
        <w:instrText xml:space="preserve"> ADDIN PAPERS2_CITATIONS &lt;citation&gt;&lt;priority&gt;4&lt;/priority&gt;&lt;uuid&gt;CC78489C-B944-4F2B-8535-2A41A41B32F3&lt;/uuid&gt;&lt;publications&gt;&lt;publication&gt;&lt;subtype&gt;400&lt;/subtype&gt;&lt;title&gt;A pragmatic view on pragmatic trials.&lt;/title&gt;&lt;url&gt;http://eutils.ncbi.nlm.nih.gov/entrez/eutils/elink.fcgi?dbfrom=pubmed&amp;amp;id=21842619&amp;amp;retmode=ref&amp;amp;cmd=prlinks&lt;/url&gt;&lt;volume&gt;13&lt;/volume&gt;&lt;publication_date&gt;99201100001200000000200000&lt;/publication_date&gt;&lt;uuid&gt;2D944D58-6C8D-4877-924D-77CF5D2DE7AF&lt;/uuid&gt;&lt;type&gt;400&lt;/type&gt;&lt;number&gt;2&lt;/number&gt;&lt;institution&gt;Division of Genetics, Department of Medicine, Brigham &amp;amp; Women's Hospital, Harvard Medical School, 77 Avenue Louis Pasteur, New Research Building (NRB) #150 Boston, MA 02115, USA. npatsopoulos@rics.bwh.harvard.edu&lt;/institution&gt;&lt;startpage&gt;217&lt;/startpage&gt;&lt;endpage&gt;224&lt;/endpage&gt;&lt;bundle&gt;&lt;publication&gt;&lt;title&gt;Dialogues in clinical neuroscience&lt;/title&gt;&lt;uuid&gt;CBC4CC0A-DD34-4A0F-9A7F-84D38B6115D6&lt;/uuid&gt;&lt;subtype&gt;-100&lt;/subtype&gt;&lt;type&gt;-100&lt;/type&gt;&lt;/publication&gt;&lt;/bundle&gt;&lt;authors&gt;&lt;author&gt;&lt;lastName&gt;Patsopoulos&lt;/lastName&gt;&lt;firstName&gt;Nikolaos&lt;/firstName&gt;&lt;middleNames&gt;A&lt;/middleNames&gt;&lt;/author&gt;&lt;/authors&gt;&lt;/publication&gt;&lt;publication&gt;&lt;subtype&gt;400&lt;/subtype&gt;&lt;title&gt;Clinical trial metadata: defining and extracting metadata on the design, conduct, results and costs of 125 randomised clinical trials funded by the National Institute for Health Research Health Technology Assessment programme.&lt;/title&gt;&lt;url&gt;http://www.journalslibrary.nihr.ac.uk/hta/volume-19/issue-11&lt;/url&gt;&lt;volume&gt;19&lt;/volume&gt;&lt;publication_date&gt;99201502001200000000220000&lt;/publication_date&gt;&lt;uuid&gt;25728945-B31F-42F5-9A86-085AD9AB3AD0&lt;/uuid&gt;&lt;type&gt;400&lt;/type&gt;&lt;number&gt;11&lt;/number&gt;&lt;citekey&gt;Raftery:2015go&lt;/citekey&gt;&lt;doi&gt;10.3310/hta19110&lt;/doi&gt;&lt;institution&gt;Wessex Institute, Faculty of Medicine, University of Southampton, Southampton, UK.&lt;/institution&gt;&lt;startpage&gt;1&lt;/startpage&gt;&lt;endpage&gt;138&lt;/endpage&gt;&lt;bundle&gt;&lt;publication&gt;&lt;title&gt;Health technology assessment (Winchester, England)&lt;/title&gt;&lt;uuid&gt;4C03760E-C704-4304-A057-76DAE44AA355&lt;/uuid&gt;&lt;subtype&gt;-100&lt;/subtype&gt;&lt;type&gt;-100&lt;/type&gt;&lt;/publication&gt;&lt;/bundle&gt;&lt;authors&gt;&lt;author&gt;&lt;lastName&gt;Raftery&lt;/lastName&gt;&lt;firstName&gt;James&lt;/firstName&gt;&lt;/author&gt;&lt;author&gt;&lt;lastName&gt;Young&lt;/lastName&gt;&lt;firstName&gt;Amanda&lt;/firstName&gt;&lt;/author&gt;&lt;author&gt;&lt;lastName&gt;Stanton&lt;/lastName&gt;&lt;firstName&gt;Louise&lt;/firstName&gt;&lt;/author&gt;&lt;author&gt;&lt;lastName&gt;Milne&lt;/lastName&gt;&lt;firstName&gt;Ruairidh&lt;/firstName&gt;&lt;/author&gt;&lt;author&gt;&lt;lastName&gt;Cook&lt;/lastName&gt;&lt;firstName&gt;Andrew&lt;/firstName&gt;&lt;/author&gt;&lt;author&gt;&lt;lastName&gt;Turner&lt;/lastName&gt;&lt;firstName&gt;David&lt;/firstName&gt;&lt;/author&gt;&lt;author&gt;&lt;lastName&gt;Davidson&lt;/lastName&gt;&lt;firstName&gt;Peter&lt;/firstName&gt;&lt;/author&gt;&lt;/authors&gt;&lt;/publication&gt;&lt;/publications&gt;&lt;cites&gt;&lt;/cites&gt;&lt;/citation&gt;</w:instrText>
      </w:r>
      <w:r w:rsidR="00376376">
        <w:rPr>
          <w:rFonts w:ascii="Helvetica" w:hAnsi="Helvetica" w:cs="Helvetica"/>
          <w:lang w:val="en-US"/>
        </w:rPr>
        <w:fldChar w:fldCharType="separate"/>
      </w:r>
      <w:r w:rsidR="00FF21A6">
        <w:rPr>
          <w:rFonts w:ascii="Helvetica" w:hAnsi="Helvetica" w:cs="Helvetica"/>
          <w:vertAlign w:val="superscript"/>
          <w:lang w:val="en-US"/>
        </w:rPr>
        <w:t>5,6</w:t>
      </w:r>
      <w:r w:rsidR="00376376">
        <w:rPr>
          <w:rFonts w:ascii="Helvetica" w:hAnsi="Helvetica" w:cs="Helvetica"/>
          <w:lang w:val="en-US"/>
        </w:rPr>
        <w:fldChar w:fldCharType="end"/>
      </w:r>
      <w:r w:rsidR="00376376">
        <w:t xml:space="preserve"> </w:t>
      </w:r>
      <w:r w:rsidR="00397E9E">
        <w:t xml:space="preserve"> </w:t>
      </w:r>
      <w:r w:rsidR="00157DEE" w:rsidRPr="00157DEE">
        <w:t xml:space="preserve">. </w:t>
      </w:r>
      <w:r w:rsidR="00166BB2">
        <w:t>It is also unusual in that it has a</w:t>
      </w:r>
      <w:r w:rsidR="00397E9E">
        <w:t>n</w:t>
      </w:r>
      <w:r w:rsidR="00166BB2">
        <w:t xml:space="preserve"> aty</w:t>
      </w:r>
      <w:r w:rsidR="004A6F7F">
        <w:t xml:space="preserve">pical health system which relies almost entirely on private insurance companies as payers, </w:t>
      </w:r>
      <w:r w:rsidR="006E620D">
        <w:t>alongside</w:t>
      </w:r>
      <w:r w:rsidR="004A6F7F">
        <w:t xml:space="preserve"> private health care </w:t>
      </w:r>
      <w:r w:rsidR="006E620D">
        <w:t>provision</w:t>
      </w:r>
      <w:r w:rsidR="004A6F7F">
        <w:t xml:space="preserve">. This makes findings from systems research like this challenging to generalise to systems using Beveridge, </w:t>
      </w:r>
      <w:proofErr w:type="spellStart"/>
      <w:r w:rsidR="004A6F7F">
        <w:t>Bismark</w:t>
      </w:r>
      <w:proofErr w:type="spellEnd"/>
      <w:r w:rsidR="004A6F7F">
        <w:t>, or National Insurance models to provide health care</w:t>
      </w:r>
      <w:r w:rsidR="00DF0842">
        <w:rPr>
          <w:rFonts w:ascii="Helvetica" w:hAnsi="Helvetica" w:cs="Helvetica"/>
          <w:lang w:val="en-US"/>
        </w:rPr>
        <w:t xml:space="preserve"> </w:t>
      </w:r>
      <w:r w:rsidR="00DF0842">
        <w:rPr>
          <w:rFonts w:ascii="Helvetica" w:hAnsi="Helvetica" w:cs="Helvetica"/>
          <w:lang w:val="en-US"/>
        </w:rPr>
        <w:fldChar w:fldCharType="begin"/>
      </w:r>
      <w:r w:rsidR="00CA2C77">
        <w:rPr>
          <w:rFonts w:ascii="Helvetica" w:hAnsi="Helvetica" w:cs="Helvetica"/>
          <w:lang w:val="en-US"/>
        </w:rPr>
        <w:instrText xml:space="preserve"> ADDIN PAPERS2_CITATIONS &lt;citation&gt;&lt;priority&gt;4&lt;/priority&gt;&lt;uuid&gt;D7F6CAD7-C9A2-4CE1-92EF-84F1CA275523&lt;/uuid&gt;&lt;publications&gt;&lt;publication&gt;&lt;subtype&gt;403&lt;/subtype&gt;&lt;title&gt;Health Care Systems - Four Basic Models&lt;/title&gt;&lt;url&gt;http://www.pnhp.org/single_payer_resources/health_care_systems_four_basic_models.php&lt;/url&gt;&lt;uuid&gt;6FA189FB-836A-4C5F-87BE-9E20DADD204A&lt;/uuid&gt;&lt;type&gt;400&lt;/type&gt;&lt;bundle&gt;&lt;publication&gt;&lt;title&gt;Physicians for a National Health Programme&lt;/title&gt;&lt;uuid&gt;D17062AA-E9BA-4FFC-992F-9E66C705B233&lt;/uuid&gt;&lt;subtype&gt;-300&lt;/subtype&gt;&lt;type&gt;-300&lt;/type&gt;&lt;/publication&gt;&lt;/bundle&gt;&lt;authors&gt;&lt;author&gt;&lt;lastName&gt;Physicians for a National Health Programe&lt;/lastName&gt;&lt;/author&gt;&lt;/authors&gt;&lt;/publication&gt;&lt;publication&gt;&lt;subtype&gt;400&lt;/subtype&gt;&lt;title&gt;The fiscal crisis in the health sector: Patterns of cutback management across Europe.&lt;/title&gt;&lt;url&gt;https://linkinghub.elsevier.com/retrieve/pii/S0168851015001153&lt;/url&gt;&lt;volume&gt;119&lt;/volume&gt;&lt;revision_date&gt;99201503211200000000222000&lt;/revision_date&gt;&lt;publication_date&gt;99201507001200000000220000&lt;/publication_date&gt;&lt;uuid&gt;A9BD6E08-E610-4774-9E3E-8DF2FFB844DB&lt;/uuid&gt;&lt;type&gt;400&lt;/type&gt;&lt;accepted_date&gt;99201504151200000000222000&lt;/accepted_date&gt;&lt;number&gt;7&lt;/number&gt;&lt;submission_date&gt;99201409091200000000222000&lt;/submission_date&gt;&lt;doi&gt;10.1016/j.healthpol.2015.04.008&lt;/doi&gt;&lt;institution&gt;Northumbria University, Department of Social Sciences and Languages, Lipman Building, Newcastle Upon Tyne NE1 8ST, United Kingdom; Department of Policy Analysis and Public Management, Bocconi Universtiy, Via Roentgen, 1, 20136 Milan, Italy.&lt;/institution&gt;&lt;startpage&gt;954&lt;/startpage&gt;&lt;endpage&gt;963&lt;/endpage&gt;&lt;bundle&gt;&lt;publication&gt;&lt;title&gt;Health policy (Amsterdam, Netherlands)&lt;/title&gt;&lt;uuid&gt;BA3D2E0B-82DB-48BA-91BD-BFD152A7413D&lt;/uuid&gt;&lt;subtype&gt;-100&lt;/subtype&gt;&lt;type&gt;-100&lt;/type&gt;&lt;/publication&gt;&lt;/bundle&gt;&lt;authors&gt;&lt;author&gt;&lt;lastName&gt;Ongaro&lt;/lastName&gt;&lt;firstName&gt;Edoardo&lt;/firstName&gt;&lt;/author&gt;&lt;author&gt;&lt;lastName&gt;Ferré&lt;/lastName&gt;&lt;firstName&gt;Francesca&lt;/firstName&gt;&lt;/author&gt;&lt;author&gt;&lt;lastName&gt;Fattore&lt;/lastName&gt;&lt;firstName&gt;Giovanni&lt;/firstName&gt;&lt;/author&gt;&lt;/authors&gt;&lt;/publication&gt;&lt;/publications&gt;&lt;cites&gt;&lt;/cites&gt;&lt;/citation&gt;</w:instrText>
      </w:r>
      <w:r w:rsidR="00DF0842">
        <w:rPr>
          <w:rFonts w:ascii="Helvetica" w:hAnsi="Helvetica" w:cs="Helvetica"/>
          <w:lang w:val="en-US"/>
        </w:rPr>
        <w:fldChar w:fldCharType="separate"/>
      </w:r>
      <w:r w:rsidR="00FF21A6">
        <w:rPr>
          <w:rFonts w:ascii="Helvetica" w:hAnsi="Helvetica" w:cs="Helvetica"/>
          <w:vertAlign w:val="superscript"/>
          <w:lang w:val="en-US"/>
        </w:rPr>
        <w:t>7,8</w:t>
      </w:r>
      <w:r w:rsidR="00DF0842">
        <w:rPr>
          <w:rFonts w:ascii="Helvetica" w:hAnsi="Helvetica" w:cs="Helvetica"/>
          <w:lang w:val="en-US"/>
        </w:rPr>
        <w:fldChar w:fldCharType="end"/>
      </w:r>
      <w:r w:rsidR="004A6F7F">
        <w:t xml:space="preserve">. </w:t>
      </w:r>
      <w:r w:rsidR="00523727">
        <w:t xml:space="preserve">In </w:t>
      </w:r>
      <w:r>
        <w:t>addition,</w:t>
      </w:r>
      <w:r w:rsidR="00523727">
        <w:t xml:space="preserve"> </w:t>
      </w:r>
      <w:r w:rsidR="00752E15">
        <w:t xml:space="preserve">there appear to be legal and ethical differences between the way pragmatic trials are conducted in this environment compared to the rest of the world, for example </w:t>
      </w:r>
      <w:r w:rsidR="00FC0415">
        <w:t>six</w:t>
      </w:r>
      <w:r w:rsidR="00752E15">
        <w:t xml:space="preserve"> of the </w:t>
      </w:r>
      <w:r w:rsidR="00FC0415">
        <w:t>nine</w:t>
      </w:r>
      <w:r w:rsidR="00752E15">
        <w:t xml:space="preserve"> studies discussed in the paper had a waiver from the usual informed consent process. Deviations from standard consent processes would be much less common elsewhere.</w:t>
      </w:r>
    </w:p>
    <w:p w:rsidR="00C852A8" w:rsidRDefault="00C852A8" w:rsidP="003F20BC">
      <w:pPr>
        <w:pStyle w:val="BodyText"/>
      </w:pPr>
      <w:r>
        <w:t>The authors also edge towards but miss an opportunity in their recommendations. The existence of a trial, or other robust research, is an opportunity to influence guidelines or other elements of the environment that the trial is delivered in, even before the results are known. Trial</w:t>
      </w:r>
      <w:r w:rsidR="00752E15">
        <w:t>ist</w:t>
      </w:r>
      <w:r>
        <w:t xml:space="preserve"> activity should go beyond asking guideline producers if changes are anticipated – getting a recommendation to recruit to a trial into widely accepted guidelines has the potential to drive research, and mitigate risks to accrual of guideline and other environmental change.</w:t>
      </w:r>
      <w:r w:rsidR="00752E15">
        <w:t xml:space="preserve"> As an example, </w:t>
      </w:r>
      <w:r w:rsidR="002C02BD">
        <w:t>recruitment</w:t>
      </w:r>
      <w:r w:rsidR="00752E15">
        <w:t xml:space="preserve"> </w:t>
      </w:r>
      <w:r w:rsidR="002C02BD">
        <w:t xml:space="preserve">to the </w:t>
      </w:r>
      <w:r w:rsidR="00752E15">
        <w:t xml:space="preserve">FOXFIRE trial </w:t>
      </w:r>
      <w:r w:rsidR="002C02BD">
        <w:t xml:space="preserve">was recommended as part of NICE’s 2013 guidance on the use of selective internal radiotherapy </w:t>
      </w:r>
      <w:r w:rsidR="002C02BD">
        <w:rPr>
          <w:rFonts w:ascii="Helvetica" w:hAnsi="Helvetica" w:cs="Helvetica"/>
          <w:lang w:val="en-US"/>
        </w:rPr>
        <w:fldChar w:fldCharType="begin"/>
      </w:r>
      <w:r w:rsidR="00CA2C77">
        <w:rPr>
          <w:rFonts w:ascii="Helvetica" w:hAnsi="Helvetica" w:cs="Helvetica"/>
          <w:lang w:val="en-US"/>
        </w:rPr>
        <w:instrText xml:space="preserve"> ADDIN PAPERS2_CITATIONS &lt;citation&gt;&lt;priority&gt;6&lt;/priority&gt;&lt;uuid&gt;4693B2CE-DDA4-4F21-86D9-3ADF0AC0D26B&lt;/uuid&gt;&lt;publications&gt;&lt;publication&gt;&lt;subtype&gt;400&lt;/subtype&gt;&lt;title&gt;FOXFIRE protocol: an open-label, randomised, phase III trial of 5-fluorouracil, oxaliplatin and folinic acid (OxMdG) with or without interventional Selective Internal Radiation Therapy (SIRT) as first-line treatment for patients with unresectable liver-only or liver-dominant metastatic colorectal cancer&lt;/title&gt;&lt;url&gt;https://bmccancer.biomedcentral.com/articles/10.1186/1471-2407-14-497&lt;/url&gt;&lt;uuid&gt;D879DE9B-B0F3-4DDF-BDAE-7E3436ED3239&lt;/uuid&gt;&lt;type&gt;400&lt;/type&gt;&lt;doi&gt;10.1186/1471-2407-14-497&lt;/doi&gt;&lt;bundle&gt;&lt;publication&gt;&lt;title&gt;BMC Cancer&lt;/title&gt;&lt;uuid&gt;C529B24F-A255-4230-A204-4753598AC586&lt;/uuid&gt;&lt;subtype&gt;-100&lt;/subtype&gt;&lt;type&gt;-100&lt;/type&gt;&lt;/publication&gt;&lt;/bundle&gt;&lt;authors&gt;&lt;author&gt;&lt;lastName&gt;Dutton&lt;/lastName&gt;&lt;firstName&gt;S&lt;/firstName&gt;&lt;middleNames&gt;J&lt;/middleNames&gt;&lt;/author&gt;&lt;author&gt;&lt;lastName&gt;Kenealy&lt;/lastName&gt;&lt;firstName&gt;N&lt;/firstName&gt;&lt;/author&gt;&lt;author&gt;&lt;lastName&gt;BMC&lt;/lastName&gt;&lt;firstName&gt;SB&lt;/firstName&gt;&lt;middleNames&gt;Love&lt;/middleNames&gt;&lt;/author&gt;&lt;author&gt;&lt;lastName&gt;2014&lt;/lastName&gt;&lt;/author&gt;&lt;/authors&gt;&lt;/publication&gt;&lt;publication&gt;&lt;subtype&gt;700&lt;/subtype&gt;&lt;title&gt;Selective internal radiation therapy for non-resectable colorectal metastases in the liver&lt;/title&gt;&lt;url&gt;https://www.nice.org.uk/guidance/ipg401#&lt;/url&gt;&lt;publication_date&gt;99201305011200000000222000&lt;/publication_date&gt;&lt;uuid&gt;51469CD2-1FA4-480F-A194-BBFF8A940660&lt;/uuid&gt;&lt;type&gt;700&lt;/type&gt;&lt;startpage&gt;1&lt;/startpage&gt;&lt;endpage&gt;8&lt;/endpage&gt;&lt;authors&gt;&lt;author&gt;&lt;lastName&gt;NICE&lt;/lastName&gt;&lt;/author&gt;&lt;/authors&gt;&lt;/publication&gt;&lt;/publications&gt;&lt;cites&gt;&lt;/cites&gt;&lt;/citation&gt;</w:instrText>
      </w:r>
      <w:r w:rsidR="002C02BD">
        <w:rPr>
          <w:rFonts w:ascii="Helvetica" w:hAnsi="Helvetica" w:cs="Helvetica"/>
          <w:lang w:val="en-US"/>
        </w:rPr>
        <w:fldChar w:fldCharType="separate"/>
      </w:r>
      <w:r w:rsidR="002C02BD">
        <w:rPr>
          <w:rFonts w:ascii="Helvetica" w:hAnsi="Helvetica" w:cs="Helvetica"/>
          <w:vertAlign w:val="superscript"/>
          <w:lang w:val="en-US"/>
        </w:rPr>
        <w:t>9,10</w:t>
      </w:r>
      <w:r w:rsidR="002C02BD">
        <w:rPr>
          <w:rFonts w:ascii="Helvetica" w:hAnsi="Helvetica" w:cs="Helvetica"/>
          <w:lang w:val="en-US"/>
        </w:rPr>
        <w:fldChar w:fldCharType="end"/>
      </w:r>
      <w:r w:rsidR="002C02BD">
        <w:t>.</w:t>
      </w:r>
    </w:p>
    <w:p w:rsidR="003F20BC" w:rsidRPr="00157DEE" w:rsidRDefault="003F20BC" w:rsidP="003F20BC">
      <w:pPr>
        <w:pStyle w:val="BodyText"/>
      </w:pPr>
      <w:r w:rsidRPr="003F20BC">
        <w:rPr>
          <w:lang w:val="en-US"/>
        </w:rPr>
        <w:t xml:space="preserve">Work such as that described by Curtis is essential and valuable, but would be so much more useful and </w:t>
      </w:r>
      <w:r w:rsidR="004F7E14" w:rsidRPr="003F20BC">
        <w:rPr>
          <w:lang w:val="en-US"/>
        </w:rPr>
        <w:t>generalizable</w:t>
      </w:r>
      <w:r w:rsidRPr="003F20BC">
        <w:rPr>
          <w:lang w:val="en-US"/>
        </w:rPr>
        <w:t xml:space="preserve"> drawn on experience of a wider set of health care and research systems. </w:t>
      </w:r>
      <w:r w:rsidR="00B668DE">
        <w:rPr>
          <w:lang w:val="en-US"/>
        </w:rPr>
        <w:t>We have to start with stories like Curtis has told, drawing on a single health system; but w</w:t>
      </w:r>
      <w:r w:rsidRPr="003F20BC">
        <w:rPr>
          <w:lang w:val="en-US"/>
        </w:rPr>
        <w:t xml:space="preserve">ith luck, </w:t>
      </w:r>
      <w:r w:rsidR="00B668DE">
        <w:rPr>
          <w:lang w:val="en-US"/>
        </w:rPr>
        <w:t xml:space="preserve">these </w:t>
      </w:r>
      <w:r w:rsidRPr="003F20BC">
        <w:rPr>
          <w:lang w:val="en-US"/>
        </w:rPr>
        <w:t xml:space="preserve">papers </w:t>
      </w:r>
      <w:r w:rsidR="00B668DE">
        <w:rPr>
          <w:lang w:val="en-US"/>
        </w:rPr>
        <w:t>from</w:t>
      </w:r>
      <w:r w:rsidRPr="003F20BC">
        <w:rPr>
          <w:lang w:val="en-US"/>
        </w:rPr>
        <w:t xml:space="preserve"> single health systems will prompt comparisons across health systems - potentially driven by collaborations between research funders - improving health research to benefit everyone.</w:t>
      </w:r>
      <w:r w:rsidRPr="00157DEE">
        <w:t xml:space="preserve"> </w:t>
      </w:r>
      <w:r w:rsidR="00FC0415">
        <w:t>Maybe these comparisons can lead to some robust recommendations for dealing with contextual changes which can be adopted across health research systems.</w:t>
      </w:r>
    </w:p>
    <w:p w:rsidR="002C02BD" w:rsidRDefault="002C02BD">
      <w:r>
        <w:br w:type="page"/>
      </w:r>
    </w:p>
    <w:p w:rsidR="002C02BD" w:rsidRDefault="002C02BD" w:rsidP="00DF0842">
      <w:pPr>
        <w:pStyle w:val="BodyText"/>
        <w:ind w:firstLine="0"/>
      </w:pPr>
    </w:p>
    <w:p w:rsidR="00F2486E" w:rsidRDefault="002C02BD" w:rsidP="00F2486E">
      <w:pPr>
        <w:pStyle w:val="Heading1"/>
      </w:pPr>
      <w:r>
        <w:t>References</w:t>
      </w:r>
      <w:r>
        <w:fldChar w:fldCharType="begin"/>
      </w:r>
      <w:r>
        <w:instrText xml:space="preserve"> ADDIN PAPERS2_CITATIONS &lt;papers2_bibliography/&gt;</w:instrText>
      </w:r>
      <w:r>
        <w:fldChar w:fldCharType="end"/>
      </w:r>
    </w:p>
    <w:p w:rsidR="00F2486E" w:rsidRDefault="00F2486E" w:rsidP="00F2486E">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1.</w:t>
      </w:r>
      <w:r>
        <w:rPr>
          <w:rFonts w:ascii="Helvetica" w:hAnsi="Helvetica" w:cs="Helvetica"/>
          <w:lang w:val="en-US"/>
        </w:rPr>
        <w:tab/>
        <w:t>Ioannidis JPA, Fanelli D, Dunne DD, Goodman SN. Meta-research: Evaluation and Improvement of Research Methods and Practices. PLOS Biol. Public Library of Science; 2015 Oct 2;13(10</w:t>
      </w:r>
      <w:proofErr w:type="gramStart"/>
      <w:r>
        <w:rPr>
          <w:rFonts w:ascii="Helvetica" w:hAnsi="Helvetica" w:cs="Helvetica"/>
          <w:lang w:val="en-US"/>
        </w:rPr>
        <w:t>):e</w:t>
      </w:r>
      <w:proofErr w:type="gramEnd"/>
      <w:r>
        <w:rPr>
          <w:rFonts w:ascii="Helvetica" w:hAnsi="Helvetica" w:cs="Helvetica"/>
          <w:lang w:val="en-US"/>
        </w:rPr>
        <w:t xml:space="preserve">1002264. </w:t>
      </w:r>
    </w:p>
    <w:p w:rsidR="00F2486E" w:rsidRDefault="00F2486E" w:rsidP="00F2486E">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2.</w:t>
      </w:r>
      <w:r>
        <w:rPr>
          <w:rFonts w:ascii="Helvetica" w:hAnsi="Helvetica" w:cs="Helvetica"/>
          <w:lang w:val="en-US"/>
        </w:rPr>
        <w:tab/>
        <w:t xml:space="preserve">Chalmers I, </w:t>
      </w:r>
      <w:proofErr w:type="spellStart"/>
      <w:r>
        <w:rPr>
          <w:rFonts w:ascii="Helvetica" w:hAnsi="Helvetica" w:cs="Helvetica"/>
          <w:lang w:val="en-US"/>
        </w:rPr>
        <w:t>Glasziou</w:t>
      </w:r>
      <w:proofErr w:type="spellEnd"/>
      <w:r>
        <w:rPr>
          <w:rFonts w:ascii="Helvetica" w:hAnsi="Helvetica" w:cs="Helvetica"/>
          <w:lang w:val="en-US"/>
        </w:rPr>
        <w:t xml:space="preserve"> PP. Avoidable waste in the production and reporting of research evidence. 2009 Jul 4;374(9683):86–9. </w:t>
      </w:r>
    </w:p>
    <w:p w:rsidR="00F2486E" w:rsidRDefault="00F2486E" w:rsidP="00F2486E">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3.</w:t>
      </w:r>
      <w:r>
        <w:rPr>
          <w:rFonts w:ascii="Helvetica" w:hAnsi="Helvetica" w:cs="Helvetica"/>
          <w:lang w:val="en-US"/>
        </w:rPr>
        <w:tab/>
        <w:t xml:space="preserve">NICE. Guide to the methods of technology appraisal 2013. National Institute for Health and Care Excellence; 2013. </w:t>
      </w:r>
    </w:p>
    <w:p w:rsidR="00F2486E" w:rsidRDefault="00F2486E" w:rsidP="00F2486E">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4.</w:t>
      </w:r>
      <w:r>
        <w:rPr>
          <w:rFonts w:ascii="Helvetica" w:hAnsi="Helvetica" w:cs="Helvetica"/>
          <w:lang w:val="en-US"/>
        </w:rPr>
        <w:tab/>
        <w:t xml:space="preserve">Abu </w:t>
      </w:r>
      <w:proofErr w:type="spellStart"/>
      <w:r>
        <w:rPr>
          <w:rFonts w:ascii="Helvetica" w:hAnsi="Helvetica" w:cs="Helvetica"/>
          <w:lang w:val="en-US"/>
        </w:rPr>
        <w:t>Hilal</w:t>
      </w:r>
      <w:proofErr w:type="spellEnd"/>
      <w:r>
        <w:rPr>
          <w:rFonts w:ascii="Helvetica" w:hAnsi="Helvetica" w:cs="Helvetica"/>
          <w:lang w:val="en-US"/>
        </w:rPr>
        <w:t xml:space="preserve"> M, </w:t>
      </w:r>
      <w:proofErr w:type="spellStart"/>
      <w:r>
        <w:rPr>
          <w:rFonts w:ascii="Helvetica" w:hAnsi="Helvetica" w:cs="Helvetica"/>
          <w:lang w:val="en-US"/>
        </w:rPr>
        <w:t>Aldrighetti</w:t>
      </w:r>
      <w:proofErr w:type="spellEnd"/>
      <w:r>
        <w:rPr>
          <w:rFonts w:ascii="Helvetica" w:hAnsi="Helvetica" w:cs="Helvetica"/>
          <w:lang w:val="en-US"/>
        </w:rPr>
        <w:t xml:space="preserve"> L, </w:t>
      </w:r>
      <w:proofErr w:type="spellStart"/>
      <w:r>
        <w:rPr>
          <w:rFonts w:ascii="Helvetica" w:hAnsi="Helvetica" w:cs="Helvetica"/>
          <w:lang w:val="en-US"/>
        </w:rPr>
        <w:t>Dagher</w:t>
      </w:r>
      <w:proofErr w:type="spellEnd"/>
      <w:r>
        <w:rPr>
          <w:rFonts w:ascii="Helvetica" w:hAnsi="Helvetica" w:cs="Helvetica"/>
          <w:lang w:val="en-US"/>
        </w:rPr>
        <w:t xml:space="preserve"> I, Edwin B, </w:t>
      </w:r>
      <w:proofErr w:type="spellStart"/>
      <w:r>
        <w:rPr>
          <w:rFonts w:ascii="Helvetica" w:hAnsi="Helvetica" w:cs="Helvetica"/>
          <w:lang w:val="en-US"/>
        </w:rPr>
        <w:t>Troisi</w:t>
      </w:r>
      <w:proofErr w:type="spellEnd"/>
      <w:r>
        <w:rPr>
          <w:rFonts w:ascii="Helvetica" w:hAnsi="Helvetica" w:cs="Helvetica"/>
          <w:lang w:val="en-US"/>
        </w:rPr>
        <w:t xml:space="preserve"> RI, </w:t>
      </w:r>
      <w:proofErr w:type="spellStart"/>
      <w:r>
        <w:rPr>
          <w:rFonts w:ascii="Helvetica" w:hAnsi="Helvetica" w:cs="Helvetica"/>
          <w:lang w:val="en-US"/>
        </w:rPr>
        <w:t>Alikhanov</w:t>
      </w:r>
      <w:proofErr w:type="spellEnd"/>
      <w:r>
        <w:rPr>
          <w:rFonts w:ascii="Helvetica" w:hAnsi="Helvetica" w:cs="Helvetica"/>
          <w:lang w:val="en-US"/>
        </w:rPr>
        <w:t xml:space="preserve"> R, et al. The Southampton Consensus Guidelines for Laparoscopic Liver Surgery: From Indication to Implementation. Ann Surg. 2017 Oct </w:t>
      </w:r>
      <w:proofErr w:type="gramStart"/>
      <w:r>
        <w:rPr>
          <w:rFonts w:ascii="Helvetica" w:hAnsi="Helvetica" w:cs="Helvetica"/>
          <w:lang w:val="en-US"/>
        </w:rPr>
        <w:t>23;:</w:t>
      </w:r>
      <w:proofErr w:type="gramEnd"/>
      <w:r>
        <w:rPr>
          <w:rFonts w:ascii="Helvetica" w:hAnsi="Helvetica" w:cs="Helvetica"/>
          <w:lang w:val="en-US"/>
        </w:rPr>
        <w:t xml:space="preserve">1. </w:t>
      </w:r>
    </w:p>
    <w:p w:rsidR="00F2486E" w:rsidRDefault="00F2486E" w:rsidP="00F2486E">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5.</w:t>
      </w:r>
      <w:r>
        <w:rPr>
          <w:rFonts w:ascii="Helvetica" w:hAnsi="Helvetica" w:cs="Helvetica"/>
          <w:lang w:val="en-US"/>
        </w:rPr>
        <w:tab/>
      </w:r>
      <w:proofErr w:type="spellStart"/>
      <w:r>
        <w:rPr>
          <w:rFonts w:ascii="Helvetica" w:hAnsi="Helvetica" w:cs="Helvetica"/>
          <w:lang w:val="en-US"/>
        </w:rPr>
        <w:t>Patsopoulos</w:t>
      </w:r>
      <w:proofErr w:type="spellEnd"/>
      <w:r>
        <w:rPr>
          <w:rFonts w:ascii="Helvetica" w:hAnsi="Helvetica" w:cs="Helvetica"/>
          <w:lang w:val="en-US"/>
        </w:rPr>
        <w:t xml:space="preserve"> NA. A pragmatic view on pragmatic trials. Dialogues </w:t>
      </w:r>
      <w:proofErr w:type="spellStart"/>
      <w:r>
        <w:rPr>
          <w:rFonts w:ascii="Helvetica" w:hAnsi="Helvetica" w:cs="Helvetica"/>
          <w:lang w:val="en-US"/>
        </w:rPr>
        <w:t>Clin</w:t>
      </w:r>
      <w:proofErr w:type="spellEnd"/>
      <w:r>
        <w:rPr>
          <w:rFonts w:ascii="Helvetica" w:hAnsi="Helvetica" w:cs="Helvetica"/>
          <w:lang w:val="en-US"/>
        </w:rPr>
        <w:t xml:space="preserve"> </w:t>
      </w:r>
      <w:proofErr w:type="spellStart"/>
      <w:r>
        <w:rPr>
          <w:rFonts w:ascii="Helvetica" w:hAnsi="Helvetica" w:cs="Helvetica"/>
          <w:lang w:val="en-US"/>
        </w:rPr>
        <w:t>Neurosci</w:t>
      </w:r>
      <w:proofErr w:type="spellEnd"/>
      <w:r>
        <w:rPr>
          <w:rFonts w:ascii="Helvetica" w:hAnsi="Helvetica" w:cs="Helvetica"/>
          <w:lang w:val="en-US"/>
        </w:rPr>
        <w:t xml:space="preserve">. 2011;13(2):217–24. </w:t>
      </w:r>
    </w:p>
    <w:p w:rsidR="00F2486E" w:rsidRDefault="00F2486E" w:rsidP="00F2486E">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6.</w:t>
      </w:r>
      <w:r>
        <w:rPr>
          <w:rFonts w:ascii="Helvetica" w:hAnsi="Helvetica" w:cs="Helvetica"/>
          <w:lang w:val="en-US"/>
        </w:rPr>
        <w:tab/>
        <w:t xml:space="preserve">Raftery J, Young A, Stanton L, Milne R, Cook A, Turner D, et al. Clinical trial metadata: defining and extracting metadata on the design, conduct, results and costs of 125 </w:t>
      </w:r>
      <w:proofErr w:type="spellStart"/>
      <w:r>
        <w:rPr>
          <w:rFonts w:ascii="Helvetica" w:hAnsi="Helvetica" w:cs="Helvetica"/>
          <w:lang w:val="en-US"/>
        </w:rPr>
        <w:t>randomised</w:t>
      </w:r>
      <w:proofErr w:type="spellEnd"/>
      <w:r>
        <w:rPr>
          <w:rFonts w:ascii="Helvetica" w:hAnsi="Helvetica" w:cs="Helvetica"/>
          <w:lang w:val="en-US"/>
        </w:rPr>
        <w:t xml:space="preserve"> clinical trials funded by the National Institute for Health Research Health Technology Assessment </w:t>
      </w:r>
      <w:proofErr w:type="spellStart"/>
      <w:r>
        <w:rPr>
          <w:rFonts w:ascii="Helvetica" w:hAnsi="Helvetica" w:cs="Helvetica"/>
          <w:lang w:val="en-US"/>
        </w:rPr>
        <w:t>programme</w:t>
      </w:r>
      <w:proofErr w:type="spellEnd"/>
      <w:r>
        <w:rPr>
          <w:rFonts w:ascii="Helvetica" w:hAnsi="Helvetica" w:cs="Helvetica"/>
          <w:lang w:val="en-US"/>
        </w:rPr>
        <w:t xml:space="preserve">. Health Technol Assess. 2015 Feb;19(11):1–138. </w:t>
      </w:r>
    </w:p>
    <w:p w:rsidR="00F2486E" w:rsidRDefault="00F2486E" w:rsidP="00F2486E">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7.</w:t>
      </w:r>
      <w:r>
        <w:rPr>
          <w:rFonts w:ascii="Helvetica" w:hAnsi="Helvetica" w:cs="Helvetica"/>
          <w:lang w:val="en-US"/>
        </w:rPr>
        <w:tab/>
        <w:t xml:space="preserve">Physicians for a National Health </w:t>
      </w:r>
      <w:proofErr w:type="spellStart"/>
      <w:r>
        <w:rPr>
          <w:rFonts w:ascii="Helvetica" w:hAnsi="Helvetica" w:cs="Helvetica"/>
          <w:lang w:val="en-US"/>
        </w:rPr>
        <w:t>Programe</w:t>
      </w:r>
      <w:proofErr w:type="spellEnd"/>
      <w:r>
        <w:rPr>
          <w:rFonts w:ascii="Helvetica" w:hAnsi="Helvetica" w:cs="Helvetica"/>
          <w:lang w:val="en-US"/>
        </w:rPr>
        <w:t xml:space="preserve">. Health Care Systems - Four Basic Models [Internet]. Physicians for a National Health </w:t>
      </w:r>
      <w:proofErr w:type="spellStart"/>
      <w:r>
        <w:rPr>
          <w:rFonts w:ascii="Helvetica" w:hAnsi="Helvetica" w:cs="Helvetica"/>
          <w:lang w:val="en-US"/>
        </w:rPr>
        <w:t>Programme</w:t>
      </w:r>
      <w:proofErr w:type="spellEnd"/>
      <w:r>
        <w:rPr>
          <w:rFonts w:ascii="Helvetica" w:hAnsi="Helvetica" w:cs="Helvetica"/>
          <w:lang w:val="en-US"/>
        </w:rPr>
        <w:t>. [cited 2019 Mar 31]. Available from: http://www.pnhp.org/single_payer_resources/health_care_systems_four_basic_models.php</w:t>
      </w:r>
    </w:p>
    <w:p w:rsidR="00F2486E" w:rsidRDefault="00F2486E" w:rsidP="00F2486E">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8.</w:t>
      </w:r>
      <w:r>
        <w:rPr>
          <w:rFonts w:ascii="Helvetica" w:hAnsi="Helvetica" w:cs="Helvetica"/>
          <w:lang w:val="en-US"/>
        </w:rPr>
        <w:tab/>
      </w:r>
      <w:proofErr w:type="spellStart"/>
      <w:r>
        <w:rPr>
          <w:rFonts w:ascii="Helvetica" w:hAnsi="Helvetica" w:cs="Helvetica"/>
          <w:lang w:val="en-US"/>
        </w:rPr>
        <w:t>Ongaro</w:t>
      </w:r>
      <w:proofErr w:type="spellEnd"/>
      <w:r>
        <w:rPr>
          <w:rFonts w:ascii="Helvetica" w:hAnsi="Helvetica" w:cs="Helvetica"/>
          <w:lang w:val="en-US"/>
        </w:rPr>
        <w:t xml:space="preserve"> E, </w:t>
      </w:r>
      <w:proofErr w:type="spellStart"/>
      <w:r>
        <w:rPr>
          <w:rFonts w:ascii="Helvetica" w:hAnsi="Helvetica" w:cs="Helvetica"/>
          <w:lang w:val="en-US"/>
        </w:rPr>
        <w:t>Ferré</w:t>
      </w:r>
      <w:proofErr w:type="spellEnd"/>
      <w:r>
        <w:rPr>
          <w:rFonts w:ascii="Helvetica" w:hAnsi="Helvetica" w:cs="Helvetica"/>
          <w:lang w:val="en-US"/>
        </w:rPr>
        <w:t xml:space="preserve"> F, </w:t>
      </w:r>
      <w:proofErr w:type="spellStart"/>
      <w:r>
        <w:rPr>
          <w:rFonts w:ascii="Helvetica" w:hAnsi="Helvetica" w:cs="Helvetica"/>
          <w:lang w:val="en-US"/>
        </w:rPr>
        <w:t>Fattore</w:t>
      </w:r>
      <w:proofErr w:type="spellEnd"/>
      <w:r>
        <w:rPr>
          <w:rFonts w:ascii="Helvetica" w:hAnsi="Helvetica" w:cs="Helvetica"/>
          <w:lang w:val="en-US"/>
        </w:rPr>
        <w:t xml:space="preserve"> G. The fiscal crisis in the health sector: Patterns of cutback management across Europe. Health Policy. 2015 Jul;119(7):954–63. </w:t>
      </w:r>
    </w:p>
    <w:p w:rsidR="00F2486E" w:rsidRDefault="00F2486E" w:rsidP="00F2486E">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9.</w:t>
      </w:r>
      <w:r>
        <w:rPr>
          <w:rFonts w:ascii="Helvetica" w:hAnsi="Helvetica" w:cs="Helvetica"/>
          <w:lang w:val="en-US"/>
        </w:rPr>
        <w:tab/>
        <w:t xml:space="preserve">Dutton SJ, </w:t>
      </w:r>
      <w:proofErr w:type="spellStart"/>
      <w:r>
        <w:rPr>
          <w:rFonts w:ascii="Helvetica" w:hAnsi="Helvetica" w:cs="Helvetica"/>
          <w:lang w:val="en-US"/>
        </w:rPr>
        <w:t>Kenealy</w:t>
      </w:r>
      <w:proofErr w:type="spellEnd"/>
      <w:r>
        <w:rPr>
          <w:rFonts w:ascii="Helvetica" w:hAnsi="Helvetica" w:cs="Helvetica"/>
          <w:lang w:val="en-US"/>
        </w:rPr>
        <w:t xml:space="preserve"> N, BMC SL, 2014. FOXFIRE protocol: an open-label, </w:t>
      </w:r>
      <w:proofErr w:type="spellStart"/>
      <w:r>
        <w:rPr>
          <w:rFonts w:ascii="Helvetica" w:hAnsi="Helvetica" w:cs="Helvetica"/>
          <w:lang w:val="en-US"/>
        </w:rPr>
        <w:t>randomised</w:t>
      </w:r>
      <w:proofErr w:type="spellEnd"/>
      <w:r>
        <w:rPr>
          <w:rFonts w:ascii="Helvetica" w:hAnsi="Helvetica" w:cs="Helvetica"/>
          <w:lang w:val="en-US"/>
        </w:rPr>
        <w:t xml:space="preserve">, phase III trial of 5-fluorouracil, oxaliplatin and </w:t>
      </w:r>
      <w:proofErr w:type="spellStart"/>
      <w:r>
        <w:rPr>
          <w:rFonts w:ascii="Helvetica" w:hAnsi="Helvetica" w:cs="Helvetica"/>
          <w:lang w:val="en-US"/>
        </w:rPr>
        <w:t>folinic</w:t>
      </w:r>
      <w:proofErr w:type="spellEnd"/>
      <w:r>
        <w:rPr>
          <w:rFonts w:ascii="Helvetica" w:hAnsi="Helvetica" w:cs="Helvetica"/>
          <w:lang w:val="en-US"/>
        </w:rPr>
        <w:t xml:space="preserve"> acid (</w:t>
      </w:r>
      <w:proofErr w:type="spellStart"/>
      <w:r>
        <w:rPr>
          <w:rFonts w:ascii="Helvetica" w:hAnsi="Helvetica" w:cs="Helvetica"/>
          <w:lang w:val="en-US"/>
        </w:rPr>
        <w:t>OxMdG</w:t>
      </w:r>
      <w:proofErr w:type="spellEnd"/>
      <w:r>
        <w:rPr>
          <w:rFonts w:ascii="Helvetica" w:hAnsi="Helvetica" w:cs="Helvetica"/>
          <w:lang w:val="en-US"/>
        </w:rPr>
        <w:t xml:space="preserve">) with or without interventional Selective Internal Radiation Therapy (SIRT) as first-line treatment for patients with unresectable liver-only or liver-dominant metastatic colorectal cancer. BMC Cancer. </w:t>
      </w:r>
    </w:p>
    <w:p w:rsidR="00F2486E" w:rsidRDefault="00F2486E" w:rsidP="00F2486E">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10.</w:t>
      </w:r>
      <w:r>
        <w:rPr>
          <w:rFonts w:ascii="Helvetica" w:hAnsi="Helvetica" w:cs="Helvetica"/>
          <w:lang w:val="en-US"/>
        </w:rPr>
        <w:tab/>
        <w:t>NICE. Selective internal radiation therapy for non-</w:t>
      </w:r>
      <w:proofErr w:type="spellStart"/>
      <w:r>
        <w:rPr>
          <w:rFonts w:ascii="Helvetica" w:hAnsi="Helvetica" w:cs="Helvetica"/>
          <w:lang w:val="en-US"/>
        </w:rPr>
        <w:t>resectable</w:t>
      </w:r>
      <w:proofErr w:type="spellEnd"/>
      <w:r>
        <w:rPr>
          <w:rFonts w:ascii="Helvetica" w:hAnsi="Helvetica" w:cs="Helvetica"/>
          <w:lang w:val="en-US"/>
        </w:rPr>
        <w:t xml:space="preserve"> colorectal metastases in the liver [Internet]. 2013 May pp. 1–8. Available from: https://www.nice.org.uk/guidance/ipg401#</w:t>
      </w:r>
    </w:p>
    <w:p w:rsidR="00CA2C77" w:rsidRPr="00157DEE" w:rsidRDefault="00F2486E" w:rsidP="00CA2C77">
      <w:pPr>
        <w:pStyle w:val="BodyText"/>
        <w:ind w:firstLine="0"/>
      </w:pPr>
      <w:r>
        <w:fldChar w:fldCharType="begin"/>
      </w:r>
      <w:r>
        <w:instrText xml:space="preserve"> ADDIN PAPERS2_CITATIONS &lt;papers2_bibliography/&gt;</w:instrText>
      </w:r>
      <w:r>
        <w:fldChar w:fldCharType="end"/>
      </w:r>
      <w:bookmarkStart w:id="0" w:name="_GoBack"/>
      <w:bookmarkEnd w:id="0"/>
    </w:p>
    <w:p w:rsidR="00CE2359" w:rsidRPr="00157DEE" w:rsidRDefault="00CE2359" w:rsidP="00DF0842">
      <w:pPr>
        <w:pStyle w:val="BodyText"/>
        <w:ind w:firstLine="0"/>
      </w:pPr>
    </w:p>
    <w:sectPr w:rsidR="00CE2359" w:rsidRPr="00157DEE" w:rsidSect="001247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E8A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5C54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5442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46B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246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0224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AC0B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2484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EF3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1E5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BC1F25"/>
    <w:multiLevelType w:val="hybridMultilevel"/>
    <w:tmpl w:val="01881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5E"/>
    <w:rsid w:val="00065C6D"/>
    <w:rsid w:val="000E14BF"/>
    <w:rsid w:val="00111CB5"/>
    <w:rsid w:val="001247EF"/>
    <w:rsid w:val="00157DEE"/>
    <w:rsid w:val="00166BB2"/>
    <w:rsid w:val="00294732"/>
    <w:rsid w:val="002C02BD"/>
    <w:rsid w:val="002C0DD1"/>
    <w:rsid w:val="00376376"/>
    <w:rsid w:val="00397E9E"/>
    <w:rsid w:val="003F20BC"/>
    <w:rsid w:val="004933C2"/>
    <w:rsid w:val="004A6F7F"/>
    <w:rsid w:val="004D7B96"/>
    <w:rsid w:val="004F6745"/>
    <w:rsid w:val="004F7E14"/>
    <w:rsid w:val="00523727"/>
    <w:rsid w:val="005B68AB"/>
    <w:rsid w:val="005D59D0"/>
    <w:rsid w:val="00622EAA"/>
    <w:rsid w:val="006E620D"/>
    <w:rsid w:val="00703900"/>
    <w:rsid w:val="00752E15"/>
    <w:rsid w:val="0080625E"/>
    <w:rsid w:val="008C031C"/>
    <w:rsid w:val="00A31430"/>
    <w:rsid w:val="00B65C9F"/>
    <w:rsid w:val="00B668DE"/>
    <w:rsid w:val="00B860DF"/>
    <w:rsid w:val="00C05B66"/>
    <w:rsid w:val="00C656B9"/>
    <w:rsid w:val="00C852A8"/>
    <w:rsid w:val="00CA2C77"/>
    <w:rsid w:val="00CE2359"/>
    <w:rsid w:val="00DF0842"/>
    <w:rsid w:val="00E335E0"/>
    <w:rsid w:val="00E7715F"/>
    <w:rsid w:val="00F239DD"/>
    <w:rsid w:val="00F2486E"/>
    <w:rsid w:val="00F40893"/>
    <w:rsid w:val="00FC0415"/>
    <w:rsid w:val="00FF2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7D96"/>
  <w15:chartTrackingRefBased/>
  <w15:docId w15:val="{D9A999C9-5C38-C542-9FF0-52D33F9C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2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239DD"/>
    <w:pPr>
      <w:spacing w:after="120" w:line="360" w:lineRule="auto"/>
      <w:ind w:firstLine="720"/>
    </w:pPr>
  </w:style>
  <w:style w:type="character" w:customStyle="1" w:styleId="BodyTextChar">
    <w:name w:val="Body Text Char"/>
    <w:basedOn w:val="DefaultParagraphFont"/>
    <w:link w:val="BodyText"/>
    <w:uiPriority w:val="99"/>
    <w:rsid w:val="00F239DD"/>
  </w:style>
  <w:style w:type="paragraph" w:styleId="NormalWeb">
    <w:name w:val="Normal (Web)"/>
    <w:basedOn w:val="Normal"/>
    <w:uiPriority w:val="99"/>
    <w:semiHidden/>
    <w:unhideWhenUsed/>
    <w:rsid w:val="004933C2"/>
    <w:rPr>
      <w:rFonts w:ascii="Times New Roman" w:hAnsi="Times New Roman" w:cs="Times New Roman"/>
    </w:rPr>
  </w:style>
  <w:style w:type="character" w:customStyle="1" w:styleId="Heading1Char">
    <w:name w:val="Heading 1 Char"/>
    <w:basedOn w:val="DefaultParagraphFont"/>
    <w:link w:val="Heading1"/>
    <w:uiPriority w:val="9"/>
    <w:rsid w:val="002C02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4909">
      <w:bodyDiv w:val="1"/>
      <w:marLeft w:val="0"/>
      <w:marRight w:val="0"/>
      <w:marTop w:val="0"/>
      <w:marBottom w:val="0"/>
      <w:divBdr>
        <w:top w:val="none" w:sz="0" w:space="0" w:color="auto"/>
        <w:left w:val="none" w:sz="0" w:space="0" w:color="auto"/>
        <w:bottom w:val="none" w:sz="0" w:space="0" w:color="auto"/>
        <w:right w:val="none" w:sz="0" w:space="0" w:color="auto"/>
      </w:divBdr>
      <w:divsChild>
        <w:div w:id="1863399805">
          <w:marLeft w:val="0"/>
          <w:marRight w:val="0"/>
          <w:marTop w:val="0"/>
          <w:marBottom w:val="0"/>
          <w:divBdr>
            <w:top w:val="none" w:sz="0" w:space="0" w:color="auto"/>
            <w:left w:val="none" w:sz="0" w:space="0" w:color="auto"/>
            <w:bottom w:val="none" w:sz="0" w:space="0" w:color="auto"/>
            <w:right w:val="none" w:sz="0" w:space="0" w:color="auto"/>
          </w:divBdr>
          <w:divsChild>
            <w:div w:id="2113427802">
              <w:marLeft w:val="0"/>
              <w:marRight w:val="0"/>
              <w:marTop w:val="0"/>
              <w:marBottom w:val="0"/>
              <w:divBdr>
                <w:top w:val="none" w:sz="0" w:space="0" w:color="auto"/>
                <w:left w:val="none" w:sz="0" w:space="0" w:color="auto"/>
                <w:bottom w:val="none" w:sz="0" w:space="0" w:color="auto"/>
                <w:right w:val="none" w:sz="0" w:space="0" w:color="auto"/>
              </w:divBdr>
              <w:divsChild>
                <w:div w:id="1809126885">
                  <w:marLeft w:val="0"/>
                  <w:marRight w:val="0"/>
                  <w:marTop w:val="0"/>
                  <w:marBottom w:val="0"/>
                  <w:divBdr>
                    <w:top w:val="none" w:sz="0" w:space="0" w:color="auto"/>
                    <w:left w:val="none" w:sz="0" w:space="0" w:color="auto"/>
                    <w:bottom w:val="none" w:sz="0" w:space="0" w:color="auto"/>
                    <w:right w:val="none" w:sz="0" w:space="0" w:color="auto"/>
                  </w:divBdr>
                  <w:divsChild>
                    <w:div w:id="17812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2056">
      <w:bodyDiv w:val="1"/>
      <w:marLeft w:val="0"/>
      <w:marRight w:val="0"/>
      <w:marTop w:val="0"/>
      <w:marBottom w:val="0"/>
      <w:divBdr>
        <w:top w:val="none" w:sz="0" w:space="0" w:color="auto"/>
        <w:left w:val="none" w:sz="0" w:space="0" w:color="auto"/>
        <w:bottom w:val="none" w:sz="0" w:space="0" w:color="auto"/>
        <w:right w:val="none" w:sz="0" w:space="0" w:color="auto"/>
      </w:divBdr>
      <w:divsChild>
        <w:div w:id="1323774597">
          <w:marLeft w:val="0"/>
          <w:marRight w:val="0"/>
          <w:marTop w:val="0"/>
          <w:marBottom w:val="0"/>
          <w:divBdr>
            <w:top w:val="none" w:sz="0" w:space="0" w:color="auto"/>
            <w:left w:val="none" w:sz="0" w:space="0" w:color="auto"/>
            <w:bottom w:val="none" w:sz="0" w:space="0" w:color="auto"/>
            <w:right w:val="none" w:sz="0" w:space="0" w:color="auto"/>
          </w:divBdr>
          <w:divsChild>
            <w:div w:id="2007710533">
              <w:marLeft w:val="0"/>
              <w:marRight w:val="0"/>
              <w:marTop w:val="0"/>
              <w:marBottom w:val="0"/>
              <w:divBdr>
                <w:top w:val="none" w:sz="0" w:space="0" w:color="auto"/>
                <w:left w:val="none" w:sz="0" w:space="0" w:color="auto"/>
                <w:bottom w:val="none" w:sz="0" w:space="0" w:color="auto"/>
                <w:right w:val="none" w:sz="0" w:space="0" w:color="auto"/>
              </w:divBdr>
              <w:divsChild>
                <w:div w:id="667371021">
                  <w:marLeft w:val="0"/>
                  <w:marRight w:val="0"/>
                  <w:marTop w:val="0"/>
                  <w:marBottom w:val="0"/>
                  <w:divBdr>
                    <w:top w:val="none" w:sz="0" w:space="0" w:color="auto"/>
                    <w:left w:val="none" w:sz="0" w:space="0" w:color="auto"/>
                    <w:bottom w:val="none" w:sz="0" w:space="0" w:color="auto"/>
                    <w:right w:val="none" w:sz="0" w:space="0" w:color="auto"/>
                  </w:divBdr>
                  <w:divsChild>
                    <w:div w:id="10705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3447</Words>
  <Characters>19651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A.</dc:creator>
  <cp:keywords/>
  <dc:description/>
  <cp:lastModifiedBy>Cook A.</cp:lastModifiedBy>
  <cp:revision>38</cp:revision>
  <dcterms:created xsi:type="dcterms:W3CDTF">2019-03-28T17:14:00Z</dcterms:created>
  <dcterms:modified xsi:type="dcterms:W3CDTF">2019-04-01T14:05:00Z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id="http://www.zotero.org/styles/sage-vancouver"/&gt;&lt;format class="21"/&gt;&lt;count citations="7" publications="10"/&gt;&lt;/info&gt;PAPERS2_INFO_END</vt:lpwstr>
  </property>
</Properties>
</file>