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7E931" w14:textId="77777777" w:rsidR="00256B01" w:rsidRPr="00ED68CD" w:rsidRDefault="00256B01" w:rsidP="00256B01">
      <w:pPr>
        <w:pStyle w:val="Heading1"/>
        <w:spacing w:before="0" w:after="240"/>
        <w:jc w:val="both"/>
      </w:pPr>
      <w:r>
        <w:t>Poor o</w:t>
      </w:r>
      <w:r w:rsidRPr="00ED68CD">
        <w:t>utcomes of even brief hospital admission</w:t>
      </w:r>
      <w:r>
        <w:t>s</w:t>
      </w:r>
      <w:r w:rsidRPr="00ED68CD">
        <w:t xml:space="preserve"> among frail older people: a role for secondary prevention </w:t>
      </w:r>
      <w:r>
        <w:t xml:space="preserve">of frailty crises </w:t>
      </w:r>
      <w:r w:rsidRPr="00ED68CD">
        <w:t xml:space="preserve">in the community? </w:t>
      </w:r>
    </w:p>
    <w:p w14:paraId="50AA088B" w14:textId="77777777" w:rsidR="00256B01" w:rsidRDefault="00256B01" w:rsidP="00256B01">
      <w:r>
        <w:t>Corresponding Author</w:t>
      </w:r>
    </w:p>
    <w:p w14:paraId="26168D32" w14:textId="77777777" w:rsidR="00256B01" w:rsidRDefault="00256B01" w:rsidP="00256B01">
      <w:proofErr w:type="spellStart"/>
      <w:r>
        <w:t>Eilís</w:t>
      </w:r>
      <w:proofErr w:type="spellEnd"/>
      <w:r>
        <w:t xml:space="preserve"> Keeble, </w:t>
      </w:r>
      <w:proofErr w:type="gramStart"/>
      <w:r>
        <w:t>The</w:t>
      </w:r>
      <w:proofErr w:type="gramEnd"/>
      <w:r>
        <w:t xml:space="preserve"> Nuffield Trust, 59 New Cavendish Street, London, W1G 7LP</w:t>
      </w:r>
    </w:p>
    <w:p w14:paraId="4A3382B1" w14:textId="77777777" w:rsidR="00256B01" w:rsidRPr="00256B01" w:rsidRDefault="00256B01" w:rsidP="00256B01">
      <w:pPr>
        <w:rPr>
          <w:lang w:val="fr-FR"/>
        </w:rPr>
      </w:pPr>
      <w:r w:rsidRPr="00256B01">
        <w:rPr>
          <w:lang w:val="fr-FR"/>
        </w:rPr>
        <w:t xml:space="preserve">Email: </w:t>
      </w:r>
      <w:hyperlink r:id="rId9" w:history="1">
        <w:r w:rsidRPr="00256B01">
          <w:rPr>
            <w:rStyle w:val="Hyperlink"/>
            <w:lang w:val="fr-FR"/>
          </w:rPr>
          <w:t>eilis.keeble@nuffieldtrust.org.uk</w:t>
        </w:r>
      </w:hyperlink>
    </w:p>
    <w:p w14:paraId="35299DBD" w14:textId="77777777" w:rsidR="00256B01" w:rsidRDefault="00256B01" w:rsidP="00256B01">
      <w:r>
        <w:t>Professor Helen Roberts, University of Southampton, Southampton, Hampshire, SO17 1BJ</w:t>
      </w:r>
    </w:p>
    <w:p w14:paraId="1895228C" w14:textId="77777777" w:rsidR="00256B01" w:rsidRDefault="00256B01" w:rsidP="00256B01">
      <w:r>
        <w:t>Dr Christopher Williams, University of Leicester, Leicester, Leicestershire, LE1 7RH</w:t>
      </w:r>
    </w:p>
    <w:p w14:paraId="2C5B01E5" w14:textId="77777777" w:rsidR="00256B01" w:rsidRDefault="00256B01" w:rsidP="00256B01">
      <w:r>
        <w:t xml:space="preserve">Dr James Van </w:t>
      </w:r>
      <w:proofErr w:type="spellStart"/>
      <w:r>
        <w:t>Oppen</w:t>
      </w:r>
      <w:proofErr w:type="spellEnd"/>
      <w:r>
        <w:t>, University of Leicester, Leicester, Leicestershire, LE1 7RH</w:t>
      </w:r>
    </w:p>
    <w:p w14:paraId="3A646809" w14:textId="77777777" w:rsidR="00256B01" w:rsidRDefault="00256B01" w:rsidP="00256B01">
      <w:r>
        <w:t>Professor Simon Paul Conroy, University of Leicester, Leicester, Leicestershire, LE1 7RH</w:t>
      </w:r>
    </w:p>
    <w:p w14:paraId="1DB6A3D8" w14:textId="77777777" w:rsidR="00256B01" w:rsidRDefault="00256B01">
      <w:pPr>
        <w:rPr>
          <w:rFonts w:eastAsiaTheme="majorEastAsia" w:cstheme="majorBidi"/>
          <w:b/>
          <w:bCs/>
          <w:sz w:val="28"/>
          <w:szCs w:val="28"/>
        </w:rPr>
      </w:pPr>
      <w:r>
        <w:br w:type="page"/>
      </w:r>
    </w:p>
    <w:p w14:paraId="4E031149" w14:textId="38F803CD" w:rsidR="00853C91" w:rsidRPr="00A37F3F" w:rsidRDefault="00853C91" w:rsidP="0076398C">
      <w:pPr>
        <w:pStyle w:val="Heading1"/>
      </w:pPr>
      <w:r w:rsidRPr="00A37F3F">
        <w:lastRenderedPageBreak/>
        <w:t>Abstract</w:t>
      </w:r>
    </w:p>
    <w:p w14:paraId="66BAED04" w14:textId="77777777" w:rsidR="007C7A18" w:rsidRPr="00B81556" w:rsidRDefault="007C7A18" w:rsidP="00955F49">
      <w:pPr>
        <w:pStyle w:val="Heading2"/>
        <w:jc w:val="both"/>
      </w:pPr>
      <w:r w:rsidRPr="00B81556">
        <w:t>Background</w:t>
      </w:r>
    </w:p>
    <w:p w14:paraId="2C23A7F1" w14:textId="536C5E9B" w:rsidR="007C7A18" w:rsidRPr="00B81556" w:rsidRDefault="00BB30AB" w:rsidP="000F78FC">
      <w:pPr>
        <w:jc w:val="both"/>
      </w:pPr>
      <w:r>
        <w:t xml:space="preserve">‘Frailty crises’ are a common cause of hospital admission amongst older people and there is significant focus on admission avoidance. However, identifying </w:t>
      </w:r>
      <w:r w:rsidR="00C64026">
        <w:t xml:space="preserve">frailty before a </w:t>
      </w:r>
      <w:r>
        <w:t xml:space="preserve">crisis </w:t>
      </w:r>
      <w:r w:rsidR="00C64026">
        <w:t>occurs is challenging</w:t>
      </w:r>
      <w:r>
        <w:t xml:space="preserve">, making </w:t>
      </w:r>
      <w:r w:rsidR="00C64026">
        <w:t xml:space="preserve">it difficult to </w:t>
      </w:r>
      <w:r w:rsidR="00646D5B">
        <w:t xml:space="preserve">effectively </w:t>
      </w:r>
      <w:r w:rsidR="00C64026">
        <w:t>target community services</w:t>
      </w:r>
      <w:r w:rsidR="00C64026" w:rsidRPr="00B81556">
        <w:t>.</w:t>
      </w:r>
      <w:r w:rsidR="00646D5B">
        <w:t xml:space="preserve"> Better longer-term outcome data is needed if services are to reflect the needs of the growing population of older people with frailty.</w:t>
      </w:r>
    </w:p>
    <w:p w14:paraId="6EEE9B32" w14:textId="77777777" w:rsidR="00A42B3A" w:rsidRPr="00B81556" w:rsidRDefault="00A42B3A" w:rsidP="00955F49">
      <w:pPr>
        <w:pStyle w:val="Heading2"/>
        <w:jc w:val="both"/>
      </w:pPr>
      <w:r w:rsidRPr="00B81556">
        <w:t>Aim</w:t>
      </w:r>
    </w:p>
    <w:p w14:paraId="52C4B46A" w14:textId="59108D59" w:rsidR="00A42B3A" w:rsidRPr="00B81556" w:rsidRDefault="000F78FC" w:rsidP="00955F49">
      <w:pPr>
        <w:jc w:val="both"/>
      </w:pPr>
      <w:r w:rsidRPr="00B81556">
        <w:t xml:space="preserve">To determine long-term outcomes </w:t>
      </w:r>
      <w:r w:rsidR="003C253D">
        <w:t xml:space="preserve">of older people discharged from hospital </w:t>
      </w:r>
      <w:r w:rsidRPr="00B81556">
        <w:t xml:space="preserve">following </w:t>
      </w:r>
      <w:r w:rsidR="003C253D">
        <w:t xml:space="preserve">short (&lt;72h) and longer hospital admissions </w:t>
      </w:r>
      <w:r w:rsidR="00BB30AB">
        <w:t xml:space="preserve">compared </w:t>
      </w:r>
      <w:r w:rsidR="003C253D">
        <w:t>by frailty status</w:t>
      </w:r>
      <w:r w:rsidRPr="00B81556">
        <w:t xml:space="preserve">. </w:t>
      </w:r>
    </w:p>
    <w:p w14:paraId="5F4A2C09" w14:textId="77777777" w:rsidR="00A42B3A" w:rsidRPr="00B81556" w:rsidRDefault="00A42B3A" w:rsidP="00955F49">
      <w:pPr>
        <w:pStyle w:val="Heading2"/>
        <w:jc w:val="both"/>
      </w:pPr>
      <w:r w:rsidRPr="00B81556">
        <w:t>Design and Setting</w:t>
      </w:r>
    </w:p>
    <w:p w14:paraId="3B8833D4" w14:textId="56143EBE" w:rsidR="00A42B3A" w:rsidRPr="00B81556" w:rsidRDefault="003C253D" w:rsidP="00955F49">
      <w:pPr>
        <w:jc w:val="both"/>
      </w:pPr>
      <w:r>
        <w:t>T</w:t>
      </w:r>
      <w:r w:rsidR="000F78FC" w:rsidRPr="00B81556">
        <w:t xml:space="preserve">wo populations aged </w:t>
      </w:r>
      <w:r w:rsidR="00BB30AB">
        <w:t>&gt;=</w:t>
      </w:r>
      <w:r w:rsidR="000F78FC" w:rsidRPr="00B81556">
        <w:t>70</w:t>
      </w:r>
      <w:r w:rsidR="00BB30AB">
        <w:t xml:space="preserve"> </w:t>
      </w:r>
      <w:r w:rsidR="000F78FC" w:rsidRPr="00B81556">
        <w:t>years</w:t>
      </w:r>
      <w:r w:rsidR="00C64026">
        <w:t xml:space="preserve"> </w:t>
      </w:r>
      <w:r w:rsidR="00C64026" w:rsidRPr="00B81556">
        <w:t>discharged from hospital</w:t>
      </w:r>
      <w:r w:rsidR="00C64026">
        <w:t xml:space="preserve"> units</w:t>
      </w:r>
      <w:r w:rsidR="00BB30AB">
        <w:t xml:space="preserve"> </w:t>
      </w:r>
      <w:r w:rsidR="00C64026">
        <w:t xml:space="preserve">(i) following short </w:t>
      </w:r>
      <w:r w:rsidR="00E41584" w:rsidRPr="00B81556">
        <w:t>‘ambulatory</w:t>
      </w:r>
      <w:r w:rsidR="00C64026">
        <w:t xml:space="preserve">’ admissions (&lt;72h); (ii) following longer </w:t>
      </w:r>
      <w:r w:rsidR="003E1C0B" w:rsidRPr="00B81556">
        <w:t>in-patient</w:t>
      </w:r>
      <w:r w:rsidR="000F78FC" w:rsidRPr="00B81556">
        <w:t xml:space="preserve"> </w:t>
      </w:r>
      <w:r w:rsidR="00C64026">
        <w:t>stays</w:t>
      </w:r>
      <w:r w:rsidR="000F78FC" w:rsidRPr="00B81556">
        <w:t>.</w:t>
      </w:r>
    </w:p>
    <w:p w14:paraId="73392EB2" w14:textId="468D8A47" w:rsidR="007C7A18" w:rsidRPr="00B81556" w:rsidRDefault="007C7A18" w:rsidP="00955F49">
      <w:pPr>
        <w:pStyle w:val="Heading2"/>
        <w:jc w:val="both"/>
      </w:pPr>
      <w:r w:rsidRPr="00B81556">
        <w:t xml:space="preserve">Method </w:t>
      </w:r>
    </w:p>
    <w:p w14:paraId="73C144F8" w14:textId="72F9FD94" w:rsidR="007C7A18" w:rsidRPr="00B81556" w:rsidRDefault="000F78FC" w:rsidP="000F78FC">
      <w:pPr>
        <w:jc w:val="both"/>
      </w:pPr>
      <w:r w:rsidRPr="00B81556">
        <w:t>T</w:t>
      </w:r>
      <w:r w:rsidR="007C7A18" w:rsidRPr="00B81556">
        <w:t>wo-year mortality</w:t>
      </w:r>
      <w:r w:rsidR="007E0596" w:rsidRPr="00B81556">
        <w:t xml:space="preserve"> and</w:t>
      </w:r>
      <w:r w:rsidR="007C7A18" w:rsidRPr="00B81556">
        <w:t xml:space="preserve"> hospital use </w:t>
      </w:r>
      <w:r w:rsidRPr="00B81556">
        <w:t>were compared</w:t>
      </w:r>
      <w:r w:rsidR="007C7A18" w:rsidRPr="00B81556">
        <w:t xml:space="preserve"> </w:t>
      </w:r>
      <w:r w:rsidR="00C64026">
        <w:t xml:space="preserve">using </w:t>
      </w:r>
      <w:r w:rsidR="00C64026" w:rsidRPr="00B81556">
        <w:t xml:space="preserve">frailty measures </w:t>
      </w:r>
      <w:r w:rsidR="00C64026">
        <w:t xml:space="preserve">derived from </w:t>
      </w:r>
      <w:r w:rsidR="007C7A18" w:rsidRPr="00B81556">
        <w:t xml:space="preserve">clinical and </w:t>
      </w:r>
      <w:r w:rsidR="00EE716E" w:rsidRPr="00B81556">
        <w:t xml:space="preserve">hospital </w:t>
      </w:r>
      <w:r w:rsidR="007C7A18" w:rsidRPr="00B81556">
        <w:t xml:space="preserve">data. </w:t>
      </w:r>
    </w:p>
    <w:p w14:paraId="587FC3EC" w14:textId="22141021" w:rsidR="007C7A18" w:rsidRPr="00B81556" w:rsidRDefault="007C7A18" w:rsidP="000F78FC">
      <w:pPr>
        <w:pStyle w:val="Heading2"/>
        <w:jc w:val="both"/>
      </w:pPr>
      <w:r w:rsidRPr="00B81556">
        <w:t xml:space="preserve">Results </w:t>
      </w:r>
    </w:p>
    <w:p w14:paraId="388C08E1" w14:textId="67EEB36B" w:rsidR="007C7A18" w:rsidRPr="00B81556" w:rsidRDefault="007C7A18" w:rsidP="00955F49">
      <w:pPr>
        <w:jc w:val="both"/>
      </w:pPr>
      <w:r w:rsidRPr="00B81556">
        <w:t xml:space="preserve">Mortality after two years was increased for frail compared to non-frail individuals in both cohorts. Patients in </w:t>
      </w:r>
      <w:r w:rsidR="00CA2B9B" w:rsidRPr="00B81556">
        <w:t xml:space="preserve">the </w:t>
      </w:r>
      <w:r w:rsidR="00E41584" w:rsidRPr="00B81556">
        <w:t>ambulatory c</w:t>
      </w:r>
      <w:r w:rsidR="00F742D4" w:rsidRPr="00B81556">
        <w:t>ohort</w:t>
      </w:r>
      <w:r w:rsidR="00E41584" w:rsidRPr="00B81556">
        <w:t xml:space="preserve"> </w:t>
      </w:r>
      <w:r w:rsidRPr="00B81556">
        <w:t xml:space="preserve">classified as frail </w:t>
      </w:r>
      <w:r w:rsidR="00646D5B">
        <w:t xml:space="preserve">had increased mortality </w:t>
      </w:r>
      <w:r w:rsidR="007E0596" w:rsidRPr="00B81556">
        <w:t>(Rockwood HR 2.3</w:t>
      </w:r>
      <w:r w:rsidR="00885DFD" w:rsidRPr="00B81556">
        <w:t xml:space="preserve"> [1.5,</w:t>
      </w:r>
      <w:r w:rsidR="000C2E58" w:rsidRPr="00B81556">
        <w:t xml:space="preserve"> </w:t>
      </w:r>
      <w:r w:rsidR="007E0596" w:rsidRPr="00B81556">
        <w:t>3.4</w:t>
      </w:r>
      <w:r w:rsidR="00885DFD" w:rsidRPr="00B81556">
        <w:t>])</w:t>
      </w:r>
      <w:r w:rsidR="007E0596" w:rsidRPr="00B81556">
        <w:t xml:space="preserve"> and </w:t>
      </w:r>
      <w:r w:rsidRPr="00B81556">
        <w:t xml:space="preserve">hospital use </w:t>
      </w:r>
      <w:r w:rsidR="007E0596" w:rsidRPr="00B81556">
        <w:t>(Rockwood RR 2.1 [1.7, 2.6</w:t>
      </w:r>
      <w:r w:rsidR="00885DFD" w:rsidRPr="00B81556">
        <w:t>])</w:t>
      </w:r>
      <w:r w:rsidR="00646D5B">
        <w:t xml:space="preserve"> compared to the non-frail</w:t>
      </w:r>
      <w:r w:rsidRPr="00B81556">
        <w:t xml:space="preserve">. </w:t>
      </w:r>
    </w:p>
    <w:p w14:paraId="6F3D78E7" w14:textId="77777777" w:rsidR="007C7A18" w:rsidRPr="00B81556" w:rsidRDefault="007C7A18" w:rsidP="00955F49">
      <w:pPr>
        <w:pStyle w:val="Heading2"/>
        <w:jc w:val="both"/>
      </w:pPr>
      <w:r w:rsidRPr="00B81556">
        <w:t xml:space="preserve">Conclusions </w:t>
      </w:r>
    </w:p>
    <w:p w14:paraId="2454159A" w14:textId="5753EC33" w:rsidR="009D18A3" w:rsidRPr="00B81556" w:rsidRDefault="00BB30AB" w:rsidP="00552C06">
      <w:pPr>
        <w:jc w:val="both"/>
      </w:pPr>
      <w:r>
        <w:t>I</w:t>
      </w:r>
      <w:r w:rsidR="00C275A0" w:rsidRPr="00B81556">
        <w:t xml:space="preserve">ndividuals with frailty who are discharged </w:t>
      </w:r>
      <w:r>
        <w:t xml:space="preserve">from hospital </w:t>
      </w:r>
      <w:r w:rsidR="00EE716E" w:rsidRPr="00B81556">
        <w:t xml:space="preserve">experience </w:t>
      </w:r>
      <w:r w:rsidR="00C275A0" w:rsidRPr="00B81556">
        <w:t>increased mortality and resource use</w:t>
      </w:r>
      <w:r w:rsidR="00D12DDB">
        <w:t xml:space="preserve">, </w:t>
      </w:r>
      <w:r w:rsidRPr="00B81556">
        <w:t xml:space="preserve">even </w:t>
      </w:r>
      <w:r w:rsidR="00D12DDB">
        <w:t xml:space="preserve">after </w:t>
      </w:r>
      <w:r w:rsidRPr="00B81556">
        <w:t xml:space="preserve">short </w:t>
      </w:r>
      <w:r>
        <w:t>‘ambulatory’ admissions</w:t>
      </w:r>
      <w:r w:rsidR="00C275A0" w:rsidRPr="00B81556">
        <w:t xml:space="preserve">. </w:t>
      </w:r>
      <w:r>
        <w:t xml:space="preserve">This is an easily identifiable group </w:t>
      </w:r>
      <w:r w:rsidR="00D12DDB">
        <w:t>which is at increased risk of poor outcomes. H</w:t>
      </w:r>
      <w:r w:rsidRPr="00B81556">
        <w:t xml:space="preserve">ealth </w:t>
      </w:r>
      <w:r w:rsidR="007C7A18" w:rsidRPr="00B81556">
        <w:t xml:space="preserve">and social care systems might wish to examine their current care </w:t>
      </w:r>
      <w:r w:rsidR="00E41584" w:rsidRPr="00B81556">
        <w:t>response for frail older people discharge</w:t>
      </w:r>
      <w:r w:rsidR="00344822" w:rsidRPr="00B81556">
        <w:t>d</w:t>
      </w:r>
      <w:r w:rsidR="00E41584" w:rsidRPr="00B81556">
        <w:t xml:space="preserve"> from </w:t>
      </w:r>
      <w:r>
        <w:t>hospital. T</w:t>
      </w:r>
      <w:r w:rsidR="002D6549" w:rsidRPr="00B81556">
        <w:t>here may be</w:t>
      </w:r>
      <w:r w:rsidR="00C275A0" w:rsidRPr="00B81556">
        <w:t xml:space="preserve"> value in a ‘secondary prevention’ approach </w:t>
      </w:r>
      <w:r>
        <w:t xml:space="preserve">to frailty crises </w:t>
      </w:r>
      <w:r w:rsidR="00C275A0" w:rsidRPr="00B81556">
        <w:t>targeting individuals</w:t>
      </w:r>
      <w:r>
        <w:t xml:space="preserve"> who are discharged from hospital</w:t>
      </w:r>
      <w:r w:rsidR="00C275A0" w:rsidRPr="00B81556">
        <w:t>.</w:t>
      </w:r>
    </w:p>
    <w:p w14:paraId="48CD8D23" w14:textId="77777777" w:rsidR="00A42B3A" w:rsidRPr="00B81556" w:rsidRDefault="00A42B3A" w:rsidP="00955F49">
      <w:pPr>
        <w:pStyle w:val="Heading2"/>
        <w:jc w:val="both"/>
      </w:pPr>
      <w:r w:rsidRPr="00B81556">
        <w:t>Keywords</w:t>
      </w:r>
    </w:p>
    <w:p w14:paraId="10AC498A" w14:textId="69E4F4A7" w:rsidR="000F78FC" w:rsidRPr="00B81556" w:rsidRDefault="000F78FC" w:rsidP="00955F49">
      <w:pPr>
        <w:jc w:val="both"/>
      </w:pPr>
      <w:r w:rsidRPr="00B81556">
        <w:t xml:space="preserve">Frailty; </w:t>
      </w:r>
      <w:r w:rsidR="00EE716E" w:rsidRPr="00B81556">
        <w:t>Intermediate care</w:t>
      </w:r>
      <w:r w:rsidR="00DD2472" w:rsidRPr="00B81556">
        <w:t>; Hospitalisation; Ambulatory Care;</w:t>
      </w:r>
      <w:r w:rsidRPr="00B81556">
        <w:t xml:space="preserve"> </w:t>
      </w:r>
      <w:r w:rsidR="00DD2472" w:rsidRPr="00B81556">
        <w:t>Geriatric Assessment</w:t>
      </w:r>
      <w:r w:rsidR="007B1A97" w:rsidRPr="00B81556">
        <w:t xml:space="preserve">; </w:t>
      </w:r>
      <w:r w:rsidR="00EE716E" w:rsidRPr="00B81556">
        <w:t>Primary care</w:t>
      </w:r>
    </w:p>
    <w:p w14:paraId="3C8DF419" w14:textId="77777777" w:rsidR="00A42B3A" w:rsidRPr="00B81556" w:rsidRDefault="00A42B3A" w:rsidP="00955F49">
      <w:pPr>
        <w:pStyle w:val="Heading2"/>
        <w:jc w:val="both"/>
      </w:pPr>
      <w:r w:rsidRPr="00B81556">
        <w:t>How this fits in</w:t>
      </w:r>
    </w:p>
    <w:p w14:paraId="2FA24BA9" w14:textId="6403CB4C" w:rsidR="00034A17" w:rsidRDefault="00EE716E" w:rsidP="0076398C">
      <w:pPr>
        <w:jc w:val="both"/>
        <w:rPr>
          <w:rFonts w:eastAsiaTheme="majorEastAsia" w:cstheme="majorBidi"/>
          <w:b/>
          <w:bCs/>
          <w:sz w:val="28"/>
          <w:szCs w:val="28"/>
        </w:rPr>
      </w:pPr>
      <w:r w:rsidRPr="00B81556">
        <w:t xml:space="preserve">Primary care services </w:t>
      </w:r>
      <w:r w:rsidR="00867C56" w:rsidRPr="00B81556">
        <w:t xml:space="preserve">have an </w:t>
      </w:r>
      <w:r w:rsidR="00BB30AB">
        <w:t xml:space="preserve">increasing </w:t>
      </w:r>
      <w:r w:rsidR="00867C56" w:rsidRPr="00B81556">
        <w:t xml:space="preserve">role in </w:t>
      </w:r>
      <w:r w:rsidR="00D12DDB">
        <w:t xml:space="preserve">caring for </w:t>
      </w:r>
      <w:r w:rsidRPr="00B81556">
        <w:t>frail</w:t>
      </w:r>
      <w:r w:rsidR="00D12DDB">
        <w:t xml:space="preserve"> older people. </w:t>
      </w:r>
      <w:r w:rsidRPr="00B81556">
        <w:t xml:space="preserve">This study shows </w:t>
      </w:r>
      <w:r w:rsidR="00D12DDB">
        <w:t xml:space="preserve">poor </w:t>
      </w:r>
      <w:r w:rsidR="00867C56" w:rsidRPr="00B81556">
        <w:t xml:space="preserve">outcomes </w:t>
      </w:r>
      <w:r w:rsidR="00D12DDB">
        <w:t xml:space="preserve">for </w:t>
      </w:r>
      <w:r w:rsidR="00867C56" w:rsidRPr="00B81556">
        <w:t>frail older people dischar</w:t>
      </w:r>
      <w:r w:rsidR="00034A17" w:rsidRPr="00B81556">
        <w:t>ged from hospital</w:t>
      </w:r>
      <w:r w:rsidR="00D12DDB">
        <w:t xml:space="preserve">, </w:t>
      </w:r>
      <w:r w:rsidR="00867C56" w:rsidRPr="00B81556">
        <w:t>even after just a ‘short stay’ or ‘ambulatory care’ admission.</w:t>
      </w:r>
      <w:r w:rsidR="00034A17" w:rsidRPr="00B81556">
        <w:t xml:space="preserve"> </w:t>
      </w:r>
      <w:r w:rsidR="00D12DDB">
        <w:t xml:space="preserve">This group is easily identifiable and </w:t>
      </w:r>
      <w:r w:rsidR="00867C56" w:rsidRPr="00B81556">
        <w:t xml:space="preserve">may </w:t>
      </w:r>
      <w:r w:rsidR="00E41584" w:rsidRPr="00B81556">
        <w:t xml:space="preserve">benefit from </w:t>
      </w:r>
      <w:r w:rsidR="00034A17" w:rsidRPr="00B81556">
        <w:t xml:space="preserve">a </w:t>
      </w:r>
      <w:r w:rsidR="00E41584" w:rsidRPr="00B81556">
        <w:t>more</w:t>
      </w:r>
      <w:r w:rsidRPr="00B81556">
        <w:t xml:space="preserve"> holistic assessment </w:t>
      </w:r>
      <w:r w:rsidR="00D12DDB">
        <w:t xml:space="preserve">and tailored </w:t>
      </w:r>
      <w:r w:rsidR="00E41584" w:rsidRPr="00B81556">
        <w:t>community support</w:t>
      </w:r>
      <w:r w:rsidR="00D12DDB">
        <w:t xml:space="preserve"> following discharge</w:t>
      </w:r>
      <w:r w:rsidR="00867C56" w:rsidRPr="00B81556">
        <w:t xml:space="preserve">. This could define a ‘secondary prevention’ approach to admission avoidance (targeting those identified as frail who have already been admitted to hospital) to focus </w:t>
      </w:r>
      <w:r w:rsidR="00D12DDB">
        <w:t xml:space="preserve">resource intensive community support </w:t>
      </w:r>
      <w:r w:rsidR="00867C56" w:rsidRPr="00B81556">
        <w:t>in a more impactful way</w:t>
      </w:r>
      <w:r w:rsidR="00D12DDB">
        <w:t xml:space="preserve"> to improve outcomes and prevent future inappropriate hospitalisation</w:t>
      </w:r>
      <w:r w:rsidR="00867C56" w:rsidRPr="00B81556">
        <w:t>.</w:t>
      </w:r>
      <w:r w:rsidR="00CE4642" w:rsidDel="00CE4642">
        <w:rPr>
          <w:rFonts w:eastAsiaTheme="majorEastAsia" w:cstheme="majorBidi"/>
          <w:b/>
          <w:bCs/>
          <w:sz w:val="28"/>
          <w:szCs w:val="28"/>
        </w:rPr>
        <w:t xml:space="preserve"> </w:t>
      </w:r>
    </w:p>
    <w:p w14:paraId="15590126" w14:textId="398EA024" w:rsidR="00853C91" w:rsidRPr="00661071" w:rsidRDefault="00A42B3A" w:rsidP="0076398C">
      <w:pPr>
        <w:pStyle w:val="Heading1"/>
      </w:pPr>
      <w:r w:rsidRPr="00661071">
        <w:lastRenderedPageBreak/>
        <w:t>Introduction</w:t>
      </w:r>
    </w:p>
    <w:p w14:paraId="7A075577" w14:textId="457B8ED6" w:rsidR="00EF2C69" w:rsidRDefault="00F35E8D">
      <w:pPr>
        <w:jc w:val="both"/>
      </w:pPr>
      <w:r>
        <w:t>F</w:t>
      </w:r>
      <w:r w:rsidRPr="00153E80">
        <w:t xml:space="preserve">railty </w:t>
      </w:r>
      <w:r>
        <w:t>is a distinctive health state related to ageing</w:t>
      </w:r>
      <w:r w:rsidR="000D7DA9">
        <w:t xml:space="preserve">, characterised </w:t>
      </w:r>
      <w:r>
        <w:t xml:space="preserve">by impaired homeostasis and decreased physiological reserve across multiple body systems, </w:t>
      </w:r>
      <w:r w:rsidR="000D7DA9">
        <w:t xml:space="preserve">and resulting </w:t>
      </w:r>
      <w:r>
        <w:t>in increased vulnerability to adverse outcomes from apparently minor stressor</w:t>
      </w:r>
      <w:r w:rsidR="000C31DE">
        <w:t xml:space="preserve"> </w:t>
      </w:r>
      <w:proofErr w:type="gramStart"/>
      <w:r>
        <w:t>events</w:t>
      </w:r>
      <w:r w:rsidR="00D55C64" w:rsidRPr="0076398C">
        <w:rPr>
          <w:rFonts w:ascii="Calibri" w:hAnsi="Calibri" w:cs="Calibri"/>
        </w:rPr>
        <w:t>(</w:t>
      </w:r>
      <w:proofErr w:type="gramEnd"/>
      <w:r w:rsidR="00D55C64" w:rsidRPr="0076398C">
        <w:rPr>
          <w:rFonts w:ascii="Calibri" w:hAnsi="Calibri" w:cs="Calibri"/>
        </w:rPr>
        <w:t>1,2)</w:t>
      </w:r>
      <w:r>
        <w:t xml:space="preserve">. </w:t>
      </w:r>
      <w:r w:rsidR="000C31DE">
        <w:t>I</w:t>
      </w:r>
      <w:r w:rsidR="004D627B">
        <w:t xml:space="preserve">ndividuals are at increased risk of </w:t>
      </w:r>
      <w:r w:rsidR="000C31DE">
        <w:t>‘</w:t>
      </w:r>
      <w:r w:rsidR="00882014">
        <w:t xml:space="preserve">frailty </w:t>
      </w:r>
      <w:r w:rsidR="004D627B">
        <w:t>cris</w:t>
      </w:r>
      <w:r w:rsidR="00882014">
        <w:t>e</w:t>
      </w:r>
      <w:r w:rsidR="004D627B">
        <w:t>s</w:t>
      </w:r>
      <w:r w:rsidR="000C31DE">
        <w:t>’</w:t>
      </w:r>
      <w:r w:rsidR="00882014">
        <w:t xml:space="preserve"> which </w:t>
      </w:r>
      <w:r w:rsidR="009146EB">
        <w:t xml:space="preserve">are a common cause of </w:t>
      </w:r>
      <w:r w:rsidR="00882014">
        <w:t>acute</w:t>
      </w:r>
      <w:r w:rsidR="000C31DE">
        <w:t xml:space="preserve"> </w:t>
      </w:r>
      <w:r w:rsidR="00882014">
        <w:t>health service</w:t>
      </w:r>
      <w:r w:rsidR="009126AE">
        <w:t xml:space="preserve"> use. </w:t>
      </w:r>
      <w:r w:rsidR="00295AE0">
        <w:t>S</w:t>
      </w:r>
      <w:r w:rsidR="009126AE">
        <w:t>everal scoring systems</w:t>
      </w:r>
      <w:r w:rsidR="009146EB">
        <w:t xml:space="preserve"> have been developed to quantify frailty </w:t>
      </w:r>
      <w:r w:rsidR="00882014">
        <w:t xml:space="preserve">and </w:t>
      </w:r>
      <w:r w:rsidR="009146EB">
        <w:t xml:space="preserve">stratify risk </w:t>
      </w:r>
      <w:r w:rsidR="009126AE">
        <w:t xml:space="preserve">in individuals and </w:t>
      </w:r>
      <w:r w:rsidR="009146EB">
        <w:t>populations</w:t>
      </w:r>
      <w:r w:rsidR="00492DC0">
        <w:t xml:space="preserve">. </w:t>
      </w:r>
      <w:r w:rsidR="000C31DE">
        <w:t>T</w:t>
      </w:r>
      <w:r w:rsidR="008F7A34">
        <w:t>he UK</w:t>
      </w:r>
      <w:r w:rsidR="00492DC0">
        <w:t xml:space="preserve"> </w:t>
      </w:r>
      <w:r w:rsidR="00712068">
        <w:t>General Medical Services (GMS) cont</w:t>
      </w:r>
      <w:r w:rsidR="00344822">
        <w:t>r</w:t>
      </w:r>
      <w:r w:rsidR="00712068">
        <w:t xml:space="preserve">act </w:t>
      </w:r>
      <w:r w:rsidR="008F7A34">
        <w:t xml:space="preserve">introduced new frailty requirements in </w:t>
      </w:r>
      <w:r w:rsidR="009126AE">
        <w:t>2017/</w:t>
      </w:r>
      <w:r w:rsidR="002220F6">
        <w:t>1</w:t>
      </w:r>
      <w:r w:rsidR="009126AE">
        <w:t>8</w:t>
      </w:r>
      <w:r w:rsidR="005944B1">
        <w:t xml:space="preserve"> which require GP practices to </w:t>
      </w:r>
      <w:r w:rsidR="008F7A34">
        <w:t xml:space="preserve">use </w:t>
      </w:r>
      <w:r w:rsidR="00712068">
        <w:t xml:space="preserve">an appropriate tool </w:t>
      </w:r>
      <w:r w:rsidR="00492DC0">
        <w:t xml:space="preserve">(e.g. </w:t>
      </w:r>
      <w:r w:rsidR="0036065D">
        <w:t>E</w:t>
      </w:r>
      <w:r w:rsidR="00492DC0">
        <w:t>lectronic Frailty Index (</w:t>
      </w:r>
      <w:proofErr w:type="spellStart"/>
      <w:r w:rsidR="00492DC0">
        <w:t>eFI</w:t>
      </w:r>
      <w:proofErr w:type="spellEnd"/>
      <w:r w:rsidR="00492DC0">
        <w:t xml:space="preserve">)) </w:t>
      </w:r>
      <w:r w:rsidR="00712068">
        <w:t xml:space="preserve">to identify </w:t>
      </w:r>
      <w:r w:rsidR="00FA6118">
        <w:t xml:space="preserve">potential </w:t>
      </w:r>
      <w:r w:rsidR="00712068">
        <w:t>frailty</w:t>
      </w:r>
      <w:r w:rsidR="00FA6118">
        <w:t xml:space="preserve"> </w:t>
      </w:r>
      <w:r w:rsidR="003C72AE">
        <w:t xml:space="preserve">in </w:t>
      </w:r>
      <w:r w:rsidR="005944B1">
        <w:t xml:space="preserve">their </w:t>
      </w:r>
      <w:r w:rsidR="003C72AE">
        <w:t>populations</w:t>
      </w:r>
      <w:r w:rsidR="00D55C64" w:rsidRPr="0076398C">
        <w:rPr>
          <w:rFonts w:ascii="Calibri" w:hAnsi="Calibri" w:cs="Calibri"/>
        </w:rPr>
        <w:t>(3,4)</w:t>
      </w:r>
      <w:r w:rsidR="009126AE">
        <w:rPr>
          <w:rFonts w:ascii="Calibri" w:hAnsi="Calibri"/>
        </w:rPr>
        <w:t xml:space="preserve"> and</w:t>
      </w:r>
      <w:r w:rsidR="0070553F">
        <w:rPr>
          <w:rFonts w:ascii="Calibri" w:hAnsi="Calibri"/>
        </w:rPr>
        <w:t xml:space="preserve"> </w:t>
      </w:r>
      <w:r w:rsidR="009126AE">
        <w:t xml:space="preserve">offer </w:t>
      </w:r>
      <w:r w:rsidR="003C72AE">
        <w:t>clinical assessment</w:t>
      </w:r>
      <w:r w:rsidR="005944B1">
        <w:t>s</w:t>
      </w:r>
      <w:r w:rsidR="003C72AE">
        <w:t xml:space="preserve"> </w:t>
      </w:r>
      <w:r w:rsidR="009126AE">
        <w:t xml:space="preserve">to </w:t>
      </w:r>
      <w:r w:rsidR="003C72AE">
        <w:t>those at risk of moderate or severe frailty</w:t>
      </w:r>
      <w:r w:rsidR="00EF2C69">
        <w:t>.</w:t>
      </w:r>
    </w:p>
    <w:p w14:paraId="60554BDA" w14:textId="26BFFC8E" w:rsidR="005944B1" w:rsidRDefault="0070553F">
      <w:pPr>
        <w:jc w:val="both"/>
      </w:pPr>
      <w:r>
        <w:t>Despite the increasing range of community</w:t>
      </w:r>
      <w:r w:rsidR="001F39EA">
        <w:t>-</w:t>
      </w:r>
      <w:r>
        <w:t>based services geared towards admission avoidance in frail older people, t</w:t>
      </w:r>
      <w:r w:rsidR="00AA2B9E">
        <w:t xml:space="preserve">here has been an </w:t>
      </w:r>
      <w:r w:rsidR="00726B5E">
        <w:t>inexorable</w:t>
      </w:r>
      <w:r w:rsidR="002F7D7E">
        <w:t xml:space="preserve"> rise</w:t>
      </w:r>
      <w:r w:rsidR="00726B5E">
        <w:t xml:space="preserve"> </w:t>
      </w:r>
      <w:r w:rsidR="002F7D7E">
        <w:t>in acute hospital admissions</w:t>
      </w:r>
      <w:r w:rsidR="00AA2B9E">
        <w:t xml:space="preserve"> </w:t>
      </w:r>
      <w:r w:rsidR="000C31DE">
        <w:t xml:space="preserve">in this </w:t>
      </w:r>
      <w:proofErr w:type="gramStart"/>
      <w:r w:rsidR="000C31DE">
        <w:t>group</w:t>
      </w:r>
      <w:r w:rsidR="00D55C64" w:rsidRPr="0076398C">
        <w:rPr>
          <w:rFonts w:ascii="Calibri" w:hAnsi="Calibri" w:cs="Calibri"/>
        </w:rPr>
        <w:t>(</w:t>
      </w:r>
      <w:proofErr w:type="gramEnd"/>
      <w:r w:rsidR="00D55C64" w:rsidRPr="0076398C">
        <w:rPr>
          <w:rFonts w:ascii="Calibri" w:hAnsi="Calibri" w:cs="Calibri"/>
        </w:rPr>
        <w:t>5)</w:t>
      </w:r>
      <w:r w:rsidR="002F7D7E">
        <w:t>.</w:t>
      </w:r>
      <w:r w:rsidR="00AA2B9E">
        <w:t xml:space="preserve">  </w:t>
      </w:r>
      <w:r w:rsidR="000C31DE">
        <w:t>Facing significant pressures, h</w:t>
      </w:r>
      <w:r w:rsidR="00726B5E">
        <w:t>ospital</w:t>
      </w:r>
      <w:r>
        <w:t xml:space="preserve"> </w:t>
      </w:r>
      <w:r w:rsidR="005944B1">
        <w:t>s</w:t>
      </w:r>
      <w:r>
        <w:t xml:space="preserve">ervices </w:t>
      </w:r>
      <w:r w:rsidR="000C31DE">
        <w:t xml:space="preserve">are often </w:t>
      </w:r>
      <w:r w:rsidR="00AA2B9E">
        <w:t xml:space="preserve">configured </w:t>
      </w:r>
      <w:r w:rsidR="005944B1">
        <w:t xml:space="preserve">to </w:t>
      </w:r>
      <w:r>
        <w:t xml:space="preserve">promote </w:t>
      </w:r>
      <w:r w:rsidR="005944B1">
        <w:t xml:space="preserve">early </w:t>
      </w:r>
      <w:proofErr w:type="gramStart"/>
      <w:r w:rsidR="005944B1">
        <w:t>discharge</w:t>
      </w:r>
      <w:r w:rsidR="00D44714" w:rsidRPr="0076398C">
        <w:rPr>
          <w:rFonts w:ascii="Calibri" w:hAnsi="Calibri" w:cs="Calibri"/>
        </w:rPr>
        <w:t>(</w:t>
      </w:r>
      <w:proofErr w:type="gramEnd"/>
      <w:r w:rsidR="00D44714" w:rsidRPr="0076398C">
        <w:rPr>
          <w:rFonts w:ascii="Calibri" w:hAnsi="Calibri" w:cs="Calibri"/>
        </w:rPr>
        <w:t>6,7)</w:t>
      </w:r>
      <w:r w:rsidR="000C31DE">
        <w:t xml:space="preserve"> </w:t>
      </w:r>
      <w:r w:rsidR="005944B1">
        <w:t>with the tacit assumption that longer</w:t>
      </w:r>
      <w:r w:rsidR="001F39EA">
        <w:t>-</w:t>
      </w:r>
      <w:r w:rsidR="005944B1">
        <w:t xml:space="preserve">term problems </w:t>
      </w:r>
      <w:r>
        <w:t xml:space="preserve">will </w:t>
      </w:r>
      <w:r w:rsidR="000C31DE">
        <w:t>be addressed later</w:t>
      </w:r>
      <w:r w:rsidR="006A7E7B">
        <w:t xml:space="preserve">. </w:t>
      </w:r>
      <w:r w:rsidR="000C31DE">
        <w:t xml:space="preserve">However, there </w:t>
      </w:r>
      <w:r w:rsidR="006A7E7B">
        <w:t xml:space="preserve">is growing concern about </w:t>
      </w:r>
      <w:r w:rsidR="000C31DE">
        <w:t xml:space="preserve">the safety and </w:t>
      </w:r>
      <w:r w:rsidR="006A7E7B">
        <w:t xml:space="preserve">effectiveness </w:t>
      </w:r>
      <w:r w:rsidR="000C31DE">
        <w:t xml:space="preserve">of this approach </w:t>
      </w:r>
      <w:r w:rsidR="006A7E7B">
        <w:t>in frail older people</w:t>
      </w:r>
      <w:r w:rsidR="003E1C0B">
        <w:t>. T</w:t>
      </w:r>
      <w:r w:rsidR="000C31DE">
        <w:t xml:space="preserve">he </w:t>
      </w:r>
      <w:r w:rsidR="00AA2B9E">
        <w:t>risk is that in pursuit of early discharge, overall patient outcomes are not necessarily being improved, leading to a vicious cycle of readmission, functional decline, institutionalisation and death</w:t>
      </w:r>
      <w:r w:rsidR="00D44714" w:rsidRPr="0076398C">
        <w:rPr>
          <w:rFonts w:ascii="Calibri" w:hAnsi="Calibri" w:cs="Calibri"/>
        </w:rPr>
        <w:t>(8)</w:t>
      </w:r>
      <w:r w:rsidR="00AA2B9E">
        <w:t>.</w:t>
      </w:r>
      <w:r w:rsidR="00F31EAA">
        <w:t xml:space="preserve">  </w:t>
      </w:r>
    </w:p>
    <w:p w14:paraId="5E475462" w14:textId="0437EDBC" w:rsidR="005752C8" w:rsidRDefault="000C31DE">
      <w:pPr>
        <w:jc w:val="both"/>
      </w:pPr>
      <w:r>
        <w:t>Better longer</w:t>
      </w:r>
      <w:r w:rsidR="001F39EA">
        <w:t>-</w:t>
      </w:r>
      <w:r>
        <w:t xml:space="preserve">term outcome data is needed if services are to reflect the needs of the growing population of older people with frailty. </w:t>
      </w:r>
      <w:r w:rsidR="00AA2B9E">
        <w:t xml:space="preserve">Previous studies have </w:t>
      </w:r>
      <w:r w:rsidR="006A7E7B">
        <w:t>identified poor short</w:t>
      </w:r>
      <w:r w:rsidR="001F39EA">
        <w:t>-</w:t>
      </w:r>
      <w:r w:rsidR="006A7E7B">
        <w:t xml:space="preserve">term outcomes in older people </w:t>
      </w:r>
      <w:r w:rsidR="001F39EA">
        <w:t xml:space="preserve">who </w:t>
      </w:r>
      <w:r w:rsidR="000D7DA9">
        <w:t xml:space="preserve">are </w:t>
      </w:r>
      <w:r w:rsidR="006A7E7B">
        <w:t>rapidly discharged from acute medi</w:t>
      </w:r>
      <w:r w:rsidR="001F39EA">
        <w:t>c</w:t>
      </w:r>
      <w:r w:rsidR="006A7E7B">
        <w:t xml:space="preserve">al units, including high readmission </w:t>
      </w:r>
      <w:proofErr w:type="gramStart"/>
      <w:r w:rsidR="006A7E7B">
        <w:t>rates</w:t>
      </w:r>
      <w:r w:rsidR="00D44714" w:rsidRPr="0076398C">
        <w:rPr>
          <w:rFonts w:ascii="Calibri" w:hAnsi="Calibri" w:cs="Calibri"/>
        </w:rPr>
        <w:t>(</w:t>
      </w:r>
      <w:proofErr w:type="gramEnd"/>
      <w:r w:rsidR="00D44714" w:rsidRPr="0076398C">
        <w:rPr>
          <w:rFonts w:ascii="Calibri" w:hAnsi="Calibri" w:cs="Calibri"/>
        </w:rPr>
        <w:t>9,10)</w:t>
      </w:r>
      <w:r w:rsidR="006A7E7B">
        <w:t xml:space="preserve">. </w:t>
      </w:r>
      <w:r w:rsidR="005752C8">
        <w:t xml:space="preserve">This </w:t>
      </w:r>
      <w:r>
        <w:t xml:space="preserve">paper </w:t>
      </w:r>
      <w:r w:rsidR="0019608C">
        <w:t xml:space="preserve">provides longer term (two year) follow up data from </w:t>
      </w:r>
      <w:r w:rsidR="005752C8">
        <w:t xml:space="preserve">two cohorts of older people: </w:t>
      </w:r>
      <w:r w:rsidR="000D7DA9">
        <w:t xml:space="preserve">one </w:t>
      </w:r>
      <w:r w:rsidR="005752C8">
        <w:t xml:space="preserve">discharged within 72 hours (referred to as the ‘ambulatory cohort’) and </w:t>
      </w:r>
      <w:r w:rsidR="000D7DA9">
        <w:t xml:space="preserve">another </w:t>
      </w:r>
      <w:r w:rsidR="005752C8">
        <w:t>with longer hospital admissions (the ‘in</w:t>
      </w:r>
      <w:r w:rsidR="003E1C0B">
        <w:t>-</w:t>
      </w:r>
      <w:r w:rsidR="005752C8">
        <w:t xml:space="preserve">patient cohort’).  </w:t>
      </w:r>
    </w:p>
    <w:p w14:paraId="7B6F7972" w14:textId="63E292D6" w:rsidR="00853C91" w:rsidRPr="009E234D" w:rsidRDefault="00853C91" w:rsidP="00F516F8">
      <w:pPr>
        <w:pStyle w:val="Heading1"/>
      </w:pPr>
      <w:r w:rsidRPr="009E234D">
        <w:t>Method</w:t>
      </w:r>
    </w:p>
    <w:p w14:paraId="338394B6" w14:textId="77777777" w:rsidR="00AC29EF" w:rsidRDefault="00AC29EF" w:rsidP="009D18A3">
      <w:pPr>
        <w:pStyle w:val="Heading2"/>
      </w:pPr>
      <w:r>
        <w:t>Settings</w:t>
      </w:r>
    </w:p>
    <w:p w14:paraId="6F0EE9E4" w14:textId="781894E3" w:rsidR="00AC29EF" w:rsidRPr="0076398C" w:rsidRDefault="002220F6" w:rsidP="0076398C">
      <w:pPr>
        <w:pStyle w:val="Heading2"/>
        <w:spacing w:before="0" w:after="200"/>
        <w:jc w:val="both"/>
        <w:rPr>
          <w:b w:val="0"/>
        </w:rPr>
      </w:pPr>
      <w:r>
        <w:rPr>
          <w:b w:val="0"/>
        </w:rPr>
        <w:t>T</w:t>
      </w:r>
      <w:r w:rsidR="000C31DE">
        <w:rPr>
          <w:b w:val="0"/>
        </w:rPr>
        <w:t xml:space="preserve">he </w:t>
      </w:r>
      <w:r w:rsidR="00AC29EF" w:rsidRPr="00436A3D">
        <w:rPr>
          <w:b w:val="0"/>
        </w:rPr>
        <w:t xml:space="preserve">ambulatory cohort </w:t>
      </w:r>
      <w:r w:rsidR="000C31DE">
        <w:rPr>
          <w:b w:val="0"/>
        </w:rPr>
        <w:t xml:space="preserve">was </w:t>
      </w:r>
      <w:r w:rsidR="00AC29EF" w:rsidRPr="00436A3D">
        <w:rPr>
          <w:b w:val="0"/>
        </w:rPr>
        <w:t>recruited in Nottingham and Leicester</w:t>
      </w:r>
      <w:r w:rsidR="001F39EA">
        <w:rPr>
          <w:b w:val="0"/>
        </w:rPr>
        <w:t xml:space="preserve">. Both hospitals serve </w:t>
      </w:r>
      <w:r w:rsidR="0036065D">
        <w:rPr>
          <w:b w:val="0"/>
        </w:rPr>
        <w:t xml:space="preserve">a </w:t>
      </w:r>
      <w:r w:rsidR="003E1C0B">
        <w:rPr>
          <w:b w:val="0"/>
        </w:rPr>
        <w:t>l</w:t>
      </w:r>
      <w:r w:rsidR="00AC29EF" w:rsidRPr="00AC29EF">
        <w:rPr>
          <w:b w:val="0"/>
        </w:rPr>
        <w:t>arge</w:t>
      </w:r>
      <w:r w:rsidR="00AC29EF" w:rsidRPr="00436A3D">
        <w:rPr>
          <w:b w:val="0"/>
        </w:rPr>
        <w:t xml:space="preserve"> mixed urban </w:t>
      </w:r>
      <w:r w:rsidR="00AC29EF" w:rsidRPr="00AC29EF">
        <w:rPr>
          <w:b w:val="0"/>
        </w:rPr>
        <w:t>and</w:t>
      </w:r>
      <w:r w:rsidR="00AC29EF" w:rsidRPr="00436A3D">
        <w:rPr>
          <w:b w:val="0"/>
        </w:rPr>
        <w:t xml:space="preserve"> rural </w:t>
      </w:r>
      <w:r w:rsidR="003E1C0B">
        <w:rPr>
          <w:b w:val="0"/>
        </w:rPr>
        <w:t>setting</w:t>
      </w:r>
      <w:r w:rsidR="00AC29EF" w:rsidRPr="00436A3D">
        <w:rPr>
          <w:b w:val="0"/>
        </w:rPr>
        <w:t xml:space="preserve"> </w:t>
      </w:r>
      <w:r w:rsidR="00AC29EF">
        <w:rPr>
          <w:b w:val="0"/>
        </w:rPr>
        <w:t xml:space="preserve">of approximately 1.1 million people </w:t>
      </w:r>
      <w:r w:rsidR="0036065D">
        <w:rPr>
          <w:b w:val="0"/>
        </w:rPr>
        <w:t xml:space="preserve">with </w:t>
      </w:r>
      <w:r w:rsidR="00AC29EF">
        <w:rPr>
          <w:b w:val="0"/>
        </w:rPr>
        <w:t>si</w:t>
      </w:r>
      <w:r w:rsidR="00AC29EF" w:rsidRPr="00436A3D">
        <w:rPr>
          <w:b w:val="0"/>
        </w:rPr>
        <w:t>ngle</w:t>
      </w:r>
      <w:r w:rsidR="00AC29EF">
        <w:rPr>
          <w:b w:val="0"/>
        </w:rPr>
        <w:t>, co</w:t>
      </w:r>
      <w:r w:rsidR="009E64C8">
        <w:rPr>
          <w:b w:val="0"/>
        </w:rPr>
        <w:t>-</w:t>
      </w:r>
      <w:r w:rsidR="00AC29EF">
        <w:rPr>
          <w:b w:val="0"/>
        </w:rPr>
        <w:t>located</w:t>
      </w:r>
      <w:r w:rsidR="00AC29EF" w:rsidRPr="00436A3D">
        <w:rPr>
          <w:b w:val="0"/>
        </w:rPr>
        <w:t xml:space="preserve"> emergency </w:t>
      </w:r>
      <w:r w:rsidR="00AC29EF" w:rsidRPr="00AC29EF">
        <w:rPr>
          <w:b w:val="0"/>
        </w:rPr>
        <w:t>departments</w:t>
      </w:r>
      <w:r w:rsidR="00AC29EF" w:rsidRPr="00436A3D">
        <w:rPr>
          <w:b w:val="0"/>
        </w:rPr>
        <w:t xml:space="preserve"> and </w:t>
      </w:r>
      <w:r w:rsidR="00AC29EF">
        <w:rPr>
          <w:b w:val="0"/>
        </w:rPr>
        <w:t>acute medical services.</w:t>
      </w:r>
      <w:r w:rsidR="00AC29EF" w:rsidRPr="00436A3D">
        <w:rPr>
          <w:b w:val="0"/>
        </w:rPr>
        <w:t xml:space="preserve"> </w:t>
      </w:r>
      <w:r w:rsidR="00BB03DC">
        <w:rPr>
          <w:b w:val="0"/>
        </w:rPr>
        <w:t xml:space="preserve">The </w:t>
      </w:r>
      <w:r w:rsidR="003E1C0B">
        <w:rPr>
          <w:b w:val="0"/>
        </w:rPr>
        <w:t>in-patient</w:t>
      </w:r>
      <w:r w:rsidR="00BB03DC">
        <w:rPr>
          <w:b w:val="0"/>
        </w:rPr>
        <w:t xml:space="preserve"> cohor</w:t>
      </w:r>
      <w:r w:rsidR="003E1C0B">
        <w:rPr>
          <w:b w:val="0"/>
        </w:rPr>
        <w:t xml:space="preserve">t </w:t>
      </w:r>
      <w:r w:rsidR="009E64C8">
        <w:rPr>
          <w:b w:val="0"/>
        </w:rPr>
        <w:t>was recruited in</w:t>
      </w:r>
      <w:r w:rsidR="003E1C0B">
        <w:rPr>
          <w:b w:val="0"/>
        </w:rPr>
        <w:t xml:space="preserve"> Southampton</w:t>
      </w:r>
      <w:r w:rsidR="009E64C8">
        <w:rPr>
          <w:b w:val="0"/>
        </w:rPr>
        <w:t xml:space="preserve"> – </w:t>
      </w:r>
      <w:r w:rsidR="003E1C0B">
        <w:rPr>
          <w:b w:val="0"/>
        </w:rPr>
        <w:t xml:space="preserve">a broadly similar </w:t>
      </w:r>
      <w:r w:rsidR="009E64C8">
        <w:rPr>
          <w:b w:val="0"/>
        </w:rPr>
        <w:t xml:space="preserve">hospital </w:t>
      </w:r>
      <w:r w:rsidR="003E1C0B">
        <w:rPr>
          <w:b w:val="0"/>
        </w:rPr>
        <w:t>setting but with a slightly increased age profile and less ethnic diversity.</w:t>
      </w:r>
    </w:p>
    <w:p w14:paraId="7E930F55" w14:textId="59ECDE09" w:rsidR="00B21F0B" w:rsidRPr="009E234D" w:rsidRDefault="00B21F0B" w:rsidP="009D18A3">
      <w:pPr>
        <w:pStyle w:val="Heading2"/>
      </w:pPr>
      <w:r w:rsidRPr="009E234D">
        <w:t>Data sources</w:t>
      </w:r>
    </w:p>
    <w:p w14:paraId="3119E1A3" w14:textId="03A75DAF" w:rsidR="003E1C0B" w:rsidRDefault="002220F6" w:rsidP="0076398C">
      <w:pPr>
        <w:jc w:val="both"/>
      </w:pPr>
      <w:r>
        <w:t>A</w:t>
      </w:r>
      <w:r w:rsidR="0000159E">
        <w:t xml:space="preserve"> clinical dataset</w:t>
      </w:r>
      <w:r>
        <w:t xml:space="preserve"> for each cohort</w:t>
      </w:r>
      <w:r w:rsidR="0000159E">
        <w:t xml:space="preserve"> </w:t>
      </w:r>
      <w:r w:rsidR="00627AB1">
        <w:t>capturing frailty in hospitalised older people</w:t>
      </w:r>
      <w:r w:rsidR="00BB03DC">
        <w:t xml:space="preserve"> w</w:t>
      </w:r>
      <w:r>
        <w:t>as</w:t>
      </w:r>
      <w:r w:rsidR="00BB03DC">
        <w:t xml:space="preserve"> linked to Hospital Episode Statistics (HES) and Office for National Statistics death registrations by NHS Digital</w:t>
      </w:r>
      <w:r w:rsidR="00661071">
        <w:t xml:space="preserve"> to allow follow-up over two years</w:t>
      </w:r>
      <w:r w:rsidR="00D07A1A">
        <w:t xml:space="preserve">. </w:t>
      </w:r>
      <w:r w:rsidR="005408C4" w:rsidRPr="009E234D">
        <w:t xml:space="preserve">The first </w:t>
      </w:r>
      <w:r w:rsidR="002A7E05">
        <w:t>covered</w:t>
      </w:r>
      <w:r w:rsidR="005408C4" w:rsidRPr="009E234D">
        <w:t xml:space="preserve"> </w:t>
      </w:r>
      <w:r w:rsidR="00BB03DC">
        <w:t>674</w:t>
      </w:r>
      <w:r w:rsidR="00432DC4">
        <w:t xml:space="preserve"> </w:t>
      </w:r>
      <w:r w:rsidR="005408C4" w:rsidRPr="009E234D">
        <w:t xml:space="preserve">patients </w:t>
      </w:r>
      <w:r w:rsidR="007221B5">
        <w:t>(</w:t>
      </w:r>
      <w:r w:rsidR="00432DC4">
        <w:t>5</w:t>
      </w:r>
      <w:r w:rsidR="00BB03DC">
        <w:t>7</w:t>
      </w:r>
      <w:r w:rsidR="00432DC4">
        <w:t>.4% female</w:t>
      </w:r>
      <w:r w:rsidR="007221B5">
        <w:t xml:space="preserve">) </w:t>
      </w:r>
      <w:r w:rsidR="00295729" w:rsidRPr="009E234D">
        <w:t xml:space="preserve">aged </w:t>
      </w:r>
      <w:r w:rsidR="0036065D">
        <w:t>&gt;=</w:t>
      </w:r>
      <w:r w:rsidR="00295729" w:rsidRPr="009E234D">
        <w:t xml:space="preserve">70 years </w:t>
      </w:r>
      <w:r w:rsidR="00D07A1A">
        <w:t>who were</w:t>
      </w:r>
      <w:r w:rsidR="00A3630C">
        <w:t xml:space="preserve"> discharged within 72 hours</w:t>
      </w:r>
      <w:r w:rsidR="003C32CD">
        <w:t xml:space="preserve"> </w:t>
      </w:r>
      <w:r w:rsidR="00D07A1A">
        <w:t>of attending</w:t>
      </w:r>
      <w:r w:rsidR="00D328D9">
        <w:t xml:space="preserve"> large teaching hospitals in</w:t>
      </w:r>
      <w:r w:rsidR="005408C4" w:rsidRPr="009E234D">
        <w:t xml:space="preserve"> Leicester </w:t>
      </w:r>
      <w:r w:rsidR="00A3630C">
        <w:t xml:space="preserve">and </w:t>
      </w:r>
      <w:r w:rsidR="005408C4" w:rsidRPr="009E234D">
        <w:t>Nottingham</w:t>
      </w:r>
      <w:r w:rsidR="002F59FB">
        <w:t xml:space="preserve"> between </w:t>
      </w:r>
      <w:r w:rsidR="00513A6A">
        <w:t>January 2009</w:t>
      </w:r>
      <w:r w:rsidR="002F59FB">
        <w:t xml:space="preserve"> and </w:t>
      </w:r>
      <w:r w:rsidR="00513A6A">
        <w:t>November</w:t>
      </w:r>
      <w:r w:rsidR="002F59FB">
        <w:t xml:space="preserve"> 201</w:t>
      </w:r>
      <w:r w:rsidR="00513A6A">
        <w:t>0</w:t>
      </w:r>
      <w:r w:rsidR="0036065D">
        <w:t xml:space="preserve">; these </w:t>
      </w:r>
      <w:r w:rsidR="00BB03DC">
        <w:t>patients were a su</w:t>
      </w:r>
      <w:r w:rsidR="00DA0CB0">
        <w:t>bset of a cohort recruited for</w:t>
      </w:r>
      <w:r w:rsidR="00BB03DC">
        <w:t xml:space="preserve"> </w:t>
      </w:r>
      <w:r w:rsidR="00DA0CB0">
        <w:t>the Acute Medical Outcomes Study</w:t>
      </w:r>
      <w:r w:rsidR="00D44714" w:rsidRPr="0076398C">
        <w:rPr>
          <w:rFonts w:ascii="Calibri" w:hAnsi="Calibri" w:cs="Calibri"/>
        </w:rPr>
        <w:t>(11)</w:t>
      </w:r>
      <w:r w:rsidR="005408C4" w:rsidRPr="009E234D">
        <w:t xml:space="preserve">. The second dataset contained </w:t>
      </w:r>
      <w:r w:rsidR="00432DC4">
        <w:t>246</w:t>
      </w:r>
      <w:r w:rsidR="005408C4" w:rsidRPr="009E234D">
        <w:t xml:space="preserve"> female patients </w:t>
      </w:r>
      <w:r w:rsidR="00295729" w:rsidRPr="009E234D">
        <w:t xml:space="preserve">aged </w:t>
      </w:r>
      <w:r w:rsidR="0036065D">
        <w:t xml:space="preserve">&gt;= </w:t>
      </w:r>
      <w:r w:rsidR="00295729" w:rsidRPr="009E234D">
        <w:t xml:space="preserve">70 years </w:t>
      </w:r>
      <w:r w:rsidR="005408C4" w:rsidRPr="009E234D">
        <w:t>admi</w:t>
      </w:r>
      <w:r w:rsidR="00BB0F4B" w:rsidRPr="009E234D">
        <w:t xml:space="preserve">tted </w:t>
      </w:r>
      <w:r w:rsidR="003C32CD">
        <w:t xml:space="preserve">for </w:t>
      </w:r>
      <w:r w:rsidR="003E1C0B">
        <w:t>in-patient</w:t>
      </w:r>
      <w:r w:rsidR="003C32CD">
        <w:t xml:space="preserve"> care in </w:t>
      </w:r>
      <w:r w:rsidR="001A24D7">
        <w:t>Medicine for Older People</w:t>
      </w:r>
      <w:r w:rsidR="00BB0F4B" w:rsidRPr="009E234D">
        <w:t xml:space="preserve"> ward</w:t>
      </w:r>
      <w:r w:rsidR="007221B5">
        <w:t>s</w:t>
      </w:r>
      <w:r w:rsidR="00BB0F4B" w:rsidRPr="009E234D">
        <w:t xml:space="preserve"> </w:t>
      </w:r>
      <w:r w:rsidR="00A66680">
        <w:t>in Southampton</w:t>
      </w:r>
      <w:r w:rsidR="0081483D">
        <w:t xml:space="preserve"> </w:t>
      </w:r>
      <w:r w:rsidR="002F59FB">
        <w:t xml:space="preserve">between </w:t>
      </w:r>
      <w:r w:rsidR="00513A6A">
        <w:t>November 2009</w:t>
      </w:r>
      <w:r w:rsidR="002F59FB">
        <w:t xml:space="preserve"> and </w:t>
      </w:r>
      <w:r w:rsidR="00513A6A">
        <w:t>Februa</w:t>
      </w:r>
      <w:r w:rsidR="002F59FB">
        <w:t>ry 2012</w:t>
      </w:r>
      <w:r w:rsidR="00D44714" w:rsidRPr="0076398C">
        <w:rPr>
          <w:rFonts w:ascii="Calibri" w:hAnsi="Calibri" w:cs="Calibri"/>
        </w:rPr>
        <w:t>(12)</w:t>
      </w:r>
      <w:r w:rsidR="0036065D">
        <w:t xml:space="preserve">; </w:t>
      </w:r>
      <w:r w:rsidR="00DA0CB0">
        <w:t>recruited for</w:t>
      </w:r>
      <w:r w:rsidR="003E1C0B">
        <w:t xml:space="preserve"> a study on nutritional intervention in hospital. </w:t>
      </w:r>
      <w:r w:rsidR="004201A0">
        <w:t xml:space="preserve">These datasets were </w:t>
      </w:r>
      <w:r w:rsidR="0036065D">
        <w:t xml:space="preserve">used </w:t>
      </w:r>
      <w:r w:rsidR="000D7DA9">
        <w:t>for the</w:t>
      </w:r>
      <w:r w:rsidR="0036065D">
        <w:t xml:space="preserve"> </w:t>
      </w:r>
      <w:r w:rsidR="009E64C8">
        <w:t>‘ambulatory’ and ‘in-patient’</w:t>
      </w:r>
      <w:r w:rsidR="004201A0">
        <w:t xml:space="preserve"> </w:t>
      </w:r>
      <w:r w:rsidR="009C43FE">
        <w:t>populations</w:t>
      </w:r>
      <w:r w:rsidR="004201A0">
        <w:t xml:space="preserve"> </w:t>
      </w:r>
      <w:r w:rsidR="0036065D">
        <w:t xml:space="preserve">respectively. Both cohorts </w:t>
      </w:r>
      <w:r w:rsidR="000D7DA9">
        <w:t xml:space="preserve">were </w:t>
      </w:r>
      <w:r w:rsidR="004201A0">
        <w:t xml:space="preserve">carefully </w:t>
      </w:r>
      <w:proofErr w:type="spellStart"/>
      <w:r w:rsidR="009C43FE">
        <w:t>phenotyped</w:t>
      </w:r>
      <w:proofErr w:type="spellEnd"/>
      <w:r w:rsidR="004201A0">
        <w:t xml:space="preserve"> for frailty </w:t>
      </w:r>
      <w:r w:rsidR="00A37F3F">
        <w:t>according to</w:t>
      </w:r>
      <w:r w:rsidR="004201A0">
        <w:t xml:space="preserve"> </w:t>
      </w:r>
      <w:r w:rsidR="009C43FE">
        <w:t>different</w:t>
      </w:r>
      <w:r w:rsidR="004201A0">
        <w:t xml:space="preserve"> </w:t>
      </w:r>
      <w:r w:rsidR="009C43FE">
        <w:t xml:space="preserve">assessment </w:t>
      </w:r>
      <w:r w:rsidR="004201A0">
        <w:t>scales</w:t>
      </w:r>
      <w:r w:rsidR="00A37F3F">
        <w:t xml:space="preserve"> using items </w:t>
      </w:r>
      <w:r w:rsidR="00A37F3F">
        <w:lastRenderedPageBreak/>
        <w:t>collected by trained research assistants including height, weight, grip strength and the geriatric depression scale</w:t>
      </w:r>
      <w:r w:rsidR="00BB03DC">
        <w:t>.</w:t>
      </w:r>
    </w:p>
    <w:p w14:paraId="7536A208" w14:textId="095269F3" w:rsidR="0036065D" w:rsidRDefault="00FA75AE" w:rsidP="0036065D">
      <w:pPr>
        <w:pStyle w:val="Heading2"/>
      </w:pPr>
      <w:r w:rsidRPr="0036065D">
        <w:t>F</w:t>
      </w:r>
      <w:r w:rsidR="002F6A63" w:rsidRPr="0036065D">
        <w:t xml:space="preserve">railty </w:t>
      </w:r>
      <w:r w:rsidR="009C43FE" w:rsidRPr="0036065D">
        <w:t>characterisation</w:t>
      </w:r>
    </w:p>
    <w:p w14:paraId="28D99662" w14:textId="4FDA82AA" w:rsidR="006A22D4" w:rsidRPr="0076398C" w:rsidRDefault="000D7DA9" w:rsidP="0076398C">
      <w:pPr>
        <w:pStyle w:val="Heading3"/>
        <w:rPr>
          <w:i w:val="0"/>
        </w:rPr>
      </w:pPr>
      <w:r w:rsidRPr="0076398C">
        <w:rPr>
          <w:i w:val="0"/>
        </w:rPr>
        <w:t>As f</w:t>
      </w:r>
      <w:r w:rsidR="008F3337" w:rsidRPr="0076398C">
        <w:rPr>
          <w:i w:val="0"/>
        </w:rPr>
        <w:t xml:space="preserve">railty </w:t>
      </w:r>
      <w:r w:rsidR="00E57BF5" w:rsidRPr="0076398C">
        <w:rPr>
          <w:i w:val="0"/>
        </w:rPr>
        <w:t xml:space="preserve">assessment </w:t>
      </w:r>
      <w:r w:rsidR="008F3337" w:rsidRPr="0076398C">
        <w:rPr>
          <w:i w:val="0"/>
        </w:rPr>
        <w:t xml:space="preserve">tools perform </w:t>
      </w:r>
      <w:r w:rsidR="0036065D" w:rsidRPr="0076398C">
        <w:rPr>
          <w:i w:val="0"/>
        </w:rPr>
        <w:t xml:space="preserve">differently </w:t>
      </w:r>
      <w:r w:rsidR="008F3337" w:rsidRPr="0076398C">
        <w:rPr>
          <w:i w:val="0"/>
        </w:rPr>
        <w:t>depending upon the population and setting</w:t>
      </w:r>
      <w:r w:rsidR="00D44714" w:rsidRPr="0076398C">
        <w:rPr>
          <w:rFonts w:ascii="Calibri" w:hAnsi="Calibri" w:cs="Calibri"/>
          <w:i w:val="0"/>
        </w:rPr>
        <w:t>(13)</w:t>
      </w:r>
      <w:r w:rsidR="00981CE4" w:rsidRPr="0076398C">
        <w:rPr>
          <w:rFonts w:ascii="Calibri" w:hAnsi="Calibri"/>
          <w:i w:val="0"/>
        </w:rPr>
        <w:t>,</w:t>
      </w:r>
      <w:r w:rsidR="008F3337" w:rsidRPr="0076398C">
        <w:rPr>
          <w:i w:val="0"/>
        </w:rPr>
        <w:t xml:space="preserve"> we tested </w:t>
      </w:r>
      <w:r w:rsidR="00EC2E02" w:rsidRPr="0076398C">
        <w:rPr>
          <w:i w:val="0"/>
        </w:rPr>
        <w:t>four</w:t>
      </w:r>
      <w:r w:rsidR="008F3337" w:rsidRPr="0076398C">
        <w:rPr>
          <w:i w:val="0"/>
        </w:rPr>
        <w:t xml:space="preserve"> commonly used frailty tools validated in acute care settings</w:t>
      </w:r>
      <w:r w:rsidR="00743F59" w:rsidRPr="0076398C">
        <w:rPr>
          <w:i w:val="0"/>
        </w:rPr>
        <w:t>: Fried</w:t>
      </w:r>
      <w:r w:rsidR="00D44714" w:rsidRPr="0076398C">
        <w:rPr>
          <w:rFonts w:ascii="Calibri" w:hAnsi="Calibri" w:cs="Calibri"/>
          <w:i w:val="0"/>
        </w:rPr>
        <w:t>(14)</w:t>
      </w:r>
      <w:r w:rsidR="00743F59" w:rsidRPr="0076398C">
        <w:rPr>
          <w:i w:val="0"/>
        </w:rPr>
        <w:t>, Rothman</w:t>
      </w:r>
      <w:r w:rsidR="000064FB" w:rsidRPr="0076398C">
        <w:rPr>
          <w:rFonts w:ascii="Calibri" w:hAnsi="Calibri" w:cs="Calibri"/>
          <w:i w:val="0"/>
        </w:rPr>
        <w:t>(15)</w:t>
      </w:r>
      <w:r w:rsidR="00743F59" w:rsidRPr="0076398C">
        <w:rPr>
          <w:i w:val="0"/>
        </w:rPr>
        <w:t>, Rockwood</w:t>
      </w:r>
      <w:r w:rsidR="000064FB" w:rsidRPr="0076398C">
        <w:rPr>
          <w:rFonts w:ascii="Calibri" w:hAnsi="Calibri" w:cs="Calibri"/>
          <w:i w:val="0"/>
        </w:rPr>
        <w:t>(16)</w:t>
      </w:r>
      <w:r w:rsidR="00621358" w:rsidRPr="0076398C">
        <w:rPr>
          <w:i w:val="0"/>
        </w:rPr>
        <w:t xml:space="preserve"> and the </w:t>
      </w:r>
      <w:r w:rsidR="00743F59" w:rsidRPr="0076398C">
        <w:rPr>
          <w:i w:val="0"/>
        </w:rPr>
        <w:t>Hospital Frailty Risk Score</w:t>
      </w:r>
      <w:r w:rsidR="000064FB" w:rsidRPr="0076398C">
        <w:rPr>
          <w:rFonts w:ascii="Calibri" w:hAnsi="Calibri" w:cs="Calibri"/>
          <w:i w:val="0"/>
        </w:rPr>
        <w:t>(17)</w:t>
      </w:r>
      <w:r w:rsidR="008F3337" w:rsidRPr="0076398C">
        <w:rPr>
          <w:i w:val="0"/>
        </w:rPr>
        <w:t xml:space="preserve">. </w:t>
      </w:r>
      <w:r w:rsidR="00F7433A" w:rsidRPr="0076398C">
        <w:rPr>
          <w:i w:val="0"/>
        </w:rPr>
        <w:t xml:space="preserve">The method used to calculate the clinical frailty </w:t>
      </w:r>
      <w:r w:rsidR="0041633F" w:rsidRPr="0076398C">
        <w:rPr>
          <w:i w:val="0"/>
        </w:rPr>
        <w:t xml:space="preserve">measures </w:t>
      </w:r>
      <w:r w:rsidR="00F7433A" w:rsidRPr="0076398C">
        <w:rPr>
          <w:i w:val="0"/>
        </w:rPr>
        <w:t xml:space="preserve">(Fried, Rothman, Rockwood) for the </w:t>
      </w:r>
      <w:r w:rsidR="003C32CD" w:rsidRPr="0076398C">
        <w:rPr>
          <w:i w:val="0"/>
        </w:rPr>
        <w:t xml:space="preserve">ambulatory care </w:t>
      </w:r>
      <w:r w:rsidR="00F7433A" w:rsidRPr="0076398C">
        <w:rPr>
          <w:i w:val="0"/>
        </w:rPr>
        <w:t>patients has been described elsewhere</w:t>
      </w:r>
      <w:r w:rsidR="00FC26F0" w:rsidRPr="0076398C">
        <w:rPr>
          <w:rFonts w:ascii="Calibri" w:hAnsi="Calibri" w:cs="Calibri"/>
          <w:i w:val="0"/>
        </w:rPr>
        <w:t>(10)</w:t>
      </w:r>
      <w:r w:rsidR="00F7433A" w:rsidRPr="0076398C">
        <w:rPr>
          <w:i w:val="0"/>
        </w:rPr>
        <w:t>.</w:t>
      </w:r>
      <w:r w:rsidR="00E61574" w:rsidRPr="0076398C">
        <w:rPr>
          <w:i w:val="0"/>
        </w:rPr>
        <w:t xml:space="preserve"> In this</w:t>
      </w:r>
      <w:r w:rsidR="00F7433A" w:rsidRPr="0076398C">
        <w:rPr>
          <w:i w:val="0"/>
        </w:rPr>
        <w:t xml:space="preserve"> study</w:t>
      </w:r>
      <w:r w:rsidR="0041633F" w:rsidRPr="0076398C">
        <w:rPr>
          <w:i w:val="0"/>
        </w:rPr>
        <w:t xml:space="preserve">, </w:t>
      </w:r>
      <w:r w:rsidR="003828AD" w:rsidRPr="0076398C">
        <w:rPr>
          <w:i w:val="0"/>
        </w:rPr>
        <w:t xml:space="preserve">the </w:t>
      </w:r>
      <w:r w:rsidR="00F7433A" w:rsidRPr="0076398C">
        <w:rPr>
          <w:i w:val="0"/>
        </w:rPr>
        <w:t>Fried</w:t>
      </w:r>
      <w:r w:rsidR="0041633F" w:rsidRPr="0076398C">
        <w:rPr>
          <w:i w:val="0"/>
        </w:rPr>
        <w:t xml:space="preserve"> score</w:t>
      </w:r>
      <w:r w:rsidR="00F7433A" w:rsidRPr="0076398C">
        <w:rPr>
          <w:i w:val="0"/>
        </w:rPr>
        <w:t xml:space="preserve"> </w:t>
      </w:r>
      <w:r w:rsidR="0036065D" w:rsidRPr="0076398C">
        <w:rPr>
          <w:i w:val="0"/>
        </w:rPr>
        <w:t xml:space="preserve">is </w:t>
      </w:r>
      <w:r w:rsidR="00F7433A" w:rsidRPr="0076398C">
        <w:rPr>
          <w:i w:val="0"/>
        </w:rPr>
        <w:t xml:space="preserve">presented as </w:t>
      </w:r>
      <w:r w:rsidR="00E61574" w:rsidRPr="0076398C">
        <w:rPr>
          <w:i w:val="0"/>
        </w:rPr>
        <w:t xml:space="preserve">a </w:t>
      </w:r>
      <w:r w:rsidR="00F7433A" w:rsidRPr="0076398C">
        <w:rPr>
          <w:i w:val="0"/>
        </w:rPr>
        <w:t>two</w:t>
      </w:r>
      <w:r w:rsidR="009A6BB5" w:rsidRPr="0076398C">
        <w:rPr>
          <w:i w:val="0"/>
        </w:rPr>
        <w:t xml:space="preserve"> (</w:t>
      </w:r>
      <w:r w:rsidR="007F7D12" w:rsidRPr="0076398C">
        <w:rPr>
          <w:i w:val="0"/>
        </w:rPr>
        <w:t>rather than three</w:t>
      </w:r>
      <w:r w:rsidR="009A6BB5" w:rsidRPr="0076398C">
        <w:rPr>
          <w:i w:val="0"/>
        </w:rPr>
        <w:t xml:space="preserve">) category scale </w:t>
      </w:r>
      <w:r w:rsidR="00F7433A" w:rsidRPr="0076398C">
        <w:rPr>
          <w:i w:val="0"/>
        </w:rPr>
        <w:t xml:space="preserve">due to </w:t>
      </w:r>
      <w:r w:rsidR="0075612F" w:rsidRPr="0076398C">
        <w:rPr>
          <w:i w:val="0"/>
        </w:rPr>
        <w:t xml:space="preserve">small </w:t>
      </w:r>
      <w:r w:rsidR="00F7433A" w:rsidRPr="0076398C">
        <w:rPr>
          <w:i w:val="0"/>
        </w:rPr>
        <w:t xml:space="preserve">subgroup sizes in the </w:t>
      </w:r>
      <w:r w:rsidR="00C3221B" w:rsidRPr="0076398C">
        <w:rPr>
          <w:i w:val="0"/>
        </w:rPr>
        <w:t xml:space="preserve">acute </w:t>
      </w:r>
      <w:r w:rsidR="003E1C0B" w:rsidRPr="0076398C">
        <w:rPr>
          <w:i w:val="0"/>
        </w:rPr>
        <w:t>in-patient</w:t>
      </w:r>
      <w:r w:rsidR="00F7433A" w:rsidRPr="0076398C">
        <w:rPr>
          <w:i w:val="0"/>
        </w:rPr>
        <w:t xml:space="preserve"> data</w:t>
      </w:r>
      <w:r w:rsidR="009A6BB5" w:rsidRPr="0076398C">
        <w:rPr>
          <w:i w:val="0"/>
        </w:rPr>
        <w:t xml:space="preserve">, with those </w:t>
      </w:r>
      <w:r w:rsidR="00F7433A" w:rsidRPr="0076398C">
        <w:rPr>
          <w:i w:val="0"/>
        </w:rPr>
        <w:t xml:space="preserve">classified as </w:t>
      </w:r>
      <w:r w:rsidR="009A6BB5" w:rsidRPr="0076398C">
        <w:rPr>
          <w:i w:val="0"/>
        </w:rPr>
        <w:t>‘</w:t>
      </w:r>
      <w:r w:rsidR="00F7433A" w:rsidRPr="0076398C">
        <w:rPr>
          <w:i w:val="0"/>
        </w:rPr>
        <w:t>robust</w:t>
      </w:r>
      <w:r w:rsidR="009A6BB5" w:rsidRPr="0076398C">
        <w:rPr>
          <w:i w:val="0"/>
        </w:rPr>
        <w:t>’</w:t>
      </w:r>
      <w:r w:rsidR="00F7433A" w:rsidRPr="0076398C">
        <w:rPr>
          <w:i w:val="0"/>
        </w:rPr>
        <w:t xml:space="preserve"> or </w:t>
      </w:r>
      <w:r w:rsidR="009A6BB5" w:rsidRPr="0076398C">
        <w:rPr>
          <w:i w:val="0"/>
        </w:rPr>
        <w:t>‘</w:t>
      </w:r>
      <w:r w:rsidR="00F7433A" w:rsidRPr="0076398C">
        <w:rPr>
          <w:i w:val="0"/>
        </w:rPr>
        <w:t>pre-frail</w:t>
      </w:r>
      <w:r w:rsidR="009A6BB5" w:rsidRPr="0076398C">
        <w:rPr>
          <w:i w:val="0"/>
        </w:rPr>
        <w:t>’</w:t>
      </w:r>
      <w:r w:rsidR="00F7433A" w:rsidRPr="0076398C">
        <w:rPr>
          <w:i w:val="0"/>
        </w:rPr>
        <w:t xml:space="preserve"> grouped into a single category. </w:t>
      </w:r>
    </w:p>
    <w:p w14:paraId="2AFAEC5F" w14:textId="6C9CA39A" w:rsidR="006A22D4" w:rsidRDefault="00F7433A" w:rsidP="00913A3B">
      <w:pPr>
        <w:jc w:val="both"/>
      </w:pPr>
      <w:r w:rsidRPr="009E234D">
        <w:t xml:space="preserve">Full details of how </w:t>
      </w:r>
      <w:r w:rsidR="004E41C1">
        <w:t xml:space="preserve">the </w:t>
      </w:r>
      <w:r w:rsidRPr="009E234D">
        <w:t xml:space="preserve">Fried and Rothman </w:t>
      </w:r>
      <w:r w:rsidR="00344822">
        <w:t xml:space="preserve">frailty measures </w:t>
      </w:r>
      <w:r w:rsidRPr="009E234D">
        <w:t xml:space="preserve">were constructed </w:t>
      </w:r>
      <w:r w:rsidR="00D44714">
        <w:t>for</w:t>
      </w:r>
      <w:r w:rsidR="00D44714" w:rsidRPr="009E234D">
        <w:t xml:space="preserve"> </w:t>
      </w:r>
      <w:r w:rsidRPr="009E234D">
        <w:t xml:space="preserve">the </w:t>
      </w:r>
      <w:r w:rsidR="00C3221B" w:rsidRPr="009E234D">
        <w:t xml:space="preserve">acute </w:t>
      </w:r>
      <w:r w:rsidR="003E1C0B">
        <w:t>in-patient</w:t>
      </w:r>
      <w:r w:rsidRPr="009E234D">
        <w:t xml:space="preserve"> dat</w:t>
      </w:r>
      <w:r w:rsidR="000C52BB">
        <w:t xml:space="preserve">a are presented in the </w:t>
      </w:r>
      <w:r w:rsidR="00D12DDB">
        <w:t>a</w:t>
      </w:r>
      <w:r w:rsidR="009A6BB5" w:rsidRPr="009E234D">
        <w:t>ppendix</w:t>
      </w:r>
      <w:r w:rsidRPr="009E234D">
        <w:t xml:space="preserve">. </w:t>
      </w:r>
      <w:r w:rsidR="009A6BB5">
        <w:t>M</w:t>
      </w:r>
      <w:r w:rsidR="009F4ADC">
        <w:t xml:space="preserve">obility and physical activity measures </w:t>
      </w:r>
      <w:r w:rsidR="00621358">
        <w:t>were</w:t>
      </w:r>
      <w:r w:rsidR="009F4ADC">
        <w:t xml:space="preserve"> adapted </w:t>
      </w:r>
      <w:r w:rsidR="009E64C8">
        <w:t>from</w:t>
      </w:r>
      <w:r w:rsidR="009F4ADC">
        <w:t xml:space="preserve"> data collected in the original study. </w:t>
      </w:r>
      <w:r w:rsidR="00621358">
        <w:t xml:space="preserve">Mobility was assessed by </w:t>
      </w:r>
      <w:r w:rsidR="009E64C8">
        <w:t>ability to</w:t>
      </w:r>
      <w:r w:rsidR="00781449" w:rsidRPr="009E234D">
        <w:t xml:space="preserve"> walk independently according to </w:t>
      </w:r>
      <w:r w:rsidR="00E61574" w:rsidRPr="009E234D">
        <w:t xml:space="preserve">the </w:t>
      </w:r>
      <w:proofErr w:type="spellStart"/>
      <w:r w:rsidR="00E61574" w:rsidRPr="009E234D">
        <w:t>Barthel</w:t>
      </w:r>
      <w:proofErr w:type="spellEnd"/>
      <w:r w:rsidR="00E61574" w:rsidRPr="009E234D">
        <w:t xml:space="preserve"> Activities of Daily Living </w:t>
      </w:r>
      <w:proofErr w:type="gramStart"/>
      <w:r w:rsidR="000D7DA9">
        <w:t>Q</w:t>
      </w:r>
      <w:r w:rsidR="000D7DA9" w:rsidRPr="009E234D">
        <w:t>uestionnaire</w:t>
      </w:r>
      <w:r w:rsidR="000064FB" w:rsidRPr="0076398C">
        <w:rPr>
          <w:rFonts w:ascii="Calibri" w:hAnsi="Calibri" w:cs="Calibri"/>
        </w:rPr>
        <w:t>(</w:t>
      </w:r>
      <w:proofErr w:type="gramEnd"/>
      <w:r w:rsidR="000064FB" w:rsidRPr="0076398C">
        <w:rPr>
          <w:rFonts w:ascii="Calibri" w:hAnsi="Calibri" w:cs="Calibri"/>
        </w:rPr>
        <w:t>18)</w:t>
      </w:r>
      <w:r w:rsidR="00C16678">
        <w:t>,</w:t>
      </w:r>
      <w:r w:rsidR="00781449" w:rsidRPr="009E234D">
        <w:t xml:space="preserve"> and </w:t>
      </w:r>
      <w:r w:rsidR="00621358">
        <w:t xml:space="preserve">physical activity was assessed </w:t>
      </w:r>
      <w:r w:rsidR="009E64C8">
        <w:t>by ability to</w:t>
      </w:r>
      <w:r w:rsidR="00781449" w:rsidRPr="009E234D">
        <w:t xml:space="preserve"> transfer </w:t>
      </w:r>
      <w:r w:rsidR="006A22D4" w:rsidRPr="009E234D">
        <w:t xml:space="preserve">independently. The </w:t>
      </w:r>
      <w:r w:rsidR="00CB1E9A" w:rsidRPr="009E234D">
        <w:t>Hospital</w:t>
      </w:r>
      <w:r w:rsidR="00D72719" w:rsidRPr="009E234D">
        <w:t xml:space="preserve"> Frailty Risk Score (</w:t>
      </w:r>
      <w:r w:rsidR="006A22D4" w:rsidRPr="009E234D">
        <w:t xml:space="preserve">HFRS) was also </w:t>
      </w:r>
      <w:r w:rsidR="001D1D7F" w:rsidRPr="009E234D">
        <w:t>constructed</w:t>
      </w:r>
      <w:r w:rsidR="006A22D4" w:rsidRPr="009E234D">
        <w:t xml:space="preserve"> for the </w:t>
      </w:r>
      <w:r w:rsidR="001D1D7F" w:rsidRPr="009E234D">
        <w:t xml:space="preserve">two cohorts. This score </w:t>
      </w:r>
      <w:r w:rsidR="00CB1E9A" w:rsidRPr="009E234D">
        <w:t xml:space="preserve">is based on ICD-10 diagnoses coded in an individual’s hospital admissions over the previous two years (including the index admission). Its development and construction has been described in detail </w:t>
      </w:r>
      <w:proofErr w:type="gramStart"/>
      <w:r w:rsidR="00CB1E9A" w:rsidRPr="009E234D">
        <w:t>elsewhere</w:t>
      </w:r>
      <w:r w:rsidR="000064FB" w:rsidRPr="0076398C">
        <w:rPr>
          <w:rFonts w:ascii="Calibri" w:hAnsi="Calibri" w:cs="Calibri"/>
        </w:rPr>
        <w:t>(</w:t>
      </w:r>
      <w:proofErr w:type="gramEnd"/>
      <w:r w:rsidR="000064FB" w:rsidRPr="0076398C">
        <w:rPr>
          <w:rFonts w:ascii="Calibri" w:hAnsi="Calibri" w:cs="Calibri"/>
        </w:rPr>
        <w:t>17)</w:t>
      </w:r>
      <w:r w:rsidR="00CB1E9A" w:rsidRPr="009E234D">
        <w:t xml:space="preserve">. </w:t>
      </w:r>
      <w:r w:rsidR="001D1D7F" w:rsidRPr="009E234D">
        <w:t>Individuals were classif</w:t>
      </w:r>
      <w:r w:rsidR="00CB1E9A" w:rsidRPr="009E234D">
        <w:t xml:space="preserve">ied as </w:t>
      </w:r>
      <w:r w:rsidR="009A6BB5">
        <w:t>‘</w:t>
      </w:r>
      <w:r w:rsidR="00CB1E9A" w:rsidRPr="009E234D">
        <w:t>frail</w:t>
      </w:r>
      <w:r w:rsidR="009A6BB5">
        <w:t>’</w:t>
      </w:r>
      <w:r w:rsidR="00CB1E9A" w:rsidRPr="009E234D">
        <w:t xml:space="preserve"> if they had HFRS</w:t>
      </w:r>
      <w:r w:rsidR="001D1D7F" w:rsidRPr="009E234D">
        <w:t xml:space="preserve"> </w:t>
      </w:r>
      <w:r w:rsidR="009A6BB5">
        <w:t>&gt; 5</w:t>
      </w:r>
      <w:r w:rsidR="001D1D7F" w:rsidRPr="009E234D">
        <w:t>.</w:t>
      </w:r>
    </w:p>
    <w:p w14:paraId="7493250E" w14:textId="6A0AB273" w:rsidR="003E1D73" w:rsidRPr="009E234D" w:rsidRDefault="00B11D14" w:rsidP="00913A3B">
      <w:pPr>
        <w:jc w:val="both"/>
      </w:pPr>
      <w:r>
        <w:t>Missing data items prevented t</w:t>
      </w:r>
      <w:r w:rsidR="003E1D73">
        <w:t>he</w:t>
      </w:r>
      <w:r>
        <w:t xml:space="preserve"> calculation of</w:t>
      </w:r>
      <w:r w:rsidR="003E1D73">
        <w:t xml:space="preserve"> clinical </w:t>
      </w:r>
      <w:r>
        <w:t xml:space="preserve">frailty </w:t>
      </w:r>
      <w:r w:rsidR="003E1D73">
        <w:t xml:space="preserve">scales for </w:t>
      </w:r>
      <w:r>
        <w:t>some</w:t>
      </w:r>
      <w:r w:rsidR="003E1D73">
        <w:t xml:space="preserve"> individuals in </w:t>
      </w:r>
      <w:r w:rsidR="009A6BB5">
        <w:t xml:space="preserve">both </w:t>
      </w:r>
      <w:r w:rsidR="003E1D73">
        <w:t>cohort</w:t>
      </w:r>
      <w:r w:rsidR="009A6BB5">
        <w:t>s</w:t>
      </w:r>
      <w:r w:rsidR="003E1D73">
        <w:t xml:space="preserve">. </w:t>
      </w:r>
      <w:r w:rsidR="00FC26F0">
        <w:t>I</w:t>
      </w:r>
      <w:r w:rsidR="009A6BB5">
        <w:t xml:space="preserve">nformation on </w:t>
      </w:r>
      <w:r w:rsidR="00FC26F0">
        <w:t xml:space="preserve">the </w:t>
      </w:r>
      <w:r w:rsidR="003E1D73">
        <w:t xml:space="preserve">inclusion and exclusion of participants is presented in the </w:t>
      </w:r>
      <w:r w:rsidR="00D12DDB">
        <w:t>a</w:t>
      </w:r>
      <w:r w:rsidR="003E1D73">
        <w:t>ppendix.</w:t>
      </w:r>
      <w:r w:rsidR="00661071">
        <w:t xml:space="preserve"> The main data item missing in the ambulatory cohort was </w:t>
      </w:r>
      <w:r w:rsidR="00D12DDB">
        <w:t>B</w:t>
      </w:r>
      <w:r w:rsidR="00661071">
        <w:t xml:space="preserve">ody </w:t>
      </w:r>
      <w:r w:rsidR="00D12DDB">
        <w:t>M</w:t>
      </w:r>
      <w:r w:rsidR="00661071">
        <w:t xml:space="preserve">ass </w:t>
      </w:r>
      <w:r w:rsidR="00D12DDB">
        <w:t>I</w:t>
      </w:r>
      <w:r w:rsidR="00661071">
        <w:t>ndex</w:t>
      </w:r>
      <w:r w:rsidR="00436A3D">
        <w:t>. I</w:t>
      </w:r>
      <w:r w:rsidR="00661071">
        <w:t>n the in-patient cohort</w:t>
      </w:r>
      <w:r w:rsidR="00D12DDB">
        <w:t>,</w:t>
      </w:r>
      <w:r w:rsidR="00661071">
        <w:t xml:space="preserve"> grip strength measurement</w:t>
      </w:r>
      <w:r w:rsidR="00436A3D">
        <w:t>s</w:t>
      </w:r>
      <w:r w:rsidR="00661071">
        <w:t xml:space="preserve"> and the Geriatric Depression Scale</w:t>
      </w:r>
      <w:r w:rsidR="00436A3D">
        <w:t xml:space="preserve"> were missing </w:t>
      </w:r>
      <w:r w:rsidR="00374E39">
        <w:t xml:space="preserve">as only a subgroup of </w:t>
      </w:r>
      <w:r w:rsidR="00436A3D">
        <w:t>part</w:t>
      </w:r>
      <w:r w:rsidR="00374E39">
        <w:t>icipants in the original study were</w:t>
      </w:r>
      <w:r w:rsidR="00436A3D">
        <w:t xml:space="preserve"> included in the detailed frailty measurements.</w:t>
      </w:r>
    </w:p>
    <w:p w14:paraId="774AC024" w14:textId="77777777" w:rsidR="00BB5113" w:rsidRPr="009E234D" w:rsidRDefault="00BB5113" w:rsidP="009D18A3">
      <w:pPr>
        <w:pStyle w:val="Heading2"/>
      </w:pPr>
      <w:r w:rsidRPr="009E234D">
        <w:t>Outcome Measures</w:t>
      </w:r>
    </w:p>
    <w:p w14:paraId="09BA17CC" w14:textId="18E9515F" w:rsidR="00BB5113" w:rsidRPr="009E234D" w:rsidRDefault="00015B13" w:rsidP="00913A3B">
      <w:pPr>
        <w:jc w:val="both"/>
      </w:pPr>
      <w:r w:rsidRPr="009E234D">
        <w:t>Two-year s</w:t>
      </w:r>
      <w:r w:rsidR="00BB5113" w:rsidRPr="009E234D">
        <w:t xml:space="preserve">urvival time was calculated as the number of whole days between the admission date </w:t>
      </w:r>
      <w:r w:rsidR="008E3358">
        <w:t xml:space="preserve">on recruitment </w:t>
      </w:r>
      <w:r w:rsidR="00BB5113" w:rsidRPr="009E234D">
        <w:t xml:space="preserve">and the date of death. </w:t>
      </w:r>
      <w:r w:rsidR="00B11D14">
        <w:t>Where</w:t>
      </w:r>
      <w:r w:rsidR="00BB5113" w:rsidRPr="009E234D">
        <w:t xml:space="preserve"> date of death </w:t>
      </w:r>
      <w:r w:rsidR="00B11D14">
        <w:t xml:space="preserve">was missing </w:t>
      </w:r>
      <w:r w:rsidR="00BB5113" w:rsidRPr="009E234D">
        <w:t>or was after the two-year follow up period</w:t>
      </w:r>
      <w:r w:rsidR="003A2A15">
        <w:t>,</w:t>
      </w:r>
      <w:r w:rsidR="00BB5113" w:rsidRPr="009E234D">
        <w:t xml:space="preserve"> then </w:t>
      </w:r>
      <w:r w:rsidR="00B11D14">
        <w:t xml:space="preserve">full-study </w:t>
      </w:r>
      <w:r w:rsidR="00BB5113" w:rsidRPr="009E234D">
        <w:t xml:space="preserve">survival time </w:t>
      </w:r>
      <w:r w:rsidR="00621358">
        <w:t>(</w:t>
      </w:r>
      <w:r w:rsidR="009A4F3D">
        <w:t>730 days</w:t>
      </w:r>
      <w:r w:rsidR="00621358">
        <w:t>)</w:t>
      </w:r>
      <w:r w:rsidR="00B11D14">
        <w:t xml:space="preserve"> was recorded</w:t>
      </w:r>
      <w:r w:rsidR="00BB5113" w:rsidRPr="009E234D">
        <w:t xml:space="preserve">. </w:t>
      </w:r>
    </w:p>
    <w:p w14:paraId="432FA42F" w14:textId="1DDDAC38" w:rsidR="00BB5113" w:rsidRPr="009E234D" w:rsidRDefault="009A4F3D" w:rsidP="00913A3B">
      <w:pPr>
        <w:jc w:val="both"/>
      </w:pPr>
      <w:r w:rsidRPr="009E234D">
        <w:t>In contrast to many previous studies</w:t>
      </w:r>
      <w:r w:rsidR="009C43FE">
        <w:t>,</w:t>
      </w:r>
      <w:r w:rsidRPr="009E234D">
        <w:t xml:space="preserve"> we used bed</w:t>
      </w:r>
      <w:r w:rsidR="00B11D14">
        <w:t>-</w:t>
      </w:r>
      <w:r w:rsidRPr="009E234D">
        <w:t xml:space="preserve">days as a measure of hospital use </w:t>
      </w:r>
      <w:r w:rsidR="009A6BB5">
        <w:t>(</w:t>
      </w:r>
      <w:r w:rsidRPr="009E234D">
        <w:t xml:space="preserve">rather than </w:t>
      </w:r>
      <w:r w:rsidR="009A6BB5">
        <w:t xml:space="preserve">number of </w:t>
      </w:r>
      <w:r w:rsidRPr="009E234D">
        <w:t>emergency admissions</w:t>
      </w:r>
      <w:r w:rsidR="009A6BB5">
        <w:t>)</w:t>
      </w:r>
      <w:r w:rsidRPr="009E234D">
        <w:t xml:space="preserve">. This gives a better overall indication of time spent in hospital. </w:t>
      </w:r>
      <w:r w:rsidR="00BB5113" w:rsidRPr="009E234D">
        <w:t>Bed</w:t>
      </w:r>
      <w:r w:rsidR="00B11D14">
        <w:t>-</w:t>
      </w:r>
      <w:r w:rsidR="00BB5113" w:rsidRPr="009E234D">
        <w:t xml:space="preserve">days were calculated as the number of whole days between </w:t>
      </w:r>
      <w:r w:rsidR="00015B13" w:rsidRPr="009E234D">
        <w:t xml:space="preserve">the </w:t>
      </w:r>
      <w:r w:rsidR="00BB5113" w:rsidRPr="009E234D">
        <w:t>admission</w:t>
      </w:r>
      <w:r w:rsidR="00015B13" w:rsidRPr="009E234D">
        <w:t xml:space="preserve"> </w:t>
      </w:r>
      <w:r w:rsidR="00BB5113" w:rsidRPr="009E234D">
        <w:t>and discharge</w:t>
      </w:r>
      <w:r w:rsidR="00015B13" w:rsidRPr="009E234D">
        <w:t xml:space="preserve"> date</w:t>
      </w:r>
      <w:r w:rsidR="00C17798">
        <w:t>s</w:t>
      </w:r>
      <w:r w:rsidR="00BB5113" w:rsidRPr="009E234D">
        <w:t>.</w:t>
      </w:r>
      <w:r>
        <w:t xml:space="preserve"> </w:t>
      </w:r>
      <w:r w:rsidR="00BB5113" w:rsidRPr="009E234D">
        <w:t>The day of admissi</w:t>
      </w:r>
      <w:r w:rsidR="00015B13" w:rsidRPr="009E234D">
        <w:t xml:space="preserve">on was included </w:t>
      </w:r>
      <w:r w:rsidR="00C17798">
        <w:t>to give</w:t>
      </w:r>
      <w:r w:rsidR="00015B13" w:rsidRPr="009E234D">
        <w:t xml:space="preserve"> </w:t>
      </w:r>
      <w:r w:rsidR="00BB5113" w:rsidRPr="009E234D">
        <w:t xml:space="preserve">those admitted and discharged on the same day a count of one </w:t>
      </w:r>
      <w:r>
        <w:t>d</w:t>
      </w:r>
      <w:r w:rsidR="00BB5113" w:rsidRPr="009E234D">
        <w:t>ay.</w:t>
      </w:r>
      <w:r w:rsidR="00015B13" w:rsidRPr="009E234D">
        <w:t xml:space="preserve"> Bed</w:t>
      </w:r>
      <w:r w:rsidR="00B11D14">
        <w:t>-</w:t>
      </w:r>
      <w:r w:rsidR="00015B13" w:rsidRPr="009E234D">
        <w:t>days from all admissions within the two-year period were summed to give a total figure</w:t>
      </w:r>
      <w:r w:rsidR="00DD49D7" w:rsidRPr="009E234D">
        <w:t xml:space="preserve"> for each individual</w:t>
      </w:r>
      <w:r w:rsidR="00015B13" w:rsidRPr="009E234D">
        <w:t xml:space="preserve">. If </w:t>
      </w:r>
      <w:r w:rsidR="001D1D7F" w:rsidRPr="009E234D">
        <w:t>the discharge for an admission occurred after the follow</w:t>
      </w:r>
      <w:r w:rsidR="001653C3">
        <w:t>-</w:t>
      </w:r>
      <w:r w:rsidR="001D1D7F" w:rsidRPr="009E234D">
        <w:t xml:space="preserve">up </w:t>
      </w:r>
      <w:r w:rsidR="00B11D14" w:rsidRPr="009E234D">
        <w:t>period,</w:t>
      </w:r>
      <w:r w:rsidR="001D1D7F" w:rsidRPr="009E234D">
        <w:t xml:space="preserve"> </w:t>
      </w:r>
      <w:r w:rsidR="00396498" w:rsidRPr="009E234D">
        <w:t xml:space="preserve">then </w:t>
      </w:r>
      <w:r w:rsidR="001D1D7F" w:rsidRPr="009E234D">
        <w:t>only the</w:t>
      </w:r>
      <w:r w:rsidR="00015B13" w:rsidRPr="009E234D">
        <w:t xml:space="preserve"> days</w:t>
      </w:r>
      <w:r>
        <w:t xml:space="preserve"> spent in hospital</w:t>
      </w:r>
      <w:r w:rsidR="00015B13" w:rsidRPr="009E234D">
        <w:t xml:space="preserve"> within the </w:t>
      </w:r>
      <w:r w:rsidR="00B11D14">
        <w:t>two years</w:t>
      </w:r>
      <w:r w:rsidR="00015B13" w:rsidRPr="009E234D">
        <w:t xml:space="preserve"> were included.</w:t>
      </w:r>
    </w:p>
    <w:p w14:paraId="2AE63B67" w14:textId="77777777" w:rsidR="00FA75AE" w:rsidRPr="009E234D" w:rsidRDefault="00FA75AE" w:rsidP="009D18A3">
      <w:pPr>
        <w:pStyle w:val="Heading2"/>
      </w:pPr>
      <w:r w:rsidRPr="009E234D">
        <w:t>Statistical Analysis</w:t>
      </w:r>
    </w:p>
    <w:p w14:paraId="59825361" w14:textId="77B5BC58" w:rsidR="00AD564D" w:rsidRDefault="00F707EF" w:rsidP="00913A3B">
      <w:pPr>
        <w:jc w:val="both"/>
      </w:pPr>
      <w:r w:rsidRPr="009E234D">
        <w:t>Cox’s proportional hazards regression model</w:t>
      </w:r>
      <w:r w:rsidR="009D18A3">
        <w:t>s were</w:t>
      </w:r>
      <w:r w:rsidRPr="009E234D">
        <w:t xml:space="preserve"> used to </w:t>
      </w:r>
      <w:r w:rsidR="009D18A3">
        <w:t>quantify the</w:t>
      </w:r>
      <w:r w:rsidRPr="009E234D">
        <w:t xml:space="preserve"> relationship between frailty and </w:t>
      </w:r>
      <w:r w:rsidR="00030112">
        <w:t>survival time.</w:t>
      </w:r>
      <w:r w:rsidRPr="009E234D">
        <w:t xml:space="preserve"> </w:t>
      </w:r>
      <w:r w:rsidR="00621358">
        <w:t xml:space="preserve">An overall summary </w:t>
      </w:r>
      <w:r w:rsidR="000756B4">
        <w:t xml:space="preserve">of hospital use </w:t>
      </w:r>
      <w:r w:rsidR="003620E9">
        <w:t>during</w:t>
      </w:r>
      <w:r w:rsidR="000756B4">
        <w:t xml:space="preserve"> follow</w:t>
      </w:r>
      <w:r w:rsidR="008E2D74">
        <w:t>-</w:t>
      </w:r>
      <w:r w:rsidR="000756B4">
        <w:t>up compar</w:t>
      </w:r>
      <w:r w:rsidR="003620E9">
        <w:t>ed</w:t>
      </w:r>
      <w:r w:rsidR="000756B4">
        <w:t xml:space="preserve"> mean emergency department attendances, </w:t>
      </w:r>
      <w:r w:rsidR="003620E9">
        <w:t xml:space="preserve">organised </w:t>
      </w:r>
      <w:r w:rsidR="000756B4">
        <w:t xml:space="preserve">outpatient </w:t>
      </w:r>
      <w:r w:rsidR="0090770E">
        <w:t>appointments</w:t>
      </w:r>
      <w:r w:rsidR="000756B4">
        <w:t xml:space="preserve">, </w:t>
      </w:r>
      <w:r w:rsidR="003620E9">
        <w:t xml:space="preserve">and </w:t>
      </w:r>
      <w:r w:rsidR="000756B4">
        <w:t>elective and non-elective admissions</w:t>
      </w:r>
      <w:r w:rsidR="004F7849">
        <w:t>. Differences in descriptive characteristics and summary hospital use were tested with Kruskal-Wallis (means) as the dat</w:t>
      </w:r>
      <w:r w:rsidR="003620E9">
        <w:t>a</w:t>
      </w:r>
      <w:r w:rsidR="004F7849">
        <w:t xml:space="preserve"> were non-normal</w:t>
      </w:r>
      <w:r w:rsidR="003620E9">
        <w:t>,</w:t>
      </w:r>
      <w:r w:rsidR="004F7849">
        <w:t xml:space="preserve"> or Pearson Chi-Square (percentages). </w:t>
      </w:r>
      <w:r w:rsidR="00120866">
        <w:t>Total</w:t>
      </w:r>
      <w:r w:rsidR="002D6006" w:rsidRPr="009E234D">
        <w:t xml:space="preserve"> bed</w:t>
      </w:r>
      <w:r w:rsidR="003620E9">
        <w:t>-</w:t>
      </w:r>
      <w:r w:rsidR="002D6006" w:rsidRPr="009E234D">
        <w:t xml:space="preserve">days </w:t>
      </w:r>
      <w:r w:rsidR="00120866">
        <w:t>were modelled</w:t>
      </w:r>
      <w:r w:rsidR="00BF1EB5" w:rsidRPr="009E234D">
        <w:t xml:space="preserve"> </w:t>
      </w:r>
      <w:r w:rsidR="00120866">
        <w:t>using</w:t>
      </w:r>
      <w:r w:rsidR="00BF1EB5" w:rsidRPr="009E234D">
        <w:t xml:space="preserve"> </w:t>
      </w:r>
      <w:r w:rsidR="00A71A6A" w:rsidRPr="009E234D">
        <w:t xml:space="preserve">negative binomial </w:t>
      </w:r>
      <w:r w:rsidR="00BF1EB5" w:rsidRPr="009E234D">
        <w:t>regression</w:t>
      </w:r>
      <w:r w:rsidR="00C16678">
        <w:t xml:space="preserve">, </w:t>
      </w:r>
      <w:r w:rsidR="00A71A6A" w:rsidRPr="009E234D">
        <w:t xml:space="preserve">as the data were over dispersed. </w:t>
      </w:r>
      <w:r w:rsidR="00BF1EB5" w:rsidRPr="009E234D">
        <w:t xml:space="preserve">Two </w:t>
      </w:r>
      <w:r w:rsidR="00BF1EB5" w:rsidRPr="009E234D">
        <w:lastRenderedPageBreak/>
        <w:t>versions of th</w:t>
      </w:r>
      <w:r w:rsidR="00015B13" w:rsidRPr="009E234D">
        <w:t>is model were produced;</w:t>
      </w:r>
      <w:r w:rsidR="00AD564D" w:rsidRPr="009E234D">
        <w:t xml:space="preserve"> </w:t>
      </w:r>
      <w:r w:rsidR="00015B13" w:rsidRPr="009E234D">
        <w:t>the first did not take into ac</w:t>
      </w:r>
      <w:r w:rsidR="000B3195" w:rsidRPr="009E234D">
        <w:t>count differing survival times and</w:t>
      </w:r>
      <w:r w:rsidR="00015B13" w:rsidRPr="009E234D">
        <w:t xml:space="preserve"> the second included survival time as an offset term</w:t>
      </w:r>
      <w:r w:rsidR="00AD564D" w:rsidRPr="009E234D">
        <w:t xml:space="preserve">. </w:t>
      </w:r>
    </w:p>
    <w:p w14:paraId="0ADA00B4" w14:textId="42284D45" w:rsidR="00DA0CB0" w:rsidRDefault="00621358" w:rsidP="00913A3B">
      <w:pPr>
        <w:jc w:val="both"/>
      </w:pPr>
      <w:r w:rsidRPr="009E234D">
        <w:t xml:space="preserve">The models were adjusted for age and sex in the </w:t>
      </w:r>
      <w:r w:rsidR="003C32CD">
        <w:t>ambulatory care cohort</w:t>
      </w:r>
      <w:r w:rsidRPr="009E234D">
        <w:t xml:space="preserve"> and just age </w:t>
      </w:r>
      <w:r w:rsidR="003C32CD">
        <w:t>for</w:t>
      </w:r>
      <w:r w:rsidR="003C32CD" w:rsidRPr="009E234D">
        <w:t xml:space="preserve"> </w:t>
      </w:r>
      <w:r w:rsidRPr="009E234D">
        <w:t xml:space="preserve">the </w:t>
      </w:r>
      <w:r w:rsidR="003E1C0B">
        <w:t>in-patient</w:t>
      </w:r>
      <w:r w:rsidRPr="009E234D">
        <w:t xml:space="preserve"> </w:t>
      </w:r>
      <w:r w:rsidR="003C32CD">
        <w:t>cohort</w:t>
      </w:r>
      <w:r>
        <w:t>,</w:t>
      </w:r>
      <w:r w:rsidRPr="009E234D">
        <w:t xml:space="preserve"> as all participants were female. </w:t>
      </w:r>
      <w:r w:rsidR="00DA0CB0">
        <w:t xml:space="preserve">A sensitivity analysis was conducted with the female patients </w:t>
      </w:r>
      <w:r w:rsidR="00614447">
        <w:t xml:space="preserve">from the </w:t>
      </w:r>
      <w:r w:rsidR="00DA0CB0">
        <w:t xml:space="preserve">ambulatory cohort to establish the generalisability of the </w:t>
      </w:r>
      <w:r w:rsidR="003E1C0B">
        <w:t>in-patient</w:t>
      </w:r>
      <w:r w:rsidR="00DA0CB0">
        <w:t xml:space="preserve"> cohort results.</w:t>
      </w:r>
    </w:p>
    <w:p w14:paraId="77C59E4E" w14:textId="13B11C99" w:rsidR="000C25F5" w:rsidRDefault="003620E9" w:rsidP="00913A3B">
      <w:pPr>
        <w:jc w:val="both"/>
      </w:pPr>
      <w:r>
        <w:t>M</w:t>
      </w:r>
      <w:r w:rsidR="000C25F5">
        <w:t xml:space="preserve">odels were also adjusted for Charlson </w:t>
      </w:r>
      <w:r w:rsidR="00E968C3">
        <w:t>Comorbidity Index</w:t>
      </w:r>
      <w:r w:rsidR="000C25F5">
        <w:t xml:space="preserve"> and number of past admission</w:t>
      </w:r>
      <w:r w:rsidR="009422B0">
        <w:t>s</w:t>
      </w:r>
      <w:r>
        <w:t>,</w:t>
      </w:r>
      <w:r w:rsidR="000C25F5">
        <w:t xml:space="preserve"> but as the results </w:t>
      </w:r>
      <w:r w:rsidR="00DA0CB0">
        <w:t>were similar in terms of effect size and statistical significance</w:t>
      </w:r>
      <w:r w:rsidR="000C25F5">
        <w:t xml:space="preserve"> th</w:t>
      </w:r>
      <w:r>
        <w:t>ese</w:t>
      </w:r>
      <w:r w:rsidR="000C25F5">
        <w:t xml:space="preserve"> data </w:t>
      </w:r>
      <w:r>
        <w:t>are</w:t>
      </w:r>
      <w:r w:rsidR="000C25F5">
        <w:t xml:space="preserve"> not </w:t>
      </w:r>
      <w:proofErr w:type="gramStart"/>
      <w:r w:rsidR="000C25F5">
        <w:t>presented</w:t>
      </w:r>
      <w:r w:rsidR="000064FB" w:rsidRPr="0076398C">
        <w:rPr>
          <w:rFonts w:ascii="Calibri" w:hAnsi="Calibri" w:cs="Calibri"/>
        </w:rPr>
        <w:t>(</w:t>
      </w:r>
      <w:proofErr w:type="gramEnd"/>
      <w:r w:rsidR="000064FB" w:rsidRPr="0076398C">
        <w:rPr>
          <w:rFonts w:ascii="Calibri" w:hAnsi="Calibri" w:cs="Calibri"/>
        </w:rPr>
        <w:t>19)</w:t>
      </w:r>
      <w:r w:rsidR="000C25F5">
        <w:t>.</w:t>
      </w:r>
    </w:p>
    <w:p w14:paraId="73571004" w14:textId="77777777" w:rsidR="00A42B3A" w:rsidRPr="009E234D" w:rsidRDefault="00A42B3A" w:rsidP="00913A3B">
      <w:pPr>
        <w:jc w:val="both"/>
      </w:pPr>
      <w:r>
        <w:t>All analyses were conducted using SAS version 9.4.</w:t>
      </w:r>
    </w:p>
    <w:p w14:paraId="6E0E690E" w14:textId="77777777" w:rsidR="00853C91" w:rsidRDefault="00853C91" w:rsidP="00913A3B">
      <w:pPr>
        <w:pStyle w:val="Heading1"/>
        <w:jc w:val="both"/>
      </w:pPr>
      <w:r w:rsidRPr="009E234D">
        <w:t>Results</w:t>
      </w:r>
    </w:p>
    <w:p w14:paraId="39E124D0" w14:textId="77777777" w:rsidR="009D18A3" w:rsidRPr="009D18A3" w:rsidRDefault="009D18A3" w:rsidP="009D18A3">
      <w:pPr>
        <w:pStyle w:val="Heading2"/>
      </w:pPr>
      <w:r>
        <w:t>Baseline Characteristics</w:t>
      </w:r>
    </w:p>
    <w:p w14:paraId="0D4E1A9B" w14:textId="6B7D64A4" w:rsidR="00606069" w:rsidRPr="009E234D" w:rsidRDefault="009C43FE" w:rsidP="00995F0E">
      <w:pPr>
        <w:jc w:val="both"/>
      </w:pPr>
      <w:r>
        <w:t>As might be expected, the</w:t>
      </w:r>
      <w:r w:rsidRPr="009E234D">
        <w:t xml:space="preserve"> </w:t>
      </w:r>
      <w:r w:rsidR="003C32CD">
        <w:t xml:space="preserve">ambulatory </w:t>
      </w:r>
      <w:r w:rsidR="000B1064" w:rsidRPr="009E234D">
        <w:t>cohort</w:t>
      </w:r>
      <w:r w:rsidR="00606069" w:rsidRPr="009E234D">
        <w:t xml:space="preserve"> </w:t>
      </w:r>
      <w:r w:rsidR="006378FF" w:rsidRPr="009E234D">
        <w:t>was younger</w:t>
      </w:r>
      <w:r w:rsidR="009A6BB5">
        <w:t xml:space="preserve">, had </w:t>
      </w:r>
      <w:r w:rsidR="00995F0E">
        <w:t xml:space="preserve">lower </w:t>
      </w:r>
      <w:r w:rsidR="00585E23" w:rsidRPr="009E234D">
        <w:t xml:space="preserve">previous </w:t>
      </w:r>
      <w:r w:rsidR="00606069" w:rsidRPr="009E234D">
        <w:t>hospital use</w:t>
      </w:r>
      <w:r w:rsidR="009A4F3D">
        <w:t xml:space="preserve">, Charlson </w:t>
      </w:r>
      <w:r w:rsidR="00E968C3">
        <w:t>C</w:t>
      </w:r>
      <w:r w:rsidR="009422B0">
        <w:t xml:space="preserve">omorbidity </w:t>
      </w:r>
      <w:r w:rsidR="00E968C3">
        <w:t>Index</w:t>
      </w:r>
      <w:r w:rsidR="009422B0" w:rsidRPr="009E234D">
        <w:t xml:space="preserve"> </w:t>
      </w:r>
      <w:r w:rsidR="00606069" w:rsidRPr="009E234D">
        <w:t xml:space="preserve">and frailty measures than the </w:t>
      </w:r>
      <w:r w:rsidR="003E1C0B">
        <w:t xml:space="preserve">in-patient </w:t>
      </w:r>
      <w:r w:rsidR="00E40D2A">
        <w:t>cohort</w:t>
      </w:r>
      <w:r w:rsidR="00A1431E" w:rsidRPr="009E234D">
        <w:t xml:space="preserve"> (</w:t>
      </w:r>
      <w:r w:rsidR="009649F2">
        <w:t>T</w:t>
      </w:r>
      <w:r w:rsidR="009A6BB5">
        <w:t xml:space="preserve">able </w:t>
      </w:r>
      <w:r w:rsidR="00912CB1">
        <w:t>1</w:t>
      </w:r>
      <w:r w:rsidR="00A1431E" w:rsidRPr="009E234D">
        <w:t>)</w:t>
      </w:r>
      <w:r w:rsidR="00606069" w:rsidRPr="009E234D">
        <w:t xml:space="preserve">. </w:t>
      </w:r>
      <w:r w:rsidR="002D2B64">
        <w:t xml:space="preserve">Dependent on the scale used, 23-41% of the ambulatory cohort </w:t>
      </w:r>
      <w:r w:rsidR="00C66243">
        <w:t xml:space="preserve">and </w:t>
      </w:r>
      <w:r w:rsidR="002D2B64">
        <w:t xml:space="preserve">48-80% of the in-patient cohort </w:t>
      </w:r>
      <w:r w:rsidR="00C66243">
        <w:t>were identified as frail</w:t>
      </w:r>
      <w:r w:rsidR="002D2B64">
        <w:t>.</w:t>
      </w:r>
    </w:p>
    <w:p w14:paraId="085F5406" w14:textId="77777777" w:rsidR="009D18A3" w:rsidRDefault="009D18A3" w:rsidP="009D18A3">
      <w:pPr>
        <w:pStyle w:val="Heading2"/>
      </w:pPr>
      <w:r>
        <w:t>Survival</w:t>
      </w:r>
    </w:p>
    <w:p w14:paraId="4C2727FF" w14:textId="7566D6BA" w:rsidR="00B16A91" w:rsidRDefault="009A6BB5" w:rsidP="009E14D5">
      <w:pPr>
        <w:jc w:val="both"/>
      </w:pPr>
      <w:r>
        <w:t>A</w:t>
      </w:r>
      <w:r w:rsidR="00806D92" w:rsidRPr="009E234D">
        <w:t xml:space="preserve"> smaller proportion of the </w:t>
      </w:r>
      <w:r w:rsidR="003E1C0B">
        <w:t>in-patient</w:t>
      </w:r>
      <w:r w:rsidR="00E40D2A">
        <w:t xml:space="preserve"> cohort</w:t>
      </w:r>
      <w:r w:rsidR="00C2485F" w:rsidRPr="009E234D">
        <w:t xml:space="preserve"> (</w:t>
      </w:r>
      <w:r w:rsidR="009E14D5" w:rsidRPr="009E234D">
        <w:t>57</w:t>
      </w:r>
      <w:r w:rsidR="009E14D5">
        <w:t>%</w:t>
      </w:r>
      <w:r w:rsidR="00C2485F" w:rsidRPr="009E234D">
        <w:t>)</w:t>
      </w:r>
      <w:r w:rsidR="00806D92" w:rsidRPr="009E234D">
        <w:t xml:space="preserve"> survived the two</w:t>
      </w:r>
      <w:r w:rsidR="003620E9">
        <w:t>-</w:t>
      </w:r>
      <w:r w:rsidR="00806D92" w:rsidRPr="009E234D">
        <w:t>year follow</w:t>
      </w:r>
      <w:r w:rsidR="004512D6" w:rsidRPr="009E234D">
        <w:t>-</w:t>
      </w:r>
      <w:r w:rsidR="00806D92" w:rsidRPr="009E234D">
        <w:t>up</w:t>
      </w:r>
      <w:r w:rsidR="00E73DC4" w:rsidRPr="009E234D">
        <w:t xml:space="preserve"> period</w:t>
      </w:r>
      <w:r w:rsidR="00806D92" w:rsidRPr="009E234D">
        <w:t xml:space="preserve"> compared to the </w:t>
      </w:r>
      <w:r w:rsidR="003C32CD">
        <w:t xml:space="preserve">ambulatory </w:t>
      </w:r>
      <w:r w:rsidR="00806D92" w:rsidRPr="009E234D">
        <w:t>cohort</w:t>
      </w:r>
      <w:r w:rsidR="00C2485F" w:rsidRPr="009E234D">
        <w:t xml:space="preserve"> (</w:t>
      </w:r>
      <w:r w:rsidR="003C2A09" w:rsidRPr="009E234D">
        <w:t>7</w:t>
      </w:r>
      <w:r w:rsidR="00DA0CB0">
        <w:t>8</w:t>
      </w:r>
      <w:r w:rsidR="009E14D5">
        <w:t>%</w:t>
      </w:r>
      <w:r w:rsidR="00C2485F" w:rsidRPr="009E234D">
        <w:t>)</w:t>
      </w:r>
      <w:r w:rsidR="00806D92" w:rsidRPr="009E234D">
        <w:t>.</w:t>
      </w:r>
      <w:r w:rsidR="00C2485F" w:rsidRPr="009E234D">
        <w:t xml:space="preserve"> </w:t>
      </w:r>
      <w:r w:rsidR="009A4F3D">
        <w:t>Dependent on the measure used</w:t>
      </w:r>
      <w:r w:rsidR="005A1808">
        <w:t>,</w:t>
      </w:r>
      <w:r w:rsidR="009A4F3D">
        <w:t xml:space="preserve"> </w:t>
      </w:r>
      <w:r w:rsidR="00D77D60" w:rsidRPr="009E234D">
        <w:t>3</w:t>
      </w:r>
      <w:r w:rsidR="00DA0CB0">
        <w:t>2</w:t>
      </w:r>
      <w:r w:rsidR="009E14D5">
        <w:t>-</w:t>
      </w:r>
      <w:r w:rsidR="00D77D60" w:rsidRPr="009E234D">
        <w:t>37</w:t>
      </w:r>
      <w:r w:rsidR="009E14D5">
        <w:t>%</w:t>
      </w:r>
      <w:r w:rsidR="00D77D60" w:rsidRPr="009E234D">
        <w:t xml:space="preserve"> of </w:t>
      </w:r>
      <w:r w:rsidR="003620E9">
        <w:t>individuals</w:t>
      </w:r>
      <w:r w:rsidR="003620E9" w:rsidRPr="009E234D">
        <w:t xml:space="preserve"> </w:t>
      </w:r>
      <w:r w:rsidR="00D77D60" w:rsidRPr="009E234D">
        <w:t xml:space="preserve">classified as frail in the </w:t>
      </w:r>
      <w:r w:rsidR="0029231D">
        <w:t>ambulatory</w:t>
      </w:r>
      <w:r w:rsidR="0029231D" w:rsidRPr="009E234D">
        <w:t xml:space="preserve"> </w:t>
      </w:r>
      <w:r w:rsidR="00C2485F" w:rsidRPr="009E234D">
        <w:t xml:space="preserve">cohort died </w:t>
      </w:r>
      <w:r w:rsidR="003620E9">
        <w:t>during follow-up</w:t>
      </w:r>
      <w:r w:rsidR="004512D6" w:rsidRPr="009E234D">
        <w:t xml:space="preserve"> </w:t>
      </w:r>
      <w:r w:rsidR="00E41647" w:rsidRPr="009E234D">
        <w:t>compared to 42</w:t>
      </w:r>
      <w:r w:rsidR="009E14D5">
        <w:t>-</w:t>
      </w:r>
      <w:r w:rsidR="00C2485F" w:rsidRPr="009E234D">
        <w:t>53</w:t>
      </w:r>
      <w:r w:rsidR="009E14D5">
        <w:t>%</w:t>
      </w:r>
      <w:r w:rsidR="00C2485F" w:rsidRPr="009E234D">
        <w:t xml:space="preserve"> in the </w:t>
      </w:r>
      <w:r w:rsidR="003E1C0B">
        <w:t>in-patient</w:t>
      </w:r>
      <w:r w:rsidR="00E40D2A">
        <w:t xml:space="preserve"> cohort</w:t>
      </w:r>
      <w:r w:rsidR="00621358">
        <w:t xml:space="preserve"> </w:t>
      </w:r>
      <w:r w:rsidR="00621358" w:rsidRPr="009E234D">
        <w:t>(</w:t>
      </w:r>
      <w:r w:rsidR="00912CB1">
        <w:t>Table 2</w:t>
      </w:r>
      <w:r w:rsidR="00621358" w:rsidRPr="009E234D">
        <w:t>)</w:t>
      </w:r>
      <w:r w:rsidR="00C2485F" w:rsidRPr="009E234D">
        <w:t xml:space="preserve">. </w:t>
      </w:r>
      <w:r w:rsidR="003620E9">
        <w:t>Frail p</w:t>
      </w:r>
      <w:r w:rsidR="00C2485F" w:rsidRPr="009E234D">
        <w:t xml:space="preserve">atients in the </w:t>
      </w:r>
      <w:r w:rsidR="003C32CD">
        <w:t xml:space="preserve">ambulatory </w:t>
      </w:r>
      <w:r w:rsidR="00C2485F" w:rsidRPr="009E234D">
        <w:t xml:space="preserve">cohort </w:t>
      </w:r>
      <w:r w:rsidR="003620E9">
        <w:t>(</w:t>
      </w:r>
      <w:r w:rsidR="00D77D60" w:rsidRPr="009E234D">
        <w:t xml:space="preserve">classified </w:t>
      </w:r>
      <w:r w:rsidR="000C25F5">
        <w:t>by any scale</w:t>
      </w:r>
      <w:r w:rsidR="003620E9">
        <w:t>)</w:t>
      </w:r>
      <w:r w:rsidR="000C25F5">
        <w:t xml:space="preserve"> </w:t>
      </w:r>
      <w:r w:rsidR="00D77D60" w:rsidRPr="009E234D">
        <w:t xml:space="preserve">were around </w:t>
      </w:r>
      <w:r w:rsidR="00854C30" w:rsidRPr="009E234D">
        <w:t>twice as</w:t>
      </w:r>
      <w:r w:rsidR="00D77D60" w:rsidRPr="009E234D">
        <w:t xml:space="preserve"> likely to die </w:t>
      </w:r>
      <w:r w:rsidR="003620E9">
        <w:t>within</w:t>
      </w:r>
      <w:r w:rsidR="00C2485F" w:rsidRPr="009E234D">
        <w:t xml:space="preserve"> tw</w:t>
      </w:r>
      <w:r w:rsidR="009A4F3D">
        <w:t>o years</w:t>
      </w:r>
      <w:r w:rsidR="000064FB">
        <w:t xml:space="preserve"> compared to the non-frail</w:t>
      </w:r>
      <w:r w:rsidR="009A4F3D">
        <w:t>, even after adjustment</w:t>
      </w:r>
      <w:r w:rsidR="007F7D12">
        <w:t xml:space="preserve"> for age and sex</w:t>
      </w:r>
      <w:r w:rsidR="00DA0CB0">
        <w:t xml:space="preserve"> (HR Rockwood 2.3 [1.5,3.4], Fried 2.0 [1.3,3.0])</w:t>
      </w:r>
      <w:r w:rsidR="009A4F3D">
        <w:t>.</w:t>
      </w:r>
      <w:r w:rsidR="004512D6" w:rsidRPr="009E234D">
        <w:t xml:space="preserve"> Th</w:t>
      </w:r>
      <w:r w:rsidR="003620E9">
        <w:t>ere was less</w:t>
      </w:r>
      <w:r w:rsidR="004512D6" w:rsidRPr="009E234D">
        <w:t xml:space="preserve"> e</w:t>
      </w:r>
      <w:r w:rsidR="00C2485F" w:rsidRPr="009E234D">
        <w:t xml:space="preserve">ffect </w:t>
      </w:r>
      <w:r w:rsidR="003620E9">
        <w:t>when frailty</w:t>
      </w:r>
      <w:r w:rsidR="00C2485F" w:rsidRPr="009E234D">
        <w:t xml:space="preserve"> in the </w:t>
      </w:r>
      <w:r w:rsidR="003E1C0B">
        <w:t>in-patient</w:t>
      </w:r>
      <w:r w:rsidR="00E40D2A">
        <w:t xml:space="preserve"> cohort</w:t>
      </w:r>
      <w:r w:rsidR="00DA0CB0">
        <w:t xml:space="preserve"> </w:t>
      </w:r>
      <w:r w:rsidR="003620E9">
        <w:t xml:space="preserve">was classified by the Rothman measure </w:t>
      </w:r>
      <w:r w:rsidR="00DA0CB0">
        <w:t>(HR 1.6 [1.0</w:t>
      </w:r>
      <w:proofErr w:type="gramStart"/>
      <w:r w:rsidR="00DA0CB0">
        <w:t>,2.6</w:t>
      </w:r>
      <w:proofErr w:type="gramEnd"/>
      <w:r w:rsidR="00DA0CB0">
        <w:t>])</w:t>
      </w:r>
      <w:r w:rsidR="00C2485F" w:rsidRPr="009E234D">
        <w:t>.</w:t>
      </w:r>
    </w:p>
    <w:p w14:paraId="153635DC" w14:textId="77777777" w:rsidR="009D18A3" w:rsidRPr="009E234D" w:rsidRDefault="009D18A3" w:rsidP="009D18A3">
      <w:pPr>
        <w:pStyle w:val="Heading2"/>
      </w:pPr>
      <w:r>
        <w:t>Hospital Use</w:t>
      </w:r>
    </w:p>
    <w:p w14:paraId="5BBCF2B1" w14:textId="3D0E22B6" w:rsidR="00BC3EF6" w:rsidRDefault="001666DF" w:rsidP="00DC3314">
      <w:pPr>
        <w:jc w:val="both"/>
      </w:pPr>
      <w:r>
        <w:t xml:space="preserve">Frail patients in the ambulatory cohort were more likely to have emergency department attendances (Rothman, Rockwood, HFRS) and emergency admissions (all) and less likely to have elective admissions (Rothman, Rockwood, HFRS) (Table 3). </w:t>
      </w:r>
      <w:r w:rsidR="00301DD8">
        <w:t>In the in-patient cohort</w:t>
      </w:r>
      <w:r w:rsidR="00301DD8" w:rsidRPr="00301DD8">
        <w:t xml:space="preserve"> </w:t>
      </w:r>
      <w:r w:rsidR="00301DD8">
        <w:t>there was little evidence of differing hospital use by frailty, with</w:t>
      </w:r>
      <w:r>
        <w:t xml:space="preserve"> the exception of outpatient attendances where frail </w:t>
      </w:r>
      <w:r w:rsidR="00301DD8">
        <w:t xml:space="preserve">individuals </w:t>
      </w:r>
      <w:r>
        <w:t>had fewer on average</w:t>
      </w:r>
      <w:r w:rsidR="00301DD8">
        <w:t>.</w:t>
      </w:r>
      <w:r>
        <w:t xml:space="preserve"> </w:t>
      </w:r>
      <w:r w:rsidR="00301DD8">
        <w:t>After adjustment,</w:t>
      </w:r>
      <w:r w:rsidR="004062AF">
        <w:t xml:space="preserve"> </w:t>
      </w:r>
      <w:r w:rsidR="00301DD8">
        <w:t xml:space="preserve">individuals </w:t>
      </w:r>
      <w:r w:rsidR="004062AF">
        <w:t>classifie</w:t>
      </w:r>
      <w:r w:rsidR="003C5332">
        <w:t>d</w:t>
      </w:r>
      <w:r w:rsidR="004062AF">
        <w:t xml:space="preserve"> as frail in the</w:t>
      </w:r>
      <w:r w:rsidR="00D77D60" w:rsidRPr="009E234D">
        <w:t xml:space="preserve"> </w:t>
      </w:r>
      <w:r w:rsidR="003C32CD">
        <w:t xml:space="preserve">ambulatory </w:t>
      </w:r>
      <w:r w:rsidR="00D77D60" w:rsidRPr="009E234D">
        <w:t>cohort</w:t>
      </w:r>
      <w:r w:rsidR="004062AF">
        <w:t xml:space="preserve"> had </w:t>
      </w:r>
      <w:r w:rsidR="00301DD8">
        <w:t xml:space="preserve">between 1.5 and 2.1 times more </w:t>
      </w:r>
      <w:r w:rsidR="004062AF">
        <w:t>bed</w:t>
      </w:r>
      <w:r w:rsidR="00301DD8">
        <w:t>-</w:t>
      </w:r>
      <w:r w:rsidR="004062AF">
        <w:t>days than those classified as no</w:t>
      </w:r>
      <w:r w:rsidR="002D2B64">
        <w:t>n-</w:t>
      </w:r>
      <w:r w:rsidR="004062AF">
        <w:t>frail</w:t>
      </w:r>
      <w:r w:rsidR="00301DD8">
        <w:t>,</w:t>
      </w:r>
      <w:r w:rsidR="00AE13E6">
        <w:t xml:space="preserve"> depend</w:t>
      </w:r>
      <w:r w:rsidR="00301DD8">
        <w:t>ing</w:t>
      </w:r>
      <w:r w:rsidR="00AE13E6">
        <w:t xml:space="preserve"> on the scale used</w:t>
      </w:r>
      <w:r w:rsidR="00A95ECB">
        <w:t xml:space="preserve"> (</w:t>
      </w:r>
      <w:r w:rsidR="00912CB1">
        <w:t>Table 4</w:t>
      </w:r>
      <w:r w:rsidR="00A95ECB" w:rsidRPr="00A2707B">
        <w:t>)</w:t>
      </w:r>
      <w:r w:rsidR="00D77D60" w:rsidRPr="00A2707B">
        <w:t xml:space="preserve">. </w:t>
      </w:r>
      <w:r w:rsidR="005675CF" w:rsidRPr="009E234D">
        <w:t>In contrast</w:t>
      </w:r>
      <w:r w:rsidR="000B1064">
        <w:t>,</w:t>
      </w:r>
      <w:r w:rsidR="005675CF" w:rsidRPr="009E234D">
        <w:t xml:space="preserve"> there was no </w:t>
      </w:r>
      <w:r w:rsidR="00556C84" w:rsidRPr="009E234D">
        <w:t xml:space="preserve">significant </w:t>
      </w:r>
      <w:r w:rsidR="005675CF" w:rsidRPr="009E234D">
        <w:t>difference in the amount of bed</w:t>
      </w:r>
      <w:r w:rsidR="00301DD8">
        <w:t>-</w:t>
      </w:r>
      <w:r w:rsidR="005675CF" w:rsidRPr="009E234D">
        <w:t xml:space="preserve">days between the frail and non-frail groups for </w:t>
      </w:r>
      <w:r w:rsidR="004062AF">
        <w:t xml:space="preserve">the </w:t>
      </w:r>
      <w:r w:rsidR="003E1C0B">
        <w:t>in-patient</w:t>
      </w:r>
      <w:r w:rsidR="004062AF">
        <w:t xml:space="preserve"> cohort</w:t>
      </w:r>
      <w:r w:rsidR="00C3221B" w:rsidRPr="009E234D">
        <w:t xml:space="preserve">. </w:t>
      </w:r>
    </w:p>
    <w:p w14:paraId="7AB74BDC" w14:textId="499ABD41" w:rsidR="005675CF" w:rsidRDefault="00556C84" w:rsidP="00DC3314">
      <w:pPr>
        <w:jc w:val="both"/>
      </w:pPr>
      <w:r w:rsidRPr="009E234D">
        <w:t>W</w:t>
      </w:r>
      <w:r w:rsidR="005675CF" w:rsidRPr="009E234D">
        <w:t xml:space="preserve">hen </w:t>
      </w:r>
      <w:r w:rsidR="00462359">
        <w:t>hospital use was assessed as a percentage of survival time</w:t>
      </w:r>
      <w:r w:rsidR="00C3221B" w:rsidRPr="009E234D">
        <w:t xml:space="preserve"> </w:t>
      </w:r>
      <w:r w:rsidRPr="009E234D">
        <w:t>there was</w:t>
      </w:r>
      <w:r w:rsidR="004062AF">
        <w:t xml:space="preserve"> some</w:t>
      </w:r>
      <w:r w:rsidRPr="009E234D">
        <w:t xml:space="preserve"> evidence of higher hospital use for those</w:t>
      </w:r>
      <w:r w:rsidR="00BC3EF6">
        <w:t xml:space="preserve"> </w:t>
      </w:r>
      <w:r w:rsidR="00BC3EF6" w:rsidRPr="009E234D">
        <w:t xml:space="preserve">in the </w:t>
      </w:r>
      <w:r w:rsidR="003E1C0B">
        <w:t>in-patient</w:t>
      </w:r>
      <w:r w:rsidR="00E40D2A">
        <w:t xml:space="preserve"> cohort</w:t>
      </w:r>
      <w:r w:rsidRPr="009E234D">
        <w:t xml:space="preserve"> classified as frail by </w:t>
      </w:r>
      <w:r w:rsidR="004062AF">
        <w:t>Rothman (RR 1.4 [1.0,1.9] and HFRS (RR 1.7 [1.3,2.2])</w:t>
      </w:r>
      <w:r w:rsidR="00462359">
        <w:t>. This suggests that the</w:t>
      </w:r>
      <w:r w:rsidR="00C3221B" w:rsidRPr="009E234D">
        <w:t xml:space="preserve"> shorter</w:t>
      </w:r>
      <w:r w:rsidR="005675CF" w:rsidRPr="009E234D">
        <w:t xml:space="preserve"> survival times </w:t>
      </w:r>
      <w:r w:rsidR="00462359">
        <w:t xml:space="preserve">among frail </w:t>
      </w:r>
      <w:r w:rsidR="004A18FA">
        <w:t xml:space="preserve">people </w:t>
      </w:r>
      <w:r w:rsidR="00462359">
        <w:t>in this cohort are restricting the number of bed</w:t>
      </w:r>
      <w:r w:rsidR="00301DD8">
        <w:t>-</w:t>
      </w:r>
      <w:r w:rsidR="00462359">
        <w:t>days that can be accumulated relative to the longer survival times of the non-frail</w:t>
      </w:r>
      <w:r w:rsidR="00912CB1">
        <w:t xml:space="preserve"> (Appendix</w:t>
      </w:r>
      <w:r w:rsidR="005675CF" w:rsidRPr="009E234D">
        <w:t>).</w:t>
      </w:r>
    </w:p>
    <w:p w14:paraId="0537E2D7" w14:textId="77777777" w:rsidR="00853C91" w:rsidRPr="009E234D" w:rsidRDefault="00853C91" w:rsidP="00913A3B">
      <w:pPr>
        <w:pStyle w:val="Heading1"/>
        <w:jc w:val="both"/>
      </w:pPr>
      <w:r w:rsidRPr="009E234D">
        <w:lastRenderedPageBreak/>
        <w:t>Discussion</w:t>
      </w:r>
    </w:p>
    <w:p w14:paraId="4C061577" w14:textId="38F0D2EC" w:rsidR="00FA4909" w:rsidRPr="009E234D" w:rsidRDefault="00C322E4" w:rsidP="009D18A3">
      <w:pPr>
        <w:pStyle w:val="Heading2"/>
      </w:pPr>
      <w:r>
        <w:t>Summary</w:t>
      </w:r>
    </w:p>
    <w:p w14:paraId="20725B63" w14:textId="03717CFD" w:rsidR="00651953" w:rsidRPr="009E234D" w:rsidRDefault="0070553F" w:rsidP="00913A3B">
      <w:pPr>
        <w:jc w:val="both"/>
      </w:pPr>
      <w:r>
        <w:t>F</w:t>
      </w:r>
      <w:r w:rsidR="00296D4A" w:rsidRPr="009E234D">
        <w:t>railty</w:t>
      </w:r>
      <w:r w:rsidR="00296D4A">
        <w:t xml:space="preserve"> </w:t>
      </w:r>
      <w:r>
        <w:t xml:space="preserve">is associated with </w:t>
      </w:r>
      <w:r w:rsidRPr="009E234D">
        <w:t xml:space="preserve">increased </w:t>
      </w:r>
      <w:r>
        <w:t>two-year</w:t>
      </w:r>
      <w:r w:rsidRPr="009E234D">
        <w:t xml:space="preserve"> mortality </w:t>
      </w:r>
      <w:r w:rsidR="00296D4A">
        <w:t xml:space="preserve">in </w:t>
      </w:r>
      <w:r>
        <w:t xml:space="preserve">patients discharged from hospital after </w:t>
      </w:r>
      <w:r w:rsidR="00AD5915">
        <w:t xml:space="preserve">both </w:t>
      </w:r>
      <w:r>
        <w:t xml:space="preserve">short </w:t>
      </w:r>
      <w:r w:rsidR="00AD5915">
        <w:t xml:space="preserve">ambulatory </w:t>
      </w:r>
      <w:r w:rsidR="000D7DA9">
        <w:t xml:space="preserve">(&lt;72 hours) </w:t>
      </w:r>
      <w:r w:rsidR="00296D4A">
        <w:t xml:space="preserve">and </w:t>
      </w:r>
      <w:r>
        <w:t xml:space="preserve">longer </w:t>
      </w:r>
      <w:r w:rsidR="00296D4A">
        <w:t>in-patient</w:t>
      </w:r>
      <w:r w:rsidR="009A6BB5">
        <w:t xml:space="preserve"> </w:t>
      </w:r>
      <w:r w:rsidR="00AD5915">
        <w:t>admissions</w:t>
      </w:r>
      <w:r w:rsidR="00651953" w:rsidRPr="009E234D">
        <w:t>.</w:t>
      </w:r>
      <w:r w:rsidR="005B0916">
        <w:t xml:space="preserve"> </w:t>
      </w:r>
      <w:r w:rsidR="00AD5915">
        <w:t xml:space="preserve">Our </w:t>
      </w:r>
      <w:r w:rsidR="00301DD8">
        <w:t>analysis</w:t>
      </w:r>
      <w:r w:rsidR="00AD5915">
        <w:t xml:space="preserve"> demonstrates that </w:t>
      </w:r>
      <w:r w:rsidR="00565F03">
        <w:t xml:space="preserve">frail </w:t>
      </w:r>
      <w:r w:rsidR="003B7037">
        <w:t xml:space="preserve">individuals </w:t>
      </w:r>
      <w:r w:rsidR="00AD5915">
        <w:t xml:space="preserve">are </w:t>
      </w:r>
      <w:r w:rsidR="003B7037">
        <w:t>a</w:t>
      </w:r>
      <w:r w:rsidR="00AD5915">
        <w:t>t</w:t>
      </w:r>
      <w:r w:rsidR="003B7037">
        <w:t xml:space="preserve"> </w:t>
      </w:r>
      <w:r w:rsidR="00AD5915">
        <w:t>high</w:t>
      </w:r>
      <w:r w:rsidR="003B7037">
        <w:t xml:space="preserve"> risk </w:t>
      </w:r>
      <w:r w:rsidR="00AD5915">
        <w:t xml:space="preserve">of </w:t>
      </w:r>
      <w:r w:rsidR="003B7037">
        <w:t xml:space="preserve">poor outcomes </w:t>
      </w:r>
      <w:r w:rsidR="00565F03">
        <w:t xml:space="preserve">after hospital discharge </w:t>
      </w:r>
      <w:r w:rsidR="003B7037">
        <w:t xml:space="preserve">and </w:t>
      </w:r>
      <w:r w:rsidR="00AD5915">
        <w:t xml:space="preserve">suggests that </w:t>
      </w:r>
      <w:r w:rsidR="003B7037">
        <w:t>current service</w:t>
      </w:r>
      <w:r w:rsidR="00C66243">
        <w:t>s</w:t>
      </w:r>
      <w:r w:rsidR="003B7037">
        <w:t xml:space="preserve"> do not adequately meet their needs. </w:t>
      </w:r>
    </w:p>
    <w:p w14:paraId="57A92A7F" w14:textId="77777777" w:rsidR="00FA4909" w:rsidRPr="009E234D" w:rsidRDefault="00DB0400" w:rsidP="009D18A3">
      <w:pPr>
        <w:pStyle w:val="Heading2"/>
      </w:pPr>
      <w:r w:rsidRPr="009E234D">
        <w:t>Strengths and limitations</w:t>
      </w:r>
    </w:p>
    <w:p w14:paraId="0FD02A93" w14:textId="792E7733" w:rsidR="00DB0400" w:rsidRPr="009E234D" w:rsidRDefault="00AD5915" w:rsidP="00913A3B">
      <w:pPr>
        <w:jc w:val="both"/>
      </w:pPr>
      <w:r>
        <w:t>Whereas p</w:t>
      </w:r>
      <w:r w:rsidRPr="009E234D">
        <w:t xml:space="preserve">revious studies </w:t>
      </w:r>
      <w:r>
        <w:t xml:space="preserve">have used </w:t>
      </w:r>
      <w:r w:rsidRPr="009E234D">
        <w:t xml:space="preserve">short follow-up </w:t>
      </w:r>
      <w:r>
        <w:t xml:space="preserve">periods </w:t>
      </w:r>
      <w:r w:rsidRPr="009E234D">
        <w:t>or relied on self-report</w:t>
      </w:r>
      <w:r>
        <w:t xml:space="preserve">ed </w:t>
      </w:r>
      <w:proofErr w:type="gramStart"/>
      <w:r w:rsidRPr="009E234D">
        <w:t>outcomes</w:t>
      </w:r>
      <w:r w:rsidR="000064FB" w:rsidRPr="0076398C">
        <w:rPr>
          <w:rFonts w:ascii="Calibri" w:hAnsi="Calibri" w:cs="Calibri"/>
          <w:szCs w:val="24"/>
        </w:rPr>
        <w:t>(</w:t>
      </w:r>
      <w:proofErr w:type="gramEnd"/>
      <w:r w:rsidR="000064FB" w:rsidRPr="0076398C">
        <w:rPr>
          <w:rFonts w:ascii="Calibri" w:hAnsi="Calibri" w:cs="Calibri"/>
          <w:szCs w:val="24"/>
        </w:rPr>
        <w:t>20–22)</w:t>
      </w:r>
      <w:r>
        <w:rPr>
          <w:rFonts w:ascii="Calibri" w:hAnsi="Calibri" w:cs="Times New Roman"/>
          <w:szCs w:val="24"/>
        </w:rPr>
        <w:t xml:space="preserve">, this study provides longer term data </w:t>
      </w:r>
      <w:r w:rsidR="000D7DA9">
        <w:t>(</w:t>
      </w:r>
      <w:r w:rsidR="009A5AF4" w:rsidRPr="009E234D">
        <w:t>two year</w:t>
      </w:r>
      <w:r w:rsidR="000D7DA9">
        <w:t xml:space="preserve"> follow-up) after </w:t>
      </w:r>
      <w:r w:rsidR="005B0916">
        <w:t>hospital admission</w:t>
      </w:r>
      <w:r w:rsidR="00C643DD" w:rsidRPr="009E234D">
        <w:t xml:space="preserve">. </w:t>
      </w:r>
      <w:r>
        <w:rPr>
          <w:rFonts w:ascii="Calibri" w:hAnsi="Calibri"/>
        </w:rPr>
        <w:t xml:space="preserve">Our analyses used </w:t>
      </w:r>
      <w:r>
        <w:t>‘</w:t>
      </w:r>
      <w:r w:rsidRPr="009E234D">
        <w:t>bed</w:t>
      </w:r>
      <w:r w:rsidR="00301DD8">
        <w:t>-</w:t>
      </w:r>
      <w:r w:rsidRPr="009E234D">
        <w:t>days</w:t>
      </w:r>
      <w:r>
        <w:t>’</w:t>
      </w:r>
      <w:r w:rsidRPr="009E234D">
        <w:t xml:space="preserve"> </w:t>
      </w:r>
      <w:r w:rsidR="005B0916">
        <w:t>(</w:t>
      </w:r>
      <w:r w:rsidR="009A5AF4" w:rsidRPr="009E234D">
        <w:t xml:space="preserve">rather than </w:t>
      </w:r>
      <w:r w:rsidR="002E56DD">
        <w:t>number of readmissions</w:t>
      </w:r>
      <w:r>
        <w:t>) to measure subsequent resource use</w:t>
      </w:r>
      <w:r w:rsidR="00DB0400" w:rsidRPr="009E234D">
        <w:t xml:space="preserve">. </w:t>
      </w:r>
      <w:r>
        <w:t xml:space="preserve">This is important as </w:t>
      </w:r>
      <w:r w:rsidRPr="009E234D">
        <w:t xml:space="preserve">people </w:t>
      </w:r>
      <w:r>
        <w:t xml:space="preserve">with frailty typically have longer hospital </w:t>
      </w:r>
      <w:proofErr w:type="gramStart"/>
      <w:r>
        <w:t>admissions</w:t>
      </w:r>
      <w:r w:rsidR="000064FB" w:rsidRPr="0076398C">
        <w:rPr>
          <w:rFonts w:ascii="Calibri" w:hAnsi="Calibri" w:cs="Calibri"/>
        </w:rPr>
        <w:t>(</w:t>
      </w:r>
      <w:proofErr w:type="gramEnd"/>
      <w:r w:rsidR="000064FB" w:rsidRPr="0076398C">
        <w:rPr>
          <w:rFonts w:ascii="Calibri" w:hAnsi="Calibri" w:cs="Calibri"/>
        </w:rPr>
        <w:t>23,24)</w:t>
      </w:r>
      <w:r>
        <w:rPr>
          <w:rFonts w:ascii="Calibri" w:hAnsi="Calibri"/>
        </w:rPr>
        <w:t xml:space="preserve"> and therefore </w:t>
      </w:r>
      <w:r w:rsidR="00301DD8">
        <w:rPr>
          <w:rFonts w:ascii="Calibri" w:hAnsi="Calibri"/>
        </w:rPr>
        <w:t xml:space="preserve">the </w:t>
      </w:r>
      <w:r>
        <w:rPr>
          <w:rFonts w:ascii="Calibri" w:hAnsi="Calibri"/>
        </w:rPr>
        <w:t>number of re-admissions only provides a partial indicator of subsequent resource use.</w:t>
      </w:r>
    </w:p>
    <w:p w14:paraId="3FFDF41D" w14:textId="5331554D" w:rsidR="00621358" w:rsidRDefault="00565F03">
      <w:pPr>
        <w:jc w:val="both"/>
      </w:pPr>
      <w:r>
        <w:t xml:space="preserve">The </w:t>
      </w:r>
      <w:r w:rsidR="00AD5915">
        <w:t>cohorts</w:t>
      </w:r>
      <w:r>
        <w:t xml:space="preserve"> were </w:t>
      </w:r>
      <w:r w:rsidR="006325F6">
        <w:t>recruited</w:t>
      </w:r>
      <w:r w:rsidR="00AD5915">
        <w:t xml:space="preserve"> </w:t>
      </w:r>
      <w:r w:rsidR="00D5703F" w:rsidRPr="009E234D">
        <w:t xml:space="preserve">in different hospitals </w:t>
      </w:r>
      <w:r>
        <w:t xml:space="preserve">and </w:t>
      </w:r>
      <w:r w:rsidR="00D5703F" w:rsidRPr="009E234D">
        <w:t>regional or hospital level differences</w:t>
      </w:r>
      <w:r w:rsidR="00A223E7">
        <w:t xml:space="preserve"> are possible.  C</w:t>
      </w:r>
      <w:r>
        <w:t xml:space="preserve">aution is </w:t>
      </w:r>
      <w:r w:rsidR="00A223E7">
        <w:t xml:space="preserve">therefore </w:t>
      </w:r>
      <w:r>
        <w:t xml:space="preserve">needed in making </w:t>
      </w:r>
      <w:r w:rsidR="00A223E7">
        <w:t xml:space="preserve">inter-cohort </w:t>
      </w:r>
      <w:r>
        <w:t xml:space="preserve">comparisons. </w:t>
      </w:r>
      <w:r w:rsidR="00A223E7">
        <w:t>T</w:t>
      </w:r>
      <w:r>
        <w:t xml:space="preserve">he </w:t>
      </w:r>
      <w:r w:rsidR="00AD5915">
        <w:t>c</w:t>
      </w:r>
      <w:r w:rsidR="00D5703F" w:rsidRPr="009E234D">
        <w:t>linical datasets were designed for different studies</w:t>
      </w:r>
      <w:r w:rsidR="001246D7">
        <w:t xml:space="preserve"> so</w:t>
      </w:r>
      <w:r>
        <w:t xml:space="preserve"> </w:t>
      </w:r>
      <w:r w:rsidR="00A223E7" w:rsidRPr="009E234D">
        <w:t>available</w:t>
      </w:r>
      <w:r w:rsidR="00A223E7">
        <w:t xml:space="preserve"> </w:t>
      </w:r>
      <w:r w:rsidR="00D5703F" w:rsidRPr="009E234D">
        <w:t xml:space="preserve">variables </w:t>
      </w:r>
      <w:r w:rsidR="00A223E7">
        <w:t xml:space="preserve">from which </w:t>
      </w:r>
      <w:r w:rsidR="00D5703F" w:rsidRPr="009E234D">
        <w:t xml:space="preserve">to calculate frailty </w:t>
      </w:r>
      <w:r w:rsidR="001246D7">
        <w:t xml:space="preserve">scores </w:t>
      </w:r>
      <w:r w:rsidR="002E56DD">
        <w:t>differed</w:t>
      </w:r>
      <w:r w:rsidR="00F126C0" w:rsidRPr="009E234D">
        <w:t>.</w:t>
      </w:r>
      <w:r>
        <w:t xml:space="preserve"> There were missing data in some variables required to calculate frailty scores</w:t>
      </w:r>
      <w:r w:rsidR="00A223E7">
        <w:t xml:space="preserve">, so some </w:t>
      </w:r>
      <w:r>
        <w:t>patients</w:t>
      </w:r>
      <w:r w:rsidR="00A223E7">
        <w:t xml:space="preserve"> had to be excluded. Despite this, those included for each scale </w:t>
      </w:r>
      <w:r>
        <w:t xml:space="preserve">had similar characteristics such as age and gender, and frailty was identified </w:t>
      </w:r>
      <w:r w:rsidR="00A223E7">
        <w:t xml:space="preserve">in </w:t>
      </w:r>
      <w:r w:rsidRPr="000064FB">
        <w:t xml:space="preserve">similar proportions. </w:t>
      </w:r>
      <w:r w:rsidR="009F04CA" w:rsidRPr="00A37F3F">
        <w:t xml:space="preserve">The applicability of the scales for the </w:t>
      </w:r>
      <w:r w:rsidR="003E1C0B" w:rsidRPr="00A37F3F">
        <w:t>in-patient</w:t>
      </w:r>
      <w:r w:rsidR="009F04CA" w:rsidRPr="00A37F3F">
        <w:t xml:space="preserve"> cohort emerged as an issue during the study</w:t>
      </w:r>
      <w:r w:rsidRPr="00A37F3F">
        <w:t xml:space="preserve">: </w:t>
      </w:r>
      <w:r w:rsidRPr="00B81556">
        <w:t>t</w:t>
      </w:r>
      <w:r w:rsidR="001246D7" w:rsidRPr="000064FB">
        <w:t xml:space="preserve">hose </w:t>
      </w:r>
      <w:r w:rsidR="00A847CC" w:rsidRPr="000064FB">
        <w:t>classified by Fried were mainly identified as frail</w:t>
      </w:r>
      <w:r w:rsidR="009F04CA" w:rsidRPr="00B81556">
        <w:t xml:space="preserve"> and the cohort spent</w:t>
      </w:r>
      <w:r w:rsidR="00DA52FF" w:rsidRPr="00B81556">
        <w:t xml:space="preserve"> a lot of time in hospital including </w:t>
      </w:r>
      <w:r w:rsidR="006325F6" w:rsidRPr="00B81556">
        <w:t>during</w:t>
      </w:r>
      <w:r w:rsidR="00DA52FF" w:rsidRPr="000064FB">
        <w:t xml:space="preserve"> the index admission</w:t>
      </w:r>
      <w:r w:rsidR="003C5332" w:rsidRPr="00B81556">
        <w:t>,</w:t>
      </w:r>
      <w:r w:rsidR="00DA52FF" w:rsidRPr="000064FB">
        <w:t xml:space="preserve"> which directly affects the number of diagnoses recorded for the HFRS. This means that there is little differentiation</w:t>
      </w:r>
      <w:r w:rsidR="00DA52FF" w:rsidRPr="00B81556">
        <w:t xml:space="preserve"> in outcomes between the frail and non-frail</w:t>
      </w:r>
      <w:r w:rsidR="00A847CC" w:rsidRPr="00B81556">
        <w:t xml:space="preserve"> for these scales</w:t>
      </w:r>
      <w:r w:rsidRPr="00B81556">
        <w:t>.</w:t>
      </w:r>
    </w:p>
    <w:p w14:paraId="42A2D154" w14:textId="5ECC0E4A" w:rsidR="00621358" w:rsidRDefault="0024600B" w:rsidP="00913A3B">
      <w:pPr>
        <w:jc w:val="both"/>
      </w:pPr>
      <w:r>
        <w:t>Institutionalisation is an important outcome for older people and while we had data available at baseline for both cohorts</w:t>
      </w:r>
      <w:r w:rsidR="006325F6">
        <w:t>,</w:t>
      </w:r>
      <w:r>
        <w:t xml:space="preserve"> the numbers were too small to present</w:t>
      </w:r>
      <w:r w:rsidR="006325F6">
        <w:t>. T</w:t>
      </w:r>
      <w:r>
        <w:t xml:space="preserve">here was no </w:t>
      </w:r>
      <w:r w:rsidR="002D2B64">
        <w:t xml:space="preserve">long-term </w:t>
      </w:r>
      <w:r>
        <w:t>follow</w:t>
      </w:r>
      <w:r w:rsidR="006325F6">
        <w:t>-</w:t>
      </w:r>
      <w:r>
        <w:t xml:space="preserve">up data </w:t>
      </w:r>
      <w:r w:rsidR="002D2B64">
        <w:t xml:space="preserve">on institutionalisation </w:t>
      </w:r>
      <w:r>
        <w:t xml:space="preserve">for either cohort over the </w:t>
      </w:r>
      <w:r w:rsidR="006325F6">
        <w:t xml:space="preserve">study </w:t>
      </w:r>
      <w:r>
        <w:t>period. Overall</w:t>
      </w:r>
      <w:r w:rsidR="003C5332">
        <w:t>,</w:t>
      </w:r>
      <w:r>
        <w:t xml:space="preserve"> the </w:t>
      </w:r>
      <w:r w:rsidR="003E1C0B">
        <w:t>in-patient</w:t>
      </w:r>
      <w:r>
        <w:t xml:space="preserve"> cohort were a small sample and almost 50% of those identified as frail by any of the scales died in the two year follow up. Accounting for survival time </w:t>
      </w:r>
      <w:r w:rsidR="00DA52FF">
        <w:t>increased</w:t>
      </w:r>
      <w:r>
        <w:t xml:space="preserve"> the differentiation in hospital use between frail and non-frail</w:t>
      </w:r>
      <w:r w:rsidR="00DA52FF">
        <w:t xml:space="preserve"> particularly for the clinical frailty scales</w:t>
      </w:r>
      <w:r>
        <w:t xml:space="preserve">. </w:t>
      </w:r>
      <w:r w:rsidR="00621358">
        <w:t xml:space="preserve">As well as being a relatively small sample, the </w:t>
      </w:r>
      <w:r w:rsidR="003E1C0B">
        <w:t>in-patient</w:t>
      </w:r>
      <w:r w:rsidR="00E40D2A">
        <w:t xml:space="preserve"> </w:t>
      </w:r>
      <w:r w:rsidR="006325F6">
        <w:t xml:space="preserve">group </w:t>
      </w:r>
      <w:r w:rsidR="00621358">
        <w:t>was also all female</w:t>
      </w:r>
      <w:r>
        <w:t xml:space="preserve"> which</w:t>
      </w:r>
      <w:r w:rsidR="00621358">
        <w:t xml:space="preserve"> limits the generalisability of the findings from this cohort</w:t>
      </w:r>
      <w:r w:rsidR="00CE4642">
        <w:t xml:space="preserve">. A sensitivity analysis was conducted using female </w:t>
      </w:r>
      <w:r w:rsidR="006325F6">
        <w:t>patient</w:t>
      </w:r>
      <w:r w:rsidR="00CE4642">
        <w:t xml:space="preserve"> </w:t>
      </w:r>
      <w:r w:rsidR="006325F6">
        <w:t>in</w:t>
      </w:r>
      <w:r w:rsidR="00CE4642">
        <w:t xml:space="preserve"> the ambulatory cohort</w:t>
      </w:r>
      <w:r w:rsidR="006325F6">
        <w:t>,</w:t>
      </w:r>
      <w:r w:rsidR="00CE4642">
        <w:t xml:space="preserve"> which sho</w:t>
      </w:r>
      <w:r w:rsidR="00981CE4">
        <w:t xml:space="preserve">wed that many of the </w:t>
      </w:r>
      <w:r w:rsidR="009649F2">
        <w:t xml:space="preserve">main </w:t>
      </w:r>
      <w:r w:rsidR="00981CE4">
        <w:t>findings f</w:t>
      </w:r>
      <w:r w:rsidR="00CE4642">
        <w:t>r</w:t>
      </w:r>
      <w:r w:rsidR="00981CE4">
        <w:t>om</w:t>
      </w:r>
      <w:r w:rsidR="009649F2">
        <w:t xml:space="preserve"> the mixed cohort remained (</w:t>
      </w:r>
      <w:r w:rsidR="00CE4642">
        <w:t>Appendix).</w:t>
      </w:r>
      <w:r w:rsidR="00C22C74">
        <w:t xml:space="preserve"> </w:t>
      </w:r>
    </w:p>
    <w:p w14:paraId="29CC3518" w14:textId="0A33324C" w:rsidR="00AC29EF" w:rsidRDefault="00AC29EF" w:rsidP="00913A3B">
      <w:pPr>
        <w:jc w:val="both"/>
      </w:pPr>
      <w:r>
        <w:t xml:space="preserve">Recruitment took place some years ago, but we do not believe that this invalidates the main findings or messages </w:t>
      </w:r>
      <w:r w:rsidR="00565F03">
        <w:t>of this study</w:t>
      </w:r>
      <w:r w:rsidR="00981CE4">
        <w:t>.</w:t>
      </w:r>
    </w:p>
    <w:p w14:paraId="7B454C45" w14:textId="09D86F12" w:rsidR="00181EF4" w:rsidRPr="001F5610" w:rsidRDefault="00C322E4" w:rsidP="001F5610">
      <w:pPr>
        <w:pStyle w:val="Heading2"/>
      </w:pPr>
      <w:r>
        <w:t>Comparison with existing literature</w:t>
      </w:r>
    </w:p>
    <w:p w14:paraId="0C3BB900" w14:textId="3D8169E4" w:rsidR="002D37CB" w:rsidRDefault="002D37CB">
      <w:pPr>
        <w:jc w:val="both"/>
      </w:pPr>
      <w:r>
        <w:t>Our data demonstrates poor outcomes and subsequent increased resource use even after brief (&lt;72 hour</w:t>
      </w:r>
      <w:r w:rsidR="00A74F3A">
        <w:t>s</w:t>
      </w:r>
      <w:r>
        <w:t>) hospital admissions. Direct comparisons with the few previous studies that have reported mortality outcomes are difficult</w:t>
      </w:r>
      <w:r w:rsidR="00C66243">
        <w:t>,</w:t>
      </w:r>
      <w:r>
        <w:t xml:space="preserve"> as most acute hospital-based studies only look at short-term mortality (30 - 90 days)</w:t>
      </w:r>
      <w:r w:rsidR="000D7DA9">
        <w:t xml:space="preserve">. However, </w:t>
      </w:r>
      <w:r w:rsidR="00EB0B82">
        <w:t>the two-year mortality rate</w:t>
      </w:r>
      <w:r w:rsidR="00B81556">
        <w:t>s</w:t>
      </w:r>
      <w:r w:rsidR="00EB0B82">
        <w:t xml:space="preserve"> of </w:t>
      </w:r>
      <w:r w:rsidR="00B81556">
        <w:t>32</w:t>
      </w:r>
      <w:r w:rsidR="00EB0B82">
        <w:t xml:space="preserve">-53% for </w:t>
      </w:r>
      <w:r w:rsidR="00B81556">
        <w:t xml:space="preserve">frail </w:t>
      </w:r>
      <w:r>
        <w:t>older peopl</w:t>
      </w:r>
      <w:r w:rsidRPr="007A66D5">
        <w:t xml:space="preserve">e </w:t>
      </w:r>
      <w:r w:rsidR="000D7DA9" w:rsidRPr="007A66D5">
        <w:t xml:space="preserve">presented here </w:t>
      </w:r>
      <w:r w:rsidR="00EB0B82" w:rsidRPr="007A66D5">
        <w:t xml:space="preserve">are consistent with other studies which report </w:t>
      </w:r>
      <w:r w:rsidRPr="007A66D5">
        <w:t>in-patient mortality rate</w:t>
      </w:r>
      <w:r w:rsidR="00B81556" w:rsidRPr="007A66D5">
        <w:t>s</w:t>
      </w:r>
      <w:r w:rsidR="00EB0B82" w:rsidRPr="007A66D5">
        <w:t xml:space="preserve"> </w:t>
      </w:r>
      <w:r w:rsidRPr="007A66D5">
        <w:t>of 11-33%</w:t>
      </w:r>
      <w:r w:rsidR="00B81556" w:rsidRPr="0076398C">
        <w:t xml:space="preserve"> for older people with Clinical Frailty Scale scores of 7-9 (severely frail)</w:t>
      </w:r>
      <w:r w:rsidR="007A66D5" w:rsidRPr="0076398C">
        <w:rPr>
          <w:rFonts w:ascii="Calibri" w:hAnsi="Calibri" w:cs="Calibri"/>
          <w:szCs w:val="24"/>
        </w:rPr>
        <w:t>(24–26)</w:t>
      </w:r>
      <w:r w:rsidR="00EB0B82" w:rsidRPr="007A66D5">
        <w:t>.</w:t>
      </w:r>
      <w:r w:rsidR="00EB0B82">
        <w:t xml:space="preserve"> This study adds to a </w:t>
      </w:r>
      <w:r w:rsidR="00EB0B82">
        <w:lastRenderedPageBreak/>
        <w:t xml:space="preserve">growing body of evidence relating to the value of frailty as a predictor of mortality risk across a range of populations and </w:t>
      </w:r>
      <w:proofErr w:type="gramStart"/>
      <w:r w:rsidR="00EB0B82">
        <w:t>settings</w:t>
      </w:r>
      <w:r w:rsidR="007A66D5" w:rsidRPr="0076398C">
        <w:rPr>
          <w:rFonts w:ascii="Calibri" w:hAnsi="Calibri" w:cs="Calibri"/>
          <w:szCs w:val="24"/>
        </w:rPr>
        <w:t>(</w:t>
      </w:r>
      <w:proofErr w:type="gramEnd"/>
      <w:r w:rsidR="007A66D5" w:rsidRPr="0076398C">
        <w:rPr>
          <w:rFonts w:ascii="Calibri" w:hAnsi="Calibri" w:cs="Calibri"/>
          <w:szCs w:val="24"/>
        </w:rPr>
        <w:t>23,27–32)</w:t>
      </w:r>
      <w:r w:rsidR="00EB0B82">
        <w:t>.</w:t>
      </w:r>
      <w:r w:rsidR="00981CE4" w:rsidDel="00981CE4">
        <w:t xml:space="preserve"> </w:t>
      </w:r>
    </w:p>
    <w:p w14:paraId="0C65B968" w14:textId="77777777" w:rsidR="00F27530" w:rsidRDefault="00F27530" w:rsidP="000064FB">
      <w:pPr>
        <w:pStyle w:val="Heading2"/>
      </w:pPr>
      <w:r w:rsidRPr="001F5610">
        <w:t>Implications</w:t>
      </w:r>
      <w:r w:rsidR="00C322E4">
        <w:t xml:space="preserve"> for research and practice</w:t>
      </w:r>
    </w:p>
    <w:p w14:paraId="24E5F01F" w14:textId="2D08E029" w:rsidR="00C21657" w:rsidRDefault="008E360B">
      <w:pPr>
        <w:jc w:val="both"/>
      </w:pPr>
      <w:r>
        <w:t>There are compelling reasons to avoid unnecessary hospitalisation in older people, including the risk</w:t>
      </w:r>
      <w:r w:rsidR="00A223E7">
        <w:t>s</w:t>
      </w:r>
      <w:r>
        <w:t xml:space="preserve"> of deconditioning and iatrogenic </w:t>
      </w:r>
      <w:proofErr w:type="gramStart"/>
      <w:r>
        <w:t>harm</w:t>
      </w:r>
      <w:r w:rsidR="00FC26F0" w:rsidRPr="0076398C">
        <w:rPr>
          <w:rFonts w:ascii="Calibri" w:hAnsi="Calibri" w:cs="Calibri"/>
        </w:rPr>
        <w:t>(</w:t>
      </w:r>
      <w:proofErr w:type="gramEnd"/>
      <w:r w:rsidR="00FC26F0" w:rsidRPr="0076398C">
        <w:rPr>
          <w:rFonts w:ascii="Calibri" w:hAnsi="Calibri" w:cs="Calibri"/>
        </w:rPr>
        <w:t>8)</w:t>
      </w:r>
      <w:r>
        <w:rPr>
          <w:rFonts w:ascii="Calibri" w:hAnsi="Calibri"/>
        </w:rPr>
        <w:t xml:space="preserve">. However, </w:t>
      </w:r>
      <w:r>
        <w:t xml:space="preserve">our data demonstrates poor outcomes </w:t>
      </w:r>
      <w:r w:rsidR="00A223E7">
        <w:t xml:space="preserve">even </w:t>
      </w:r>
      <w:r>
        <w:t>amongst frail older people discharged from hospital after brief (&lt;72 hour</w:t>
      </w:r>
      <w:r w:rsidR="00A74F3A">
        <w:t>s</w:t>
      </w:r>
      <w:r>
        <w:t>) stays</w:t>
      </w:r>
      <w:r w:rsidR="00A223E7">
        <w:t>, suggesting</w:t>
      </w:r>
      <w:r>
        <w:t xml:space="preserve"> that early discharge is not </w:t>
      </w:r>
      <w:r w:rsidR="00A175A3">
        <w:t xml:space="preserve">(on its own) </w:t>
      </w:r>
      <w:r>
        <w:t xml:space="preserve">sufficient to meet the needs of these patients.  </w:t>
      </w:r>
      <w:r w:rsidR="00A175A3">
        <w:t xml:space="preserve">Indeed, there </w:t>
      </w:r>
      <w:r>
        <w:t xml:space="preserve">is a danger that the current focus on </w:t>
      </w:r>
      <w:r w:rsidR="00C21657">
        <w:t xml:space="preserve">‘admission avoidance’ places </w:t>
      </w:r>
      <w:r>
        <w:t xml:space="preserve">too much </w:t>
      </w:r>
      <w:r w:rsidR="00C21657">
        <w:t xml:space="preserve">emphasis on relieving service pressures </w:t>
      </w:r>
      <w:r>
        <w:t xml:space="preserve">and </w:t>
      </w:r>
      <w:r w:rsidR="00C21657">
        <w:t xml:space="preserve">risks </w:t>
      </w:r>
      <w:r w:rsidR="00A175A3">
        <w:t xml:space="preserve">constructing frail </w:t>
      </w:r>
      <w:r w:rsidR="00C21657">
        <w:t>older people as burdensome</w:t>
      </w:r>
      <w:r w:rsidR="00A175A3">
        <w:t xml:space="preserve"> </w:t>
      </w:r>
      <w:r w:rsidR="00C66243">
        <w:t>and</w:t>
      </w:r>
      <w:r w:rsidR="00A175A3">
        <w:t xml:space="preserve"> problematic</w:t>
      </w:r>
      <w:r w:rsidR="00C21657">
        <w:t>.</w:t>
      </w:r>
      <w:r>
        <w:t xml:space="preserve"> A more positive and person-centred definition of what services are trying to achieve is perhaps needed.</w:t>
      </w:r>
    </w:p>
    <w:p w14:paraId="4B8B4C26" w14:textId="77777777" w:rsidR="00A175A3" w:rsidRDefault="00C21657" w:rsidP="00A175A3">
      <w:pPr>
        <w:jc w:val="both"/>
      </w:pPr>
      <w:r>
        <w:t>Most hospital admissions in frail older people relate to actual or impending ‘frailty crises’ (e.g. sudden loss of mobility, delirium or falls)</w:t>
      </w:r>
      <w:r w:rsidR="008E360B">
        <w:t xml:space="preserve">. </w:t>
      </w:r>
      <w:r w:rsidR="00A175A3">
        <w:t xml:space="preserve">With respect to frailty crises, services can be divided into those which seek to </w:t>
      </w:r>
      <w:r w:rsidR="00A175A3" w:rsidRPr="00CE0CC3">
        <w:rPr>
          <w:i/>
        </w:rPr>
        <w:t xml:space="preserve">prevent </w:t>
      </w:r>
      <w:r w:rsidR="00A175A3">
        <w:t xml:space="preserve">(e.g. proactive care), </w:t>
      </w:r>
      <w:r w:rsidR="00A175A3" w:rsidRPr="00CE0CC3">
        <w:rPr>
          <w:i/>
        </w:rPr>
        <w:t xml:space="preserve">offer increased support during </w:t>
      </w:r>
      <w:r w:rsidR="00A175A3" w:rsidRPr="00DC5F07">
        <w:t>(</w:t>
      </w:r>
      <w:r w:rsidR="00A175A3">
        <w:t xml:space="preserve">e.g. intensive community support) or </w:t>
      </w:r>
      <w:r w:rsidR="00A175A3" w:rsidRPr="00CE0CC3">
        <w:rPr>
          <w:i/>
        </w:rPr>
        <w:t>promote recovery</w:t>
      </w:r>
      <w:r w:rsidR="00A175A3">
        <w:rPr>
          <w:i/>
        </w:rPr>
        <w:t xml:space="preserve"> following</w:t>
      </w:r>
      <w:r w:rsidR="00A175A3">
        <w:t xml:space="preserve"> frailty crises (e.g. community rehabilitation).</w:t>
      </w:r>
    </w:p>
    <w:p w14:paraId="3E204EE3" w14:textId="3FC5BCF2" w:rsidR="00A175A3" w:rsidRDefault="0019608C">
      <w:pPr>
        <w:jc w:val="both"/>
      </w:pPr>
      <w:r>
        <w:t>‘Primary prevention’ of frailty crises is challenging</w:t>
      </w:r>
      <w:r w:rsidR="008E360B">
        <w:t xml:space="preserve"> because </w:t>
      </w:r>
      <w:r w:rsidR="003461A8">
        <w:t>evolving frailty often goes unrecognised until a crisis occurs</w:t>
      </w:r>
      <w:r w:rsidR="003B604F">
        <w:t xml:space="preserve">, making it </w:t>
      </w:r>
      <w:r w:rsidR="00A175A3">
        <w:t xml:space="preserve">difficult to target resource intensive community services in an impactful way. By contrast, individuals who have had a frailty crisis are easily identifiable and, with increasing evidence of poor outcomes, are likely to benefit from services such as proactive care, enhanced community support and advance care </w:t>
      </w:r>
      <w:proofErr w:type="gramStart"/>
      <w:r w:rsidR="00A175A3">
        <w:t>planning</w:t>
      </w:r>
      <w:r w:rsidR="007A66D5" w:rsidRPr="0076398C">
        <w:rPr>
          <w:rFonts w:ascii="Calibri" w:hAnsi="Calibri" w:cs="Calibri"/>
          <w:szCs w:val="24"/>
        </w:rPr>
        <w:t>(</w:t>
      </w:r>
      <w:proofErr w:type="gramEnd"/>
      <w:r w:rsidR="007A66D5" w:rsidRPr="0076398C">
        <w:rPr>
          <w:rFonts w:ascii="Calibri" w:hAnsi="Calibri" w:cs="Calibri"/>
          <w:szCs w:val="24"/>
        </w:rPr>
        <w:t>33–35)</w:t>
      </w:r>
      <w:r w:rsidR="00A175A3" w:rsidRPr="009E234D">
        <w:t xml:space="preserve">. </w:t>
      </w:r>
      <w:r w:rsidR="00A175A3">
        <w:t xml:space="preserve">This could define a ‘secondary prevention’ approach to frailty crises (targeting those identified as frail who have already been admitted to hospital or received intensive community support). </w:t>
      </w:r>
    </w:p>
    <w:p w14:paraId="27FE9890" w14:textId="7979EE7B" w:rsidR="00A223E7" w:rsidRDefault="00A223E7">
      <w:pPr>
        <w:jc w:val="both"/>
      </w:pPr>
      <w:r>
        <w:t xml:space="preserve">This would require </w:t>
      </w:r>
      <w:r w:rsidR="00A175A3">
        <w:t>a systematic</w:t>
      </w:r>
      <w:r>
        <w:t xml:space="preserve"> and inter-organisational</w:t>
      </w:r>
      <w:r w:rsidR="00A175A3">
        <w:t xml:space="preserve"> approach </w:t>
      </w:r>
      <w:r w:rsidR="003B604F">
        <w:t xml:space="preserve">to identifying patients with </w:t>
      </w:r>
      <w:r w:rsidR="00A175A3">
        <w:t xml:space="preserve">frailty on hospital discharge and </w:t>
      </w:r>
      <w:r w:rsidR="003B604F">
        <w:t>providing an i</w:t>
      </w:r>
      <w:r>
        <w:t xml:space="preserve">ndividually tailored </w:t>
      </w:r>
      <w:r w:rsidR="003B604F">
        <w:t>response. Although challenging, this is increasingly plausible with the greater (albeit still imperfect) interoperability of health care informatics and the development of Accountable Care Organisations that are responsible for managing the whole patient journey. E</w:t>
      </w:r>
      <w:r w:rsidR="00FB0369">
        <w:t>xamples of</w:t>
      </w:r>
      <w:r w:rsidR="00AF06D2">
        <w:t xml:space="preserve"> evidence based interventions </w:t>
      </w:r>
      <w:r w:rsidR="00256DB7">
        <w:t xml:space="preserve">that </w:t>
      </w:r>
      <w:r w:rsidR="00AF06D2">
        <w:t xml:space="preserve">might </w:t>
      </w:r>
      <w:r w:rsidR="003B604F">
        <w:t xml:space="preserve">be used for </w:t>
      </w:r>
      <w:r>
        <w:t xml:space="preserve">secondary prevention </w:t>
      </w:r>
      <w:r w:rsidR="00AF06D2">
        <w:t xml:space="preserve">include hospital at </w:t>
      </w:r>
      <w:proofErr w:type="gramStart"/>
      <w:r w:rsidR="00AF06D2">
        <w:t>home</w:t>
      </w:r>
      <w:r w:rsidR="007A66D5" w:rsidRPr="0076398C">
        <w:rPr>
          <w:rFonts w:ascii="Calibri" w:hAnsi="Calibri" w:cs="Calibri"/>
        </w:rPr>
        <w:t>(</w:t>
      </w:r>
      <w:proofErr w:type="gramEnd"/>
      <w:r w:rsidR="007A66D5" w:rsidRPr="0076398C">
        <w:rPr>
          <w:rFonts w:ascii="Calibri" w:hAnsi="Calibri" w:cs="Calibri"/>
        </w:rPr>
        <w:t>33)</w:t>
      </w:r>
      <w:r w:rsidR="00AF06D2">
        <w:t>, advance care planning</w:t>
      </w:r>
      <w:r w:rsidR="007A66D5" w:rsidRPr="0076398C">
        <w:rPr>
          <w:rFonts w:ascii="Calibri" w:hAnsi="Calibri" w:cs="Calibri"/>
        </w:rPr>
        <w:t>(34)</w:t>
      </w:r>
      <w:r w:rsidR="00AF06D2">
        <w:t xml:space="preserve"> and </w:t>
      </w:r>
      <w:r w:rsidR="003461A8">
        <w:t>Comprehensive Geriatric Assessment (CGA</w:t>
      </w:r>
      <w:r w:rsidR="003B604F">
        <w:t xml:space="preserve"> (</w:t>
      </w:r>
      <w:r w:rsidR="003629D2">
        <w:t xml:space="preserve">although there is a need for CGA to be tailored to </w:t>
      </w:r>
      <w:r w:rsidR="00AF06D2">
        <w:t>community settings</w:t>
      </w:r>
      <w:r w:rsidR="007A66D5" w:rsidRPr="0076398C">
        <w:rPr>
          <w:rFonts w:ascii="Calibri" w:hAnsi="Calibri" w:cs="Calibri"/>
        </w:rPr>
        <w:t>(35)</w:t>
      </w:r>
      <w:r w:rsidR="003B604F">
        <w:rPr>
          <w:rFonts w:ascii="Calibri" w:hAnsi="Calibri"/>
        </w:rPr>
        <w:t>)</w:t>
      </w:r>
      <w:r w:rsidR="00AF06D2">
        <w:t>.</w:t>
      </w:r>
    </w:p>
    <w:p w14:paraId="2D1AFB1A" w14:textId="5DA563A8" w:rsidR="00565F03" w:rsidRDefault="007775F5">
      <w:pPr>
        <w:jc w:val="both"/>
      </w:pPr>
      <w:r>
        <w:t xml:space="preserve">Further research is required to define and evaluate interventions which might be used </w:t>
      </w:r>
      <w:r w:rsidR="003461A8">
        <w:t xml:space="preserve">as part of a ‘secondary prevention’ approach </w:t>
      </w:r>
      <w:r>
        <w:t xml:space="preserve">and to optimise the </w:t>
      </w:r>
      <w:r w:rsidR="003A27B3">
        <w:t xml:space="preserve">performance </w:t>
      </w:r>
      <w:r>
        <w:t>of frailty assessment tools that could be used</w:t>
      </w:r>
      <w:r w:rsidR="003B604F">
        <w:t xml:space="preserve"> to identify patients</w:t>
      </w:r>
      <w:r w:rsidR="005C5631">
        <w:t xml:space="preserve">. </w:t>
      </w:r>
      <w:r w:rsidR="003A27B3">
        <w:t xml:space="preserve">Furthermore, implementation would require a ‘joined up’ approach across primary, community and acute care services so that assessments and interventions take place at the most appropriate stage of the patient journey. </w:t>
      </w:r>
    </w:p>
    <w:p w14:paraId="3FA2C2D2" w14:textId="7A0A6126" w:rsidR="00C21657" w:rsidRDefault="00C21657" w:rsidP="00C21657">
      <w:pPr>
        <w:jc w:val="both"/>
      </w:pPr>
    </w:p>
    <w:p w14:paraId="6FA805EC" w14:textId="77777777" w:rsidR="00565F03" w:rsidRDefault="00565F03" w:rsidP="00256DB7">
      <w:pPr>
        <w:jc w:val="both"/>
      </w:pPr>
    </w:p>
    <w:p w14:paraId="07813FFE" w14:textId="77777777" w:rsidR="00D25BEC" w:rsidRDefault="00D25BEC" w:rsidP="00D25BEC">
      <w:pPr>
        <w:pStyle w:val="Heading1"/>
        <w:jc w:val="both"/>
      </w:pPr>
      <w:r>
        <w:lastRenderedPageBreak/>
        <w:t>Additional Information</w:t>
      </w:r>
    </w:p>
    <w:p w14:paraId="244826E2" w14:textId="7F0874DA" w:rsidR="00EF5FAD" w:rsidRPr="00EF5FAD" w:rsidRDefault="00EF5FAD" w:rsidP="00EF5FAD">
      <w:pPr>
        <w:pStyle w:val="Heading2"/>
      </w:pPr>
      <w:r w:rsidRPr="00EF5FAD">
        <w:t>Ethical Approval</w:t>
      </w:r>
    </w:p>
    <w:p w14:paraId="0277DDB7" w14:textId="77777777" w:rsidR="00EF5FAD" w:rsidRDefault="003C32CD" w:rsidP="00D25BEC">
      <w:pPr>
        <w:pStyle w:val="Heading2"/>
        <w:rPr>
          <w:rFonts w:asciiTheme="minorHAnsi" w:eastAsiaTheme="minorHAnsi" w:hAnsiTheme="minorHAnsi" w:cstheme="minorBidi"/>
          <w:b w:val="0"/>
          <w:szCs w:val="22"/>
        </w:rPr>
      </w:pPr>
      <w:r w:rsidRPr="004E41C1">
        <w:rPr>
          <w:rFonts w:asciiTheme="minorHAnsi" w:eastAsiaTheme="minorHAnsi" w:hAnsiTheme="minorHAnsi" w:cstheme="minorBidi"/>
          <w:b w:val="0"/>
          <w:szCs w:val="22"/>
        </w:rPr>
        <w:t xml:space="preserve">Ethical approval was provided by Essex NRES Committee (East of England), reference: 15/EE/024. </w:t>
      </w:r>
    </w:p>
    <w:p w14:paraId="3BAD72D2" w14:textId="1CE94D16" w:rsidR="00EF5FAD" w:rsidRPr="00EF5FAD" w:rsidRDefault="00EF5FAD" w:rsidP="00EF5FAD">
      <w:pPr>
        <w:pStyle w:val="Heading2"/>
      </w:pPr>
      <w:r w:rsidRPr="00EF5FAD">
        <w:t>Funding</w:t>
      </w:r>
    </w:p>
    <w:p w14:paraId="4B9F3472" w14:textId="77777777" w:rsidR="00F516F8" w:rsidRDefault="00F516F8" w:rsidP="009F07E1">
      <w:pPr>
        <w:pStyle w:val="Heading2"/>
        <w:rPr>
          <w:rFonts w:asciiTheme="minorHAnsi" w:eastAsiaTheme="minorHAnsi" w:hAnsiTheme="minorHAnsi" w:cstheme="minorBidi"/>
          <w:b w:val="0"/>
          <w:szCs w:val="22"/>
        </w:rPr>
      </w:pPr>
      <w:r>
        <w:rPr>
          <w:rFonts w:asciiTheme="minorHAnsi" w:eastAsiaTheme="minorHAnsi" w:hAnsiTheme="minorHAnsi" w:cstheme="minorBidi"/>
          <w:b w:val="0"/>
          <w:szCs w:val="22"/>
        </w:rPr>
        <w:t>This</w:t>
      </w:r>
      <w:r w:rsidR="003C32CD" w:rsidRPr="004E41C1">
        <w:rPr>
          <w:rFonts w:asciiTheme="minorHAnsi" w:eastAsiaTheme="minorHAnsi" w:hAnsiTheme="minorHAnsi" w:cstheme="minorBidi"/>
          <w:b w:val="0"/>
          <w:szCs w:val="22"/>
        </w:rPr>
        <w:t xml:space="preserve"> </w:t>
      </w:r>
      <w:r>
        <w:rPr>
          <w:rFonts w:asciiTheme="minorHAnsi" w:eastAsiaTheme="minorHAnsi" w:hAnsiTheme="minorHAnsi" w:cstheme="minorBidi"/>
          <w:b w:val="0"/>
          <w:szCs w:val="22"/>
        </w:rPr>
        <w:t>research</w:t>
      </w:r>
      <w:r w:rsidR="003C32CD" w:rsidRPr="004E41C1">
        <w:rPr>
          <w:rFonts w:asciiTheme="minorHAnsi" w:eastAsiaTheme="minorHAnsi" w:hAnsiTheme="minorHAnsi" w:cstheme="minorBidi"/>
          <w:b w:val="0"/>
          <w:szCs w:val="22"/>
        </w:rPr>
        <w:t xml:space="preserve"> was </w:t>
      </w:r>
      <w:r>
        <w:rPr>
          <w:rFonts w:asciiTheme="minorHAnsi" w:eastAsiaTheme="minorHAnsi" w:hAnsiTheme="minorHAnsi" w:cstheme="minorBidi"/>
          <w:b w:val="0"/>
          <w:szCs w:val="22"/>
        </w:rPr>
        <w:t>funded by the</w:t>
      </w:r>
      <w:r w:rsidR="003C32CD" w:rsidRPr="004E41C1">
        <w:rPr>
          <w:rFonts w:asciiTheme="minorHAnsi" w:eastAsiaTheme="minorHAnsi" w:hAnsiTheme="minorHAnsi" w:cstheme="minorBidi"/>
          <w:b w:val="0"/>
          <w:szCs w:val="22"/>
        </w:rPr>
        <w:t xml:space="preserve"> NIHR HS&amp;DR project 12/5003 (acute hospital care for frail older people). The funder had no role in data collection, analysis, interpretation, writing of the manuscript and the decision to submit.</w:t>
      </w:r>
      <w:r w:rsidR="009F07E1">
        <w:rPr>
          <w:rFonts w:asciiTheme="minorHAnsi" w:eastAsiaTheme="minorHAnsi" w:hAnsiTheme="minorHAnsi" w:cstheme="minorBidi"/>
          <w:b w:val="0"/>
          <w:szCs w:val="22"/>
        </w:rPr>
        <w:t xml:space="preserve"> </w:t>
      </w:r>
    </w:p>
    <w:p w14:paraId="17B30B68" w14:textId="35ABD14E" w:rsidR="00034A17" w:rsidRDefault="002B7D8F" w:rsidP="009F07E1">
      <w:pPr>
        <w:pStyle w:val="Heading2"/>
        <w:rPr>
          <w:rFonts w:asciiTheme="minorHAnsi" w:eastAsiaTheme="minorHAnsi" w:hAnsiTheme="minorHAnsi" w:cstheme="minorBidi"/>
          <w:b w:val="0"/>
          <w:szCs w:val="22"/>
        </w:rPr>
      </w:pPr>
      <w:r w:rsidRPr="00034A17">
        <w:rPr>
          <w:b w:val="0"/>
          <w:iCs/>
          <w:szCs w:val="22"/>
        </w:rPr>
        <w:t>The views expressed are those of the authors and not necessarily those of the NHS, the NIHR or the Department of Health</w:t>
      </w:r>
      <w:r>
        <w:rPr>
          <w:rFonts w:asciiTheme="minorHAnsi" w:eastAsiaTheme="minorHAnsi" w:hAnsiTheme="minorHAnsi" w:cstheme="minorBidi"/>
          <w:b w:val="0"/>
          <w:szCs w:val="22"/>
        </w:rPr>
        <w:t xml:space="preserve">. </w:t>
      </w:r>
    </w:p>
    <w:p w14:paraId="0480A1A9" w14:textId="1047B911" w:rsidR="003C32CD" w:rsidRPr="004E41C1" w:rsidRDefault="009F07E1" w:rsidP="009F07E1">
      <w:pPr>
        <w:pStyle w:val="Heading2"/>
        <w:rPr>
          <w:rFonts w:asciiTheme="minorHAnsi" w:eastAsiaTheme="minorHAnsi" w:hAnsiTheme="minorHAnsi" w:cstheme="minorBidi"/>
          <w:b w:val="0"/>
          <w:szCs w:val="22"/>
        </w:rPr>
      </w:pPr>
      <w:r>
        <w:rPr>
          <w:rFonts w:asciiTheme="minorHAnsi" w:eastAsiaTheme="minorHAnsi" w:hAnsiTheme="minorHAnsi" w:cstheme="minorBidi"/>
          <w:b w:val="0"/>
          <w:szCs w:val="22"/>
        </w:rPr>
        <w:t xml:space="preserve">HCR is supported by the NIHR CLAHRC Wessex and the NIHR Southampton Biomedical Research Centre. </w:t>
      </w:r>
      <w:r w:rsidR="00F516F8">
        <w:rPr>
          <w:rFonts w:asciiTheme="minorHAnsi" w:eastAsiaTheme="minorHAnsi" w:hAnsiTheme="minorHAnsi" w:cstheme="minorBidi"/>
          <w:b w:val="0"/>
          <w:szCs w:val="22"/>
        </w:rPr>
        <w:t xml:space="preserve">CW is funded </w:t>
      </w:r>
      <w:r w:rsidR="003A46AC">
        <w:rPr>
          <w:rFonts w:asciiTheme="minorHAnsi" w:eastAsiaTheme="minorHAnsi" w:hAnsiTheme="minorHAnsi" w:cstheme="minorBidi"/>
          <w:b w:val="0"/>
          <w:szCs w:val="22"/>
        </w:rPr>
        <w:t xml:space="preserve">by </w:t>
      </w:r>
      <w:r w:rsidR="00F516F8">
        <w:rPr>
          <w:rFonts w:asciiTheme="minorHAnsi" w:eastAsiaTheme="minorHAnsi" w:hAnsiTheme="minorHAnsi" w:cstheme="minorBidi"/>
          <w:b w:val="0"/>
          <w:szCs w:val="22"/>
        </w:rPr>
        <w:t>an NIHR Clinical Lectureship in Primary Care. JVO is funded by an NIHR Academic Clinical Fellowship.</w:t>
      </w:r>
    </w:p>
    <w:p w14:paraId="7E1887B6" w14:textId="77777777" w:rsidR="00D25BEC" w:rsidRDefault="00D25BEC" w:rsidP="00D25BEC">
      <w:pPr>
        <w:pStyle w:val="Heading2"/>
      </w:pPr>
      <w:r>
        <w:t>Acknowledgements</w:t>
      </w:r>
    </w:p>
    <w:p w14:paraId="0E1B446F" w14:textId="22EAA471" w:rsidR="00D25BEC" w:rsidRPr="00EB281B" w:rsidRDefault="00D25BEC" w:rsidP="00D25BEC">
      <w:pPr>
        <w:jc w:val="both"/>
      </w:pPr>
      <w:r w:rsidRPr="00EB281B">
        <w:t>This work uses data provided by patients and collected by the NHS as part of their care and support. Read more on our website</w:t>
      </w:r>
      <w:r>
        <w:t xml:space="preserve"> </w:t>
      </w:r>
      <w:hyperlink r:id="rId10" w:anchor="information-security-and-data" w:history="1">
        <w:r>
          <w:rPr>
            <w:rStyle w:val="Hyperlink"/>
          </w:rPr>
          <w:t>https://www.nuffieldtrust.org.uk/about/corporate-policies#information-security-and-data</w:t>
        </w:r>
      </w:hyperlink>
      <w:r w:rsidRPr="00EB281B">
        <w:t xml:space="preserve">. </w:t>
      </w:r>
      <w:r>
        <w:t xml:space="preserve"> </w:t>
      </w:r>
    </w:p>
    <w:p w14:paraId="471D1EC8" w14:textId="4DA8A53F" w:rsidR="00D25BEC" w:rsidRDefault="00D25BEC" w:rsidP="00D25BEC">
      <w:pPr>
        <w:jc w:val="both"/>
      </w:pPr>
      <w:r w:rsidRPr="00EB281B">
        <w:rPr>
          <w:lang w:val="en-US"/>
        </w:rPr>
        <w:t xml:space="preserve">Hospital Episode Statistics data </w:t>
      </w:r>
      <w:r w:rsidRPr="00EB281B">
        <w:t xml:space="preserve">(year range </w:t>
      </w:r>
      <w:r>
        <w:rPr>
          <w:lang w:val="en-US"/>
        </w:rPr>
        <w:t>2006/07–2013/14</w:t>
      </w:r>
      <w:r w:rsidRPr="00EB281B">
        <w:t xml:space="preserve">) Copyright © (2018), </w:t>
      </w:r>
      <w:r w:rsidR="004E41C1">
        <w:t>NHS Digital</w:t>
      </w:r>
      <w:r w:rsidRPr="00EB281B">
        <w:t xml:space="preserve">. Re-used with the permission of </w:t>
      </w:r>
      <w:r w:rsidR="004E41C1">
        <w:t>NHS Digital</w:t>
      </w:r>
      <w:r w:rsidRPr="00EB281B">
        <w:t>. All rights reserved.</w:t>
      </w:r>
    </w:p>
    <w:p w14:paraId="09D46938" w14:textId="35DFC5F0" w:rsidR="00D25BEC" w:rsidRDefault="00D25BEC" w:rsidP="00256DB7">
      <w:pPr>
        <w:jc w:val="both"/>
      </w:pPr>
      <w:r w:rsidRPr="00EB281B">
        <w:t xml:space="preserve">Office </w:t>
      </w:r>
      <w:r w:rsidR="004E41C1">
        <w:t>for</w:t>
      </w:r>
      <w:r w:rsidRPr="00EB281B">
        <w:t xml:space="preserve"> National Statistics (ONS) data (year range </w:t>
      </w:r>
      <w:r>
        <w:rPr>
          <w:lang w:val="en-US"/>
        </w:rPr>
        <w:t>2008/09–2013/14</w:t>
      </w:r>
      <w:r w:rsidRPr="00EB281B">
        <w:t>) Copyright © (</w:t>
      </w:r>
      <w:r w:rsidRPr="00EB281B">
        <w:rPr>
          <w:lang w:val="en-US"/>
        </w:rPr>
        <w:t>2018</w:t>
      </w:r>
      <w:r>
        <w:t>), Office for</w:t>
      </w:r>
      <w:r w:rsidRPr="00EB281B">
        <w:t xml:space="preserve"> National Statistics. Re-used with</w:t>
      </w:r>
      <w:r>
        <w:t xml:space="preserve"> the permission of the Office for</w:t>
      </w:r>
      <w:r w:rsidRPr="00EB281B">
        <w:t xml:space="preserve"> National Statistics. All rights reserved. Declaration: Those who carried out the original collection and analysis of the data bear no responsibility for their further analysis or interpretation.</w:t>
      </w:r>
    </w:p>
    <w:p w14:paraId="52B80507" w14:textId="41D1EF22" w:rsidR="003828AD" w:rsidRPr="003828AD" w:rsidRDefault="003828AD" w:rsidP="003828AD">
      <w:pPr>
        <w:rPr>
          <w:rFonts w:eastAsiaTheme="majorEastAsia" w:cstheme="majorBidi"/>
          <w:b/>
          <w:bCs/>
          <w:sz w:val="28"/>
          <w:szCs w:val="28"/>
        </w:rPr>
        <w:sectPr w:rsidR="003828AD" w:rsidRPr="003828AD">
          <w:footerReference w:type="default" r:id="rId11"/>
          <w:pgSz w:w="11906" w:h="16838"/>
          <w:pgMar w:top="1440" w:right="1440" w:bottom="1440" w:left="1440" w:header="708" w:footer="708" w:gutter="0"/>
          <w:cols w:space="708"/>
          <w:docGrid w:linePitch="360"/>
        </w:sectPr>
      </w:pPr>
    </w:p>
    <w:p w14:paraId="6C0E9B32" w14:textId="77777777" w:rsidR="003828AD" w:rsidRPr="00256B01" w:rsidRDefault="003828AD" w:rsidP="003828AD">
      <w:pPr>
        <w:pStyle w:val="Heading1"/>
        <w:rPr>
          <w:lang w:val="de-DE"/>
        </w:rPr>
      </w:pPr>
      <w:r w:rsidRPr="00256B01">
        <w:rPr>
          <w:lang w:val="de-DE"/>
        </w:rPr>
        <w:lastRenderedPageBreak/>
        <w:t>References</w:t>
      </w:r>
    </w:p>
    <w:p w14:paraId="27C8A5D5" w14:textId="0FEC4F04" w:rsidR="007A66D5" w:rsidRPr="0076398C" w:rsidRDefault="007A66D5" w:rsidP="0076398C">
      <w:pPr>
        <w:pStyle w:val="Bibliography"/>
        <w:spacing w:after="0"/>
        <w:rPr>
          <w:rFonts w:ascii="Calibri" w:hAnsi="Calibri" w:cs="Calibri"/>
        </w:rPr>
      </w:pPr>
      <w:r w:rsidRPr="00256B01">
        <w:rPr>
          <w:rFonts w:ascii="Calibri" w:hAnsi="Calibri" w:cs="Calibri"/>
          <w:lang w:val="de-DE"/>
        </w:rPr>
        <w:t xml:space="preserve">1. </w:t>
      </w:r>
      <w:r w:rsidRPr="00256B01">
        <w:rPr>
          <w:rFonts w:ascii="Calibri" w:hAnsi="Calibri" w:cs="Calibri"/>
          <w:lang w:val="de-DE"/>
        </w:rPr>
        <w:tab/>
      </w:r>
      <w:proofErr w:type="spellStart"/>
      <w:r w:rsidRPr="00256B01">
        <w:rPr>
          <w:rFonts w:ascii="Calibri" w:hAnsi="Calibri" w:cs="Calibri"/>
          <w:lang w:val="de-DE"/>
        </w:rPr>
        <w:t>Looman</w:t>
      </w:r>
      <w:proofErr w:type="spellEnd"/>
      <w:r w:rsidRPr="00256B01">
        <w:rPr>
          <w:rFonts w:ascii="Calibri" w:hAnsi="Calibri" w:cs="Calibri"/>
          <w:lang w:val="de-DE"/>
        </w:rPr>
        <w:t xml:space="preserve"> WM, </w:t>
      </w:r>
      <w:proofErr w:type="spellStart"/>
      <w:r w:rsidRPr="00256B01">
        <w:rPr>
          <w:rFonts w:ascii="Calibri" w:hAnsi="Calibri" w:cs="Calibri"/>
          <w:lang w:val="de-DE"/>
        </w:rPr>
        <w:t>Fabbricotti</w:t>
      </w:r>
      <w:proofErr w:type="spellEnd"/>
      <w:r w:rsidRPr="00256B01">
        <w:rPr>
          <w:rFonts w:ascii="Calibri" w:hAnsi="Calibri" w:cs="Calibri"/>
          <w:lang w:val="de-DE"/>
        </w:rPr>
        <w:t xml:space="preserve"> IN, </w:t>
      </w:r>
      <w:proofErr w:type="spellStart"/>
      <w:r w:rsidRPr="00256B01">
        <w:rPr>
          <w:rFonts w:ascii="Calibri" w:hAnsi="Calibri" w:cs="Calibri"/>
          <w:lang w:val="de-DE"/>
        </w:rPr>
        <w:t>Blom</w:t>
      </w:r>
      <w:proofErr w:type="spellEnd"/>
      <w:r w:rsidRPr="00256B01">
        <w:rPr>
          <w:rFonts w:ascii="Calibri" w:hAnsi="Calibri" w:cs="Calibri"/>
          <w:lang w:val="de-DE"/>
        </w:rPr>
        <w:t xml:space="preserve"> JW, Jansen APD, </w:t>
      </w:r>
      <w:proofErr w:type="spellStart"/>
      <w:r w:rsidRPr="00256B01">
        <w:rPr>
          <w:rFonts w:ascii="Calibri" w:hAnsi="Calibri" w:cs="Calibri"/>
          <w:lang w:val="de-DE"/>
        </w:rPr>
        <w:t>Lutomski</w:t>
      </w:r>
      <w:proofErr w:type="spellEnd"/>
      <w:r w:rsidRPr="00256B01">
        <w:rPr>
          <w:rFonts w:ascii="Calibri" w:hAnsi="Calibri" w:cs="Calibri"/>
          <w:lang w:val="de-DE"/>
        </w:rPr>
        <w:t xml:space="preserve"> JE, Metzelthin SF, et al. </w:t>
      </w:r>
      <w:r w:rsidRPr="0076398C">
        <w:rPr>
          <w:rFonts w:ascii="Calibri" w:hAnsi="Calibri" w:cs="Calibri"/>
        </w:rPr>
        <w:t>The frail older person does not exist: development of frailty profiles with latent class analysis. BMC Geriatr. 2018 04</w:t>
      </w:r>
      <w:proofErr w:type="gramStart"/>
      <w:r w:rsidRPr="0076398C">
        <w:rPr>
          <w:rFonts w:ascii="Calibri" w:hAnsi="Calibri" w:cs="Calibri"/>
        </w:rPr>
        <w:t>;18</w:t>
      </w:r>
      <w:proofErr w:type="gramEnd"/>
      <w:r w:rsidRPr="0076398C">
        <w:rPr>
          <w:rFonts w:ascii="Calibri" w:hAnsi="Calibri" w:cs="Calibri"/>
        </w:rPr>
        <w:t xml:space="preserve">(1):84. </w:t>
      </w:r>
    </w:p>
    <w:p w14:paraId="578EAFD9"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2. </w:t>
      </w:r>
      <w:r w:rsidRPr="0076398C">
        <w:rPr>
          <w:rFonts w:ascii="Calibri" w:hAnsi="Calibri" w:cs="Calibri"/>
        </w:rPr>
        <w:tab/>
        <w:t>Clegg A, Young J, Iliffe S, Rikkert MO, Rockwood K. Frailty in elderly people. Lancet Lond Engl. 2013 Mar 2</w:t>
      </w:r>
      <w:proofErr w:type="gramStart"/>
      <w:r w:rsidRPr="0076398C">
        <w:rPr>
          <w:rFonts w:ascii="Calibri" w:hAnsi="Calibri" w:cs="Calibri"/>
        </w:rPr>
        <w:t>;381</w:t>
      </w:r>
      <w:proofErr w:type="gramEnd"/>
      <w:r w:rsidRPr="0076398C">
        <w:rPr>
          <w:rFonts w:ascii="Calibri" w:hAnsi="Calibri" w:cs="Calibri"/>
        </w:rPr>
        <w:t xml:space="preserve">(9868):752–62. </w:t>
      </w:r>
    </w:p>
    <w:p w14:paraId="17FCFF03"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3. </w:t>
      </w:r>
      <w:r w:rsidRPr="0076398C">
        <w:rPr>
          <w:rFonts w:ascii="Calibri" w:hAnsi="Calibri" w:cs="Calibri"/>
        </w:rPr>
        <w:tab/>
        <w:t>Clegg A, Bates C, Young J, Ryan R, Nichols L, Ann Teale E, et al. Development and validation of an electronic frailty index using routine primary care electronic health record data. Age Ageing. 2016</w:t>
      </w:r>
      <w:proofErr w:type="gramStart"/>
      <w:r w:rsidRPr="0076398C">
        <w:rPr>
          <w:rFonts w:ascii="Calibri" w:hAnsi="Calibri" w:cs="Calibri"/>
        </w:rPr>
        <w:t>;45</w:t>
      </w:r>
      <w:proofErr w:type="gramEnd"/>
      <w:r w:rsidRPr="0076398C">
        <w:rPr>
          <w:rFonts w:ascii="Calibri" w:hAnsi="Calibri" w:cs="Calibri"/>
        </w:rPr>
        <w:t xml:space="preserve">(3):353–60. </w:t>
      </w:r>
    </w:p>
    <w:p w14:paraId="5FCFCE22"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4. </w:t>
      </w:r>
      <w:r w:rsidRPr="0076398C">
        <w:rPr>
          <w:rFonts w:ascii="Calibri" w:hAnsi="Calibri" w:cs="Calibri"/>
        </w:rPr>
        <w:tab/>
        <w:t>Lansbury LN, Roberts HC, Clift E, Herklots A, Robinson N, Sayer AA. Use of the electronic Frailty Index to identify vulnerable patients: a pilot study in primary care. Br J Gen Pract J R Coll Gen Pract. 2017 Nov</w:t>
      </w:r>
      <w:proofErr w:type="gramStart"/>
      <w:r w:rsidRPr="0076398C">
        <w:rPr>
          <w:rFonts w:ascii="Calibri" w:hAnsi="Calibri" w:cs="Calibri"/>
        </w:rPr>
        <w:t>;67</w:t>
      </w:r>
      <w:proofErr w:type="gramEnd"/>
      <w:r w:rsidRPr="0076398C">
        <w:rPr>
          <w:rFonts w:ascii="Calibri" w:hAnsi="Calibri" w:cs="Calibri"/>
        </w:rPr>
        <w:t xml:space="preserve">(664):e751–6. </w:t>
      </w:r>
    </w:p>
    <w:p w14:paraId="4223E975"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5. </w:t>
      </w:r>
      <w:r w:rsidRPr="0076398C">
        <w:rPr>
          <w:rFonts w:ascii="Calibri" w:hAnsi="Calibri" w:cs="Calibri"/>
        </w:rPr>
        <w:tab/>
        <w:t>Roland M, Abel G. Reducing emergency admissions: are we on the right track? BMJ. 2012 Sep 18</w:t>
      </w:r>
      <w:proofErr w:type="gramStart"/>
      <w:r w:rsidRPr="0076398C">
        <w:rPr>
          <w:rFonts w:ascii="Calibri" w:hAnsi="Calibri" w:cs="Calibri"/>
        </w:rPr>
        <w:t>;345:e6017</w:t>
      </w:r>
      <w:proofErr w:type="gramEnd"/>
      <w:r w:rsidRPr="0076398C">
        <w:rPr>
          <w:rFonts w:ascii="Calibri" w:hAnsi="Calibri" w:cs="Calibri"/>
        </w:rPr>
        <w:t xml:space="preserve">. </w:t>
      </w:r>
    </w:p>
    <w:p w14:paraId="76C0180D"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6. </w:t>
      </w:r>
      <w:r w:rsidRPr="0076398C">
        <w:rPr>
          <w:rFonts w:ascii="Calibri" w:hAnsi="Calibri" w:cs="Calibri"/>
        </w:rPr>
        <w:tab/>
        <w:t>Percival F, Day N, Lambourne A, Ball D, Ward D. An Evaluation of Concultant Input into Acute Medical Admissions management in England, Wales and Northern Ireland [Internet]. Royal College of Physicians; 2010 [cited 2019 Feb 19]. Available from: https://i.telegraph.co.uk/multimedia/archive/01775/Royal_College_of_P_1775508a.pdf</w:t>
      </w:r>
    </w:p>
    <w:p w14:paraId="42678FCD"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7. </w:t>
      </w:r>
      <w:r w:rsidRPr="0076398C">
        <w:rPr>
          <w:rFonts w:ascii="Calibri" w:hAnsi="Calibri" w:cs="Calibri"/>
        </w:rPr>
        <w:tab/>
        <w:t>Scott I, Vaughan L, Bell D. Effectiveness of acute medical units in hospitals: a systematic review. Int J Qual Health Care J Int Soc Qual Health Care. 2009 Dec</w:t>
      </w:r>
      <w:proofErr w:type="gramStart"/>
      <w:r w:rsidRPr="0076398C">
        <w:rPr>
          <w:rFonts w:ascii="Calibri" w:hAnsi="Calibri" w:cs="Calibri"/>
        </w:rPr>
        <w:t>;21</w:t>
      </w:r>
      <w:proofErr w:type="gramEnd"/>
      <w:r w:rsidRPr="0076398C">
        <w:rPr>
          <w:rFonts w:ascii="Calibri" w:hAnsi="Calibri" w:cs="Calibri"/>
        </w:rPr>
        <w:t xml:space="preserve">(6):397–407. </w:t>
      </w:r>
    </w:p>
    <w:p w14:paraId="1A0486AA"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8. </w:t>
      </w:r>
      <w:r w:rsidRPr="0076398C">
        <w:rPr>
          <w:rFonts w:ascii="Calibri" w:hAnsi="Calibri" w:cs="Calibri"/>
        </w:rPr>
        <w:tab/>
        <w:t>Krumholz HM. Post-hospital syndrome--an acquired, transient condition of generalized risk. N Engl J Med. 2013 Jan 10</w:t>
      </w:r>
      <w:proofErr w:type="gramStart"/>
      <w:r w:rsidRPr="0076398C">
        <w:rPr>
          <w:rFonts w:ascii="Calibri" w:hAnsi="Calibri" w:cs="Calibri"/>
        </w:rPr>
        <w:t>;368</w:t>
      </w:r>
      <w:proofErr w:type="gramEnd"/>
      <w:r w:rsidRPr="0076398C">
        <w:rPr>
          <w:rFonts w:ascii="Calibri" w:hAnsi="Calibri" w:cs="Calibri"/>
        </w:rPr>
        <w:t xml:space="preserve">(2):100–2. </w:t>
      </w:r>
    </w:p>
    <w:p w14:paraId="3AAEDD68"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9. </w:t>
      </w:r>
      <w:r w:rsidRPr="0076398C">
        <w:rPr>
          <w:rFonts w:ascii="Calibri" w:hAnsi="Calibri" w:cs="Calibri"/>
        </w:rPr>
        <w:tab/>
        <w:t>Edmans J, Bradshaw L, Gladman JRF, Franklin M, Berdunov V, Elliott R, et al. The Identification of Seniors at Risk (ISAR) score to predict clinical outcomes and health service costs in older people discharged from UK acute medical units. Age Ageing. 2013 Nov</w:t>
      </w:r>
      <w:proofErr w:type="gramStart"/>
      <w:r w:rsidRPr="0076398C">
        <w:rPr>
          <w:rFonts w:ascii="Calibri" w:hAnsi="Calibri" w:cs="Calibri"/>
        </w:rPr>
        <w:t>;42</w:t>
      </w:r>
      <w:proofErr w:type="gramEnd"/>
      <w:r w:rsidRPr="0076398C">
        <w:rPr>
          <w:rFonts w:ascii="Calibri" w:hAnsi="Calibri" w:cs="Calibri"/>
        </w:rPr>
        <w:t xml:space="preserve">(6):747–53. </w:t>
      </w:r>
    </w:p>
    <w:p w14:paraId="6170BAB7"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10. </w:t>
      </w:r>
      <w:r w:rsidRPr="0076398C">
        <w:rPr>
          <w:rFonts w:ascii="Calibri" w:hAnsi="Calibri" w:cs="Calibri"/>
        </w:rPr>
        <w:tab/>
        <w:t>Wou F, Gladman JRF, Bradshaw L, Franklin M, Edmans J, Conroy SP. The predictive properties of frailty-rating scales in the acute medical unit. Age Ageing. 2013 Nov</w:t>
      </w:r>
      <w:proofErr w:type="gramStart"/>
      <w:r w:rsidRPr="0076398C">
        <w:rPr>
          <w:rFonts w:ascii="Calibri" w:hAnsi="Calibri" w:cs="Calibri"/>
        </w:rPr>
        <w:t>;42</w:t>
      </w:r>
      <w:proofErr w:type="gramEnd"/>
      <w:r w:rsidRPr="0076398C">
        <w:rPr>
          <w:rFonts w:ascii="Calibri" w:hAnsi="Calibri" w:cs="Calibri"/>
        </w:rPr>
        <w:t xml:space="preserve">(6):776–81. </w:t>
      </w:r>
    </w:p>
    <w:p w14:paraId="3CB7F9D0"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11. </w:t>
      </w:r>
      <w:r w:rsidRPr="0076398C">
        <w:rPr>
          <w:rFonts w:ascii="Calibri" w:hAnsi="Calibri" w:cs="Calibri"/>
        </w:rPr>
        <w:tab/>
        <w:t>Gladman J, Harwood R, Conroy S, Logan P, Elliott R, Jones R, et al. Medical Crises in Older People: cohort study of older people attending acute medical units, developmental work and randomised controlled trial of a specialist geriatric medical intervention for high-risk older people; cohort study of older people with mental health problems admitted to hospital, developmental work and randomised controlled trial of a specialist medical and mental health unit for general hospital patients with delirium and dementia; and cohort study of residents of care homes and interview study of health-care provision to residents of care homes [Internet]. Southampton (UK): NIHR Journals Library; 2015 [cited 2019 Feb 19]. (Programme Grants for Applied Research). Available from: http://www.ncbi.nlm.nih.gov/books/NBK293738/</w:t>
      </w:r>
    </w:p>
    <w:p w14:paraId="78F779A6"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12. </w:t>
      </w:r>
      <w:r w:rsidRPr="0076398C">
        <w:rPr>
          <w:rFonts w:ascii="Calibri" w:hAnsi="Calibri" w:cs="Calibri"/>
        </w:rPr>
        <w:tab/>
        <w:t>Roberts HC, Pilgrim AL, Elia M, Jackson AA, Cooper C, Sayer AA, et al. Southampton Mealtime Assistance Study: design and methods. BMC Geriatr. 2013 Jan 7</w:t>
      </w:r>
      <w:proofErr w:type="gramStart"/>
      <w:r w:rsidRPr="0076398C">
        <w:rPr>
          <w:rFonts w:ascii="Calibri" w:hAnsi="Calibri" w:cs="Calibri"/>
        </w:rPr>
        <w:t>;13:5</w:t>
      </w:r>
      <w:proofErr w:type="gramEnd"/>
      <w:r w:rsidRPr="0076398C">
        <w:rPr>
          <w:rFonts w:ascii="Calibri" w:hAnsi="Calibri" w:cs="Calibri"/>
        </w:rPr>
        <w:t xml:space="preserve">. </w:t>
      </w:r>
    </w:p>
    <w:p w14:paraId="4902D462"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13. </w:t>
      </w:r>
      <w:r w:rsidRPr="0076398C">
        <w:rPr>
          <w:rFonts w:ascii="Calibri" w:hAnsi="Calibri" w:cs="Calibri"/>
        </w:rPr>
        <w:tab/>
      </w:r>
      <w:proofErr w:type="spellStart"/>
      <w:r w:rsidRPr="00256B01">
        <w:rPr>
          <w:rFonts w:ascii="Calibri" w:hAnsi="Calibri" w:cs="Calibri"/>
          <w:lang w:val="fr-FR"/>
        </w:rPr>
        <w:t>Aguayo</w:t>
      </w:r>
      <w:proofErr w:type="spellEnd"/>
      <w:r w:rsidRPr="00256B01">
        <w:rPr>
          <w:rFonts w:ascii="Calibri" w:hAnsi="Calibri" w:cs="Calibri"/>
          <w:lang w:val="fr-FR"/>
        </w:rPr>
        <w:t xml:space="preserve"> GA, </w:t>
      </w:r>
      <w:proofErr w:type="spellStart"/>
      <w:r w:rsidRPr="00256B01">
        <w:rPr>
          <w:rFonts w:ascii="Calibri" w:hAnsi="Calibri" w:cs="Calibri"/>
          <w:lang w:val="fr-FR"/>
        </w:rPr>
        <w:t>Donneau</w:t>
      </w:r>
      <w:proofErr w:type="spellEnd"/>
      <w:r w:rsidRPr="00256B01">
        <w:rPr>
          <w:rFonts w:ascii="Calibri" w:hAnsi="Calibri" w:cs="Calibri"/>
          <w:lang w:val="fr-FR"/>
        </w:rPr>
        <w:t xml:space="preserve"> A-F, Vaillant MT, </w:t>
      </w:r>
      <w:proofErr w:type="spellStart"/>
      <w:r w:rsidRPr="00256B01">
        <w:rPr>
          <w:rFonts w:ascii="Calibri" w:hAnsi="Calibri" w:cs="Calibri"/>
          <w:lang w:val="fr-FR"/>
        </w:rPr>
        <w:t>Schritz</w:t>
      </w:r>
      <w:proofErr w:type="spellEnd"/>
      <w:r w:rsidRPr="00256B01">
        <w:rPr>
          <w:rFonts w:ascii="Calibri" w:hAnsi="Calibri" w:cs="Calibri"/>
          <w:lang w:val="fr-FR"/>
        </w:rPr>
        <w:t xml:space="preserve"> A, Franco OH, </w:t>
      </w:r>
      <w:proofErr w:type="spellStart"/>
      <w:r w:rsidRPr="00256B01">
        <w:rPr>
          <w:rFonts w:ascii="Calibri" w:hAnsi="Calibri" w:cs="Calibri"/>
          <w:lang w:val="fr-FR"/>
        </w:rPr>
        <w:t>Stranges</w:t>
      </w:r>
      <w:proofErr w:type="spellEnd"/>
      <w:r w:rsidRPr="00256B01">
        <w:rPr>
          <w:rFonts w:ascii="Calibri" w:hAnsi="Calibri" w:cs="Calibri"/>
          <w:lang w:val="fr-FR"/>
        </w:rPr>
        <w:t xml:space="preserve"> S, et al. </w:t>
      </w:r>
      <w:r w:rsidRPr="0076398C">
        <w:rPr>
          <w:rFonts w:ascii="Calibri" w:hAnsi="Calibri" w:cs="Calibri"/>
        </w:rPr>
        <w:t xml:space="preserve">Agreement </w:t>
      </w:r>
      <w:proofErr w:type="gramStart"/>
      <w:r w:rsidRPr="0076398C">
        <w:rPr>
          <w:rFonts w:ascii="Calibri" w:hAnsi="Calibri" w:cs="Calibri"/>
        </w:rPr>
        <w:t>Between</w:t>
      </w:r>
      <w:proofErr w:type="gramEnd"/>
      <w:r w:rsidRPr="0076398C">
        <w:rPr>
          <w:rFonts w:ascii="Calibri" w:hAnsi="Calibri" w:cs="Calibri"/>
        </w:rPr>
        <w:t xml:space="preserve"> 35 Published Frailty Scores in the General Population. Am J Epidemiol. 2017 Aug 15</w:t>
      </w:r>
      <w:proofErr w:type="gramStart"/>
      <w:r w:rsidRPr="0076398C">
        <w:rPr>
          <w:rFonts w:ascii="Calibri" w:hAnsi="Calibri" w:cs="Calibri"/>
        </w:rPr>
        <w:t>;186</w:t>
      </w:r>
      <w:proofErr w:type="gramEnd"/>
      <w:r w:rsidRPr="0076398C">
        <w:rPr>
          <w:rFonts w:ascii="Calibri" w:hAnsi="Calibri" w:cs="Calibri"/>
        </w:rPr>
        <w:t xml:space="preserve">(4):420–34. </w:t>
      </w:r>
    </w:p>
    <w:p w14:paraId="0C9A8FD7"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14. </w:t>
      </w:r>
      <w:r w:rsidRPr="0076398C">
        <w:rPr>
          <w:rFonts w:ascii="Calibri" w:hAnsi="Calibri" w:cs="Calibri"/>
        </w:rPr>
        <w:tab/>
      </w:r>
      <w:r w:rsidRPr="00256B01">
        <w:rPr>
          <w:rFonts w:ascii="Calibri" w:hAnsi="Calibri" w:cs="Calibri"/>
          <w:lang w:val="de-DE"/>
        </w:rPr>
        <w:t xml:space="preserve">Fried LP, Tangen CM, </w:t>
      </w:r>
      <w:proofErr w:type="spellStart"/>
      <w:r w:rsidRPr="00256B01">
        <w:rPr>
          <w:rFonts w:ascii="Calibri" w:hAnsi="Calibri" w:cs="Calibri"/>
          <w:lang w:val="de-DE"/>
        </w:rPr>
        <w:t>Walston</w:t>
      </w:r>
      <w:proofErr w:type="spellEnd"/>
      <w:r w:rsidRPr="00256B01">
        <w:rPr>
          <w:rFonts w:ascii="Calibri" w:hAnsi="Calibri" w:cs="Calibri"/>
          <w:lang w:val="de-DE"/>
        </w:rPr>
        <w:t xml:space="preserve"> J, Newman AB, Hirsch C, Gottdiener J, et al. </w:t>
      </w:r>
      <w:r w:rsidRPr="0076398C">
        <w:rPr>
          <w:rFonts w:ascii="Calibri" w:hAnsi="Calibri" w:cs="Calibri"/>
        </w:rPr>
        <w:t>Frailty in older adults: evidence for a phenotype. J Gerontol A Biol Sci Med Sci. 2001 Mar</w:t>
      </w:r>
      <w:proofErr w:type="gramStart"/>
      <w:r w:rsidRPr="0076398C">
        <w:rPr>
          <w:rFonts w:ascii="Calibri" w:hAnsi="Calibri" w:cs="Calibri"/>
        </w:rPr>
        <w:t>;56</w:t>
      </w:r>
      <w:proofErr w:type="gramEnd"/>
      <w:r w:rsidRPr="0076398C">
        <w:rPr>
          <w:rFonts w:ascii="Calibri" w:hAnsi="Calibri" w:cs="Calibri"/>
        </w:rPr>
        <w:t xml:space="preserve">(3):M146-156. </w:t>
      </w:r>
    </w:p>
    <w:p w14:paraId="208CF596"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15. </w:t>
      </w:r>
      <w:r w:rsidRPr="0076398C">
        <w:rPr>
          <w:rFonts w:ascii="Calibri" w:hAnsi="Calibri" w:cs="Calibri"/>
        </w:rPr>
        <w:tab/>
        <w:t>Rothman MD, Leo-Summers L, Gill TM. Prognostic significance of potential frailty criteria. J Am Geriatr Soc. 2008 Dec</w:t>
      </w:r>
      <w:proofErr w:type="gramStart"/>
      <w:r w:rsidRPr="0076398C">
        <w:rPr>
          <w:rFonts w:ascii="Calibri" w:hAnsi="Calibri" w:cs="Calibri"/>
        </w:rPr>
        <w:t>;56</w:t>
      </w:r>
      <w:proofErr w:type="gramEnd"/>
      <w:r w:rsidRPr="0076398C">
        <w:rPr>
          <w:rFonts w:ascii="Calibri" w:hAnsi="Calibri" w:cs="Calibri"/>
        </w:rPr>
        <w:t xml:space="preserve">(12):2211–6. </w:t>
      </w:r>
    </w:p>
    <w:p w14:paraId="5AB64419"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16. </w:t>
      </w:r>
      <w:r w:rsidRPr="0076398C">
        <w:rPr>
          <w:rFonts w:ascii="Calibri" w:hAnsi="Calibri" w:cs="Calibri"/>
        </w:rPr>
        <w:tab/>
        <w:t>Rockwood K, Song X, MacKnight C, Bergman H, Hogan DB, McDowell I, et al. A global clinical measure of fitness and frailty in elderly people. CMAJ Can Med Assoc J J Assoc Medicale Can. 2005 Aug 30</w:t>
      </w:r>
      <w:proofErr w:type="gramStart"/>
      <w:r w:rsidRPr="0076398C">
        <w:rPr>
          <w:rFonts w:ascii="Calibri" w:hAnsi="Calibri" w:cs="Calibri"/>
        </w:rPr>
        <w:t>;173</w:t>
      </w:r>
      <w:proofErr w:type="gramEnd"/>
      <w:r w:rsidRPr="0076398C">
        <w:rPr>
          <w:rFonts w:ascii="Calibri" w:hAnsi="Calibri" w:cs="Calibri"/>
        </w:rPr>
        <w:t xml:space="preserve">(5):489–95. </w:t>
      </w:r>
    </w:p>
    <w:p w14:paraId="1D5F4D4C" w14:textId="77777777" w:rsidR="007A66D5" w:rsidRPr="0076398C" w:rsidRDefault="007A66D5" w:rsidP="0076398C">
      <w:pPr>
        <w:pStyle w:val="Bibliography"/>
        <w:spacing w:after="0"/>
        <w:rPr>
          <w:rFonts w:ascii="Calibri" w:hAnsi="Calibri" w:cs="Calibri"/>
        </w:rPr>
      </w:pPr>
      <w:r w:rsidRPr="0076398C">
        <w:rPr>
          <w:rFonts w:ascii="Calibri" w:hAnsi="Calibri" w:cs="Calibri"/>
        </w:rPr>
        <w:lastRenderedPageBreak/>
        <w:t xml:space="preserve">17. </w:t>
      </w:r>
      <w:r w:rsidRPr="0076398C">
        <w:rPr>
          <w:rFonts w:ascii="Calibri" w:hAnsi="Calibri" w:cs="Calibri"/>
        </w:rPr>
        <w:tab/>
        <w:t>Gilbert T, Neuburger J, Kraindler J, Keeble E, Smith P, Ariti C, et al. Development and validation of a Hospital Frailty Risk Score focusing on older people in acute care settings using electronic hospital records: an observational study. Lancet Lond Engl. 2018 05</w:t>
      </w:r>
      <w:proofErr w:type="gramStart"/>
      <w:r w:rsidRPr="0076398C">
        <w:rPr>
          <w:rFonts w:ascii="Calibri" w:hAnsi="Calibri" w:cs="Calibri"/>
        </w:rPr>
        <w:t>;391</w:t>
      </w:r>
      <w:proofErr w:type="gramEnd"/>
      <w:r w:rsidRPr="0076398C">
        <w:rPr>
          <w:rFonts w:ascii="Calibri" w:hAnsi="Calibri" w:cs="Calibri"/>
        </w:rPr>
        <w:t xml:space="preserve">(10132):1775–82. </w:t>
      </w:r>
    </w:p>
    <w:p w14:paraId="6C252AC2"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18. </w:t>
      </w:r>
      <w:r w:rsidRPr="0076398C">
        <w:rPr>
          <w:rFonts w:ascii="Calibri" w:hAnsi="Calibri" w:cs="Calibri"/>
        </w:rPr>
        <w:tab/>
        <w:t>Wade DT, Collin C. The Barthel ADL Index: a standard measure of physical disability? Int Disabil Stud. 1988</w:t>
      </w:r>
      <w:proofErr w:type="gramStart"/>
      <w:r w:rsidRPr="0076398C">
        <w:rPr>
          <w:rFonts w:ascii="Calibri" w:hAnsi="Calibri" w:cs="Calibri"/>
        </w:rPr>
        <w:t>;10</w:t>
      </w:r>
      <w:proofErr w:type="gramEnd"/>
      <w:r w:rsidRPr="0076398C">
        <w:rPr>
          <w:rFonts w:ascii="Calibri" w:hAnsi="Calibri" w:cs="Calibri"/>
        </w:rPr>
        <w:t xml:space="preserve">(2):64–7. </w:t>
      </w:r>
    </w:p>
    <w:p w14:paraId="68E63F9F"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19. </w:t>
      </w:r>
      <w:r w:rsidRPr="0076398C">
        <w:rPr>
          <w:rFonts w:ascii="Calibri" w:hAnsi="Calibri" w:cs="Calibri"/>
        </w:rPr>
        <w:tab/>
        <w:t>Quan H, Li B, Couris CM, Fushimi K, Graham P, Hider P, et al. Updating and validating the Charlson comorbidity index and score for risk adjustment in hospital discharge abstracts using data from 6 countries. Am J Epidemiol. 2011 Mar 15</w:t>
      </w:r>
      <w:proofErr w:type="gramStart"/>
      <w:r w:rsidRPr="0076398C">
        <w:rPr>
          <w:rFonts w:ascii="Calibri" w:hAnsi="Calibri" w:cs="Calibri"/>
        </w:rPr>
        <w:t>;173</w:t>
      </w:r>
      <w:proofErr w:type="gramEnd"/>
      <w:r w:rsidRPr="0076398C">
        <w:rPr>
          <w:rFonts w:ascii="Calibri" w:hAnsi="Calibri" w:cs="Calibri"/>
        </w:rPr>
        <w:t xml:space="preserve">(6):676–82. </w:t>
      </w:r>
    </w:p>
    <w:p w14:paraId="6423AD5F"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20. </w:t>
      </w:r>
      <w:r w:rsidRPr="0076398C">
        <w:rPr>
          <w:rFonts w:ascii="Calibri" w:hAnsi="Calibri" w:cs="Calibri"/>
        </w:rPr>
        <w:tab/>
        <w:t>Avila-Funes JA, Helmer C, Amieva H, Barberger-Gateau P, Le Goff M, Ritchie K, et al. Frailty among community-dwelling elderly people in France: the three-city study. J Gerontol A Biol Sci Med Sci. 2008 Oct</w:t>
      </w:r>
      <w:proofErr w:type="gramStart"/>
      <w:r w:rsidRPr="0076398C">
        <w:rPr>
          <w:rFonts w:ascii="Calibri" w:hAnsi="Calibri" w:cs="Calibri"/>
        </w:rPr>
        <w:t>;63</w:t>
      </w:r>
      <w:proofErr w:type="gramEnd"/>
      <w:r w:rsidRPr="0076398C">
        <w:rPr>
          <w:rFonts w:ascii="Calibri" w:hAnsi="Calibri" w:cs="Calibri"/>
        </w:rPr>
        <w:t xml:space="preserve">(10):1089–96. </w:t>
      </w:r>
    </w:p>
    <w:p w14:paraId="47BF03F5"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21. </w:t>
      </w:r>
      <w:r w:rsidRPr="0076398C">
        <w:rPr>
          <w:rFonts w:ascii="Calibri" w:hAnsi="Calibri" w:cs="Calibri"/>
        </w:rPr>
        <w:tab/>
        <w:t>Jung H-W, Kim S-W, Ahn S, Lim J-Y, Han J-W, Kim T-H, et al. Prevalence and outcomes of frailty in Korean elderly population: comparisons of a multidimensional frailty index with two phenotype models. PloS One. 2014</w:t>
      </w:r>
      <w:proofErr w:type="gramStart"/>
      <w:r w:rsidRPr="0076398C">
        <w:rPr>
          <w:rFonts w:ascii="Calibri" w:hAnsi="Calibri" w:cs="Calibri"/>
        </w:rPr>
        <w:t>;9</w:t>
      </w:r>
      <w:proofErr w:type="gramEnd"/>
      <w:r w:rsidRPr="0076398C">
        <w:rPr>
          <w:rFonts w:ascii="Calibri" w:hAnsi="Calibri" w:cs="Calibri"/>
        </w:rPr>
        <w:t xml:space="preserve">(2):e87958. </w:t>
      </w:r>
    </w:p>
    <w:p w14:paraId="06079DCE"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22. </w:t>
      </w:r>
      <w:r w:rsidRPr="0076398C">
        <w:rPr>
          <w:rFonts w:ascii="Calibri" w:hAnsi="Calibri" w:cs="Calibri"/>
        </w:rPr>
        <w:tab/>
        <w:t>Coelho T, Paúl C, Gobbens RJJ, Fernandes L. Multidimensional Frailty and Pain in Community Dwelling Elderly. Pain Med Malden Mass. 2017 01</w:t>
      </w:r>
      <w:proofErr w:type="gramStart"/>
      <w:r w:rsidRPr="0076398C">
        <w:rPr>
          <w:rFonts w:ascii="Calibri" w:hAnsi="Calibri" w:cs="Calibri"/>
        </w:rPr>
        <w:t>;18</w:t>
      </w:r>
      <w:proofErr w:type="gramEnd"/>
      <w:r w:rsidRPr="0076398C">
        <w:rPr>
          <w:rFonts w:ascii="Calibri" w:hAnsi="Calibri" w:cs="Calibri"/>
        </w:rPr>
        <w:t xml:space="preserve">(4):693–701. </w:t>
      </w:r>
    </w:p>
    <w:p w14:paraId="6D3DAC78"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23. </w:t>
      </w:r>
      <w:r w:rsidRPr="0076398C">
        <w:rPr>
          <w:rFonts w:ascii="Calibri" w:hAnsi="Calibri" w:cs="Calibri"/>
        </w:rPr>
        <w:tab/>
        <w:t>Hubbard RE, Peel NM, Samanta M, Gray LC, Mitnitski A, Rockwood K. Frailty status at admission to hospital predicts multiple adverse outcomes. Age Ageing. 2017 01</w:t>
      </w:r>
      <w:proofErr w:type="gramStart"/>
      <w:r w:rsidRPr="0076398C">
        <w:rPr>
          <w:rFonts w:ascii="Calibri" w:hAnsi="Calibri" w:cs="Calibri"/>
        </w:rPr>
        <w:t>;46</w:t>
      </w:r>
      <w:proofErr w:type="gramEnd"/>
      <w:r w:rsidRPr="0076398C">
        <w:rPr>
          <w:rFonts w:ascii="Calibri" w:hAnsi="Calibri" w:cs="Calibri"/>
        </w:rPr>
        <w:t xml:space="preserve">(5):801–6. </w:t>
      </w:r>
    </w:p>
    <w:p w14:paraId="720E601E"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24. </w:t>
      </w:r>
      <w:r w:rsidRPr="0076398C">
        <w:rPr>
          <w:rFonts w:ascii="Calibri" w:hAnsi="Calibri" w:cs="Calibri"/>
        </w:rPr>
        <w:tab/>
        <w:t>Wallis SJ, Wall J, Biram RWS, Romero-Ortuno R. Association of the clinical frailty scale with hospital outcomes. QJM Mon J Assoc Physicians. 2015 Dec</w:t>
      </w:r>
      <w:proofErr w:type="gramStart"/>
      <w:r w:rsidRPr="0076398C">
        <w:rPr>
          <w:rFonts w:ascii="Calibri" w:hAnsi="Calibri" w:cs="Calibri"/>
        </w:rPr>
        <w:t>;108</w:t>
      </w:r>
      <w:proofErr w:type="gramEnd"/>
      <w:r w:rsidRPr="0076398C">
        <w:rPr>
          <w:rFonts w:ascii="Calibri" w:hAnsi="Calibri" w:cs="Calibri"/>
        </w:rPr>
        <w:t xml:space="preserve">(12):943–9. </w:t>
      </w:r>
    </w:p>
    <w:p w14:paraId="2C8A47BA"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25. </w:t>
      </w:r>
      <w:r w:rsidRPr="0076398C">
        <w:rPr>
          <w:rFonts w:ascii="Calibri" w:hAnsi="Calibri" w:cs="Calibri"/>
        </w:rPr>
        <w:tab/>
        <w:t>Romero-Ortuno R, Wallis S, Biram R, Keevil V. Clinical frailty adds to acute illness severity in predicting mortality in hospitalized older adults: An observational study. Eur J Intern Med. 2016 Nov</w:t>
      </w:r>
      <w:proofErr w:type="gramStart"/>
      <w:r w:rsidRPr="0076398C">
        <w:rPr>
          <w:rFonts w:ascii="Calibri" w:hAnsi="Calibri" w:cs="Calibri"/>
        </w:rPr>
        <w:t>;35:24</w:t>
      </w:r>
      <w:proofErr w:type="gramEnd"/>
      <w:r w:rsidRPr="0076398C">
        <w:rPr>
          <w:rFonts w:ascii="Calibri" w:hAnsi="Calibri" w:cs="Calibri"/>
        </w:rPr>
        <w:t xml:space="preserve">–34. </w:t>
      </w:r>
    </w:p>
    <w:p w14:paraId="4FEE628B"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26. </w:t>
      </w:r>
      <w:r w:rsidRPr="0076398C">
        <w:rPr>
          <w:rFonts w:ascii="Calibri" w:hAnsi="Calibri" w:cs="Calibri"/>
        </w:rPr>
        <w:tab/>
        <w:t>Conroy S, Dowsing T. The ability of frailty to predict outcomes in older people attending an acute medical unit. Acute Med. 2013</w:t>
      </w:r>
      <w:proofErr w:type="gramStart"/>
      <w:r w:rsidRPr="0076398C">
        <w:rPr>
          <w:rFonts w:ascii="Calibri" w:hAnsi="Calibri" w:cs="Calibri"/>
        </w:rPr>
        <w:t>;12</w:t>
      </w:r>
      <w:proofErr w:type="gramEnd"/>
      <w:r w:rsidRPr="0076398C">
        <w:rPr>
          <w:rFonts w:ascii="Calibri" w:hAnsi="Calibri" w:cs="Calibri"/>
        </w:rPr>
        <w:t xml:space="preserve">(2):74–6. </w:t>
      </w:r>
    </w:p>
    <w:p w14:paraId="07473C47"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27. </w:t>
      </w:r>
      <w:r w:rsidRPr="0076398C">
        <w:rPr>
          <w:rFonts w:ascii="Calibri" w:hAnsi="Calibri" w:cs="Calibri"/>
        </w:rPr>
        <w:tab/>
        <w:t>Stow D, Matthews FE, Hanratty B. Frailty trajectories to identify end of life: a longitudinal population-based study. BMC Med. 2018 21</w:t>
      </w:r>
      <w:proofErr w:type="gramStart"/>
      <w:r w:rsidRPr="0076398C">
        <w:rPr>
          <w:rFonts w:ascii="Calibri" w:hAnsi="Calibri" w:cs="Calibri"/>
        </w:rPr>
        <w:t>;16</w:t>
      </w:r>
      <w:proofErr w:type="gramEnd"/>
      <w:r w:rsidRPr="0076398C">
        <w:rPr>
          <w:rFonts w:ascii="Calibri" w:hAnsi="Calibri" w:cs="Calibri"/>
        </w:rPr>
        <w:t xml:space="preserve">(1):171. </w:t>
      </w:r>
    </w:p>
    <w:p w14:paraId="52E011BC"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28. </w:t>
      </w:r>
      <w:r w:rsidRPr="0076398C">
        <w:rPr>
          <w:rFonts w:ascii="Calibri" w:hAnsi="Calibri" w:cs="Calibri"/>
        </w:rPr>
        <w:tab/>
        <w:t>Mousa A, Savva GM, Mitnitski A, Rockwood K, Jagger C, Brayne C, et al. Is frailty a stable predictor of mortality across time? Evidence from the Cognitive Function and Ageing Studies. Age Ageing. 2018 Sep 1</w:t>
      </w:r>
      <w:proofErr w:type="gramStart"/>
      <w:r w:rsidRPr="0076398C">
        <w:rPr>
          <w:rFonts w:ascii="Calibri" w:hAnsi="Calibri" w:cs="Calibri"/>
        </w:rPr>
        <w:t>;47</w:t>
      </w:r>
      <w:proofErr w:type="gramEnd"/>
      <w:r w:rsidRPr="0076398C">
        <w:rPr>
          <w:rFonts w:ascii="Calibri" w:hAnsi="Calibri" w:cs="Calibri"/>
        </w:rPr>
        <w:t xml:space="preserve">(5):721–7. </w:t>
      </w:r>
    </w:p>
    <w:p w14:paraId="79153DFF"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29. </w:t>
      </w:r>
      <w:r w:rsidRPr="0076398C">
        <w:rPr>
          <w:rFonts w:ascii="Calibri" w:hAnsi="Calibri" w:cs="Calibri"/>
        </w:rPr>
        <w:tab/>
        <w:t>Cardona M, Lewis ET, Kristensen MR, Skjøt-Arkil H, Ekmann AA, Nygaard HH, et al. Predictive validity of the CriSTAL tool for short-term mortality in older people presenting at Emergency Departments: a prospective study. Eur Geriatr Med. 2018</w:t>
      </w:r>
      <w:proofErr w:type="gramStart"/>
      <w:r w:rsidRPr="0076398C">
        <w:rPr>
          <w:rFonts w:ascii="Calibri" w:hAnsi="Calibri" w:cs="Calibri"/>
        </w:rPr>
        <w:t>;9</w:t>
      </w:r>
      <w:proofErr w:type="gramEnd"/>
      <w:r w:rsidRPr="0076398C">
        <w:rPr>
          <w:rFonts w:ascii="Calibri" w:hAnsi="Calibri" w:cs="Calibri"/>
        </w:rPr>
        <w:t xml:space="preserve">(6):891–901. </w:t>
      </w:r>
    </w:p>
    <w:p w14:paraId="3EF864A3"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30. </w:t>
      </w:r>
      <w:r w:rsidRPr="0076398C">
        <w:rPr>
          <w:rFonts w:ascii="Calibri" w:hAnsi="Calibri" w:cs="Calibri"/>
        </w:rPr>
        <w:tab/>
        <w:t>Kodama A, Koyama A, Sugimoto M, Niimi K, Banno H, Komori K. Association Between Preoperative Frailty and Mortality in Patients With Critical Limb Ischemia Following Infrainguinal Bypass Surgery</w:t>
      </w:r>
      <w:r w:rsidRPr="0076398C">
        <w:rPr>
          <w:rFonts w:ascii="MS Gothic" w:eastAsia="MS Gothic" w:hAnsi="MS Gothic" w:cs="MS Gothic" w:hint="eastAsia"/>
        </w:rPr>
        <w:t xml:space="preserve">　</w:t>
      </w:r>
      <w:r w:rsidRPr="0076398C">
        <w:rPr>
          <w:rFonts w:ascii="Calibri" w:hAnsi="Calibri" w:cs="Calibri"/>
        </w:rPr>
        <w:t>- Usefulness of the Barthel Index. Circ J Off J Jpn Circ Soc. 2017 25</w:t>
      </w:r>
      <w:proofErr w:type="gramStart"/>
      <w:r w:rsidRPr="0076398C">
        <w:rPr>
          <w:rFonts w:ascii="Calibri" w:hAnsi="Calibri" w:cs="Calibri"/>
        </w:rPr>
        <w:t>;82</w:t>
      </w:r>
      <w:proofErr w:type="gramEnd"/>
      <w:r w:rsidRPr="0076398C">
        <w:rPr>
          <w:rFonts w:ascii="Calibri" w:hAnsi="Calibri" w:cs="Calibri"/>
        </w:rPr>
        <w:t xml:space="preserve">(1):267–74. </w:t>
      </w:r>
    </w:p>
    <w:p w14:paraId="5A398493"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31. </w:t>
      </w:r>
      <w:r w:rsidRPr="0076398C">
        <w:rPr>
          <w:rFonts w:ascii="Calibri" w:hAnsi="Calibri" w:cs="Calibri"/>
        </w:rPr>
        <w:tab/>
        <w:t>Dani M, Owen LH, Jackson TA, Rockwood K, Sampson EL, Davis D. Delirium, Frailty, and Mortality: Interactions in a Prospective Study of Hospitalized Older People. J Gerontol A Biol Sci Med Sci. 2018 Mar 2</w:t>
      </w:r>
      <w:proofErr w:type="gramStart"/>
      <w:r w:rsidRPr="0076398C">
        <w:rPr>
          <w:rFonts w:ascii="Calibri" w:hAnsi="Calibri" w:cs="Calibri"/>
        </w:rPr>
        <w:t>;73</w:t>
      </w:r>
      <w:proofErr w:type="gramEnd"/>
      <w:r w:rsidRPr="0076398C">
        <w:rPr>
          <w:rFonts w:ascii="Calibri" w:hAnsi="Calibri" w:cs="Calibri"/>
        </w:rPr>
        <w:t xml:space="preserve">(3):415–8. </w:t>
      </w:r>
    </w:p>
    <w:p w14:paraId="6B9FE08E"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32. </w:t>
      </w:r>
      <w:r w:rsidRPr="0076398C">
        <w:rPr>
          <w:rFonts w:ascii="Calibri" w:hAnsi="Calibri" w:cs="Calibri"/>
        </w:rPr>
        <w:tab/>
        <w:t>Nixon AC, Bampouras TM, Pendleton N, Woywodt A, Mitra S, Dhaygude A. Frailty and chronic kidney disease: current evidence and continuing uncertainties. Clin Kidney J. 2018 Apr</w:t>
      </w:r>
      <w:proofErr w:type="gramStart"/>
      <w:r w:rsidRPr="0076398C">
        <w:rPr>
          <w:rFonts w:ascii="Calibri" w:hAnsi="Calibri" w:cs="Calibri"/>
        </w:rPr>
        <w:t>;11</w:t>
      </w:r>
      <w:proofErr w:type="gramEnd"/>
      <w:r w:rsidRPr="0076398C">
        <w:rPr>
          <w:rFonts w:ascii="Calibri" w:hAnsi="Calibri" w:cs="Calibri"/>
        </w:rPr>
        <w:t xml:space="preserve">(2):236–45. </w:t>
      </w:r>
    </w:p>
    <w:p w14:paraId="6F7689AA"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33. </w:t>
      </w:r>
      <w:r w:rsidRPr="0076398C">
        <w:rPr>
          <w:rFonts w:ascii="Calibri" w:hAnsi="Calibri" w:cs="Calibri"/>
        </w:rPr>
        <w:tab/>
        <w:t xml:space="preserve">Shepperd S, Doll H, Broad J, Gladman J, Iliffe S, Langhorne P, et al. Early discharge hospital at home. Cochrane Database Syst Rev. 2009 Jan </w:t>
      </w:r>
      <w:proofErr w:type="gramStart"/>
      <w:r w:rsidRPr="0076398C">
        <w:rPr>
          <w:rFonts w:ascii="Calibri" w:hAnsi="Calibri" w:cs="Calibri"/>
        </w:rPr>
        <w:t>21;</w:t>
      </w:r>
      <w:proofErr w:type="gramEnd"/>
      <w:r w:rsidRPr="0076398C">
        <w:rPr>
          <w:rFonts w:ascii="Calibri" w:hAnsi="Calibri" w:cs="Calibri"/>
        </w:rPr>
        <w:t xml:space="preserve">(1):CD000356. </w:t>
      </w:r>
    </w:p>
    <w:p w14:paraId="318C361F" w14:textId="77777777" w:rsidR="007A66D5" w:rsidRPr="0076398C" w:rsidRDefault="007A66D5" w:rsidP="0076398C">
      <w:pPr>
        <w:pStyle w:val="Bibliography"/>
        <w:spacing w:after="0"/>
        <w:rPr>
          <w:rFonts w:ascii="Calibri" w:hAnsi="Calibri" w:cs="Calibri"/>
        </w:rPr>
      </w:pPr>
      <w:r w:rsidRPr="0076398C">
        <w:rPr>
          <w:rFonts w:ascii="Calibri" w:hAnsi="Calibri" w:cs="Calibri"/>
        </w:rPr>
        <w:t xml:space="preserve">34. </w:t>
      </w:r>
      <w:r w:rsidRPr="0076398C">
        <w:rPr>
          <w:rFonts w:ascii="Calibri" w:hAnsi="Calibri" w:cs="Calibri"/>
        </w:rPr>
        <w:tab/>
        <w:t>Weathers E, O’Caoimh R, Cornally N, Fitzgerald C, Kearns T, Coffey A, et al. Advance care planning: A systematic review of randomised controlled trials conducted with older adults. Maturitas. 2016 Sep</w:t>
      </w:r>
      <w:proofErr w:type="gramStart"/>
      <w:r w:rsidRPr="0076398C">
        <w:rPr>
          <w:rFonts w:ascii="Calibri" w:hAnsi="Calibri" w:cs="Calibri"/>
        </w:rPr>
        <w:t>;91:101</w:t>
      </w:r>
      <w:proofErr w:type="gramEnd"/>
      <w:r w:rsidRPr="0076398C">
        <w:rPr>
          <w:rFonts w:ascii="Calibri" w:hAnsi="Calibri" w:cs="Calibri"/>
        </w:rPr>
        <w:t xml:space="preserve">–9. </w:t>
      </w:r>
    </w:p>
    <w:p w14:paraId="571D6E7D" w14:textId="0DAB7229" w:rsidR="00762A67" w:rsidRDefault="007A66D5" w:rsidP="0076398C">
      <w:pPr>
        <w:pStyle w:val="Bibliography"/>
        <w:rPr>
          <w:rFonts w:ascii="Calibri" w:hAnsi="Calibri" w:cs="Calibri"/>
        </w:rPr>
      </w:pPr>
      <w:r w:rsidRPr="0076398C">
        <w:rPr>
          <w:rFonts w:ascii="Calibri" w:hAnsi="Calibri" w:cs="Calibri"/>
        </w:rPr>
        <w:t xml:space="preserve">35. </w:t>
      </w:r>
      <w:r w:rsidRPr="0076398C">
        <w:rPr>
          <w:rFonts w:ascii="Calibri" w:hAnsi="Calibri" w:cs="Calibri"/>
        </w:rPr>
        <w:tab/>
        <w:t>Ellis G, Gardner M, Tsiachristas A, Langhorne P, Burke O, Harwood RH, et al. Comprehensive geriatric assessment for older adults admitted to hospital. Cochrane Database Syst Rev. 2017 12</w:t>
      </w:r>
      <w:proofErr w:type="gramStart"/>
      <w:r w:rsidRPr="0076398C">
        <w:rPr>
          <w:rFonts w:ascii="Calibri" w:hAnsi="Calibri" w:cs="Calibri"/>
        </w:rPr>
        <w:t>;9:CD006211</w:t>
      </w:r>
      <w:proofErr w:type="gramEnd"/>
      <w:r w:rsidRPr="0076398C">
        <w:rPr>
          <w:rFonts w:ascii="Calibri" w:hAnsi="Calibri" w:cs="Calibri"/>
        </w:rPr>
        <w:t xml:space="preserve">. </w:t>
      </w:r>
    </w:p>
    <w:p w14:paraId="598BB0D9" w14:textId="77777777" w:rsidR="00314EB5" w:rsidRDefault="00314EB5" w:rsidP="00314EB5">
      <w:pPr>
        <w:pStyle w:val="Heading1"/>
        <w:spacing w:before="0"/>
      </w:pPr>
      <w:r>
        <w:lastRenderedPageBreak/>
        <w:t>Tables</w:t>
      </w:r>
    </w:p>
    <w:p w14:paraId="5F0C623A" w14:textId="77777777" w:rsidR="00314EB5" w:rsidRPr="009E234D" w:rsidRDefault="00314EB5" w:rsidP="00314EB5">
      <w:pPr>
        <w:pStyle w:val="Tablehead"/>
      </w:pPr>
      <w:bookmarkStart w:id="0" w:name="_Ref503354910"/>
      <w:r w:rsidRPr="009E234D">
        <w:t xml:space="preserve">Table </w:t>
      </w:r>
      <w:bookmarkEnd w:id="0"/>
      <w:r>
        <w:rPr>
          <w:noProof/>
        </w:rPr>
        <w:t xml:space="preserve">1 </w:t>
      </w:r>
      <w:r w:rsidRPr="009E234D">
        <w:rPr>
          <w:noProof/>
        </w:rPr>
        <w:t xml:space="preserve">Descriptive characteristics of </w:t>
      </w:r>
      <w:r>
        <w:rPr>
          <w:noProof/>
        </w:rPr>
        <w:t>ambulatory</w:t>
      </w:r>
      <w:r w:rsidRPr="009E234D">
        <w:rPr>
          <w:noProof/>
        </w:rPr>
        <w:t xml:space="preserve"> and acute inpatient </w:t>
      </w:r>
      <w:r>
        <w:rPr>
          <w:noProof/>
        </w:rPr>
        <w:t>cohort</w:t>
      </w:r>
      <w:r w:rsidRPr="009E234D">
        <w:rPr>
          <w:noProof/>
        </w:rPr>
        <w:t>s</w:t>
      </w:r>
      <w:r>
        <w:rPr>
          <w:noProof/>
        </w:rPr>
        <w:t xml:space="preserve"> included in analysis with differences tested using Kruskal-Wallis (Means) or Pearson Chi-Square (Percentages)</w:t>
      </w:r>
    </w:p>
    <w:tbl>
      <w:tblPr>
        <w:tblStyle w:val="LightShading"/>
        <w:tblW w:w="9026" w:type="dxa"/>
        <w:jc w:val="center"/>
        <w:tblInd w:w="0" w:type="dxa"/>
        <w:tblLook w:val="04A0" w:firstRow="1" w:lastRow="0" w:firstColumn="1" w:lastColumn="0" w:noHBand="0" w:noVBand="1"/>
      </w:tblPr>
      <w:tblGrid>
        <w:gridCol w:w="3282"/>
        <w:gridCol w:w="2112"/>
        <w:gridCol w:w="2007"/>
        <w:gridCol w:w="1625"/>
      </w:tblGrid>
      <w:tr w:rsidR="00314EB5" w:rsidRPr="009E234D" w14:paraId="5AB150D2" w14:textId="77777777" w:rsidTr="00EE0D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DBE5F1" w:themeFill="accent1" w:themeFillTint="33"/>
            <w:hideMark/>
          </w:tcPr>
          <w:p w14:paraId="79212C66" w14:textId="77777777" w:rsidR="00314EB5" w:rsidRPr="009E234D" w:rsidRDefault="00314EB5" w:rsidP="00EE0DF6">
            <w:pPr>
              <w:pStyle w:val="NoSpacing"/>
            </w:pPr>
            <w:r w:rsidRPr="009E234D">
              <w:t>Characteristic</w:t>
            </w:r>
          </w:p>
        </w:tc>
        <w:tc>
          <w:tcPr>
            <w:tcW w:w="2112" w:type="dxa"/>
            <w:shd w:val="clear" w:color="auto" w:fill="DBE5F1" w:themeFill="accent1" w:themeFillTint="33"/>
            <w:hideMark/>
          </w:tcPr>
          <w:p w14:paraId="08B14363" w14:textId="77777777" w:rsidR="00314EB5" w:rsidRPr="009E234D" w:rsidRDefault="00314EB5" w:rsidP="00EE0DF6">
            <w:pPr>
              <w:pStyle w:val="NoSpacing"/>
              <w:jc w:val="center"/>
              <w:cnfStyle w:val="100000000000" w:firstRow="1" w:lastRow="0" w:firstColumn="0" w:lastColumn="0" w:oddVBand="0" w:evenVBand="0" w:oddHBand="0" w:evenHBand="0" w:firstRowFirstColumn="0" w:firstRowLastColumn="0" w:lastRowFirstColumn="0" w:lastRowLastColumn="0"/>
            </w:pPr>
            <w:r>
              <w:t>Ambulatory</w:t>
            </w:r>
            <w:r w:rsidRPr="009E234D">
              <w:t xml:space="preserve"> Cohort</w:t>
            </w:r>
          </w:p>
        </w:tc>
        <w:tc>
          <w:tcPr>
            <w:tcW w:w="2007" w:type="dxa"/>
            <w:shd w:val="clear" w:color="auto" w:fill="DBE5F1" w:themeFill="accent1" w:themeFillTint="33"/>
            <w:hideMark/>
          </w:tcPr>
          <w:p w14:paraId="1372E9E2" w14:textId="77777777" w:rsidR="00314EB5" w:rsidRPr="009E234D" w:rsidRDefault="00314EB5" w:rsidP="00EE0DF6">
            <w:pPr>
              <w:pStyle w:val="NoSpacing"/>
              <w:jc w:val="center"/>
              <w:cnfStyle w:val="100000000000" w:firstRow="1" w:lastRow="0" w:firstColumn="0" w:lastColumn="0" w:oddVBand="0" w:evenVBand="0" w:oddHBand="0" w:evenHBand="0" w:firstRowFirstColumn="0" w:firstRowLastColumn="0" w:lastRowFirstColumn="0" w:lastRowLastColumn="0"/>
            </w:pPr>
            <w:r>
              <w:t>In-patient cohort</w:t>
            </w:r>
            <w:r w:rsidRPr="009E234D">
              <w:t xml:space="preserve"> </w:t>
            </w:r>
          </w:p>
        </w:tc>
        <w:tc>
          <w:tcPr>
            <w:tcW w:w="1625" w:type="dxa"/>
            <w:shd w:val="clear" w:color="auto" w:fill="DBE5F1" w:themeFill="accent1" w:themeFillTint="33"/>
          </w:tcPr>
          <w:p w14:paraId="3A83506E" w14:textId="77777777" w:rsidR="00314EB5" w:rsidRDefault="00314EB5" w:rsidP="00EE0DF6">
            <w:pPr>
              <w:pStyle w:val="NoSpacing"/>
              <w:jc w:val="center"/>
              <w:cnfStyle w:val="100000000000" w:firstRow="1" w:lastRow="0" w:firstColumn="0" w:lastColumn="0" w:oddVBand="0" w:evenVBand="0" w:oddHBand="0" w:evenHBand="0" w:firstRowFirstColumn="0" w:firstRowLastColumn="0" w:lastRowFirstColumn="0" w:lastRowLastColumn="0"/>
            </w:pPr>
            <w:r>
              <w:t>P value for difference</w:t>
            </w:r>
          </w:p>
        </w:tc>
      </w:tr>
      <w:tr w:rsidR="00314EB5" w:rsidRPr="009E234D" w14:paraId="28D691FD" w14:textId="77777777" w:rsidTr="00EE0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auto"/>
          </w:tcPr>
          <w:p w14:paraId="5F765F5B" w14:textId="77777777" w:rsidR="00314EB5" w:rsidRPr="009E234D" w:rsidRDefault="00314EB5" w:rsidP="00EE0DF6">
            <w:pPr>
              <w:pStyle w:val="NoSpacing"/>
            </w:pPr>
            <w:r w:rsidRPr="009E234D">
              <w:t>Location</w:t>
            </w:r>
          </w:p>
        </w:tc>
        <w:tc>
          <w:tcPr>
            <w:tcW w:w="2112" w:type="dxa"/>
            <w:shd w:val="clear" w:color="auto" w:fill="auto"/>
          </w:tcPr>
          <w:p w14:paraId="5B350272"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Leicester/ Nottingham</w:t>
            </w:r>
          </w:p>
        </w:tc>
        <w:tc>
          <w:tcPr>
            <w:tcW w:w="2007" w:type="dxa"/>
            <w:shd w:val="clear" w:color="auto" w:fill="auto"/>
          </w:tcPr>
          <w:p w14:paraId="1BABA7D5"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 xml:space="preserve">Southampton </w:t>
            </w:r>
          </w:p>
        </w:tc>
        <w:tc>
          <w:tcPr>
            <w:tcW w:w="1625" w:type="dxa"/>
            <w:shd w:val="clear" w:color="auto" w:fill="auto"/>
          </w:tcPr>
          <w:p w14:paraId="235256BF"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w:t>
            </w:r>
          </w:p>
        </w:tc>
      </w:tr>
      <w:tr w:rsidR="00314EB5" w:rsidRPr="009E234D" w14:paraId="0F964934" w14:textId="77777777" w:rsidTr="00EE0DF6">
        <w:trPr>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auto"/>
          </w:tcPr>
          <w:p w14:paraId="4AAB5E04" w14:textId="77777777" w:rsidR="00314EB5" w:rsidRPr="009E234D" w:rsidRDefault="00314EB5" w:rsidP="00EE0DF6">
            <w:pPr>
              <w:pStyle w:val="NoSpacing"/>
            </w:pPr>
            <w:r>
              <w:t>Recruitment date range</w:t>
            </w:r>
          </w:p>
        </w:tc>
        <w:tc>
          <w:tcPr>
            <w:tcW w:w="2112" w:type="dxa"/>
            <w:shd w:val="clear" w:color="auto" w:fill="auto"/>
          </w:tcPr>
          <w:p w14:paraId="2B42A7C1"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21/01/2009-26/11/2010</w:t>
            </w:r>
          </w:p>
        </w:tc>
        <w:tc>
          <w:tcPr>
            <w:tcW w:w="2007" w:type="dxa"/>
            <w:shd w:val="clear" w:color="auto" w:fill="auto"/>
          </w:tcPr>
          <w:p w14:paraId="372A6AF5"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29/11/2009-19/01/2012</w:t>
            </w:r>
          </w:p>
        </w:tc>
        <w:tc>
          <w:tcPr>
            <w:tcW w:w="1625" w:type="dxa"/>
            <w:shd w:val="clear" w:color="auto" w:fill="auto"/>
          </w:tcPr>
          <w:p w14:paraId="71561CA8"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w:t>
            </w:r>
          </w:p>
        </w:tc>
      </w:tr>
      <w:tr w:rsidR="00314EB5" w:rsidRPr="009E234D" w14:paraId="19018AF2" w14:textId="77777777" w:rsidTr="00EE0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auto"/>
            <w:hideMark/>
          </w:tcPr>
          <w:p w14:paraId="13830039" w14:textId="77777777" w:rsidR="00314EB5" w:rsidRPr="009E234D" w:rsidRDefault="00314EB5" w:rsidP="00EE0DF6">
            <w:pPr>
              <w:pStyle w:val="NoSpacing"/>
            </w:pPr>
            <w:r w:rsidRPr="009E234D">
              <w:t>Number of people</w:t>
            </w:r>
          </w:p>
        </w:tc>
        <w:tc>
          <w:tcPr>
            <w:tcW w:w="2112" w:type="dxa"/>
            <w:shd w:val="clear" w:color="auto" w:fill="auto"/>
            <w:hideMark/>
          </w:tcPr>
          <w:p w14:paraId="23AC4441"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674</w:t>
            </w:r>
          </w:p>
        </w:tc>
        <w:tc>
          <w:tcPr>
            <w:tcW w:w="2007" w:type="dxa"/>
            <w:shd w:val="clear" w:color="auto" w:fill="auto"/>
            <w:hideMark/>
          </w:tcPr>
          <w:p w14:paraId="22C33846"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246</w:t>
            </w:r>
          </w:p>
        </w:tc>
        <w:tc>
          <w:tcPr>
            <w:tcW w:w="1625" w:type="dxa"/>
            <w:shd w:val="clear" w:color="auto" w:fill="auto"/>
          </w:tcPr>
          <w:p w14:paraId="365293EC"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w:t>
            </w:r>
          </w:p>
        </w:tc>
      </w:tr>
      <w:tr w:rsidR="00314EB5" w:rsidRPr="009E234D" w14:paraId="24DA875F" w14:textId="77777777" w:rsidTr="00EE0DF6">
        <w:trPr>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auto"/>
            <w:hideMark/>
          </w:tcPr>
          <w:p w14:paraId="6B3C20F5" w14:textId="77777777" w:rsidR="00314EB5" w:rsidRPr="009E234D" w:rsidRDefault="00314EB5" w:rsidP="00EE0DF6">
            <w:pPr>
              <w:pStyle w:val="NoSpacing"/>
            </w:pPr>
            <w:r w:rsidRPr="009E234D">
              <w:t>Female</w:t>
            </w:r>
          </w:p>
        </w:tc>
        <w:tc>
          <w:tcPr>
            <w:tcW w:w="2112" w:type="dxa"/>
            <w:shd w:val="clear" w:color="auto" w:fill="auto"/>
            <w:hideMark/>
          </w:tcPr>
          <w:p w14:paraId="7CC935EF"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5</w:t>
            </w:r>
            <w:r>
              <w:t>7</w:t>
            </w:r>
            <w:r w:rsidRPr="009E234D">
              <w:t>.4 %</w:t>
            </w:r>
          </w:p>
        </w:tc>
        <w:tc>
          <w:tcPr>
            <w:tcW w:w="2007" w:type="dxa"/>
            <w:shd w:val="clear" w:color="auto" w:fill="auto"/>
            <w:hideMark/>
          </w:tcPr>
          <w:p w14:paraId="4E27176C"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100.0 %</w:t>
            </w:r>
          </w:p>
        </w:tc>
        <w:tc>
          <w:tcPr>
            <w:tcW w:w="1625" w:type="dxa"/>
            <w:shd w:val="clear" w:color="auto" w:fill="auto"/>
          </w:tcPr>
          <w:p w14:paraId="4CBA5EFA"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&lt;0.001</w:t>
            </w:r>
          </w:p>
        </w:tc>
      </w:tr>
      <w:tr w:rsidR="00314EB5" w:rsidRPr="009E234D" w14:paraId="0BB51379" w14:textId="77777777" w:rsidTr="00EE0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auto"/>
            <w:hideMark/>
          </w:tcPr>
          <w:p w14:paraId="6E880639" w14:textId="77777777" w:rsidR="00314EB5" w:rsidRPr="009E234D" w:rsidRDefault="00314EB5" w:rsidP="00EE0DF6">
            <w:pPr>
              <w:pStyle w:val="NoSpacing"/>
            </w:pPr>
            <w:r w:rsidRPr="009E234D">
              <w:t>Age</w:t>
            </w:r>
          </w:p>
        </w:tc>
        <w:tc>
          <w:tcPr>
            <w:tcW w:w="2112" w:type="dxa"/>
            <w:shd w:val="clear" w:color="auto" w:fill="auto"/>
            <w:hideMark/>
          </w:tcPr>
          <w:p w14:paraId="7363BA2E"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80.</w:t>
            </w:r>
            <w:r>
              <w:t>2 (6.7)</w:t>
            </w:r>
          </w:p>
        </w:tc>
        <w:tc>
          <w:tcPr>
            <w:tcW w:w="2007" w:type="dxa"/>
            <w:shd w:val="clear" w:color="auto" w:fill="auto"/>
            <w:hideMark/>
          </w:tcPr>
          <w:p w14:paraId="53EA721E"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8</w:t>
            </w:r>
            <w:r>
              <w:t>5.9 (4.7)</w:t>
            </w:r>
          </w:p>
        </w:tc>
        <w:tc>
          <w:tcPr>
            <w:tcW w:w="1625" w:type="dxa"/>
            <w:shd w:val="clear" w:color="auto" w:fill="auto"/>
          </w:tcPr>
          <w:p w14:paraId="6428C908"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&lt;0.001</w:t>
            </w:r>
          </w:p>
        </w:tc>
      </w:tr>
      <w:tr w:rsidR="00314EB5" w:rsidRPr="009E234D" w14:paraId="3D07A9AD" w14:textId="77777777" w:rsidTr="00EE0DF6">
        <w:trPr>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auto"/>
          </w:tcPr>
          <w:p w14:paraId="3CB8BB16" w14:textId="77777777" w:rsidR="00314EB5" w:rsidRPr="009E234D" w:rsidRDefault="00314EB5" w:rsidP="00EE0DF6">
            <w:pPr>
              <w:pStyle w:val="NoSpacing"/>
            </w:pPr>
            <w:r>
              <w:t>Index admission length of stay</w:t>
            </w:r>
          </w:p>
        </w:tc>
        <w:tc>
          <w:tcPr>
            <w:tcW w:w="2112" w:type="dxa"/>
            <w:shd w:val="clear" w:color="auto" w:fill="auto"/>
          </w:tcPr>
          <w:p w14:paraId="15EE0254"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1.0 (0.7)</w:t>
            </w:r>
          </w:p>
        </w:tc>
        <w:tc>
          <w:tcPr>
            <w:tcW w:w="2007" w:type="dxa"/>
            <w:shd w:val="clear" w:color="auto" w:fill="auto"/>
          </w:tcPr>
          <w:p w14:paraId="66DC00FE"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20.5 (18.0)</w:t>
            </w:r>
          </w:p>
        </w:tc>
        <w:tc>
          <w:tcPr>
            <w:tcW w:w="1625" w:type="dxa"/>
            <w:shd w:val="clear" w:color="auto" w:fill="auto"/>
          </w:tcPr>
          <w:p w14:paraId="211EFE1F"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&lt;0.001</w:t>
            </w:r>
          </w:p>
        </w:tc>
      </w:tr>
      <w:tr w:rsidR="00314EB5" w:rsidRPr="009E234D" w14:paraId="21C4DE52" w14:textId="77777777" w:rsidTr="00EE0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auto"/>
          </w:tcPr>
          <w:p w14:paraId="6A053773" w14:textId="77777777" w:rsidR="00314EB5" w:rsidRPr="009E234D" w:rsidRDefault="00314EB5" w:rsidP="00EE0DF6">
            <w:pPr>
              <w:pStyle w:val="NoSpacing"/>
            </w:pPr>
            <w:r w:rsidRPr="009E234D">
              <w:t xml:space="preserve">Hospital admissions‡ </w:t>
            </w:r>
          </w:p>
        </w:tc>
        <w:tc>
          <w:tcPr>
            <w:tcW w:w="2112" w:type="dxa"/>
            <w:shd w:val="clear" w:color="auto" w:fill="auto"/>
          </w:tcPr>
          <w:p w14:paraId="652D1C4E"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3.5 (4.1)</w:t>
            </w:r>
          </w:p>
        </w:tc>
        <w:tc>
          <w:tcPr>
            <w:tcW w:w="2007" w:type="dxa"/>
            <w:shd w:val="clear" w:color="auto" w:fill="auto"/>
          </w:tcPr>
          <w:p w14:paraId="0EA3BAE6"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4.1 (7.0)</w:t>
            </w:r>
          </w:p>
        </w:tc>
        <w:tc>
          <w:tcPr>
            <w:tcW w:w="1625" w:type="dxa"/>
            <w:shd w:val="clear" w:color="auto" w:fill="auto"/>
          </w:tcPr>
          <w:p w14:paraId="3A45C5DF" w14:textId="77777777" w:rsidR="00314EB5" w:rsidRPr="009E234D" w:rsidDel="00A41EB8"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0.04</w:t>
            </w:r>
          </w:p>
        </w:tc>
      </w:tr>
      <w:tr w:rsidR="00314EB5" w:rsidRPr="009E234D" w14:paraId="56F19040" w14:textId="77777777" w:rsidTr="00EE0DF6">
        <w:trPr>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auto"/>
          </w:tcPr>
          <w:p w14:paraId="1891AF42" w14:textId="77777777" w:rsidR="00314EB5" w:rsidRPr="009E234D" w:rsidRDefault="00314EB5" w:rsidP="00EE0DF6">
            <w:pPr>
              <w:pStyle w:val="NoSpacing"/>
            </w:pPr>
            <w:proofErr w:type="spellStart"/>
            <w:r w:rsidRPr="009E234D">
              <w:t>Charlson</w:t>
            </w:r>
            <w:proofErr w:type="spellEnd"/>
            <w:r w:rsidRPr="009E234D">
              <w:t xml:space="preserve"> </w:t>
            </w:r>
            <w:r>
              <w:t>C</w:t>
            </w:r>
            <w:r w:rsidRPr="009E234D">
              <w:t>omorbidity</w:t>
            </w:r>
            <w:r>
              <w:t xml:space="preserve"> Index 3+</w:t>
            </w:r>
            <w:r w:rsidRPr="009E234D">
              <w:t>‡</w:t>
            </w:r>
            <w:r>
              <w:t>:</w:t>
            </w:r>
            <w:r w:rsidRPr="009E234D">
              <w:t xml:space="preserve"> </w:t>
            </w:r>
          </w:p>
        </w:tc>
        <w:tc>
          <w:tcPr>
            <w:tcW w:w="2112" w:type="dxa"/>
            <w:shd w:val="clear" w:color="auto" w:fill="auto"/>
          </w:tcPr>
          <w:p w14:paraId="27FD24AF"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 xml:space="preserve"> 31.9 %</w:t>
            </w:r>
          </w:p>
        </w:tc>
        <w:tc>
          <w:tcPr>
            <w:tcW w:w="2007" w:type="dxa"/>
            <w:shd w:val="clear" w:color="auto" w:fill="auto"/>
          </w:tcPr>
          <w:p w14:paraId="35751FC6"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 xml:space="preserve"> 43.1 %</w:t>
            </w:r>
          </w:p>
        </w:tc>
        <w:tc>
          <w:tcPr>
            <w:tcW w:w="1625" w:type="dxa"/>
            <w:shd w:val="clear" w:color="auto" w:fill="auto"/>
          </w:tcPr>
          <w:p w14:paraId="6950AC5E" w14:textId="77777777" w:rsidR="00314EB5" w:rsidRPr="009E234D" w:rsidDel="00CC113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0.002</w:t>
            </w:r>
          </w:p>
        </w:tc>
      </w:tr>
      <w:tr w:rsidR="00314EB5" w:rsidRPr="009E234D" w14:paraId="2A7738F2" w14:textId="77777777" w:rsidTr="00EE0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auto"/>
            <w:hideMark/>
          </w:tcPr>
          <w:p w14:paraId="0C37DBFE" w14:textId="77777777" w:rsidR="00314EB5" w:rsidRPr="009E234D" w:rsidRDefault="00314EB5" w:rsidP="00EE0DF6">
            <w:pPr>
              <w:pStyle w:val="NoSpacing"/>
            </w:pPr>
            <w:r w:rsidRPr="009E234D">
              <w:t xml:space="preserve">Frail (sample size†), by measure: </w:t>
            </w:r>
          </w:p>
        </w:tc>
        <w:tc>
          <w:tcPr>
            <w:tcW w:w="2112" w:type="dxa"/>
            <w:shd w:val="clear" w:color="auto" w:fill="auto"/>
          </w:tcPr>
          <w:p w14:paraId="55FF5299"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p>
        </w:tc>
        <w:tc>
          <w:tcPr>
            <w:tcW w:w="2007" w:type="dxa"/>
            <w:shd w:val="clear" w:color="auto" w:fill="auto"/>
          </w:tcPr>
          <w:p w14:paraId="3F10A1AE"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p>
        </w:tc>
        <w:tc>
          <w:tcPr>
            <w:tcW w:w="1625" w:type="dxa"/>
            <w:shd w:val="clear" w:color="auto" w:fill="auto"/>
          </w:tcPr>
          <w:p w14:paraId="7C1771D7"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w:t>
            </w:r>
          </w:p>
        </w:tc>
      </w:tr>
      <w:tr w:rsidR="00314EB5" w:rsidRPr="009E234D" w14:paraId="45760394" w14:textId="77777777" w:rsidTr="00EE0DF6">
        <w:trPr>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auto"/>
            <w:hideMark/>
          </w:tcPr>
          <w:p w14:paraId="3AD06EB6" w14:textId="77777777" w:rsidR="00314EB5" w:rsidRPr="009E234D" w:rsidRDefault="00314EB5" w:rsidP="00EE0DF6">
            <w:pPr>
              <w:pStyle w:val="NoSpacing"/>
              <w:jc w:val="right"/>
            </w:pPr>
            <w:r w:rsidRPr="009E234D">
              <w:t>Fried</w:t>
            </w:r>
          </w:p>
        </w:tc>
        <w:tc>
          <w:tcPr>
            <w:tcW w:w="2112" w:type="dxa"/>
            <w:shd w:val="clear" w:color="auto" w:fill="auto"/>
            <w:hideMark/>
          </w:tcPr>
          <w:p w14:paraId="69340AF1"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2</w:t>
            </w:r>
            <w:r>
              <w:t>3</w:t>
            </w:r>
            <w:r w:rsidRPr="009E234D">
              <w:t>.</w:t>
            </w:r>
            <w:r>
              <w:t>7</w:t>
            </w:r>
            <w:r w:rsidRPr="009E234D">
              <w:t xml:space="preserve"> % (</w:t>
            </w:r>
            <w:r>
              <w:t>494</w:t>
            </w:r>
            <w:r w:rsidRPr="009E234D">
              <w:t>)</w:t>
            </w:r>
          </w:p>
        </w:tc>
        <w:tc>
          <w:tcPr>
            <w:tcW w:w="2007" w:type="dxa"/>
            <w:shd w:val="clear" w:color="auto" w:fill="auto"/>
            <w:hideMark/>
          </w:tcPr>
          <w:p w14:paraId="0C949CB1"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80.0 % (140)</w:t>
            </w:r>
          </w:p>
        </w:tc>
        <w:tc>
          <w:tcPr>
            <w:tcW w:w="1625" w:type="dxa"/>
            <w:shd w:val="clear" w:color="auto" w:fill="auto"/>
          </w:tcPr>
          <w:p w14:paraId="3C4BDD4F"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w:t>
            </w:r>
          </w:p>
        </w:tc>
      </w:tr>
      <w:tr w:rsidR="00314EB5" w:rsidRPr="009E234D" w14:paraId="5A285739" w14:textId="77777777" w:rsidTr="00EE0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auto"/>
            <w:hideMark/>
          </w:tcPr>
          <w:p w14:paraId="5B742379" w14:textId="77777777" w:rsidR="00314EB5" w:rsidRPr="009E234D" w:rsidRDefault="00314EB5" w:rsidP="00EE0DF6">
            <w:pPr>
              <w:pStyle w:val="NoSpacing"/>
              <w:jc w:val="right"/>
            </w:pPr>
            <w:r w:rsidRPr="009E234D">
              <w:t>Rothman</w:t>
            </w:r>
          </w:p>
        </w:tc>
        <w:tc>
          <w:tcPr>
            <w:tcW w:w="2112" w:type="dxa"/>
            <w:shd w:val="clear" w:color="auto" w:fill="auto"/>
            <w:hideMark/>
          </w:tcPr>
          <w:p w14:paraId="1181C994"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2</w:t>
            </w:r>
            <w:r>
              <w:t>3</w:t>
            </w:r>
            <w:r w:rsidRPr="009E234D">
              <w:t>.</w:t>
            </w:r>
            <w:r>
              <w:t>2</w:t>
            </w:r>
            <w:r w:rsidRPr="009E234D">
              <w:t xml:space="preserve"> % (</w:t>
            </w:r>
            <w:r>
              <w:t>503</w:t>
            </w:r>
            <w:r w:rsidRPr="009E234D">
              <w:t>)</w:t>
            </w:r>
          </w:p>
        </w:tc>
        <w:tc>
          <w:tcPr>
            <w:tcW w:w="2007" w:type="dxa"/>
            <w:shd w:val="clear" w:color="auto" w:fill="auto"/>
            <w:hideMark/>
          </w:tcPr>
          <w:p w14:paraId="3B1EE677"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48.4 % (192)</w:t>
            </w:r>
          </w:p>
        </w:tc>
        <w:tc>
          <w:tcPr>
            <w:tcW w:w="1625" w:type="dxa"/>
            <w:shd w:val="clear" w:color="auto" w:fill="auto"/>
          </w:tcPr>
          <w:p w14:paraId="2B7C49CF"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w:t>
            </w:r>
          </w:p>
        </w:tc>
      </w:tr>
      <w:tr w:rsidR="00314EB5" w:rsidRPr="009E234D" w14:paraId="2AB53943" w14:textId="77777777" w:rsidTr="00EE0DF6">
        <w:trPr>
          <w:jc w:val="center"/>
        </w:trPr>
        <w:tc>
          <w:tcPr>
            <w:cnfStyle w:val="001000000000" w:firstRow="0" w:lastRow="0" w:firstColumn="1" w:lastColumn="0" w:oddVBand="0" w:evenVBand="0" w:oddHBand="0" w:evenHBand="0" w:firstRowFirstColumn="0" w:firstRowLastColumn="0" w:lastRowFirstColumn="0" w:lastRowLastColumn="0"/>
            <w:tcW w:w="3282" w:type="dxa"/>
            <w:shd w:val="clear" w:color="auto" w:fill="auto"/>
            <w:hideMark/>
          </w:tcPr>
          <w:p w14:paraId="58A71B6B" w14:textId="77777777" w:rsidR="00314EB5" w:rsidRPr="009E234D" w:rsidRDefault="00314EB5" w:rsidP="00EE0DF6">
            <w:pPr>
              <w:pStyle w:val="NoSpacing"/>
              <w:jc w:val="right"/>
            </w:pPr>
            <w:r w:rsidRPr="009E234D">
              <w:t>Rockwood</w:t>
            </w:r>
          </w:p>
        </w:tc>
        <w:tc>
          <w:tcPr>
            <w:tcW w:w="2112" w:type="dxa"/>
            <w:shd w:val="clear" w:color="auto" w:fill="auto"/>
            <w:hideMark/>
          </w:tcPr>
          <w:p w14:paraId="1DD3BF6D"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3</w:t>
            </w:r>
            <w:r>
              <w:t>0.5</w:t>
            </w:r>
            <w:r w:rsidRPr="009E234D">
              <w:t xml:space="preserve"> % (</w:t>
            </w:r>
            <w:r>
              <w:t>489</w:t>
            </w:r>
            <w:r w:rsidRPr="009E234D">
              <w:t>)</w:t>
            </w:r>
          </w:p>
        </w:tc>
        <w:tc>
          <w:tcPr>
            <w:tcW w:w="2007" w:type="dxa"/>
            <w:shd w:val="clear" w:color="auto" w:fill="auto"/>
            <w:hideMark/>
          </w:tcPr>
          <w:p w14:paraId="5F636D1F"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w:t>
            </w:r>
          </w:p>
        </w:tc>
        <w:tc>
          <w:tcPr>
            <w:tcW w:w="1625" w:type="dxa"/>
            <w:shd w:val="clear" w:color="auto" w:fill="auto"/>
          </w:tcPr>
          <w:p w14:paraId="045E24C5"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w:t>
            </w:r>
          </w:p>
        </w:tc>
      </w:tr>
      <w:tr w:rsidR="00314EB5" w:rsidRPr="009E234D" w14:paraId="0ACD5CF7" w14:textId="77777777" w:rsidTr="00EE0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2" w:type="dxa"/>
            <w:tcBorders>
              <w:bottom w:val="single" w:sz="4" w:space="0" w:color="auto"/>
            </w:tcBorders>
            <w:shd w:val="clear" w:color="auto" w:fill="auto"/>
            <w:hideMark/>
          </w:tcPr>
          <w:p w14:paraId="056292D0" w14:textId="77777777" w:rsidR="00314EB5" w:rsidRPr="009E234D" w:rsidRDefault="00314EB5" w:rsidP="00EE0DF6">
            <w:pPr>
              <w:pStyle w:val="NoSpacing"/>
              <w:jc w:val="right"/>
            </w:pPr>
            <w:r w:rsidRPr="009E234D">
              <w:t>HFRS</w:t>
            </w:r>
          </w:p>
        </w:tc>
        <w:tc>
          <w:tcPr>
            <w:tcW w:w="2112" w:type="dxa"/>
            <w:tcBorders>
              <w:bottom w:val="single" w:sz="4" w:space="0" w:color="auto"/>
            </w:tcBorders>
            <w:shd w:val="clear" w:color="auto" w:fill="auto"/>
            <w:hideMark/>
          </w:tcPr>
          <w:p w14:paraId="31A6F660"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4</w:t>
            </w:r>
            <w:r>
              <w:t>0.2</w:t>
            </w:r>
            <w:r w:rsidRPr="009E234D">
              <w:t xml:space="preserve"> % (</w:t>
            </w:r>
            <w:r>
              <w:t>674</w:t>
            </w:r>
            <w:r w:rsidRPr="009E234D">
              <w:t>)</w:t>
            </w:r>
          </w:p>
        </w:tc>
        <w:tc>
          <w:tcPr>
            <w:tcW w:w="2007" w:type="dxa"/>
            <w:tcBorders>
              <w:bottom w:val="single" w:sz="4" w:space="0" w:color="auto"/>
            </w:tcBorders>
            <w:shd w:val="clear" w:color="auto" w:fill="auto"/>
            <w:hideMark/>
          </w:tcPr>
          <w:p w14:paraId="6D469F48"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67.1 % (246)</w:t>
            </w:r>
          </w:p>
        </w:tc>
        <w:tc>
          <w:tcPr>
            <w:tcW w:w="1625" w:type="dxa"/>
            <w:tcBorders>
              <w:bottom w:val="single" w:sz="4" w:space="0" w:color="auto"/>
            </w:tcBorders>
            <w:shd w:val="clear" w:color="auto" w:fill="auto"/>
          </w:tcPr>
          <w:p w14:paraId="49598843"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w:t>
            </w:r>
          </w:p>
        </w:tc>
      </w:tr>
    </w:tbl>
    <w:p w14:paraId="0374356B" w14:textId="77777777" w:rsidR="00314EB5" w:rsidRPr="00071AC9" w:rsidRDefault="00314EB5" w:rsidP="00314EB5">
      <w:pPr>
        <w:spacing w:after="0"/>
        <w:rPr>
          <w:sz w:val="20"/>
        </w:rPr>
      </w:pPr>
      <w:r w:rsidRPr="00071AC9">
        <w:rPr>
          <w:sz w:val="20"/>
        </w:rPr>
        <w:t>Figures are % for binary variables and means with standard deviation for continuous variables.</w:t>
      </w:r>
    </w:p>
    <w:p w14:paraId="1C31FA81" w14:textId="77777777" w:rsidR="00314EB5" w:rsidRPr="00071AC9" w:rsidRDefault="00314EB5" w:rsidP="00314EB5">
      <w:pPr>
        <w:spacing w:after="0"/>
        <w:rPr>
          <w:sz w:val="20"/>
        </w:rPr>
      </w:pPr>
      <w:r w:rsidRPr="00071AC9">
        <w:rPr>
          <w:sz w:val="20"/>
        </w:rPr>
        <w:t xml:space="preserve">‡Based on past two years and including present admission </w:t>
      </w:r>
    </w:p>
    <w:p w14:paraId="4463D5EB" w14:textId="77777777" w:rsidR="00314EB5" w:rsidRPr="00071AC9" w:rsidRDefault="00314EB5" w:rsidP="00314EB5">
      <w:pPr>
        <w:rPr>
          <w:sz w:val="20"/>
        </w:rPr>
      </w:pPr>
      <w:r w:rsidRPr="00071AC9">
        <w:rPr>
          <w:sz w:val="20"/>
        </w:rPr>
        <w:t>†Sample sizes vary as not</w:t>
      </w:r>
      <w:r>
        <w:rPr>
          <w:sz w:val="20"/>
        </w:rPr>
        <w:t xml:space="preserve"> all individuals had</w:t>
      </w:r>
      <w:r w:rsidRPr="00071AC9">
        <w:rPr>
          <w:sz w:val="20"/>
        </w:rPr>
        <w:t xml:space="preserve"> the data items needed to calculated the relevant frailty measure</w:t>
      </w:r>
    </w:p>
    <w:p w14:paraId="451274E8" w14:textId="77777777" w:rsidR="00314EB5" w:rsidRPr="009E234D" w:rsidRDefault="00314EB5" w:rsidP="00314EB5">
      <w:pPr>
        <w:pStyle w:val="Tablehead"/>
      </w:pPr>
      <w:bookmarkStart w:id="1" w:name="_Ref503355421"/>
      <w:r w:rsidRPr="009E234D">
        <w:t xml:space="preserve">Table </w:t>
      </w:r>
      <w:bookmarkEnd w:id="1"/>
      <w:r>
        <w:t>2</w:t>
      </w:r>
      <w:r>
        <w:rPr>
          <w:noProof/>
        </w:rPr>
        <w:t xml:space="preserve"> </w:t>
      </w:r>
      <w:r w:rsidRPr="009E234D">
        <w:t>Two-Year survi</w:t>
      </w:r>
      <w:r>
        <w:t xml:space="preserve">val by frailty status in the two </w:t>
      </w:r>
      <w:r w:rsidRPr="009E234D">
        <w:t>cohorts</w:t>
      </w:r>
    </w:p>
    <w:tbl>
      <w:tblPr>
        <w:tblStyle w:val="LightShading"/>
        <w:tblW w:w="8918" w:type="dxa"/>
        <w:jc w:val="center"/>
        <w:tblInd w:w="0" w:type="dxa"/>
        <w:tblLayout w:type="fixed"/>
        <w:tblLook w:val="04A0" w:firstRow="1" w:lastRow="0" w:firstColumn="1" w:lastColumn="0" w:noHBand="0" w:noVBand="1"/>
      </w:tblPr>
      <w:tblGrid>
        <w:gridCol w:w="2075"/>
        <w:gridCol w:w="477"/>
        <w:gridCol w:w="889"/>
        <w:gridCol w:w="812"/>
        <w:gridCol w:w="554"/>
        <w:gridCol w:w="863"/>
        <w:gridCol w:w="503"/>
        <w:gridCol w:w="1198"/>
        <w:gridCol w:w="168"/>
        <w:gridCol w:w="1358"/>
        <w:gridCol w:w="9"/>
        <w:gridCol w:w="12"/>
      </w:tblGrid>
      <w:tr w:rsidR="00314EB5" w:rsidRPr="009E234D" w14:paraId="4EAE0B64" w14:textId="77777777" w:rsidTr="00EE0DF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vMerge w:val="restart"/>
            <w:tcBorders>
              <w:top w:val="single" w:sz="4" w:space="0" w:color="auto"/>
              <w:bottom w:val="nil"/>
            </w:tcBorders>
            <w:shd w:val="clear" w:color="auto" w:fill="DBE5F1" w:themeFill="accent1" w:themeFillTint="33"/>
            <w:vAlign w:val="center"/>
            <w:hideMark/>
          </w:tcPr>
          <w:p w14:paraId="701BCEA1" w14:textId="77777777" w:rsidR="00314EB5" w:rsidRPr="009E234D" w:rsidRDefault="00314EB5" w:rsidP="00EE0DF6">
            <w:pPr>
              <w:pStyle w:val="NoSpacing"/>
            </w:pPr>
          </w:p>
          <w:p w14:paraId="75D2FB55" w14:textId="77777777" w:rsidR="00314EB5" w:rsidRPr="009E234D" w:rsidRDefault="00314EB5" w:rsidP="00EE0DF6">
            <w:pPr>
              <w:pStyle w:val="NoSpacing"/>
            </w:pPr>
            <w:r w:rsidRPr="009E234D">
              <w:t>Frailty Scale (sample size)</w:t>
            </w:r>
          </w:p>
        </w:tc>
        <w:tc>
          <w:tcPr>
            <w:tcW w:w="3118" w:type="dxa"/>
            <w:gridSpan w:val="4"/>
            <w:tcBorders>
              <w:top w:val="single" w:sz="4" w:space="0" w:color="auto"/>
              <w:bottom w:val="nil"/>
            </w:tcBorders>
            <w:shd w:val="clear" w:color="auto" w:fill="DBE5F1" w:themeFill="accent1" w:themeFillTint="33"/>
            <w:vAlign w:val="center"/>
            <w:hideMark/>
          </w:tcPr>
          <w:p w14:paraId="3A00EE08" w14:textId="77777777" w:rsidR="00314EB5" w:rsidRPr="009E234D" w:rsidRDefault="00314EB5" w:rsidP="00EE0DF6">
            <w:pPr>
              <w:pStyle w:val="NoSpacing"/>
              <w:jc w:val="center"/>
              <w:cnfStyle w:val="100000000000" w:firstRow="1" w:lastRow="0" w:firstColumn="0" w:lastColumn="0" w:oddVBand="0" w:evenVBand="0" w:oddHBand="0" w:evenHBand="0" w:firstRowFirstColumn="0" w:firstRowLastColumn="0" w:lastRowFirstColumn="0" w:lastRowLastColumn="0"/>
            </w:pPr>
            <w:r w:rsidRPr="009E234D">
              <w:t>Mortality Percentage</w:t>
            </w:r>
            <w:r>
              <w:t xml:space="preserve"> [95% CI]</w:t>
            </w:r>
          </w:p>
        </w:tc>
        <w:tc>
          <w:tcPr>
            <w:tcW w:w="3248" w:type="dxa"/>
            <w:gridSpan w:val="6"/>
            <w:tcBorders>
              <w:top w:val="single" w:sz="4" w:space="0" w:color="auto"/>
              <w:bottom w:val="nil"/>
            </w:tcBorders>
            <w:shd w:val="clear" w:color="auto" w:fill="DBE5F1" w:themeFill="accent1" w:themeFillTint="33"/>
            <w:vAlign w:val="center"/>
            <w:hideMark/>
          </w:tcPr>
          <w:p w14:paraId="50B87003" w14:textId="77777777" w:rsidR="00314EB5" w:rsidRPr="009E234D" w:rsidRDefault="00314EB5" w:rsidP="00EE0DF6">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9E234D">
              <w:t xml:space="preserve">Hazard Ratios </w:t>
            </w:r>
            <w:r>
              <w:t>[95% CI]</w:t>
            </w:r>
          </w:p>
        </w:tc>
      </w:tr>
      <w:tr w:rsidR="00314EB5" w:rsidRPr="009E234D" w14:paraId="129CF94D" w14:textId="77777777" w:rsidTr="00EE0DF6">
        <w:trPr>
          <w:gridAfter w:val="1"/>
          <w:cnfStyle w:val="000000100000" w:firstRow="0" w:lastRow="0" w:firstColumn="0" w:lastColumn="0" w:oddVBand="0" w:evenVBand="0" w:oddHBand="1" w:evenHBand="0" w:firstRowFirstColumn="0" w:firstRowLastColumn="0" w:lastRowFirstColumn="0" w:lastRowLastColumn="0"/>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vMerge/>
            <w:tcBorders>
              <w:top w:val="nil"/>
              <w:bottom w:val="single" w:sz="4" w:space="0" w:color="auto"/>
            </w:tcBorders>
            <w:shd w:val="clear" w:color="auto" w:fill="auto"/>
            <w:vAlign w:val="center"/>
            <w:hideMark/>
          </w:tcPr>
          <w:p w14:paraId="05F7CF2D" w14:textId="77777777" w:rsidR="00314EB5" w:rsidRPr="009E234D" w:rsidRDefault="00314EB5" w:rsidP="00EE0DF6">
            <w:pPr>
              <w:pStyle w:val="NoSpacing"/>
            </w:pPr>
          </w:p>
        </w:tc>
        <w:tc>
          <w:tcPr>
            <w:tcW w:w="1701" w:type="dxa"/>
            <w:gridSpan w:val="2"/>
            <w:tcBorders>
              <w:top w:val="nil"/>
              <w:bottom w:val="single" w:sz="4" w:space="0" w:color="auto"/>
            </w:tcBorders>
            <w:shd w:val="clear" w:color="auto" w:fill="DBE5F1" w:themeFill="accent1" w:themeFillTint="33"/>
            <w:vAlign w:val="center"/>
            <w:hideMark/>
          </w:tcPr>
          <w:p w14:paraId="0ED3AEA4"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Non-Frail</w:t>
            </w:r>
          </w:p>
        </w:tc>
        <w:tc>
          <w:tcPr>
            <w:tcW w:w="1417" w:type="dxa"/>
            <w:gridSpan w:val="2"/>
            <w:tcBorders>
              <w:top w:val="nil"/>
              <w:bottom w:val="single" w:sz="4" w:space="0" w:color="auto"/>
            </w:tcBorders>
            <w:shd w:val="clear" w:color="auto" w:fill="DBE5F1" w:themeFill="accent1" w:themeFillTint="33"/>
            <w:vAlign w:val="center"/>
            <w:hideMark/>
          </w:tcPr>
          <w:p w14:paraId="69DF9361"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Frail</w:t>
            </w:r>
          </w:p>
        </w:tc>
        <w:tc>
          <w:tcPr>
            <w:tcW w:w="1701" w:type="dxa"/>
            <w:gridSpan w:val="2"/>
            <w:tcBorders>
              <w:top w:val="nil"/>
              <w:bottom w:val="single" w:sz="4" w:space="0" w:color="auto"/>
            </w:tcBorders>
            <w:shd w:val="clear" w:color="auto" w:fill="DBE5F1" w:themeFill="accent1" w:themeFillTint="33"/>
            <w:vAlign w:val="center"/>
            <w:hideMark/>
          </w:tcPr>
          <w:p w14:paraId="4125ED38"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Unadjusted</w:t>
            </w:r>
          </w:p>
        </w:tc>
        <w:tc>
          <w:tcPr>
            <w:tcW w:w="1535" w:type="dxa"/>
            <w:gridSpan w:val="3"/>
            <w:tcBorders>
              <w:top w:val="nil"/>
              <w:bottom w:val="single" w:sz="4" w:space="0" w:color="auto"/>
            </w:tcBorders>
            <w:shd w:val="clear" w:color="auto" w:fill="DBE5F1" w:themeFill="accent1" w:themeFillTint="33"/>
            <w:vAlign w:val="center"/>
            <w:hideMark/>
          </w:tcPr>
          <w:p w14:paraId="670A5648"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Adjusted for age and sex†</w:t>
            </w:r>
          </w:p>
        </w:tc>
      </w:tr>
      <w:tr w:rsidR="00314EB5" w:rsidRPr="009E234D" w14:paraId="51177B69" w14:textId="77777777" w:rsidTr="00EE0DF6">
        <w:trPr>
          <w:gridAfter w:val="1"/>
          <w:wAfter w:w="12" w:type="dxa"/>
          <w:trHeight w:hRule="exact" w:val="113"/>
          <w:jc w:val="center"/>
        </w:trPr>
        <w:tc>
          <w:tcPr>
            <w:cnfStyle w:val="001000000000" w:firstRow="0" w:lastRow="0" w:firstColumn="1" w:lastColumn="0" w:oddVBand="0" w:evenVBand="0" w:oddHBand="0" w:evenHBand="0" w:firstRowFirstColumn="0" w:firstRowLastColumn="0" w:lastRowFirstColumn="0" w:lastRowLastColumn="0"/>
            <w:tcW w:w="2075" w:type="dxa"/>
            <w:tcBorders>
              <w:top w:val="single" w:sz="4" w:space="0" w:color="auto"/>
              <w:bottom w:val="single" w:sz="4" w:space="0" w:color="auto"/>
            </w:tcBorders>
            <w:shd w:val="clear" w:color="auto" w:fill="FFFFFF" w:themeFill="background1"/>
            <w:vAlign w:val="center"/>
          </w:tcPr>
          <w:p w14:paraId="2B14BD17" w14:textId="77777777" w:rsidR="00314EB5" w:rsidRPr="009E234D" w:rsidRDefault="00314EB5" w:rsidP="00EE0DF6">
            <w:pPr>
              <w:pStyle w:val="NoSpacing"/>
              <w:rPr>
                <w:b w:val="0"/>
                <w:bCs w:val="0"/>
              </w:rPr>
            </w:pPr>
          </w:p>
        </w:tc>
        <w:tc>
          <w:tcPr>
            <w:tcW w:w="1366" w:type="dxa"/>
            <w:gridSpan w:val="2"/>
            <w:tcBorders>
              <w:top w:val="single" w:sz="4" w:space="0" w:color="auto"/>
              <w:bottom w:val="single" w:sz="4" w:space="0" w:color="auto"/>
            </w:tcBorders>
            <w:shd w:val="clear" w:color="auto" w:fill="FFFFFF" w:themeFill="background1"/>
            <w:vAlign w:val="center"/>
          </w:tcPr>
          <w:p w14:paraId="55A6E515"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366" w:type="dxa"/>
            <w:gridSpan w:val="2"/>
            <w:tcBorders>
              <w:top w:val="single" w:sz="4" w:space="0" w:color="auto"/>
              <w:bottom w:val="single" w:sz="4" w:space="0" w:color="auto"/>
            </w:tcBorders>
            <w:shd w:val="clear" w:color="auto" w:fill="FFFFFF" w:themeFill="background1"/>
            <w:vAlign w:val="center"/>
          </w:tcPr>
          <w:p w14:paraId="7EAF4CA3"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366" w:type="dxa"/>
            <w:gridSpan w:val="2"/>
            <w:tcBorders>
              <w:top w:val="single" w:sz="4" w:space="0" w:color="auto"/>
              <w:bottom w:val="single" w:sz="4" w:space="0" w:color="auto"/>
            </w:tcBorders>
            <w:shd w:val="clear" w:color="auto" w:fill="FFFFFF" w:themeFill="background1"/>
            <w:vAlign w:val="center"/>
          </w:tcPr>
          <w:p w14:paraId="261C0CA4"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366" w:type="dxa"/>
            <w:gridSpan w:val="2"/>
            <w:tcBorders>
              <w:top w:val="single" w:sz="4" w:space="0" w:color="auto"/>
              <w:bottom w:val="single" w:sz="4" w:space="0" w:color="auto"/>
            </w:tcBorders>
            <w:shd w:val="clear" w:color="auto" w:fill="FFFFFF" w:themeFill="background1"/>
            <w:vAlign w:val="center"/>
          </w:tcPr>
          <w:p w14:paraId="1D1DB9FC"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367" w:type="dxa"/>
            <w:gridSpan w:val="2"/>
            <w:tcBorders>
              <w:top w:val="single" w:sz="4" w:space="0" w:color="auto"/>
              <w:bottom w:val="single" w:sz="4" w:space="0" w:color="auto"/>
            </w:tcBorders>
            <w:shd w:val="clear" w:color="auto" w:fill="FFFFFF" w:themeFill="background1"/>
            <w:vAlign w:val="center"/>
          </w:tcPr>
          <w:p w14:paraId="1874BA30"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pPr>
          </w:p>
        </w:tc>
      </w:tr>
      <w:tr w:rsidR="00314EB5" w:rsidRPr="009E234D" w14:paraId="77227E0A" w14:textId="77777777" w:rsidTr="00EE0DF6">
        <w:trPr>
          <w:gridAfter w:val="1"/>
          <w:cnfStyle w:val="000000100000" w:firstRow="0" w:lastRow="0" w:firstColumn="0" w:lastColumn="0" w:oddVBand="0" w:evenVBand="0" w:oddHBand="1" w:evenHBand="0" w:firstRowFirstColumn="0" w:firstRowLastColumn="0" w:lastRowFirstColumn="0" w:lastRowLastColumn="0"/>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8906" w:type="dxa"/>
            <w:gridSpan w:val="11"/>
            <w:tcBorders>
              <w:top w:val="single" w:sz="4" w:space="0" w:color="auto"/>
              <w:bottom w:val="single" w:sz="4" w:space="0" w:color="auto"/>
            </w:tcBorders>
            <w:shd w:val="clear" w:color="auto" w:fill="DBE5F1" w:themeFill="accent1" w:themeFillTint="33"/>
            <w:vAlign w:val="center"/>
          </w:tcPr>
          <w:p w14:paraId="0CE638EC" w14:textId="77777777" w:rsidR="00314EB5" w:rsidRPr="009E234D" w:rsidRDefault="00314EB5" w:rsidP="00EE0DF6">
            <w:pPr>
              <w:pStyle w:val="NoSpacing"/>
              <w:rPr>
                <w:i/>
              </w:rPr>
            </w:pPr>
            <w:r>
              <w:rPr>
                <w:i/>
              </w:rPr>
              <w:t xml:space="preserve">Ambulatory </w:t>
            </w:r>
            <w:r w:rsidRPr="009E234D">
              <w:rPr>
                <w:i/>
              </w:rPr>
              <w:t>Cohort</w:t>
            </w:r>
          </w:p>
        </w:tc>
      </w:tr>
      <w:tr w:rsidR="00314EB5" w:rsidRPr="009E234D" w14:paraId="789894B9" w14:textId="77777777" w:rsidTr="00EE0DF6">
        <w:trPr>
          <w:gridAfter w:val="1"/>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tcBorders>
              <w:top w:val="single" w:sz="4" w:space="0" w:color="auto"/>
            </w:tcBorders>
            <w:shd w:val="clear" w:color="auto" w:fill="auto"/>
            <w:vAlign w:val="center"/>
            <w:hideMark/>
          </w:tcPr>
          <w:p w14:paraId="014A2A57" w14:textId="77777777" w:rsidR="00314EB5" w:rsidRPr="009E234D" w:rsidRDefault="00314EB5" w:rsidP="00EE0DF6">
            <w:pPr>
              <w:pStyle w:val="NoSpacing"/>
            </w:pPr>
            <w:r w:rsidRPr="009E234D">
              <w:t>Fried (</w:t>
            </w:r>
            <w:r>
              <w:t>494</w:t>
            </w:r>
            <w:r w:rsidRPr="009E234D">
              <w:t>)</w:t>
            </w:r>
          </w:p>
        </w:tc>
        <w:tc>
          <w:tcPr>
            <w:tcW w:w="1701" w:type="dxa"/>
            <w:gridSpan w:val="2"/>
            <w:tcBorders>
              <w:top w:val="single" w:sz="4" w:space="0" w:color="auto"/>
            </w:tcBorders>
            <w:shd w:val="clear" w:color="auto" w:fill="auto"/>
            <w:vAlign w:val="center"/>
            <w:hideMark/>
          </w:tcPr>
          <w:p w14:paraId="154703E1"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w:t>
            </w:r>
            <w:r>
              <w:t>4.9</w:t>
            </w:r>
            <w:r w:rsidRPr="009E234D">
              <w:t xml:space="preserve"> %</w:t>
            </w:r>
          </w:p>
          <w:p w14:paraId="606C9206"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[11.2,18.5]</w:t>
            </w:r>
          </w:p>
        </w:tc>
        <w:tc>
          <w:tcPr>
            <w:tcW w:w="1417" w:type="dxa"/>
            <w:gridSpan w:val="2"/>
            <w:tcBorders>
              <w:top w:val="single" w:sz="4" w:space="0" w:color="auto"/>
            </w:tcBorders>
            <w:shd w:val="clear" w:color="auto" w:fill="auto"/>
            <w:vAlign w:val="center"/>
            <w:hideMark/>
          </w:tcPr>
          <w:p w14:paraId="402AD9DE"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3</w:t>
            </w:r>
            <w:r>
              <w:t>4.2</w:t>
            </w:r>
            <w:r w:rsidRPr="009E234D">
              <w:t xml:space="preserve"> %</w:t>
            </w:r>
          </w:p>
          <w:p w14:paraId="46F4E82C"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[25.5,42.9]</w:t>
            </w:r>
          </w:p>
        </w:tc>
        <w:tc>
          <w:tcPr>
            <w:tcW w:w="1701" w:type="dxa"/>
            <w:gridSpan w:val="2"/>
            <w:tcBorders>
              <w:top w:val="single" w:sz="4" w:space="0" w:color="auto"/>
            </w:tcBorders>
            <w:shd w:val="clear" w:color="auto" w:fill="auto"/>
            <w:vAlign w:val="center"/>
            <w:hideMark/>
          </w:tcPr>
          <w:p w14:paraId="3C7BC79C"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2.6**</w:t>
            </w:r>
          </w:p>
          <w:p w14:paraId="73A58D87"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[1.7,3.8]</w:t>
            </w:r>
          </w:p>
        </w:tc>
        <w:tc>
          <w:tcPr>
            <w:tcW w:w="1535" w:type="dxa"/>
            <w:gridSpan w:val="3"/>
            <w:tcBorders>
              <w:top w:val="single" w:sz="4" w:space="0" w:color="auto"/>
            </w:tcBorders>
            <w:shd w:val="clear" w:color="auto" w:fill="auto"/>
            <w:vAlign w:val="center"/>
          </w:tcPr>
          <w:p w14:paraId="3133566D"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2.0*</w:t>
            </w:r>
          </w:p>
          <w:p w14:paraId="19875A1C"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[1.3,3.0]</w:t>
            </w:r>
          </w:p>
        </w:tc>
      </w:tr>
      <w:tr w:rsidR="00314EB5" w:rsidRPr="009E234D" w14:paraId="7F46667A" w14:textId="77777777" w:rsidTr="00EE0DF6">
        <w:trPr>
          <w:gridAfter w:val="1"/>
          <w:cnfStyle w:val="000000100000" w:firstRow="0" w:lastRow="0" w:firstColumn="0" w:lastColumn="0" w:oddVBand="0" w:evenVBand="0" w:oddHBand="1" w:evenHBand="0" w:firstRowFirstColumn="0" w:firstRowLastColumn="0" w:lastRowFirstColumn="0" w:lastRowLastColumn="0"/>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auto"/>
            <w:vAlign w:val="center"/>
            <w:hideMark/>
          </w:tcPr>
          <w:p w14:paraId="108E7206" w14:textId="77777777" w:rsidR="00314EB5" w:rsidRPr="009E234D" w:rsidRDefault="00314EB5" w:rsidP="00EE0DF6">
            <w:pPr>
              <w:pStyle w:val="NoSpacing"/>
            </w:pPr>
            <w:r w:rsidRPr="009E234D">
              <w:t>Rothman (5</w:t>
            </w:r>
            <w:r>
              <w:t>03</w:t>
            </w:r>
            <w:r w:rsidRPr="009E234D">
              <w:t>)</w:t>
            </w:r>
          </w:p>
        </w:tc>
        <w:tc>
          <w:tcPr>
            <w:tcW w:w="1701" w:type="dxa"/>
            <w:gridSpan w:val="2"/>
            <w:shd w:val="clear" w:color="auto" w:fill="auto"/>
            <w:vAlign w:val="center"/>
            <w:hideMark/>
          </w:tcPr>
          <w:p w14:paraId="43B90A8D"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w:t>
            </w:r>
            <w:r>
              <w:t>4.3</w:t>
            </w:r>
            <w:r w:rsidRPr="009E234D">
              <w:t xml:space="preserve"> %</w:t>
            </w:r>
          </w:p>
          <w:p w14:paraId="2CD689CE"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[10.7,17.8]</w:t>
            </w:r>
          </w:p>
        </w:tc>
        <w:tc>
          <w:tcPr>
            <w:tcW w:w="1417" w:type="dxa"/>
            <w:gridSpan w:val="2"/>
            <w:shd w:val="clear" w:color="auto" w:fill="auto"/>
            <w:vAlign w:val="center"/>
            <w:hideMark/>
          </w:tcPr>
          <w:p w14:paraId="3D7181B9"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3</w:t>
            </w:r>
            <w:r>
              <w:t>6.8</w:t>
            </w:r>
            <w:r w:rsidRPr="009E234D">
              <w:t xml:space="preserve"> %</w:t>
            </w:r>
          </w:p>
          <w:p w14:paraId="468A6089"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[27.9,45.6]</w:t>
            </w:r>
          </w:p>
        </w:tc>
        <w:tc>
          <w:tcPr>
            <w:tcW w:w="1701" w:type="dxa"/>
            <w:gridSpan w:val="2"/>
            <w:shd w:val="clear" w:color="auto" w:fill="auto"/>
            <w:vAlign w:val="center"/>
            <w:hideMark/>
          </w:tcPr>
          <w:p w14:paraId="45A648CD"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2.9**</w:t>
            </w:r>
          </w:p>
          <w:p w14:paraId="1743C2EE"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[2.0,4.4]</w:t>
            </w:r>
          </w:p>
        </w:tc>
        <w:tc>
          <w:tcPr>
            <w:tcW w:w="1535" w:type="dxa"/>
            <w:gridSpan w:val="3"/>
            <w:shd w:val="clear" w:color="auto" w:fill="auto"/>
            <w:vAlign w:val="center"/>
          </w:tcPr>
          <w:p w14:paraId="1D99F1DD"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2.3**</w:t>
            </w:r>
          </w:p>
          <w:p w14:paraId="35E0771D"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[1.5,3.4]</w:t>
            </w:r>
          </w:p>
        </w:tc>
      </w:tr>
      <w:tr w:rsidR="00314EB5" w:rsidRPr="009E234D" w14:paraId="64E44AA5" w14:textId="77777777" w:rsidTr="00EE0DF6">
        <w:trPr>
          <w:gridAfter w:val="1"/>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auto"/>
            <w:vAlign w:val="center"/>
            <w:hideMark/>
          </w:tcPr>
          <w:p w14:paraId="4AD65972" w14:textId="77777777" w:rsidR="00314EB5" w:rsidRPr="009E234D" w:rsidRDefault="00314EB5" w:rsidP="00EE0DF6">
            <w:pPr>
              <w:pStyle w:val="NoSpacing"/>
            </w:pPr>
            <w:r w:rsidRPr="009E234D">
              <w:t>Rockwood (</w:t>
            </w:r>
            <w:r>
              <w:t>489</w:t>
            </w:r>
            <w:r w:rsidRPr="009E234D">
              <w:t>)</w:t>
            </w:r>
          </w:p>
        </w:tc>
        <w:tc>
          <w:tcPr>
            <w:tcW w:w="1701" w:type="dxa"/>
            <w:gridSpan w:val="2"/>
            <w:shd w:val="clear" w:color="auto" w:fill="auto"/>
            <w:vAlign w:val="center"/>
            <w:hideMark/>
          </w:tcPr>
          <w:p w14:paraId="1C323F4F"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w:t>
            </w:r>
            <w:r>
              <w:t>3.5</w:t>
            </w:r>
            <w:r w:rsidRPr="009E234D">
              <w:t xml:space="preserve"> %</w:t>
            </w:r>
          </w:p>
          <w:p w14:paraId="4EB38BD2"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[9.9,17.2]</w:t>
            </w:r>
          </w:p>
        </w:tc>
        <w:tc>
          <w:tcPr>
            <w:tcW w:w="1417" w:type="dxa"/>
            <w:gridSpan w:val="2"/>
            <w:shd w:val="clear" w:color="auto" w:fill="auto"/>
            <w:vAlign w:val="center"/>
            <w:hideMark/>
          </w:tcPr>
          <w:p w14:paraId="5907D420"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3</w:t>
            </w:r>
            <w:r>
              <w:t>2.2</w:t>
            </w:r>
            <w:r w:rsidRPr="009E234D">
              <w:t xml:space="preserve"> %</w:t>
            </w:r>
          </w:p>
          <w:p w14:paraId="1C61AB7D"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[24.6,38.1]</w:t>
            </w:r>
          </w:p>
        </w:tc>
        <w:tc>
          <w:tcPr>
            <w:tcW w:w="1701" w:type="dxa"/>
            <w:gridSpan w:val="2"/>
            <w:shd w:val="clear" w:color="auto" w:fill="auto"/>
            <w:vAlign w:val="center"/>
            <w:hideMark/>
          </w:tcPr>
          <w:p w14:paraId="69FCA869"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2.6**</w:t>
            </w:r>
          </w:p>
          <w:p w14:paraId="1CD5A15C"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[1.7,3.9]</w:t>
            </w:r>
          </w:p>
        </w:tc>
        <w:tc>
          <w:tcPr>
            <w:tcW w:w="1535" w:type="dxa"/>
            <w:gridSpan w:val="3"/>
            <w:shd w:val="clear" w:color="auto" w:fill="auto"/>
            <w:vAlign w:val="center"/>
          </w:tcPr>
          <w:p w14:paraId="4A9BF866"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2.3**</w:t>
            </w:r>
          </w:p>
          <w:p w14:paraId="5C9540D0"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[1.5,3.4]</w:t>
            </w:r>
          </w:p>
        </w:tc>
      </w:tr>
      <w:tr w:rsidR="00314EB5" w:rsidRPr="009E234D" w14:paraId="7A56DD82" w14:textId="77777777" w:rsidTr="00EE0DF6">
        <w:trPr>
          <w:gridAfter w:val="1"/>
          <w:cnfStyle w:val="000000100000" w:firstRow="0" w:lastRow="0" w:firstColumn="0" w:lastColumn="0" w:oddVBand="0" w:evenVBand="0" w:oddHBand="1" w:evenHBand="0" w:firstRowFirstColumn="0" w:firstRowLastColumn="0" w:lastRowFirstColumn="0" w:lastRowLastColumn="0"/>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tcBorders>
              <w:bottom w:val="single" w:sz="4" w:space="0" w:color="auto"/>
            </w:tcBorders>
            <w:shd w:val="clear" w:color="auto" w:fill="auto"/>
            <w:vAlign w:val="center"/>
            <w:hideMark/>
          </w:tcPr>
          <w:p w14:paraId="2510890A" w14:textId="77777777" w:rsidR="00314EB5" w:rsidRPr="009E234D" w:rsidRDefault="00314EB5" w:rsidP="00EE0DF6">
            <w:pPr>
              <w:pStyle w:val="NoSpacing"/>
            </w:pPr>
            <w:r w:rsidRPr="009E234D">
              <w:t>HFRS (</w:t>
            </w:r>
            <w:r>
              <w:t>674</w:t>
            </w:r>
            <w:r w:rsidRPr="009E234D">
              <w:t>)</w:t>
            </w:r>
          </w:p>
        </w:tc>
        <w:tc>
          <w:tcPr>
            <w:tcW w:w="1701" w:type="dxa"/>
            <w:gridSpan w:val="2"/>
            <w:tcBorders>
              <w:bottom w:val="single" w:sz="4" w:space="0" w:color="auto"/>
            </w:tcBorders>
            <w:shd w:val="clear" w:color="auto" w:fill="auto"/>
            <w:vAlign w:val="center"/>
            <w:hideMark/>
          </w:tcPr>
          <w:p w14:paraId="06660A18"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w:t>
            </w:r>
            <w:r>
              <w:t>4.4</w:t>
            </w:r>
            <w:r w:rsidRPr="009E234D">
              <w:t xml:space="preserve"> %</w:t>
            </w:r>
          </w:p>
          <w:p w14:paraId="139DFCCF"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[11.0,17.8]</w:t>
            </w:r>
          </w:p>
        </w:tc>
        <w:tc>
          <w:tcPr>
            <w:tcW w:w="1417" w:type="dxa"/>
            <w:gridSpan w:val="2"/>
            <w:tcBorders>
              <w:bottom w:val="single" w:sz="4" w:space="0" w:color="auto"/>
            </w:tcBorders>
            <w:shd w:val="clear" w:color="auto" w:fill="auto"/>
            <w:vAlign w:val="center"/>
            <w:hideMark/>
          </w:tcPr>
          <w:p w14:paraId="2EF84C9E"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3</w:t>
            </w:r>
            <w:r>
              <w:t>2.5</w:t>
            </w:r>
            <w:r w:rsidRPr="009E234D">
              <w:t xml:space="preserve"> %</w:t>
            </w:r>
          </w:p>
          <w:p w14:paraId="06A024D1"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[26.9,38.1]</w:t>
            </w:r>
          </w:p>
        </w:tc>
        <w:tc>
          <w:tcPr>
            <w:tcW w:w="1701" w:type="dxa"/>
            <w:gridSpan w:val="2"/>
            <w:tcBorders>
              <w:bottom w:val="single" w:sz="4" w:space="0" w:color="auto"/>
            </w:tcBorders>
            <w:shd w:val="clear" w:color="auto" w:fill="auto"/>
            <w:vAlign w:val="center"/>
            <w:hideMark/>
          </w:tcPr>
          <w:p w14:paraId="48B10A1E"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2.5**</w:t>
            </w:r>
          </w:p>
          <w:p w14:paraId="4ADDF079"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[1.8,3.4]</w:t>
            </w:r>
          </w:p>
        </w:tc>
        <w:tc>
          <w:tcPr>
            <w:tcW w:w="1535" w:type="dxa"/>
            <w:gridSpan w:val="3"/>
            <w:tcBorders>
              <w:bottom w:val="single" w:sz="4" w:space="0" w:color="auto"/>
            </w:tcBorders>
            <w:shd w:val="clear" w:color="auto" w:fill="auto"/>
            <w:vAlign w:val="center"/>
          </w:tcPr>
          <w:p w14:paraId="3F5F280D"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2.1**</w:t>
            </w:r>
          </w:p>
          <w:p w14:paraId="4090493F"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[1.5,3.0]</w:t>
            </w:r>
          </w:p>
        </w:tc>
      </w:tr>
      <w:tr w:rsidR="00314EB5" w:rsidRPr="009E234D" w14:paraId="5BBC13CB" w14:textId="77777777" w:rsidTr="00EE0DF6">
        <w:trPr>
          <w:gridAfter w:val="2"/>
          <w:wAfter w:w="21" w:type="dxa"/>
          <w:trHeight w:val="20"/>
          <w:jc w:val="center"/>
        </w:trPr>
        <w:tc>
          <w:tcPr>
            <w:cnfStyle w:val="001000000000" w:firstRow="0" w:lastRow="0" w:firstColumn="1" w:lastColumn="0" w:oddVBand="0" w:evenVBand="0" w:oddHBand="0" w:evenHBand="0" w:firstRowFirstColumn="0" w:firstRowLastColumn="0" w:lastRowFirstColumn="0" w:lastRowLastColumn="0"/>
            <w:tcW w:w="8897" w:type="dxa"/>
            <w:gridSpan w:val="10"/>
            <w:tcBorders>
              <w:top w:val="single" w:sz="4" w:space="0" w:color="auto"/>
              <w:bottom w:val="single" w:sz="4" w:space="0" w:color="auto"/>
            </w:tcBorders>
            <w:shd w:val="clear" w:color="auto" w:fill="DBE5F1" w:themeFill="accent1" w:themeFillTint="33"/>
            <w:vAlign w:val="center"/>
          </w:tcPr>
          <w:p w14:paraId="717CCC72" w14:textId="77777777" w:rsidR="00314EB5" w:rsidRPr="009E234D" w:rsidRDefault="00314EB5" w:rsidP="00EE0DF6">
            <w:pPr>
              <w:pStyle w:val="NoSpacing"/>
              <w:rPr>
                <w:b w:val="0"/>
                <w:bCs w:val="0"/>
                <w:i/>
              </w:rPr>
            </w:pPr>
            <w:r>
              <w:rPr>
                <w:i/>
              </w:rPr>
              <w:t>In-patient cohort</w:t>
            </w:r>
          </w:p>
        </w:tc>
      </w:tr>
      <w:tr w:rsidR="00314EB5" w:rsidRPr="009E234D" w14:paraId="34D8CAD4" w14:textId="77777777" w:rsidTr="00EE0DF6">
        <w:trPr>
          <w:gridAfter w:val="1"/>
          <w:cnfStyle w:val="000000100000" w:firstRow="0" w:lastRow="0" w:firstColumn="0" w:lastColumn="0" w:oddVBand="0" w:evenVBand="0" w:oddHBand="1" w:evenHBand="0" w:firstRowFirstColumn="0" w:firstRowLastColumn="0" w:lastRowFirstColumn="0" w:lastRowLastColumn="0"/>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tcBorders>
              <w:top w:val="single" w:sz="4" w:space="0" w:color="auto"/>
            </w:tcBorders>
            <w:shd w:val="clear" w:color="auto" w:fill="auto"/>
            <w:vAlign w:val="center"/>
            <w:hideMark/>
          </w:tcPr>
          <w:p w14:paraId="59503F9E" w14:textId="77777777" w:rsidR="00314EB5" w:rsidRPr="009E234D" w:rsidRDefault="00314EB5" w:rsidP="00EE0DF6">
            <w:pPr>
              <w:pStyle w:val="NoSpacing"/>
            </w:pPr>
            <w:r w:rsidRPr="009E234D">
              <w:t>Fried (140)</w:t>
            </w:r>
          </w:p>
        </w:tc>
        <w:tc>
          <w:tcPr>
            <w:tcW w:w="1701" w:type="dxa"/>
            <w:gridSpan w:val="2"/>
            <w:tcBorders>
              <w:top w:val="single" w:sz="4" w:space="0" w:color="auto"/>
            </w:tcBorders>
            <w:shd w:val="clear" w:color="auto" w:fill="auto"/>
            <w:vAlign w:val="center"/>
            <w:hideMark/>
          </w:tcPr>
          <w:p w14:paraId="76A56750"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21</w:t>
            </w:r>
            <w:r>
              <w:t>.4</w:t>
            </w:r>
            <w:r w:rsidRPr="009E234D">
              <w:t xml:space="preserve"> %</w:t>
            </w:r>
          </w:p>
          <w:p w14:paraId="42795CE0"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[5.2,37.6]</w:t>
            </w:r>
          </w:p>
        </w:tc>
        <w:tc>
          <w:tcPr>
            <w:tcW w:w="1417" w:type="dxa"/>
            <w:gridSpan w:val="2"/>
            <w:tcBorders>
              <w:top w:val="single" w:sz="4" w:space="0" w:color="auto"/>
            </w:tcBorders>
            <w:shd w:val="clear" w:color="auto" w:fill="auto"/>
            <w:vAlign w:val="center"/>
            <w:hideMark/>
          </w:tcPr>
          <w:p w14:paraId="44ECDE1C"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46</w:t>
            </w:r>
            <w:r>
              <w:t>.4</w:t>
            </w:r>
            <w:r w:rsidRPr="009E234D">
              <w:t xml:space="preserve"> %</w:t>
            </w:r>
          </w:p>
          <w:p w14:paraId="4E119EC1"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[37.0,55.8]</w:t>
            </w:r>
          </w:p>
        </w:tc>
        <w:tc>
          <w:tcPr>
            <w:tcW w:w="1701" w:type="dxa"/>
            <w:gridSpan w:val="2"/>
            <w:tcBorders>
              <w:top w:val="single" w:sz="4" w:space="0" w:color="auto"/>
            </w:tcBorders>
            <w:shd w:val="clear" w:color="auto" w:fill="auto"/>
            <w:vAlign w:val="center"/>
            <w:hideMark/>
          </w:tcPr>
          <w:p w14:paraId="15043000"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2.6*</w:t>
            </w:r>
          </w:p>
          <w:p w14:paraId="5CB23A54"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[1.1,6.1]</w:t>
            </w:r>
          </w:p>
        </w:tc>
        <w:tc>
          <w:tcPr>
            <w:tcW w:w="1535" w:type="dxa"/>
            <w:gridSpan w:val="3"/>
            <w:tcBorders>
              <w:top w:val="single" w:sz="4" w:space="0" w:color="auto"/>
            </w:tcBorders>
            <w:shd w:val="clear" w:color="auto" w:fill="auto"/>
            <w:vAlign w:val="center"/>
          </w:tcPr>
          <w:p w14:paraId="3C74898C"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2.3</w:t>
            </w:r>
          </w:p>
          <w:p w14:paraId="5DCDA250"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[1.0,5.4]</w:t>
            </w:r>
          </w:p>
        </w:tc>
      </w:tr>
      <w:tr w:rsidR="00314EB5" w:rsidRPr="009E234D" w14:paraId="2A0D17A2" w14:textId="77777777" w:rsidTr="00EE0DF6">
        <w:trPr>
          <w:gridAfter w:val="1"/>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auto"/>
            <w:vAlign w:val="center"/>
            <w:hideMark/>
          </w:tcPr>
          <w:p w14:paraId="7BE9F2D7" w14:textId="77777777" w:rsidR="00314EB5" w:rsidRPr="009E234D" w:rsidRDefault="00314EB5" w:rsidP="00EE0DF6">
            <w:pPr>
              <w:pStyle w:val="NoSpacing"/>
            </w:pPr>
            <w:r w:rsidRPr="009E234D">
              <w:t>Rothman (192)</w:t>
            </w:r>
          </w:p>
        </w:tc>
        <w:tc>
          <w:tcPr>
            <w:tcW w:w="1701" w:type="dxa"/>
            <w:gridSpan w:val="2"/>
            <w:shd w:val="clear" w:color="auto" w:fill="auto"/>
            <w:vAlign w:val="center"/>
            <w:hideMark/>
          </w:tcPr>
          <w:p w14:paraId="59161B6A"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31</w:t>
            </w:r>
            <w:r>
              <w:t>.3</w:t>
            </w:r>
            <w:r w:rsidRPr="009E234D">
              <w:t xml:space="preserve"> %</w:t>
            </w:r>
          </w:p>
          <w:p w14:paraId="40268E58"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[22.0,54.2]</w:t>
            </w:r>
          </w:p>
        </w:tc>
        <w:tc>
          <w:tcPr>
            <w:tcW w:w="1417" w:type="dxa"/>
            <w:gridSpan w:val="2"/>
            <w:shd w:val="clear" w:color="auto" w:fill="auto"/>
            <w:vAlign w:val="center"/>
            <w:hideMark/>
          </w:tcPr>
          <w:p w14:paraId="222FA1D5"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5</w:t>
            </w:r>
            <w:r>
              <w:t>2.7</w:t>
            </w:r>
            <w:r w:rsidRPr="009E234D">
              <w:t xml:space="preserve"> %</w:t>
            </w:r>
          </w:p>
          <w:p w14:paraId="18603662"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[34.8,50.0]</w:t>
            </w:r>
          </w:p>
        </w:tc>
        <w:tc>
          <w:tcPr>
            <w:tcW w:w="1701" w:type="dxa"/>
            <w:gridSpan w:val="2"/>
            <w:shd w:val="clear" w:color="auto" w:fill="auto"/>
            <w:vAlign w:val="center"/>
            <w:hideMark/>
          </w:tcPr>
          <w:p w14:paraId="3E130473"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2.0*</w:t>
            </w:r>
          </w:p>
          <w:p w14:paraId="7A9E881D"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[1.3,3.1]</w:t>
            </w:r>
          </w:p>
        </w:tc>
        <w:tc>
          <w:tcPr>
            <w:tcW w:w="1535" w:type="dxa"/>
            <w:gridSpan w:val="3"/>
            <w:shd w:val="clear" w:color="auto" w:fill="auto"/>
            <w:vAlign w:val="center"/>
          </w:tcPr>
          <w:p w14:paraId="2ED8C6A8" w14:textId="77777777" w:rsidR="00314EB5"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1.6*</w:t>
            </w:r>
          </w:p>
          <w:p w14:paraId="4D49FA1D"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[1.0,2.6]</w:t>
            </w:r>
          </w:p>
        </w:tc>
      </w:tr>
      <w:tr w:rsidR="00314EB5" w:rsidRPr="009E234D" w14:paraId="0AAD90DE" w14:textId="77777777" w:rsidTr="00EE0DF6">
        <w:trPr>
          <w:gridAfter w:val="1"/>
          <w:cnfStyle w:val="000000100000" w:firstRow="0" w:lastRow="0" w:firstColumn="0" w:lastColumn="0" w:oddVBand="0" w:evenVBand="0" w:oddHBand="1" w:evenHBand="0" w:firstRowFirstColumn="0" w:firstRowLastColumn="0" w:lastRowFirstColumn="0" w:lastRowLastColumn="0"/>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tcBorders>
              <w:bottom w:val="single" w:sz="4" w:space="0" w:color="auto"/>
            </w:tcBorders>
            <w:shd w:val="clear" w:color="auto" w:fill="auto"/>
            <w:vAlign w:val="center"/>
            <w:hideMark/>
          </w:tcPr>
          <w:p w14:paraId="5350674F" w14:textId="77777777" w:rsidR="00314EB5" w:rsidRPr="009E234D" w:rsidRDefault="00314EB5" w:rsidP="00EE0DF6">
            <w:pPr>
              <w:pStyle w:val="NoSpacing"/>
            </w:pPr>
            <w:r w:rsidRPr="009E234D">
              <w:t>HFRS (246)</w:t>
            </w:r>
          </w:p>
        </w:tc>
        <w:tc>
          <w:tcPr>
            <w:tcW w:w="1701" w:type="dxa"/>
            <w:gridSpan w:val="2"/>
            <w:tcBorders>
              <w:bottom w:val="single" w:sz="4" w:space="0" w:color="auto"/>
            </w:tcBorders>
            <w:shd w:val="clear" w:color="auto" w:fill="auto"/>
            <w:vAlign w:val="center"/>
            <w:hideMark/>
          </w:tcPr>
          <w:p w14:paraId="4E982A26"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43</w:t>
            </w:r>
            <w:r>
              <w:t>.2</w:t>
            </w:r>
            <w:r w:rsidRPr="009E234D">
              <w:t xml:space="preserve"> %</w:t>
            </w:r>
          </w:p>
          <w:p w14:paraId="3E95D596"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[32.1,54.2]</w:t>
            </w:r>
          </w:p>
        </w:tc>
        <w:tc>
          <w:tcPr>
            <w:tcW w:w="1417" w:type="dxa"/>
            <w:gridSpan w:val="2"/>
            <w:tcBorders>
              <w:bottom w:val="single" w:sz="4" w:space="0" w:color="auto"/>
            </w:tcBorders>
            <w:shd w:val="clear" w:color="auto" w:fill="auto"/>
            <w:vAlign w:val="center"/>
            <w:hideMark/>
          </w:tcPr>
          <w:p w14:paraId="152FB6E8"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42</w:t>
            </w:r>
            <w:r>
              <w:t>.4</w:t>
            </w:r>
            <w:r w:rsidRPr="009E234D">
              <w:t xml:space="preserve"> %</w:t>
            </w:r>
          </w:p>
          <w:p w14:paraId="6288ACD5"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[34.8,50.0]</w:t>
            </w:r>
          </w:p>
        </w:tc>
        <w:tc>
          <w:tcPr>
            <w:tcW w:w="1701" w:type="dxa"/>
            <w:gridSpan w:val="2"/>
            <w:tcBorders>
              <w:bottom w:val="single" w:sz="4" w:space="0" w:color="auto"/>
            </w:tcBorders>
            <w:shd w:val="clear" w:color="auto" w:fill="auto"/>
            <w:vAlign w:val="center"/>
            <w:hideMark/>
          </w:tcPr>
          <w:p w14:paraId="305B5D51"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1.0</w:t>
            </w:r>
          </w:p>
          <w:p w14:paraId="3C17C285"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[0.7,1.6]</w:t>
            </w:r>
          </w:p>
        </w:tc>
        <w:tc>
          <w:tcPr>
            <w:tcW w:w="1535" w:type="dxa"/>
            <w:gridSpan w:val="3"/>
            <w:tcBorders>
              <w:bottom w:val="single" w:sz="4" w:space="0" w:color="auto"/>
            </w:tcBorders>
            <w:shd w:val="clear" w:color="auto" w:fill="auto"/>
            <w:vAlign w:val="center"/>
          </w:tcPr>
          <w:p w14:paraId="768E36D7" w14:textId="77777777" w:rsidR="00314EB5"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1.1</w:t>
            </w:r>
          </w:p>
          <w:p w14:paraId="48DABDBB"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[0.7,1.6]</w:t>
            </w:r>
          </w:p>
        </w:tc>
      </w:tr>
    </w:tbl>
    <w:p w14:paraId="3F9B57A2" w14:textId="77777777" w:rsidR="00314EB5" w:rsidRPr="00071AC9" w:rsidRDefault="00314EB5" w:rsidP="00314EB5">
      <w:pPr>
        <w:pStyle w:val="Tablehead"/>
        <w:spacing w:after="0"/>
        <w:rPr>
          <w:i w:val="0"/>
          <w:sz w:val="20"/>
          <w:szCs w:val="20"/>
          <w:lang w:eastAsia="en-US"/>
        </w:rPr>
      </w:pPr>
      <w:r w:rsidRPr="00071AC9">
        <w:rPr>
          <w:i w:val="0"/>
          <w:sz w:val="20"/>
          <w:szCs w:val="20"/>
          <w:lang w:eastAsia="en-US"/>
        </w:rPr>
        <w:t>95% CI = 95% Confidence Interval</w:t>
      </w:r>
    </w:p>
    <w:p w14:paraId="457DCA87" w14:textId="77777777" w:rsidR="00314EB5" w:rsidRPr="00071AC9" w:rsidRDefault="00314EB5" w:rsidP="00314EB5">
      <w:pPr>
        <w:pStyle w:val="Tablehead"/>
        <w:spacing w:after="0"/>
        <w:rPr>
          <w:i w:val="0"/>
          <w:sz w:val="20"/>
          <w:szCs w:val="20"/>
          <w:lang w:eastAsia="en-US"/>
        </w:rPr>
      </w:pPr>
      <w:r w:rsidRPr="00071AC9">
        <w:rPr>
          <w:i w:val="0"/>
          <w:sz w:val="20"/>
          <w:szCs w:val="20"/>
          <w:lang w:eastAsia="en-US"/>
        </w:rPr>
        <w:t>*Statistically significant at 5% level (p&lt;0.05)</w:t>
      </w:r>
    </w:p>
    <w:p w14:paraId="05CF6D5F" w14:textId="77777777" w:rsidR="00314EB5" w:rsidRPr="00071AC9" w:rsidRDefault="00314EB5" w:rsidP="00314EB5">
      <w:pPr>
        <w:spacing w:after="0"/>
        <w:rPr>
          <w:i/>
          <w:sz w:val="20"/>
          <w:szCs w:val="20"/>
        </w:rPr>
      </w:pPr>
      <w:r w:rsidRPr="00071AC9">
        <w:rPr>
          <w:sz w:val="20"/>
          <w:szCs w:val="20"/>
        </w:rPr>
        <w:t>**</w:t>
      </w:r>
      <w:r>
        <w:rPr>
          <w:sz w:val="20"/>
          <w:szCs w:val="20"/>
        </w:rPr>
        <w:t>Statistically significant at 0.1% level (p&lt;0.001)</w:t>
      </w:r>
    </w:p>
    <w:p w14:paraId="01A37E34" w14:textId="77777777" w:rsidR="00314EB5" w:rsidRPr="00071AC9" w:rsidRDefault="00314EB5" w:rsidP="00314EB5">
      <w:pPr>
        <w:pStyle w:val="Tablehead"/>
        <w:spacing w:after="0"/>
        <w:rPr>
          <w:i w:val="0"/>
          <w:sz w:val="20"/>
          <w:szCs w:val="20"/>
          <w:lang w:eastAsia="en-US"/>
        </w:rPr>
      </w:pPr>
      <w:r w:rsidRPr="00071AC9">
        <w:rPr>
          <w:i w:val="0"/>
          <w:sz w:val="20"/>
          <w:szCs w:val="20"/>
          <w:lang w:eastAsia="en-US"/>
        </w:rPr>
        <w:t>†Southampton analysis adjusted for age only (women-only cohort)</w:t>
      </w:r>
    </w:p>
    <w:p w14:paraId="782D3634" w14:textId="77777777" w:rsidR="00314EB5" w:rsidRDefault="00314EB5" w:rsidP="00314EB5"/>
    <w:p w14:paraId="79855443" w14:textId="77777777" w:rsidR="00314EB5" w:rsidRPr="009E234D" w:rsidRDefault="00314EB5" w:rsidP="00314EB5">
      <w:pPr>
        <w:pStyle w:val="Tablehead"/>
      </w:pPr>
      <w:bookmarkStart w:id="2" w:name="_Ref519160253"/>
      <w:r w:rsidRPr="009E234D">
        <w:lastRenderedPageBreak/>
        <w:t xml:space="preserve">Table </w:t>
      </w:r>
      <w:bookmarkEnd w:id="2"/>
      <w:r>
        <w:rPr>
          <w:noProof/>
        </w:rPr>
        <w:t>3</w:t>
      </w:r>
      <w:r w:rsidRPr="009E234D">
        <w:t xml:space="preserve"> Hospital use over two-year follow up period by frailty scale and cohort</w:t>
      </w:r>
      <w:r>
        <w:t xml:space="preserve"> with differences tested using </w:t>
      </w:r>
      <w:proofErr w:type="spellStart"/>
      <w:r>
        <w:t>Kruskal</w:t>
      </w:r>
      <w:proofErr w:type="spellEnd"/>
      <w:r>
        <w:t>-Wallis</w:t>
      </w:r>
    </w:p>
    <w:tbl>
      <w:tblPr>
        <w:tblStyle w:val="LightShading"/>
        <w:tblW w:w="8898" w:type="dxa"/>
        <w:jc w:val="center"/>
        <w:tblInd w:w="0" w:type="dxa"/>
        <w:tblLayout w:type="fixed"/>
        <w:tblLook w:val="04A0" w:firstRow="1" w:lastRow="0" w:firstColumn="1" w:lastColumn="0" w:noHBand="0" w:noVBand="1"/>
      </w:tblPr>
      <w:tblGrid>
        <w:gridCol w:w="1276"/>
        <w:gridCol w:w="1559"/>
        <w:gridCol w:w="1276"/>
        <w:gridCol w:w="757"/>
        <w:gridCol w:w="519"/>
        <w:gridCol w:w="129"/>
        <w:gridCol w:w="648"/>
        <w:gridCol w:w="357"/>
        <w:gridCol w:w="291"/>
        <w:gridCol w:w="648"/>
        <w:gridCol w:w="195"/>
        <w:gridCol w:w="453"/>
        <w:gridCol w:w="648"/>
        <w:gridCol w:w="142"/>
      </w:tblGrid>
      <w:tr w:rsidR="00314EB5" w:rsidRPr="009E234D" w14:paraId="26C03BA0" w14:textId="77777777" w:rsidTr="00EE0DF6">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bottom w:val="nil"/>
            </w:tcBorders>
            <w:shd w:val="clear" w:color="auto" w:fill="DBE5F1" w:themeFill="accent1" w:themeFillTint="33"/>
            <w:hideMark/>
          </w:tcPr>
          <w:p w14:paraId="0AFE7ED0" w14:textId="77777777" w:rsidR="00314EB5" w:rsidRPr="009E234D" w:rsidRDefault="00314EB5" w:rsidP="00EE0DF6">
            <w:pPr>
              <w:pStyle w:val="NoSpacing"/>
            </w:pPr>
            <w:r w:rsidRPr="009E234D">
              <w:t xml:space="preserve">Frailty Scale </w:t>
            </w:r>
          </w:p>
        </w:tc>
        <w:tc>
          <w:tcPr>
            <w:tcW w:w="4111" w:type="dxa"/>
            <w:gridSpan w:val="4"/>
            <w:tcBorders>
              <w:top w:val="single" w:sz="4" w:space="0" w:color="auto"/>
              <w:bottom w:val="nil"/>
            </w:tcBorders>
            <w:shd w:val="clear" w:color="auto" w:fill="DBE5F1" w:themeFill="accent1" w:themeFillTint="33"/>
            <w:hideMark/>
          </w:tcPr>
          <w:p w14:paraId="60539766" w14:textId="77777777" w:rsidR="00314EB5" w:rsidRPr="009E234D" w:rsidRDefault="00314EB5" w:rsidP="00EE0DF6">
            <w:pPr>
              <w:pStyle w:val="NoSpacing"/>
              <w:jc w:val="center"/>
              <w:cnfStyle w:val="100000000000" w:firstRow="1" w:lastRow="0" w:firstColumn="0" w:lastColumn="0" w:oddVBand="0" w:evenVBand="0" w:oddHBand="0" w:evenHBand="0" w:firstRowFirstColumn="0" w:firstRowLastColumn="0" w:lastRowFirstColumn="0" w:lastRowLastColumn="0"/>
            </w:pPr>
            <w:r w:rsidRPr="00425290">
              <w:t>Ambulatory</w:t>
            </w:r>
            <w:r w:rsidRPr="009E234D">
              <w:t xml:space="preserve"> Cohort</w:t>
            </w:r>
          </w:p>
        </w:tc>
        <w:tc>
          <w:tcPr>
            <w:tcW w:w="3511" w:type="dxa"/>
            <w:gridSpan w:val="9"/>
            <w:tcBorders>
              <w:top w:val="single" w:sz="4" w:space="0" w:color="auto"/>
              <w:bottom w:val="nil"/>
            </w:tcBorders>
            <w:shd w:val="clear" w:color="auto" w:fill="DBE5F1" w:themeFill="accent1" w:themeFillTint="33"/>
            <w:hideMark/>
          </w:tcPr>
          <w:p w14:paraId="01E419D9" w14:textId="77777777" w:rsidR="00314EB5" w:rsidRPr="009E234D" w:rsidRDefault="00314EB5" w:rsidP="00EE0DF6">
            <w:pPr>
              <w:pStyle w:val="NoSpacing"/>
              <w:jc w:val="center"/>
              <w:cnfStyle w:val="100000000000" w:firstRow="1" w:lastRow="0" w:firstColumn="0" w:lastColumn="0" w:oddVBand="0" w:evenVBand="0" w:oddHBand="0" w:evenHBand="0" w:firstRowFirstColumn="0" w:firstRowLastColumn="0" w:lastRowFirstColumn="0" w:lastRowLastColumn="0"/>
            </w:pPr>
            <w:r>
              <w:t>In-patient cohort</w:t>
            </w:r>
          </w:p>
        </w:tc>
      </w:tr>
      <w:tr w:rsidR="00314EB5" w:rsidRPr="009E234D" w14:paraId="12320C22" w14:textId="77777777" w:rsidTr="00EE0DF6">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nil"/>
              <w:bottom w:val="single" w:sz="4" w:space="0" w:color="auto"/>
            </w:tcBorders>
            <w:shd w:val="clear" w:color="auto" w:fill="DBE5F1" w:themeFill="accent1" w:themeFillTint="33"/>
            <w:hideMark/>
          </w:tcPr>
          <w:p w14:paraId="37BC3FE5" w14:textId="77777777" w:rsidR="00314EB5" w:rsidRPr="009E234D" w:rsidRDefault="00314EB5" w:rsidP="00EE0DF6">
            <w:pPr>
              <w:pStyle w:val="NoSpacing"/>
            </w:pPr>
          </w:p>
        </w:tc>
        <w:tc>
          <w:tcPr>
            <w:tcW w:w="1559" w:type="dxa"/>
            <w:tcBorders>
              <w:top w:val="nil"/>
              <w:bottom w:val="single" w:sz="4" w:space="0" w:color="auto"/>
            </w:tcBorders>
            <w:shd w:val="clear" w:color="auto" w:fill="DBE5F1" w:themeFill="accent1" w:themeFillTint="33"/>
            <w:hideMark/>
          </w:tcPr>
          <w:p w14:paraId="4BEC0BB5"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Non- Frail</w:t>
            </w:r>
          </w:p>
        </w:tc>
        <w:tc>
          <w:tcPr>
            <w:tcW w:w="1276" w:type="dxa"/>
            <w:tcBorders>
              <w:top w:val="nil"/>
              <w:bottom w:val="single" w:sz="4" w:space="0" w:color="auto"/>
            </w:tcBorders>
            <w:shd w:val="clear" w:color="auto" w:fill="DBE5F1" w:themeFill="accent1" w:themeFillTint="33"/>
            <w:hideMark/>
          </w:tcPr>
          <w:p w14:paraId="3989FE97"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Frail</w:t>
            </w:r>
          </w:p>
        </w:tc>
        <w:tc>
          <w:tcPr>
            <w:tcW w:w="1276" w:type="dxa"/>
            <w:gridSpan w:val="2"/>
            <w:tcBorders>
              <w:top w:val="nil"/>
              <w:bottom w:val="single" w:sz="4" w:space="0" w:color="auto"/>
            </w:tcBorders>
            <w:shd w:val="clear" w:color="auto" w:fill="DBE5F1" w:themeFill="accent1" w:themeFillTint="33"/>
          </w:tcPr>
          <w:p w14:paraId="7DF8A68B"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P value</w:t>
            </w:r>
            <w:r>
              <w:t xml:space="preserve"> for difference</w:t>
            </w:r>
          </w:p>
        </w:tc>
        <w:tc>
          <w:tcPr>
            <w:tcW w:w="1134" w:type="dxa"/>
            <w:gridSpan w:val="3"/>
            <w:tcBorders>
              <w:top w:val="nil"/>
              <w:bottom w:val="single" w:sz="4" w:space="0" w:color="auto"/>
            </w:tcBorders>
            <w:shd w:val="clear" w:color="auto" w:fill="DBE5F1" w:themeFill="accent1" w:themeFillTint="33"/>
            <w:hideMark/>
          </w:tcPr>
          <w:p w14:paraId="471A0B78"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Non- Frail</w:t>
            </w:r>
          </w:p>
        </w:tc>
        <w:tc>
          <w:tcPr>
            <w:tcW w:w="1134" w:type="dxa"/>
            <w:gridSpan w:val="3"/>
            <w:tcBorders>
              <w:top w:val="nil"/>
              <w:bottom w:val="single" w:sz="4" w:space="0" w:color="auto"/>
            </w:tcBorders>
            <w:shd w:val="clear" w:color="auto" w:fill="DBE5F1" w:themeFill="accent1" w:themeFillTint="33"/>
            <w:hideMark/>
          </w:tcPr>
          <w:p w14:paraId="4D36E6DD"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Frail</w:t>
            </w:r>
          </w:p>
        </w:tc>
        <w:tc>
          <w:tcPr>
            <w:tcW w:w="1243" w:type="dxa"/>
            <w:gridSpan w:val="3"/>
            <w:tcBorders>
              <w:top w:val="nil"/>
              <w:bottom w:val="single" w:sz="4" w:space="0" w:color="auto"/>
            </w:tcBorders>
            <w:shd w:val="clear" w:color="auto" w:fill="DBE5F1" w:themeFill="accent1" w:themeFillTint="33"/>
          </w:tcPr>
          <w:p w14:paraId="4E43982E"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P value</w:t>
            </w:r>
            <w:r>
              <w:t xml:space="preserve"> for difference</w:t>
            </w:r>
          </w:p>
        </w:tc>
      </w:tr>
      <w:tr w:rsidR="00314EB5" w:rsidRPr="009E234D" w14:paraId="08A56371" w14:textId="77777777" w:rsidTr="00EE0DF6">
        <w:trPr>
          <w:gridAfter w:val="1"/>
          <w:wAfter w:w="142" w:type="dxa"/>
          <w:trHeight w:hRule="exact" w:val="86"/>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bottom w:val="single" w:sz="4" w:space="0" w:color="auto"/>
            </w:tcBorders>
          </w:tcPr>
          <w:p w14:paraId="25082BA7" w14:textId="77777777" w:rsidR="00314EB5" w:rsidRPr="009E234D" w:rsidRDefault="00314EB5" w:rsidP="00EE0DF6">
            <w:pPr>
              <w:pStyle w:val="NoSpacing"/>
            </w:pPr>
          </w:p>
        </w:tc>
        <w:tc>
          <w:tcPr>
            <w:tcW w:w="1559" w:type="dxa"/>
            <w:tcBorders>
              <w:top w:val="single" w:sz="4" w:space="0" w:color="auto"/>
              <w:bottom w:val="single" w:sz="4" w:space="0" w:color="auto"/>
            </w:tcBorders>
          </w:tcPr>
          <w:p w14:paraId="457F5B18"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pPr>
          </w:p>
        </w:tc>
        <w:tc>
          <w:tcPr>
            <w:tcW w:w="2033" w:type="dxa"/>
            <w:gridSpan w:val="2"/>
            <w:tcBorders>
              <w:top w:val="single" w:sz="4" w:space="0" w:color="auto"/>
              <w:bottom w:val="single" w:sz="4" w:space="0" w:color="auto"/>
            </w:tcBorders>
          </w:tcPr>
          <w:p w14:paraId="41D66EC0"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pPr>
          </w:p>
        </w:tc>
        <w:tc>
          <w:tcPr>
            <w:tcW w:w="648" w:type="dxa"/>
            <w:gridSpan w:val="2"/>
            <w:tcBorders>
              <w:top w:val="single" w:sz="4" w:space="0" w:color="auto"/>
              <w:bottom w:val="single" w:sz="4" w:space="0" w:color="auto"/>
            </w:tcBorders>
          </w:tcPr>
          <w:p w14:paraId="5A639D15"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pPr>
          </w:p>
        </w:tc>
        <w:tc>
          <w:tcPr>
            <w:tcW w:w="648" w:type="dxa"/>
            <w:tcBorders>
              <w:top w:val="single" w:sz="4" w:space="0" w:color="auto"/>
              <w:bottom w:val="single" w:sz="4" w:space="0" w:color="auto"/>
            </w:tcBorders>
          </w:tcPr>
          <w:p w14:paraId="3A8E0698"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pPr>
          </w:p>
        </w:tc>
        <w:tc>
          <w:tcPr>
            <w:tcW w:w="648" w:type="dxa"/>
            <w:gridSpan w:val="2"/>
            <w:tcBorders>
              <w:top w:val="single" w:sz="4" w:space="0" w:color="auto"/>
              <w:bottom w:val="single" w:sz="4" w:space="0" w:color="auto"/>
            </w:tcBorders>
          </w:tcPr>
          <w:p w14:paraId="759FD87F"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pPr>
          </w:p>
        </w:tc>
        <w:tc>
          <w:tcPr>
            <w:tcW w:w="648" w:type="dxa"/>
            <w:tcBorders>
              <w:top w:val="single" w:sz="4" w:space="0" w:color="auto"/>
              <w:bottom w:val="single" w:sz="4" w:space="0" w:color="auto"/>
            </w:tcBorders>
          </w:tcPr>
          <w:p w14:paraId="104173D4"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pPr>
          </w:p>
        </w:tc>
        <w:tc>
          <w:tcPr>
            <w:tcW w:w="648" w:type="dxa"/>
            <w:gridSpan w:val="2"/>
            <w:tcBorders>
              <w:top w:val="single" w:sz="4" w:space="0" w:color="auto"/>
              <w:bottom w:val="single" w:sz="4" w:space="0" w:color="auto"/>
            </w:tcBorders>
          </w:tcPr>
          <w:p w14:paraId="3A0550E0"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pPr>
          </w:p>
        </w:tc>
        <w:tc>
          <w:tcPr>
            <w:tcW w:w="648" w:type="dxa"/>
            <w:tcBorders>
              <w:top w:val="single" w:sz="4" w:space="0" w:color="auto"/>
              <w:bottom w:val="single" w:sz="4" w:space="0" w:color="auto"/>
            </w:tcBorders>
          </w:tcPr>
          <w:p w14:paraId="78FC7870" w14:textId="77777777" w:rsidR="00314EB5" w:rsidRPr="009E234D" w:rsidRDefault="00314EB5" w:rsidP="00EE0DF6">
            <w:pPr>
              <w:pStyle w:val="NoSpacing"/>
              <w:cnfStyle w:val="000000000000" w:firstRow="0" w:lastRow="0" w:firstColumn="0" w:lastColumn="0" w:oddVBand="0" w:evenVBand="0" w:oddHBand="0" w:evenHBand="0" w:firstRowFirstColumn="0" w:firstRowLastColumn="0" w:lastRowFirstColumn="0" w:lastRowLastColumn="0"/>
            </w:pPr>
          </w:p>
        </w:tc>
      </w:tr>
      <w:tr w:rsidR="00314EB5" w:rsidRPr="009E234D" w14:paraId="1BAEE40C" w14:textId="77777777" w:rsidTr="00EE0DF6">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8898" w:type="dxa"/>
            <w:gridSpan w:val="14"/>
            <w:tcBorders>
              <w:top w:val="single" w:sz="4" w:space="0" w:color="auto"/>
              <w:bottom w:val="single" w:sz="4" w:space="0" w:color="auto"/>
            </w:tcBorders>
            <w:shd w:val="clear" w:color="auto" w:fill="DBE5F1" w:themeFill="accent1" w:themeFillTint="33"/>
          </w:tcPr>
          <w:p w14:paraId="4BE4982D" w14:textId="77777777" w:rsidR="00314EB5" w:rsidRPr="009E234D" w:rsidRDefault="00314EB5" w:rsidP="00EE0DF6">
            <w:pPr>
              <w:pStyle w:val="NoSpacing"/>
              <w:rPr>
                <w:b w:val="0"/>
                <w:bCs w:val="0"/>
              </w:rPr>
            </w:pPr>
            <w:r>
              <w:t xml:space="preserve">Mean </w:t>
            </w:r>
            <w:r w:rsidRPr="009E234D">
              <w:t>Number of Emergency Department (ED) Attendances Per Person</w:t>
            </w:r>
            <w:r>
              <w:t xml:space="preserve"> (SD)</w:t>
            </w:r>
          </w:p>
        </w:tc>
      </w:tr>
      <w:tr w:rsidR="00314EB5" w:rsidRPr="009E234D" w14:paraId="3F7E1E80" w14:textId="77777777" w:rsidTr="00EE0DF6">
        <w:trPr>
          <w:trHeight w:val="239"/>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tcBorders>
            <w:shd w:val="clear" w:color="auto" w:fill="auto"/>
          </w:tcPr>
          <w:p w14:paraId="1F6F50D7" w14:textId="77777777" w:rsidR="00314EB5" w:rsidRPr="009E234D" w:rsidRDefault="00314EB5" w:rsidP="00EE0DF6">
            <w:pPr>
              <w:pStyle w:val="NoSpacing"/>
            </w:pPr>
            <w:r w:rsidRPr="009E234D">
              <w:t>Fried</w:t>
            </w:r>
          </w:p>
        </w:tc>
        <w:tc>
          <w:tcPr>
            <w:tcW w:w="1559" w:type="dxa"/>
            <w:tcBorders>
              <w:top w:val="single" w:sz="4" w:space="0" w:color="auto"/>
            </w:tcBorders>
            <w:shd w:val="clear" w:color="auto" w:fill="auto"/>
          </w:tcPr>
          <w:p w14:paraId="0C7D0F97"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w:t>
            </w:r>
            <w:r>
              <w:t>7 (2.2)</w:t>
            </w:r>
          </w:p>
        </w:tc>
        <w:tc>
          <w:tcPr>
            <w:tcW w:w="1276" w:type="dxa"/>
            <w:tcBorders>
              <w:top w:val="single" w:sz="4" w:space="0" w:color="auto"/>
            </w:tcBorders>
            <w:shd w:val="clear" w:color="auto" w:fill="auto"/>
          </w:tcPr>
          <w:p w14:paraId="34CBD246"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2.</w:t>
            </w:r>
            <w:r>
              <w:t>4 (3.0)</w:t>
            </w:r>
          </w:p>
        </w:tc>
        <w:tc>
          <w:tcPr>
            <w:tcW w:w="1276" w:type="dxa"/>
            <w:gridSpan w:val="2"/>
            <w:tcBorders>
              <w:top w:val="single" w:sz="4" w:space="0" w:color="auto"/>
            </w:tcBorders>
            <w:shd w:val="clear" w:color="auto" w:fill="auto"/>
          </w:tcPr>
          <w:p w14:paraId="0A4E86AC"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0.06</w:t>
            </w:r>
          </w:p>
        </w:tc>
        <w:tc>
          <w:tcPr>
            <w:tcW w:w="1134" w:type="dxa"/>
            <w:gridSpan w:val="3"/>
            <w:tcBorders>
              <w:top w:val="single" w:sz="4" w:space="0" w:color="auto"/>
            </w:tcBorders>
            <w:shd w:val="clear" w:color="auto" w:fill="auto"/>
          </w:tcPr>
          <w:p w14:paraId="019133A7"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3.5 (4.1)</w:t>
            </w:r>
          </w:p>
        </w:tc>
        <w:tc>
          <w:tcPr>
            <w:tcW w:w="1134" w:type="dxa"/>
            <w:gridSpan w:val="3"/>
            <w:tcBorders>
              <w:top w:val="single" w:sz="4" w:space="0" w:color="auto"/>
            </w:tcBorders>
            <w:shd w:val="clear" w:color="auto" w:fill="auto"/>
          </w:tcPr>
          <w:p w14:paraId="3A7745DD"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1.8 (2.1)</w:t>
            </w:r>
          </w:p>
        </w:tc>
        <w:tc>
          <w:tcPr>
            <w:tcW w:w="1243" w:type="dxa"/>
            <w:gridSpan w:val="3"/>
            <w:tcBorders>
              <w:top w:val="single" w:sz="4" w:space="0" w:color="auto"/>
            </w:tcBorders>
            <w:shd w:val="clear" w:color="auto" w:fill="auto"/>
          </w:tcPr>
          <w:p w14:paraId="0CC011F8"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0.07</w:t>
            </w:r>
          </w:p>
        </w:tc>
      </w:tr>
      <w:tr w:rsidR="00314EB5" w:rsidRPr="009E234D" w14:paraId="60836077" w14:textId="77777777" w:rsidTr="00EE0DF6">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hideMark/>
          </w:tcPr>
          <w:p w14:paraId="6464F24F" w14:textId="77777777" w:rsidR="00314EB5" w:rsidRPr="009E234D" w:rsidRDefault="00314EB5" w:rsidP="00EE0DF6">
            <w:pPr>
              <w:pStyle w:val="NoSpacing"/>
            </w:pPr>
            <w:r w:rsidRPr="009E234D">
              <w:t>Rothman</w:t>
            </w:r>
          </w:p>
        </w:tc>
        <w:tc>
          <w:tcPr>
            <w:tcW w:w="1559" w:type="dxa"/>
            <w:shd w:val="clear" w:color="auto" w:fill="auto"/>
            <w:hideMark/>
          </w:tcPr>
          <w:p w14:paraId="0FB0AA6D"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1.6</w:t>
            </w:r>
            <w:r>
              <w:t xml:space="preserve"> (2.2)</w:t>
            </w:r>
          </w:p>
        </w:tc>
        <w:tc>
          <w:tcPr>
            <w:tcW w:w="1276" w:type="dxa"/>
            <w:shd w:val="clear" w:color="auto" w:fill="auto"/>
            <w:hideMark/>
          </w:tcPr>
          <w:p w14:paraId="0786D664"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2.</w:t>
            </w:r>
            <w:r>
              <w:t>4 (2.9)</w:t>
            </w:r>
          </w:p>
        </w:tc>
        <w:tc>
          <w:tcPr>
            <w:tcW w:w="1276" w:type="dxa"/>
            <w:gridSpan w:val="2"/>
            <w:shd w:val="clear" w:color="auto" w:fill="auto"/>
          </w:tcPr>
          <w:p w14:paraId="5ADB760B"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0.007</w:t>
            </w:r>
          </w:p>
        </w:tc>
        <w:tc>
          <w:tcPr>
            <w:tcW w:w="1134" w:type="dxa"/>
            <w:gridSpan w:val="3"/>
            <w:shd w:val="clear" w:color="auto" w:fill="auto"/>
            <w:hideMark/>
          </w:tcPr>
          <w:p w14:paraId="304C7B49"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2.7 (3.2)</w:t>
            </w:r>
          </w:p>
        </w:tc>
        <w:tc>
          <w:tcPr>
            <w:tcW w:w="1134" w:type="dxa"/>
            <w:gridSpan w:val="3"/>
            <w:shd w:val="clear" w:color="auto" w:fill="auto"/>
            <w:hideMark/>
          </w:tcPr>
          <w:p w14:paraId="01225998"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1.7 (2.2)</w:t>
            </w:r>
          </w:p>
        </w:tc>
        <w:tc>
          <w:tcPr>
            <w:tcW w:w="1243" w:type="dxa"/>
            <w:gridSpan w:val="3"/>
            <w:shd w:val="clear" w:color="auto" w:fill="auto"/>
          </w:tcPr>
          <w:p w14:paraId="1DD3C6EE"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0.02</w:t>
            </w:r>
          </w:p>
        </w:tc>
      </w:tr>
      <w:tr w:rsidR="00314EB5" w:rsidRPr="009E234D" w14:paraId="71FE8ABD" w14:textId="77777777" w:rsidTr="00EE0DF6">
        <w:trPr>
          <w:trHeight w:val="239"/>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B18AFED" w14:textId="77777777" w:rsidR="00314EB5" w:rsidRPr="009E234D" w:rsidRDefault="00314EB5" w:rsidP="00EE0DF6">
            <w:pPr>
              <w:pStyle w:val="NoSpacing"/>
            </w:pPr>
            <w:r w:rsidRPr="009E234D">
              <w:t>Rockwood</w:t>
            </w:r>
          </w:p>
        </w:tc>
        <w:tc>
          <w:tcPr>
            <w:tcW w:w="1559" w:type="dxa"/>
            <w:shd w:val="clear" w:color="auto" w:fill="auto"/>
          </w:tcPr>
          <w:p w14:paraId="6D21EE89"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w:t>
            </w:r>
            <w:r>
              <w:t>5 (2.0)</w:t>
            </w:r>
          </w:p>
        </w:tc>
        <w:tc>
          <w:tcPr>
            <w:tcW w:w="1276" w:type="dxa"/>
            <w:shd w:val="clear" w:color="auto" w:fill="auto"/>
          </w:tcPr>
          <w:p w14:paraId="49C8FCFF"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2.5</w:t>
            </w:r>
            <w:r>
              <w:t xml:space="preserve"> (2.9)</w:t>
            </w:r>
          </w:p>
        </w:tc>
        <w:tc>
          <w:tcPr>
            <w:tcW w:w="1276" w:type="dxa"/>
            <w:gridSpan w:val="2"/>
            <w:shd w:val="clear" w:color="auto" w:fill="auto"/>
          </w:tcPr>
          <w:p w14:paraId="3E9EACCF"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&lt;0.001</w:t>
            </w:r>
          </w:p>
        </w:tc>
        <w:tc>
          <w:tcPr>
            <w:tcW w:w="1134" w:type="dxa"/>
            <w:gridSpan w:val="3"/>
            <w:shd w:val="clear" w:color="auto" w:fill="auto"/>
          </w:tcPr>
          <w:p w14:paraId="685869CC"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w:t>
            </w:r>
          </w:p>
        </w:tc>
        <w:tc>
          <w:tcPr>
            <w:tcW w:w="1134" w:type="dxa"/>
            <w:gridSpan w:val="3"/>
            <w:shd w:val="clear" w:color="auto" w:fill="auto"/>
          </w:tcPr>
          <w:p w14:paraId="22DFA6D4"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w:t>
            </w:r>
          </w:p>
        </w:tc>
        <w:tc>
          <w:tcPr>
            <w:tcW w:w="1243" w:type="dxa"/>
            <w:gridSpan w:val="3"/>
            <w:shd w:val="clear" w:color="auto" w:fill="auto"/>
          </w:tcPr>
          <w:p w14:paraId="790FE62F"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p>
        </w:tc>
      </w:tr>
      <w:tr w:rsidR="00314EB5" w:rsidRPr="009E234D" w14:paraId="24A22697" w14:textId="77777777" w:rsidTr="00EE0DF6">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auto"/>
            </w:tcBorders>
            <w:shd w:val="clear" w:color="auto" w:fill="auto"/>
            <w:hideMark/>
          </w:tcPr>
          <w:p w14:paraId="4D1D63A1" w14:textId="77777777" w:rsidR="00314EB5" w:rsidRPr="009E234D" w:rsidRDefault="00314EB5" w:rsidP="00EE0DF6">
            <w:pPr>
              <w:pStyle w:val="NoSpacing"/>
            </w:pPr>
            <w:r w:rsidRPr="009E234D">
              <w:t>HFRS</w:t>
            </w:r>
          </w:p>
        </w:tc>
        <w:tc>
          <w:tcPr>
            <w:tcW w:w="1559" w:type="dxa"/>
            <w:tcBorders>
              <w:bottom w:val="single" w:sz="4" w:space="0" w:color="auto"/>
            </w:tcBorders>
            <w:shd w:val="clear" w:color="auto" w:fill="auto"/>
            <w:hideMark/>
          </w:tcPr>
          <w:p w14:paraId="7B83F1C6"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1.3</w:t>
            </w:r>
            <w:r>
              <w:t xml:space="preserve"> (1.8)</w:t>
            </w:r>
          </w:p>
        </w:tc>
        <w:tc>
          <w:tcPr>
            <w:tcW w:w="1276" w:type="dxa"/>
            <w:tcBorders>
              <w:bottom w:val="single" w:sz="4" w:space="0" w:color="auto"/>
            </w:tcBorders>
            <w:shd w:val="clear" w:color="auto" w:fill="auto"/>
            <w:hideMark/>
          </w:tcPr>
          <w:p w14:paraId="0FDF346A"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2.</w:t>
            </w:r>
            <w:r>
              <w:t>5 (2.8)</w:t>
            </w:r>
          </w:p>
        </w:tc>
        <w:tc>
          <w:tcPr>
            <w:tcW w:w="1276" w:type="dxa"/>
            <w:gridSpan w:val="2"/>
            <w:tcBorders>
              <w:bottom w:val="single" w:sz="4" w:space="0" w:color="auto"/>
            </w:tcBorders>
            <w:shd w:val="clear" w:color="auto" w:fill="auto"/>
          </w:tcPr>
          <w:p w14:paraId="00EA872D"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&lt;0.0</w:t>
            </w:r>
            <w:r>
              <w:t>0</w:t>
            </w:r>
            <w:r w:rsidRPr="009E234D">
              <w:t>1</w:t>
            </w:r>
          </w:p>
        </w:tc>
        <w:tc>
          <w:tcPr>
            <w:tcW w:w="1134" w:type="dxa"/>
            <w:gridSpan w:val="3"/>
            <w:tcBorders>
              <w:bottom w:val="single" w:sz="4" w:space="0" w:color="auto"/>
            </w:tcBorders>
            <w:shd w:val="clear" w:color="auto" w:fill="auto"/>
            <w:hideMark/>
          </w:tcPr>
          <w:p w14:paraId="40507375"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2.0</w:t>
            </w:r>
            <w:r>
              <w:t xml:space="preserve"> (2.8)</w:t>
            </w:r>
          </w:p>
        </w:tc>
        <w:tc>
          <w:tcPr>
            <w:tcW w:w="1134" w:type="dxa"/>
            <w:gridSpan w:val="3"/>
            <w:tcBorders>
              <w:bottom w:val="single" w:sz="4" w:space="0" w:color="auto"/>
            </w:tcBorders>
            <w:shd w:val="clear" w:color="auto" w:fill="auto"/>
            <w:hideMark/>
          </w:tcPr>
          <w:p w14:paraId="696A2C7D"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2.1</w:t>
            </w:r>
            <w:r>
              <w:t xml:space="preserve"> (2.5)</w:t>
            </w:r>
          </w:p>
        </w:tc>
        <w:tc>
          <w:tcPr>
            <w:tcW w:w="1243" w:type="dxa"/>
            <w:gridSpan w:val="3"/>
            <w:tcBorders>
              <w:bottom w:val="single" w:sz="4" w:space="0" w:color="auto"/>
            </w:tcBorders>
            <w:shd w:val="clear" w:color="auto" w:fill="auto"/>
          </w:tcPr>
          <w:p w14:paraId="2939ACAD"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0.39</w:t>
            </w:r>
          </w:p>
        </w:tc>
      </w:tr>
      <w:tr w:rsidR="00314EB5" w:rsidRPr="009E234D" w14:paraId="0CA1BC11" w14:textId="77777777" w:rsidTr="00EE0DF6">
        <w:trPr>
          <w:trHeight w:val="239"/>
          <w:jc w:val="center"/>
        </w:trPr>
        <w:tc>
          <w:tcPr>
            <w:cnfStyle w:val="001000000000" w:firstRow="0" w:lastRow="0" w:firstColumn="1" w:lastColumn="0" w:oddVBand="0" w:evenVBand="0" w:oddHBand="0" w:evenHBand="0" w:firstRowFirstColumn="0" w:firstRowLastColumn="0" w:lastRowFirstColumn="0" w:lastRowLastColumn="0"/>
            <w:tcW w:w="8898" w:type="dxa"/>
            <w:gridSpan w:val="14"/>
            <w:tcBorders>
              <w:top w:val="single" w:sz="4" w:space="0" w:color="auto"/>
              <w:bottom w:val="single" w:sz="4" w:space="0" w:color="auto"/>
            </w:tcBorders>
            <w:shd w:val="clear" w:color="auto" w:fill="DBE5F1" w:themeFill="accent1" w:themeFillTint="33"/>
          </w:tcPr>
          <w:p w14:paraId="7BAF3C1A" w14:textId="77777777" w:rsidR="00314EB5" w:rsidRPr="009E234D" w:rsidRDefault="00314EB5" w:rsidP="00EE0DF6">
            <w:pPr>
              <w:pStyle w:val="NoSpacing"/>
              <w:rPr>
                <w:b w:val="0"/>
                <w:bCs w:val="0"/>
              </w:rPr>
            </w:pPr>
            <w:r>
              <w:t xml:space="preserve">Mean </w:t>
            </w:r>
            <w:r w:rsidRPr="009E234D">
              <w:t>Number of Non-Elective Admissions Per Person</w:t>
            </w:r>
            <w:r>
              <w:t xml:space="preserve"> (SD)</w:t>
            </w:r>
          </w:p>
        </w:tc>
      </w:tr>
      <w:tr w:rsidR="00314EB5" w:rsidRPr="009E234D" w14:paraId="64C66AB9" w14:textId="77777777" w:rsidTr="00EE0DF6">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tcBorders>
            <w:shd w:val="clear" w:color="auto" w:fill="auto"/>
          </w:tcPr>
          <w:p w14:paraId="33B88D00" w14:textId="77777777" w:rsidR="00314EB5" w:rsidRPr="009E234D" w:rsidRDefault="00314EB5" w:rsidP="00EE0DF6">
            <w:pPr>
              <w:pStyle w:val="NoSpacing"/>
            </w:pPr>
            <w:r w:rsidRPr="009E234D">
              <w:t>Fried</w:t>
            </w:r>
          </w:p>
        </w:tc>
        <w:tc>
          <w:tcPr>
            <w:tcW w:w="1559" w:type="dxa"/>
            <w:tcBorders>
              <w:top w:val="single" w:sz="4" w:space="0" w:color="auto"/>
            </w:tcBorders>
            <w:shd w:val="clear" w:color="auto" w:fill="auto"/>
          </w:tcPr>
          <w:p w14:paraId="4A061503"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w:t>
            </w:r>
            <w:r>
              <w:t>5 (2.1)</w:t>
            </w:r>
          </w:p>
        </w:tc>
        <w:tc>
          <w:tcPr>
            <w:tcW w:w="1276" w:type="dxa"/>
            <w:tcBorders>
              <w:top w:val="single" w:sz="4" w:space="0" w:color="auto"/>
            </w:tcBorders>
            <w:shd w:val="clear" w:color="auto" w:fill="auto"/>
          </w:tcPr>
          <w:p w14:paraId="6660F006"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2.2</w:t>
            </w:r>
            <w:r>
              <w:t xml:space="preserve"> (2.7)</w:t>
            </w:r>
          </w:p>
        </w:tc>
        <w:tc>
          <w:tcPr>
            <w:tcW w:w="1276" w:type="dxa"/>
            <w:gridSpan w:val="2"/>
            <w:tcBorders>
              <w:top w:val="single" w:sz="4" w:space="0" w:color="auto"/>
            </w:tcBorders>
            <w:shd w:val="clear" w:color="auto" w:fill="auto"/>
          </w:tcPr>
          <w:p w14:paraId="2FE51183"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0.02</w:t>
            </w:r>
          </w:p>
        </w:tc>
        <w:tc>
          <w:tcPr>
            <w:tcW w:w="1134" w:type="dxa"/>
            <w:gridSpan w:val="3"/>
            <w:tcBorders>
              <w:top w:val="single" w:sz="4" w:space="0" w:color="auto"/>
            </w:tcBorders>
            <w:shd w:val="clear" w:color="auto" w:fill="auto"/>
          </w:tcPr>
          <w:p w14:paraId="01DDA7AF"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2.9</w:t>
            </w:r>
            <w:r>
              <w:t xml:space="preserve"> (2.7)</w:t>
            </w:r>
          </w:p>
        </w:tc>
        <w:tc>
          <w:tcPr>
            <w:tcW w:w="1134" w:type="dxa"/>
            <w:gridSpan w:val="3"/>
            <w:tcBorders>
              <w:top w:val="single" w:sz="4" w:space="0" w:color="auto"/>
            </w:tcBorders>
            <w:shd w:val="clear" w:color="auto" w:fill="auto"/>
          </w:tcPr>
          <w:p w14:paraId="2F7696ED"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1.9</w:t>
            </w:r>
            <w:r>
              <w:t xml:space="preserve"> (2.1)</w:t>
            </w:r>
          </w:p>
        </w:tc>
        <w:tc>
          <w:tcPr>
            <w:tcW w:w="1243" w:type="dxa"/>
            <w:gridSpan w:val="3"/>
            <w:tcBorders>
              <w:top w:val="single" w:sz="4" w:space="0" w:color="auto"/>
            </w:tcBorders>
            <w:shd w:val="clear" w:color="auto" w:fill="auto"/>
          </w:tcPr>
          <w:p w14:paraId="7388DE55"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rPr>
                <w:i/>
              </w:rPr>
            </w:pPr>
            <w:r>
              <w:t>0.08</w:t>
            </w:r>
          </w:p>
        </w:tc>
      </w:tr>
      <w:tr w:rsidR="00314EB5" w:rsidRPr="009E234D" w14:paraId="2FC908EF" w14:textId="77777777" w:rsidTr="00EE0DF6">
        <w:trPr>
          <w:trHeight w:val="239"/>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hideMark/>
          </w:tcPr>
          <w:p w14:paraId="2AF92130" w14:textId="77777777" w:rsidR="00314EB5" w:rsidRPr="009E234D" w:rsidRDefault="00314EB5" w:rsidP="00EE0DF6">
            <w:pPr>
              <w:pStyle w:val="NoSpacing"/>
            </w:pPr>
            <w:r w:rsidRPr="009E234D">
              <w:t>Rothman</w:t>
            </w:r>
          </w:p>
        </w:tc>
        <w:tc>
          <w:tcPr>
            <w:tcW w:w="1559" w:type="dxa"/>
            <w:shd w:val="clear" w:color="auto" w:fill="auto"/>
            <w:hideMark/>
          </w:tcPr>
          <w:p w14:paraId="327AEA15"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1.5</w:t>
            </w:r>
            <w:r>
              <w:t xml:space="preserve"> (2.1)</w:t>
            </w:r>
          </w:p>
        </w:tc>
        <w:tc>
          <w:tcPr>
            <w:tcW w:w="1276" w:type="dxa"/>
            <w:shd w:val="clear" w:color="auto" w:fill="auto"/>
            <w:hideMark/>
          </w:tcPr>
          <w:p w14:paraId="3072F196"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2.</w:t>
            </w:r>
            <w:r>
              <w:t>2 (2.6)</w:t>
            </w:r>
          </w:p>
        </w:tc>
        <w:tc>
          <w:tcPr>
            <w:tcW w:w="1276" w:type="dxa"/>
            <w:gridSpan w:val="2"/>
            <w:shd w:val="clear" w:color="auto" w:fill="auto"/>
          </w:tcPr>
          <w:p w14:paraId="44AAC5AF"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&lt;0.001</w:t>
            </w:r>
          </w:p>
        </w:tc>
        <w:tc>
          <w:tcPr>
            <w:tcW w:w="1134" w:type="dxa"/>
            <w:gridSpan w:val="3"/>
            <w:shd w:val="clear" w:color="auto" w:fill="auto"/>
            <w:hideMark/>
          </w:tcPr>
          <w:p w14:paraId="666E9B45"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2.5</w:t>
            </w:r>
            <w:r>
              <w:t xml:space="preserve"> (2.5)</w:t>
            </w:r>
          </w:p>
        </w:tc>
        <w:tc>
          <w:tcPr>
            <w:tcW w:w="1134" w:type="dxa"/>
            <w:gridSpan w:val="3"/>
            <w:shd w:val="clear" w:color="auto" w:fill="auto"/>
            <w:hideMark/>
          </w:tcPr>
          <w:p w14:paraId="3C4797F5"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1.8</w:t>
            </w:r>
            <w:r>
              <w:t xml:space="preserve"> (2.0)</w:t>
            </w:r>
          </w:p>
        </w:tc>
        <w:tc>
          <w:tcPr>
            <w:tcW w:w="1243" w:type="dxa"/>
            <w:gridSpan w:val="3"/>
            <w:shd w:val="clear" w:color="auto" w:fill="auto"/>
          </w:tcPr>
          <w:p w14:paraId="219D6F71"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0.08</w:t>
            </w:r>
          </w:p>
        </w:tc>
      </w:tr>
      <w:tr w:rsidR="00314EB5" w:rsidRPr="009E234D" w14:paraId="658293F6" w14:textId="77777777" w:rsidTr="00EE0DF6">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E688C38" w14:textId="77777777" w:rsidR="00314EB5" w:rsidRPr="009E234D" w:rsidRDefault="00314EB5" w:rsidP="00EE0DF6">
            <w:pPr>
              <w:pStyle w:val="NoSpacing"/>
            </w:pPr>
            <w:r w:rsidRPr="009E234D">
              <w:t>Rockwood</w:t>
            </w:r>
          </w:p>
        </w:tc>
        <w:tc>
          <w:tcPr>
            <w:tcW w:w="1559" w:type="dxa"/>
            <w:shd w:val="clear" w:color="auto" w:fill="auto"/>
          </w:tcPr>
          <w:p w14:paraId="1BD8208E"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1.3</w:t>
            </w:r>
            <w:r>
              <w:t xml:space="preserve"> (1.9)</w:t>
            </w:r>
          </w:p>
        </w:tc>
        <w:tc>
          <w:tcPr>
            <w:tcW w:w="1276" w:type="dxa"/>
            <w:shd w:val="clear" w:color="auto" w:fill="auto"/>
          </w:tcPr>
          <w:p w14:paraId="4D65A3C1"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2.5</w:t>
            </w:r>
            <w:r>
              <w:t xml:space="preserve"> (2.6)</w:t>
            </w:r>
          </w:p>
        </w:tc>
        <w:tc>
          <w:tcPr>
            <w:tcW w:w="1276" w:type="dxa"/>
            <w:gridSpan w:val="2"/>
            <w:shd w:val="clear" w:color="auto" w:fill="auto"/>
          </w:tcPr>
          <w:p w14:paraId="4F47F77B"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&lt;0.001</w:t>
            </w:r>
          </w:p>
        </w:tc>
        <w:tc>
          <w:tcPr>
            <w:tcW w:w="1134" w:type="dxa"/>
            <w:gridSpan w:val="3"/>
            <w:shd w:val="clear" w:color="auto" w:fill="auto"/>
          </w:tcPr>
          <w:p w14:paraId="16EE17C2"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w:t>
            </w:r>
          </w:p>
        </w:tc>
        <w:tc>
          <w:tcPr>
            <w:tcW w:w="1134" w:type="dxa"/>
            <w:gridSpan w:val="3"/>
            <w:shd w:val="clear" w:color="auto" w:fill="auto"/>
          </w:tcPr>
          <w:p w14:paraId="47121A6F"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w:t>
            </w:r>
          </w:p>
        </w:tc>
        <w:tc>
          <w:tcPr>
            <w:tcW w:w="1243" w:type="dxa"/>
            <w:gridSpan w:val="3"/>
            <w:shd w:val="clear" w:color="auto" w:fill="auto"/>
          </w:tcPr>
          <w:p w14:paraId="1C8CED91"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p>
        </w:tc>
      </w:tr>
      <w:tr w:rsidR="00314EB5" w:rsidRPr="009E234D" w14:paraId="62C72B61" w14:textId="77777777" w:rsidTr="00EE0DF6">
        <w:trPr>
          <w:trHeight w:val="239"/>
          <w:jc w:val="center"/>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auto"/>
            </w:tcBorders>
            <w:shd w:val="clear" w:color="auto" w:fill="auto"/>
            <w:hideMark/>
          </w:tcPr>
          <w:p w14:paraId="5D733EB9" w14:textId="77777777" w:rsidR="00314EB5" w:rsidRPr="009E234D" w:rsidRDefault="00314EB5" w:rsidP="00EE0DF6">
            <w:pPr>
              <w:pStyle w:val="NoSpacing"/>
            </w:pPr>
            <w:r w:rsidRPr="009E234D">
              <w:t>HFRS</w:t>
            </w:r>
          </w:p>
        </w:tc>
        <w:tc>
          <w:tcPr>
            <w:tcW w:w="1559" w:type="dxa"/>
            <w:tcBorders>
              <w:bottom w:val="single" w:sz="4" w:space="0" w:color="auto"/>
            </w:tcBorders>
            <w:shd w:val="clear" w:color="auto" w:fill="auto"/>
            <w:hideMark/>
          </w:tcPr>
          <w:p w14:paraId="293A30CD"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1.2</w:t>
            </w:r>
            <w:r>
              <w:t xml:space="preserve"> (1.6)</w:t>
            </w:r>
          </w:p>
        </w:tc>
        <w:tc>
          <w:tcPr>
            <w:tcW w:w="1276" w:type="dxa"/>
            <w:tcBorders>
              <w:bottom w:val="single" w:sz="4" w:space="0" w:color="auto"/>
            </w:tcBorders>
            <w:shd w:val="clear" w:color="auto" w:fill="auto"/>
            <w:hideMark/>
          </w:tcPr>
          <w:p w14:paraId="386EEA09"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2.4</w:t>
            </w:r>
            <w:r>
              <w:t xml:space="preserve"> (2.6)</w:t>
            </w:r>
          </w:p>
        </w:tc>
        <w:tc>
          <w:tcPr>
            <w:tcW w:w="1276" w:type="dxa"/>
            <w:gridSpan w:val="2"/>
            <w:tcBorders>
              <w:bottom w:val="single" w:sz="4" w:space="0" w:color="auto"/>
            </w:tcBorders>
            <w:shd w:val="clear" w:color="auto" w:fill="auto"/>
          </w:tcPr>
          <w:p w14:paraId="121532A4"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&lt;0.001</w:t>
            </w:r>
          </w:p>
        </w:tc>
        <w:tc>
          <w:tcPr>
            <w:tcW w:w="1134" w:type="dxa"/>
            <w:gridSpan w:val="3"/>
            <w:tcBorders>
              <w:bottom w:val="single" w:sz="4" w:space="0" w:color="auto"/>
            </w:tcBorders>
            <w:shd w:val="clear" w:color="auto" w:fill="auto"/>
            <w:hideMark/>
          </w:tcPr>
          <w:p w14:paraId="5244691C"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2.0</w:t>
            </w:r>
            <w:r>
              <w:t xml:space="preserve"> (2.3)</w:t>
            </w:r>
          </w:p>
        </w:tc>
        <w:tc>
          <w:tcPr>
            <w:tcW w:w="1134" w:type="dxa"/>
            <w:gridSpan w:val="3"/>
            <w:tcBorders>
              <w:bottom w:val="single" w:sz="4" w:space="0" w:color="auto"/>
            </w:tcBorders>
            <w:shd w:val="clear" w:color="auto" w:fill="auto"/>
            <w:hideMark/>
          </w:tcPr>
          <w:p w14:paraId="25814578"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2.2</w:t>
            </w:r>
            <w:r>
              <w:t xml:space="preserve"> (2.2)</w:t>
            </w:r>
          </w:p>
        </w:tc>
        <w:tc>
          <w:tcPr>
            <w:tcW w:w="1243" w:type="dxa"/>
            <w:gridSpan w:val="3"/>
            <w:tcBorders>
              <w:bottom w:val="single" w:sz="4" w:space="0" w:color="auto"/>
            </w:tcBorders>
            <w:shd w:val="clear" w:color="auto" w:fill="auto"/>
          </w:tcPr>
          <w:p w14:paraId="6B52CE74"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0.32</w:t>
            </w:r>
          </w:p>
        </w:tc>
      </w:tr>
      <w:tr w:rsidR="00314EB5" w:rsidRPr="009E234D" w14:paraId="34EB32E2" w14:textId="77777777" w:rsidTr="00EE0DF6">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8898" w:type="dxa"/>
            <w:gridSpan w:val="14"/>
            <w:tcBorders>
              <w:top w:val="single" w:sz="4" w:space="0" w:color="auto"/>
              <w:bottom w:val="single" w:sz="4" w:space="0" w:color="auto"/>
            </w:tcBorders>
            <w:shd w:val="clear" w:color="auto" w:fill="DBE5F1" w:themeFill="accent1" w:themeFillTint="33"/>
          </w:tcPr>
          <w:p w14:paraId="0DD81004" w14:textId="77777777" w:rsidR="00314EB5" w:rsidRPr="009E234D" w:rsidRDefault="00314EB5" w:rsidP="00EE0DF6">
            <w:pPr>
              <w:pStyle w:val="NoSpacing"/>
              <w:rPr>
                <w:b w:val="0"/>
                <w:bCs w:val="0"/>
              </w:rPr>
            </w:pPr>
            <w:r>
              <w:t xml:space="preserve">Mean </w:t>
            </w:r>
            <w:r w:rsidRPr="009E234D">
              <w:t>Number of Elective Admissions Per Person</w:t>
            </w:r>
            <w:r>
              <w:t xml:space="preserve"> (SD)</w:t>
            </w:r>
          </w:p>
        </w:tc>
      </w:tr>
      <w:tr w:rsidR="00314EB5" w:rsidRPr="009E234D" w14:paraId="5961C8F1" w14:textId="77777777" w:rsidTr="00EE0DF6">
        <w:trPr>
          <w:trHeight w:val="239"/>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tcBorders>
            <w:shd w:val="clear" w:color="auto" w:fill="auto"/>
          </w:tcPr>
          <w:p w14:paraId="3E0BE23E" w14:textId="77777777" w:rsidR="00314EB5" w:rsidRPr="009E234D" w:rsidRDefault="00314EB5" w:rsidP="00EE0DF6">
            <w:pPr>
              <w:pStyle w:val="NoSpacing"/>
            </w:pPr>
            <w:r w:rsidRPr="009E234D">
              <w:t>Fried</w:t>
            </w:r>
          </w:p>
        </w:tc>
        <w:tc>
          <w:tcPr>
            <w:tcW w:w="1559" w:type="dxa"/>
            <w:tcBorders>
              <w:top w:val="single" w:sz="4" w:space="0" w:color="auto"/>
            </w:tcBorders>
            <w:shd w:val="clear" w:color="auto" w:fill="auto"/>
          </w:tcPr>
          <w:p w14:paraId="68F32BB4"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1.0</w:t>
            </w:r>
            <w:r>
              <w:t xml:space="preserve"> (1.8)</w:t>
            </w:r>
          </w:p>
        </w:tc>
        <w:tc>
          <w:tcPr>
            <w:tcW w:w="1276" w:type="dxa"/>
            <w:tcBorders>
              <w:top w:val="single" w:sz="4" w:space="0" w:color="auto"/>
            </w:tcBorders>
            <w:shd w:val="clear" w:color="auto" w:fill="auto"/>
          </w:tcPr>
          <w:p w14:paraId="53E087A9"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1.0</w:t>
            </w:r>
            <w:r>
              <w:t xml:space="preserve"> (2.0)</w:t>
            </w:r>
          </w:p>
        </w:tc>
        <w:tc>
          <w:tcPr>
            <w:tcW w:w="1276" w:type="dxa"/>
            <w:gridSpan w:val="2"/>
            <w:tcBorders>
              <w:top w:val="single" w:sz="4" w:space="0" w:color="auto"/>
            </w:tcBorders>
            <w:shd w:val="clear" w:color="auto" w:fill="auto"/>
          </w:tcPr>
          <w:p w14:paraId="67C12E1E"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0.52</w:t>
            </w:r>
          </w:p>
        </w:tc>
        <w:tc>
          <w:tcPr>
            <w:tcW w:w="1134" w:type="dxa"/>
            <w:gridSpan w:val="3"/>
            <w:tcBorders>
              <w:top w:val="single" w:sz="4" w:space="0" w:color="auto"/>
            </w:tcBorders>
            <w:shd w:val="clear" w:color="auto" w:fill="auto"/>
          </w:tcPr>
          <w:p w14:paraId="791318ED"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1.5</w:t>
            </w:r>
            <w:r>
              <w:t xml:space="preserve"> (2.2)</w:t>
            </w:r>
          </w:p>
        </w:tc>
        <w:tc>
          <w:tcPr>
            <w:tcW w:w="1134" w:type="dxa"/>
            <w:gridSpan w:val="3"/>
            <w:tcBorders>
              <w:top w:val="single" w:sz="4" w:space="0" w:color="auto"/>
            </w:tcBorders>
            <w:shd w:val="clear" w:color="auto" w:fill="auto"/>
          </w:tcPr>
          <w:p w14:paraId="6CB028BE"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0.8</w:t>
            </w:r>
            <w:r>
              <w:t xml:space="preserve"> (1.4)</w:t>
            </w:r>
          </w:p>
        </w:tc>
        <w:tc>
          <w:tcPr>
            <w:tcW w:w="1243" w:type="dxa"/>
            <w:gridSpan w:val="3"/>
            <w:tcBorders>
              <w:top w:val="single" w:sz="4" w:space="0" w:color="auto"/>
            </w:tcBorders>
            <w:shd w:val="clear" w:color="auto" w:fill="auto"/>
          </w:tcPr>
          <w:p w14:paraId="3D17E966"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0.20</w:t>
            </w:r>
          </w:p>
        </w:tc>
      </w:tr>
      <w:tr w:rsidR="00314EB5" w:rsidRPr="009E234D" w14:paraId="33E4449D" w14:textId="77777777" w:rsidTr="00EE0DF6">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hideMark/>
          </w:tcPr>
          <w:p w14:paraId="1766AC0E" w14:textId="77777777" w:rsidR="00314EB5" w:rsidRPr="009E234D" w:rsidRDefault="00314EB5" w:rsidP="00EE0DF6">
            <w:pPr>
              <w:pStyle w:val="NoSpacing"/>
            </w:pPr>
            <w:r w:rsidRPr="009E234D">
              <w:t>Rothman</w:t>
            </w:r>
          </w:p>
        </w:tc>
        <w:tc>
          <w:tcPr>
            <w:tcW w:w="1559" w:type="dxa"/>
            <w:shd w:val="clear" w:color="auto" w:fill="auto"/>
            <w:hideMark/>
          </w:tcPr>
          <w:p w14:paraId="58E35B25"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1.1</w:t>
            </w:r>
            <w:r>
              <w:t xml:space="preserve"> (1.9)</w:t>
            </w:r>
          </w:p>
        </w:tc>
        <w:tc>
          <w:tcPr>
            <w:tcW w:w="1276" w:type="dxa"/>
            <w:shd w:val="clear" w:color="auto" w:fill="auto"/>
            <w:hideMark/>
          </w:tcPr>
          <w:p w14:paraId="252C6DEA"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0.8</w:t>
            </w:r>
            <w:r>
              <w:t xml:space="preserve"> (1.7)</w:t>
            </w:r>
          </w:p>
        </w:tc>
        <w:tc>
          <w:tcPr>
            <w:tcW w:w="1276" w:type="dxa"/>
            <w:gridSpan w:val="2"/>
            <w:shd w:val="clear" w:color="auto" w:fill="auto"/>
          </w:tcPr>
          <w:p w14:paraId="34816AD2"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0.02</w:t>
            </w:r>
          </w:p>
        </w:tc>
        <w:tc>
          <w:tcPr>
            <w:tcW w:w="1134" w:type="dxa"/>
            <w:gridSpan w:val="3"/>
            <w:shd w:val="clear" w:color="auto" w:fill="auto"/>
            <w:hideMark/>
          </w:tcPr>
          <w:p w14:paraId="63EBD8B2"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1.1</w:t>
            </w:r>
            <w:r>
              <w:t xml:space="preserve"> (1.8)</w:t>
            </w:r>
          </w:p>
        </w:tc>
        <w:tc>
          <w:tcPr>
            <w:tcW w:w="1134" w:type="dxa"/>
            <w:gridSpan w:val="3"/>
            <w:shd w:val="clear" w:color="auto" w:fill="auto"/>
            <w:hideMark/>
          </w:tcPr>
          <w:p w14:paraId="69E51FC5"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0.7</w:t>
            </w:r>
            <w:r>
              <w:t xml:space="preserve"> (1.2)</w:t>
            </w:r>
          </w:p>
        </w:tc>
        <w:tc>
          <w:tcPr>
            <w:tcW w:w="1243" w:type="dxa"/>
            <w:gridSpan w:val="3"/>
            <w:shd w:val="clear" w:color="auto" w:fill="auto"/>
          </w:tcPr>
          <w:p w14:paraId="1600B31E"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0.18</w:t>
            </w:r>
          </w:p>
        </w:tc>
      </w:tr>
      <w:tr w:rsidR="00314EB5" w:rsidRPr="009E234D" w14:paraId="79CA7F78" w14:textId="77777777" w:rsidTr="00EE0DF6">
        <w:trPr>
          <w:trHeight w:val="239"/>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7291626" w14:textId="77777777" w:rsidR="00314EB5" w:rsidRPr="009E234D" w:rsidRDefault="00314EB5" w:rsidP="00EE0DF6">
            <w:pPr>
              <w:pStyle w:val="NoSpacing"/>
            </w:pPr>
            <w:r w:rsidRPr="009E234D">
              <w:t>Rockwood</w:t>
            </w:r>
          </w:p>
        </w:tc>
        <w:tc>
          <w:tcPr>
            <w:tcW w:w="1559" w:type="dxa"/>
            <w:shd w:val="clear" w:color="auto" w:fill="auto"/>
          </w:tcPr>
          <w:p w14:paraId="5E4384D9"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1.1</w:t>
            </w:r>
            <w:r>
              <w:t xml:space="preserve"> (2.0)</w:t>
            </w:r>
          </w:p>
        </w:tc>
        <w:tc>
          <w:tcPr>
            <w:tcW w:w="1276" w:type="dxa"/>
            <w:shd w:val="clear" w:color="auto" w:fill="auto"/>
          </w:tcPr>
          <w:p w14:paraId="5F4C58E3"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0.8</w:t>
            </w:r>
            <w:r>
              <w:t xml:space="preserve"> (1.6)</w:t>
            </w:r>
          </w:p>
        </w:tc>
        <w:tc>
          <w:tcPr>
            <w:tcW w:w="1276" w:type="dxa"/>
            <w:gridSpan w:val="2"/>
            <w:shd w:val="clear" w:color="auto" w:fill="auto"/>
          </w:tcPr>
          <w:p w14:paraId="0EFAF76D"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0.04</w:t>
            </w:r>
          </w:p>
        </w:tc>
        <w:tc>
          <w:tcPr>
            <w:tcW w:w="1134" w:type="dxa"/>
            <w:gridSpan w:val="3"/>
            <w:shd w:val="clear" w:color="auto" w:fill="auto"/>
          </w:tcPr>
          <w:p w14:paraId="4CF2C6D8"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w:t>
            </w:r>
          </w:p>
        </w:tc>
        <w:tc>
          <w:tcPr>
            <w:tcW w:w="1134" w:type="dxa"/>
            <w:gridSpan w:val="3"/>
            <w:shd w:val="clear" w:color="auto" w:fill="auto"/>
          </w:tcPr>
          <w:p w14:paraId="18C339CB"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w:t>
            </w:r>
          </w:p>
        </w:tc>
        <w:tc>
          <w:tcPr>
            <w:tcW w:w="1243" w:type="dxa"/>
            <w:gridSpan w:val="3"/>
            <w:shd w:val="clear" w:color="auto" w:fill="auto"/>
          </w:tcPr>
          <w:p w14:paraId="148CD4C0"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p>
        </w:tc>
      </w:tr>
      <w:tr w:rsidR="00314EB5" w:rsidRPr="009E234D" w14:paraId="4D8BDC22" w14:textId="77777777" w:rsidTr="00EE0DF6">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auto"/>
            </w:tcBorders>
            <w:shd w:val="clear" w:color="auto" w:fill="auto"/>
            <w:hideMark/>
          </w:tcPr>
          <w:p w14:paraId="688927DC" w14:textId="77777777" w:rsidR="00314EB5" w:rsidRPr="009E234D" w:rsidRDefault="00314EB5" w:rsidP="00EE0DF6">
            <w:pPr>
              <w:pStyle w:val="NoSpacing"/>
            </w:pPr>
            <w:r w:rsidRPr="009E234D">
              <w:t>HFRS</w:t>
            </w:r>
          </w:p>
        </w:tc>
        <w:tc>
          <w:tcPr>
            <w:tcW w:w="1559" w:type="dxa"/>
            <w:tcBorders>
              <w:bottom w:val="single" w:sz="4" w:space="0" w:color="auto"/>
            </w:tcBorders>
            <w:shd w:val="clear" w:color="auto" w:fill="auto"/>
            <w:hideMark/>
          </w:tcPr>
          <w:p w14:paraId="70CB1A21"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1.1</w:t>
            </w:r>
            <w:r>
              <w:t xml:space="preserve"> (1.9)</w:t>
            </w:r>
          </w:p>
        </w:tc>
        <w:tc>
          <w:tcPr>
            <w:tcW w:w="1276" w:type="dxa"/>
            <w:tcBorders>
              <w:bottom w:val="single" w:sz="4" w:space="0" w:color="auto"/>
            </w:tcBorders>
            <w:shd w:val="clear" w:color="auto" w:fill="auto"/>
            <w:hideMark/>
          </w:tcPr>
          <w:p w14:paraId="3AB663D1"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0.8</w:t>
            </w:r>
            <w:r>
              <w:t xml:space="preserve"> (1.7)</w:t>
            </w:r>
          </w:p>
        </w:tc>
        <w:tc>
          <w:tcPr>
            <w:tcW w:w="1276" w:type="dxa"/>
            <w:gridSpan w:val="2"/>
            <w:tcBorders>
              <w:bottom w:val="single" w:sz="4" w:space="0" w:color="auto"/>
            </w:tcBorders>
            <w:shd w:val="clear" w:color="auto" w:fill="auto"/>
          </w:tcPr>
          <w:p w14:paraId="02201E20"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0.02</w:t>
            </w:r>
          </w:p>
        </w:tc>
        <w:tc>
          <w:tcPr>
            <w:tcW w:w="1134" w:type="dxa"/>
            <w:gridSpan w:val="3"/>
            <w:tcBorders>
              <w:bottom w:val="single" w:sz="4" w:space="0" w:color="auto"/>
            </w:tcBorders>
            <w:shd w:val="clear" w:color="auto" w:fill="auto"/>
            <w:hideMark/>
          </w:tcPr>
          <w:p w14:paraId="253052E5"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0.8</w:t>
            </w:r>
            <w:r>
              <w:t xml:space="preserve"> (1.3)</w:t>
            </w:r>
          </w:p>
        </w:tc>
        <w:tc>
          <w:tcPr>
            <w:tcW w:w="1134" w:type="dxa"/>
            <w:gridSpan w:val="3"/>
            <w:tcBorders>
              <w:bottom w:val="single" w:sz="4" w:space="0" w:color="auto"/>
            </w:tcBorders>
            <w:shd w:val="clear" w:color="auto" w:fill="auto"/>
            <w:hideMark/>
          </w:tcPr>
          <w:p w14:paraId="49E8E78C"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1.0</w:t>
            </w:r>
            <w:r>
              <w:t xml:space="preserve"> (1.6)</w:t>
            </w:r>
          </w:p>
        </w:tc>
        <w:tc>
          <w:tcPr>
            <w:tcW w:w="1243" w:type="dxa"/>
            <w:gridSpan w:val="3"/>
            <w:tcBorders>
              <w:bottom w:val="single" w:sz="4" w:space="0" w:color="auto"/>
            </w:tcBorders>
            <w:shd w:val="clear" w:color="auto" w:fill="auto"/>
          </w:tcPr>
          <w:p w14:paraId="0707B3DD"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0.2203</w:t>
            </w:r>
          </w:p>
        </w:tc>
      </w:tr>
      <w:tr w:rsidR="00314EB5" w:rsidRPr="009E234D" w14:paraId="6287520F" w14:textId="77777777" w:rsidTr="00EE0DF6">
        <w:trPr>
          <w:trHeight w:val="239"/>
          <w:jc w:val="center"/>
        </w:trPr>
        <w:tc>
          <w:tcPr>
            <w:cnfStyle w:val="001000000000" w:firstRow="0" w:lastRow="0" w:firstColumn="1" w:lastColumn="0" w:oddVBand="0" w:evenVBand="0" w:oddHBand="0" w:evenHBand="0" w:firstRowFirstColumn="0" w:firstRowLastColumn="0" w:lastRowFirstColumn="0" w:lastRowLastColumn="0"/>
            <w:tcW w:w="8898" w:type="dxa"/>
            <w:gridSpan w:val="14"/>
            <w:tcBorders>
              <w:top w:val="single" w:sz="4" w:space="0" w:color="auto"/>
              <w:bottom w:val="single" w:sz="4" w:space="0" w:color="auto"/>
            </w:tcBorders>
            <w:shd w:val="clear" w:color="auto" w:fill="DBE5F1" w:themeFill="accent1" w:themeFillTint="33"/>
          </w:tcPr>
          <w:p w14:paraId="0988DCB2" w14:textId="77777777" w:rsidR="00314EB5" w:rsidRPr="009E234D" w:rsidRDefault="00314EB5" w:rsidP="00EE0DF6">
            <w:pPr>
              <w:pStyle w:val="NoSpacing"/>
              <w:rPr>
                <w:b w:val="0"/>
                <w:bCs w:val="0"/>
              </w:rPr>
            </w:pPr>
            <w:r>
              <w:t xml:space="preserve">Mean </w:t>
            </w:r>
            <w:r w:rsidRPr="009E234D">
              <w:t>Number of Outpatient A</w:t>
            </w:r>
            <w:r>
              <w:t>ppointment</w:t>
            </w:r>
            <w:r w:rsidRPr="009E234D">
              <w:t>s Per Person</w:t>
            </w:r>
            <w:r>
              <w:t xml:space="preserve"> (SD)</w:t>
            </w:r>
          </w:p>
        </w:tc>
      </w:tr>
      <w:tr w:rsidR="00314EB5" w:rsidRPr="009E234D" w14:paraId="6A016963" w14:textId="77777777" w:rsidTr="00EE0DF6">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tcBorders>
            <w:shd w:val="clear" w:color="auto" w:fill="auto"/>
          </w:tcPr>
          <w:p w14:paraId="7C63E888" w14:textId="77777777" w:rsidR="00314EB5" w:rsidRPr="009E234D" w:rsidRDefault="00314EB5" w:rsidP="00EE0DF6">
            <w:pPr>
              <w:pStyle w:val="NoSpacing"/>
            </w:pPr>
            <w:r w:rsidRPr="009E234D">
              <w:t>Fried</w:t>
            </w:r>
          </w:p>
        </w:tc>
        <w:tc>
          <w:tcPr>
            <w:tcW w:w="1559" w:type="dxa"/>
            <w:tcBorders>
              <w:top w:val="single" w:sz="4" w:space="0" w:color="auto"/>
            </w:tcBorders>
            <w:shd w:val="clear" w:color="auto" w:fill="auto"/>
          </w:tcPr>
          <w:p w14:paraId="1FDC9681"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11.</w:t>
            </w:r>
            <w:r>
              <w:t>9 (10.6)</w:t>
            </w:r>
          </w:p>
        </w:tc>
        <w:tc>
          <w:tcPr>
            <w:tcW w:w="1276" w:type="dxa"/>
            <w:tcBorders>
              <w:top w:val="single" w:sz="4" w:space="0" w:color="auto"/>
            </w:tcBorders>
            <w:shd w:val="clear" w:color="auto" w:fill="auto"/>
          </w:tcPr>
          <w:p w14:paraId="6C869852"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w:t>
            </w:r>
            <w:r>
              <w:t>2.4 (12.6)</w:t>
            </w:r>
          </w:p>
        </w:tc>
        <w:tc>
          <w:tcPr>
            <w:tcW w:w="1276" w:type="dxa"/>
            <w:gridSpan w:val="2"/>
            <w:tcBorders>
              <w:top w:val="single" w:sz="4" w:space="0" w:color="auto"/>
            </w:tcBorders>
            <w:shd w:val="clear" w:color="auto" w:fill="auto"/>
          </w:tcPr>
          <w:p w14:paraId="028E6A3E"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0.94</w:t>
            </w:r>
          </w:p>
        </w:tc>
        <w:tc>
          <w:tcPr>
            <w:tcW w:w="1134" w:type="dxa"/>
            <w:gridSpan w:val="3"/>
            <w:tcBorders>
              <w:top w:val="single" w:sz="4" w:space="0" w:color="auto"/>
            </w:tcBorders>
            <w:shd w:val="clear" w:color="auto" w:fill="auto"/>
          </w:tcPr>
          <w:p w14:paraId="2C8E87F1"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10.5</w:t>
            </w:r>
            <w:r>
              <w:t xml:space="preserve"> (8.2)</w:t>
            </w:r>
          </w:p>
        </w:tc>
        <w:tc>
          <w:tcPr>
            <w:tcW w:w="1134" w:type="dxa"/>
            <w:gridSpan w:val="3"/>
            <w:tcBorders>
              <w:top w:val="single" w:sz="4" w:space="0" w:color="auto"/>
            </w:tcBorders>
            <w:shd w:val="clear" w:color="auto" w:fill="auto"/>
          </w:tcPr>
          <w:p w14:paraId="730203F6"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5.7</w:t>
            </w:r>
            <w:r>
              <w:t xml:space="preserve"> (6.7)</w:t>
            </w:r>
          </w:p>
        </w:tc>
        <w:tc>
          <w:tcPr>
            <w:tcW w:w="1243" w:type="dxa"/>
            <w:gridSpan w:val="3"/>
            <w:tcBorders>
              <w:top w:val="single" w:sz="4" w:space="0" w:color="auto"/>
            </w:tcBorders>
            <w:shd w:val="clear" w:color="auto" w:fill="auto"/>
          </w:tcPr>
          <w:p w14:paraId="2F5EFC4A"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0.002</w:t>
            </w:r>
          </w:p>
        </w:tc>
      </w:tr>
      <w:tr w:rsidR="00314EB5" w:rsidRPr="009E234D" w14:paraId="0FE7B4EF" w14:textId="77777777" w:rsidTr="00EE0DF6">
        <w:trPr>
          <w:trHeight w:val="239"/>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hideMark/>
          </w:tcPr>
          <w:p w14:paraId="5334F83E" w14:textId="77777777" w:rsidR="00314EB5" w:rsidRPr="009E234D" w:rsidRDefault="00314EB5" w:rsidP="00EE0DF6">
            <w:pPr>
              <w:pStyle w:val="NoSpacing"/>
            </w:pPr>
            <w:r w:rsidRPr="009E234D">
              <w:t>Rothman</w:t>
            </w:r>
          </w:p>
        </w:tc>
        <w:tc>
          <w:tcPr>
            <w:tcW w:w="1559" w:type="dxa"/>
            <w:shd w:val="clear" w:color="auto" w:fill="auto"/>
            <w:hideMark/>
          </w:tcPr>
          <w:p w14:paraId="32245756"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12.</w:t>
            </w:r>
            <w:r>
              <w:t>2 (10.8)</w:t>
            </w:r>
          </w:p>
        </w:tc>
        <w:tc>
          <w:tcPr>
            <w:tcW w:w="1276" w:type="dxa"/>
            <w:shd w:val="clear" w:color="auto" w:fill="auto"/>
            <w:hideMark/>
          </w:tcPr>
          <w:p w14:paraId="37375EE7"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w:t>
            </w:r>
            <w:r>
              <w:t>1.2 (11.9)</w:t>
            </w:r>
          </w:p>
        </w:tc>
        <w:tc>
          <w:tcPr>
            <w:tcW w:w="1276" w:type="dxa"/>
            <w:gridSpan w:val="2"/>
            <w:shd w:val="clear" w:color="auto" w:fill="auto"/>
          </w:tcPr>
          <w:p w14:paraId="62408388"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0.11</w:t>
            </w:r>
          </w:p>
        </w:tc>
        <w:tc>
          <w:tcPr>
            <w:tcW w:w="1134" w:type="dxa"/>
            <w:gridSpan w:val="3"/>
            <w:shd w:val="clear" w:color="auto" w:fill="auto"/>
            <w:hideMark/>
          </w:tcPr>
          <w:p w14:paraId="6002DA69"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8.3</w:t>
            </w:r>
            <w:r>
              <w:t xml:space="preserve"> (8.1)</w:t>
            </w:r>
          </w:p>
        </w:tc>
        <w:tc>
          <w:tcPr>
            <w:tcW w:w="1134" w:type="dxa"/>
            <w:gridSpan w:val="3"/>
            <w:shd w:val="clear" w:color="auto" w:fill="auto"/>
            <w:hideMark/>
          </w:tcPr>
          <w:p w14:paraId="6881DE76"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4.7</w:t>
            </w:r>
            <w:r>
              <w:t xml:space="preserve"> (6.2)</w:t>
            </w:r>
          </w:p>
        </w:tc>
        <w:tc>
          <w:tcPr>
            <w:tcW w:w="1243" w:type="dxa"/>
            <w:gridSpan w:val="3"/>
            <w:shd w:val="clear" w:color="auto" w:fill="auto"/>
          </w:tcPr>
          <w:p w14:paraId="5940396B"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&lt;0.001</w:t>
            </w:r>
          </w:p>
        </w:tc>
      </w:tr>
      <w:tr w:rsidR="00314EB5" w:rsidRPr="009E234D" w14:paraId="3C7ED30A" w14:textId="77777777" w:rsidTr="00EE0DF6">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715005A" w14:textId="77777777" w:rsidR="00314EB5" w:rsidRPr="009E234D" w:rsidRDefault="00314EB5" w:rsidP="00EE0DF6">
            <w:pPr>
              <w:pStyle w:val="NoSpacing"/>
            </w:pPr>
            <w:r w:rsidRPr="009E234D">
              <w:t>Rockwood</w:t>
            </w:r>
          </w:p>
        </w:tc>
        <w:tc>
          <w:tcPr>
            <w:tcW w:w="1559" w:type="dxa"/>
            <w:shd w:val="clear" w:color="auto" w:fill="auto"/>
          </w:tcPr>
          <w:p w14:paraId="0BBB5A22"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11.</w:t>
            </w:r>
            <w:r>
              <w:t>7 (10.4)</w:t>
            </w:r>
          </w:p>
        </w:tc>
        <w:tc>
          <w:tcPr>
            <w:tcW w:w="1276" w:type="dxa"/>
            <w:shd w:val="clear" w:color="auto" w:fill="auto"/>
          </w:tcPr>
          <w:p w14:paraId="2D7D913C"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12.</w:t>
            </w:r>
            <w:r>
              <w:t>7 (12.5)</w:t>
            </w:r>
          </w:p>
        </w:tc>
        <w:tc>
          <w:tcPr>
            <w:tcW w:w="1276" w:type="dxa"/>
            <w:gridSpan w:val="2"/>
            <w:shd w:val="clear" w:color="auto" w:fill="auto"/>
          </w:tcPr>
          <w:p w14:paraId="45397E31"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t>0.97</w:t>
            </w:r>
          </w:p>
        </w:tc>
        <w:tc>
          <w:tcPr>
            <w:tcW w:w="1134" w:type="dxa"/>
            <w:gridSpan w:val="3"/>
            <w:shd w:val="clear" w:color="auto" w:fill="auto"/>
          </w:tcPr>
          <w:p w14:paraId="49AAFE02"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w:t>
            </w:r>
          </w:p>
        </w:tc>
        <w:tc>
          <w:tcPr>
            <w:tcW w:w="1134" w:type="dxa"/>
            <w:gridSpan w:val="3"/>
            <w:shd w:val="clear" w:color="auto" w:fill="auto"/>
          </w:tcPr>
          <w:p w14:paraId="3FDF7542"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w:t>
            </w:r>
          </w:p>
        </w:tc>
        <w:tc>
          <w:tcPr>
            <w:tcW w:w="1243" w:type="dxa"/>
            <w:gridSpan w:val="3"/>
            <w:shd w:val="clear" w:color="auto" w:fill="auto"/>
          </w:tcPr>
          <w:p w14:paraId="7AA23958" w14:textId="77777777" w:rsidR="00314EB5" w:rsidRPr="009E234D" w:rsidRDefault="00314EB5" w:rsidP="00EE0DF6">
            <w:pPr>
              <w:pStyle w:val="NoSpacing"/>
              <w:jc w:val="center"/>
              <w:cnfStyle w:val="000000100000" w:firstRow="0" w:lastRow="0" w:firstColumn="0" w:lastColumn="0" w:oddVBand="0" w:evenVBand="0" w:oddHBand="1" w:evenHBand="0" w:firstRowFirstColumn="0" w:firstRowLastColumn="0" w:lastRowFirstColumn="0" w:lastRowLastColumn="0"/>
            </w:pPr>
          </w:p>
        </w:tc>
      </w:tr>
      <w:tr w:rsidR="00314EB5" w:rsidRPr="009E234D" w14:paraId="4EC076F2" w14:textId="77777777" w:rsidTr="00EE0DF6">
        <w:trPr>
          <w:trHeight w:val="239"/>
          <w:jc w:val="center"/>
        </w:trPr>
        <w:tc>
          <w:tcPr>
            <w:cnfStyle w:val="001000000000" w:firstRow="0" w:lastRow="0" w:firstColumn="1" w:lastColumn="0" w:oddVBand="0" w:evenVBand="0" w:oddHBand="0" w:evenHBand="0" w:firstRowFirstColumn="0" w:firstRowLastColumn="0" w:lastRowFirstColumn="0" w:lastRowLastColumn="0"/>
            <w:tcW w:w="1276" w:type="dxa"/>
            <w:tcBorders>
              <w:top w:val="nil"/>
              <w:bottom w:val="single" w:sz="4" w:space="0" w:color="auto"/>
            </w:tcBorders>
            <w:shd w:val="clear" w:color="auto" w:fill="auto"/>
            <w:hideMark/>
          </w:tcPr>
          <w:p w14:paraId="6872FA07" w14:textId="77777777" w:rsidR="00314EB5" w:rsidRPr="009E234D" w:rsidRDefault="00314EB5" w:rsidP="00EE0DF6">
            <w:pPr>
              <w:pStyle w:val="NoSpacing"/>
            </w:pPr>
            <w:r w:rsidRPr="009E234D">
              <w:t>HFRS</w:t>
            </w:r>
          </w:p>
        </w:tc>
        <w:tc>
          <w:tcPr>
            <w:tcW w:w="1559" w:type="dxa"/>
            <w:tcBorders>
              <w:top w:val="nil"/>
              <w:bottom w:val="single" w:sz="4" w:space="0" w:color="auto"/>
            </w:tcBorders>
            <w:shd w:val="clear" w:color="auto" w:fill="auto"/>
            <w:hideMark/>
          </w:tcPr>
          <w:p w14:paraId="1DEEBEC1"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11.</w:t>
            </w:r>
            <w:r>
              <w:t>3 (10.1)</w:t>
            </w:r>
          </w:p>
        </w:tc>
        <w:tc>
          <w:tcPr>
            <w:tcW w:w="1276" w:type="dxa"/>
            <w:tcBorders>
              <w:top w:val="nil"/>
              <w:bottom w:val="single" w:sz="4" w:space="0" w:color="auto"/>
            </w:tcBorders>
            <w:shd w:val="clear" w:color="auto" w:fill="auto"/>
            <w:hideMark/>
          </w:tcPr>
          <w:p w14:paraId="6B18AE47"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12.</w:t>
            </w:r>
            <w:r>
              <w:t>4 (12.4)</w:t>
            </w:r>
          </w:p>
        </w:tc>
        <w:tc>
          <w:tcPr>
            <w:tcW w:w="1276" w:type="dxa"/>
            <w:gridSpan w:val="2"/>
            <w:tcBorders>
              <w:top w:val="nil"/>
              <w:bottom w:val="single" w:sz="4" w:space="0" w:color="auto"/>
            </w:tcBorders>
            <w:shd w:val="clear" w:color="auto" w:fill="auto"/>
          </w:tcPr>
          <w:p w14:paraId="2CE2D487"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0.76</w:t>
            </w:r>
          </w:p>
        </w:tc>
        <w:tc>
          <w:tcPr>
            <w:tcW w:w="1134" w:type="dxa"/>
            <w:gridSpan w:val="3"/>
            <w:tcBorders>
              <w:top w:val="nil"/>
              <w:bottom w:val="single" w:sz="4" w:space="0" w:color="auto"/>
            </w:tcBorders>
            <w:shd w:val="clear" w:color="auto" w:fill="auto"/>
            <w:hideMark/>
          </w:tcPr>
          <w:p w14:paraId="150006C1"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7.6</w:t>
            </w:r>
            <w:r>
              <w:t xml:space="preserve"> (8.6)</w:t>
            </w:r>
          </w:p>
        </w:tc>
        <w:tc>
          <w:tcPr>
            <w:tcW w:w="1134" w:type="dxa"/>
            <w:gridSpan w:val="3"/>
            <w:tcBorders>
              <w:top w:val="nil"/>
              <w:bottom w:val="single" w:sz="4" w:space="0" w:color="auto"/>
            </w:tcBorders>
            <w:shd w:val="clear" w:color="auto" w:fill="auto"/>
            <w:hideMark/>
          </w:tcPr>
          <w:p w14:paraId="3D0FC712"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6.</w:t>
            </w:r>
            <w:r>
              <w:t>0 (6.5)</w:t>
            </w:r>
          </w:p>
        </w:tc>
        <w:tc>
          <w:tcPr>
            <w:tcW w:w="1243" w:type="dxa"/>
            <w:gridSpan w:val="3"/>
            <w:tcBorders>
              <w:top w:val="nil"/>
              <w:bottom w:val="single" w:sz="4" w:space="0" w:color="auto"/>
            </w:tcBorders>
            <w:shd w:val="clear" w:color="auto" w:fill="auto"/>
          </w:tcPr>
          <w:p w14:paraId="2154D6C8" w14:textId="77777777" w:rsidR="00314EB5" w:rsidRPr="009E234D" w:rsidRDefault="00314EB5" w:rsidP="00EE0DF6">
            <w:pPr>
              <w:pStyle w:val="NoSpacing"/>
              <w:jc w:val="center"/>
              <w:cnfStyle w:val="000000000000" w:firstRow="0" w:lastRow="0" w:firstColumn="0" w:lastColumn="0" w:oddVBand="0" w:evenVBand="0" w:oddHBand="0" w:evenHBand="0" w:firstRowFirstColumn="0" w:firstRowLastColumn="0" w:lastRowFirstColumn="0" w:lastRowLastColumn="0"/>
            </w:pPr>
            <w:r>
              <w:t>0.35</w:t>
            </w:r>
          </w:p>
        </w:tc>
      </w:tr>
    </w:tbl>
    <w:p w14:paraId="78D970EF" w14:textId="255F5FFB" w:rsidR="00314EB5" w:rsidRDefault="00314EB5" w:rsidP="00314EB5">
      <w:pPr>
        <w:spacing w:after="0"/>
        <w:rPr>
          <w:sz w:val="18"/>
        </w:rPr>
      </w:pPr>
      <w:r>
        <w:rPr>
          <w:sz w:val="18"/>
        </w:rPr>
        <w:t>SD = Standard Deviation</w:t>
      </w:r>
    </w:p>
    <w:p w14:paraId="2C14077B" w14:textId="77777777" w:rsidR="00C12188" w:rsidRDefault="00C12188" w:rsidP="00314EB5">
      <w:pPr>
        <w:spacing w:after="0"/>
        <w:rPr>
          <w:sz w:val="18"/>
        </w:rPr>
      </w:pPr>
    </w:p>
    <w:p w14:paraId="176FB2B5" w14:textId="77777777" w:rsidR="00C12188" w:rsidRDefault="00C12188" w:rsidP="00314EB5">
      <w:pPr>
        <w:spacing w:after="0"/>
        <w:rPr>
          <w:sz w:val="18"/>
        </w:rPr>
      </w:pPr>
    </w:p>
    <w:p w14:paraId="332785FF" w14:textId="77777777" w:rsidR="00C12188" w:rsidRDefault="00C12188" w:rsidP="00314EB5">
      <w:pPr>
        <w:spacing w:after="0"/>
        <w:rPr>
          <w:sz w:val="18"/>
        </w:rPr>
      </w:pPr>
    </w:p>
    <w:p w14:paraId="0E4C62FA" w14:textId="77777777" w:rsidR="00C12188" w:rsidRDefault="00C12188" w:rsidP="00314EB5">
      <w:pPr>
        <w:spacing w:after="0"/>
        <w:rPr>
          <w:sz w:val="18"/>
        </w:rPr>
      </w:pPr>
    </w:p>
    <w:p w14:paraId="280DFB58" w14:textId="77777777" w:rsidR="00C12188" w:rsidRDefault="00C12188">
      <w:pPr>
        <w:rPr>
          <w:rFonts w:eastAsiaTheme="majorEastAsia" w:cstheme="majorBidi"/>
          <w:b/>
          <w:bCs/>
          <w:sz w:val="28"/>
          <w:szCs w:val="28"/>
        </w:rPr>
      </w:pPr>
      <w:r>
        <w:br w:type="page"/>
      </w:r>
    </w:p>
    <w:p w14:paraId="2D4A6D7A" w14:textId="5FF07D91" w:rsidR="00C12188" w:rsidRDefault="00C12188" w:rsidP="00C12188">
      <w:pPr>
        <w:pStyle w:val="Heading1"/>
        <w:spacing w:before="0"/>
      </w:pPr>
      <w:bookmarkStart w:id="3" w:name="_GoBack"/>
      <w:bookmarkEnd w:id="3"/>
      <w:r w:rsidRPr="009E234D">
        <w:lastRenderedPageBreak/>
        <w:t>Appendix</w:t>
      </w:r>
    </w:p>
    <w:p w14:paraId="1B56B70A" w14:textId="77777777" w:rsidR="00C12188" w:rsidRDefault="00C12188" w:rsidP="00C12188">
      <w:pPr>
        <w:pStyle w:val="Tablehead"/>
      </w:pPr>
      <w:r>
        <w:t>Construction of Fried and Rothman Items for the in-patient cohort</w:t>
      </w:r>
    </w:p>
    <w:tbl>
      <w:tblPr>
        <w:tblW w:w="9513" w:type="dxa"/>
        <w:tblInd w:w="93" w:type="dxa"/>
        <w:tblLook w:val="04A0" w:firstRow="1" w:lastRow="0" w:firstColumn="1" w:lastColumn="0" w:noHBand="0" w:noVBand="1"/>
      </w:tblPr>
      <w:tblGrid>
        <w:gridCol w:w="1217"/>
        <w:gridCol w:w="4224"/>
        <w:gridCol w:w="4111"/>
      </w:tblGrid>
      <w:tr w:rsidR="00C12188" w:rsidRPr="009E234D" w14:paraId="3C8254E0" w14:textId="77777777" w:rsidTr="00EE0DF6">
        <w:trPr>
          <w:trHeight w:val="300"/>
        </w:trPr>
        <w:tc>
          <w:tcPr>
            <w:tcW w:w="1178" w:type="dxa"/>
            <w:tcBorders>
              <w:top w:val="single" w:sz="4" w:space="0" w:color="auto"/>
              <w:left w:val="single" w:sz="4" w:space="0" w:color="auto"/>
              <w:bottom w:val="single" w:sz="4" w:space="0" w:color="auto"/>
              <w:right w:val="single" w:sz="4" w:space="0" w:color="auto"/>
            </w:tcBorders>
            <w:shd w:val="clear" w:color="000000" w:fill="FFFFFF"/>
            <w:noWrap/>
            <w:hideMark/>
          </w:tcPr>
          <w:p w14:paraId="68B8CCAD" w14:textId="77777777" w:rsidR="00C12188" w:rsidRPr="009E234D" w:rsidRDefault="00C12188" w:rsidP="00EE0DF6">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Item</w:t>
            </w:r>
          </w:p>
        </w:tc>
        <w:tc>
          <w:tcPr>
            <w:tcW w:w="4224" w:type="dxa"/>
            <w:tcBorders>
              <w:top w:val="single" w:sz="4" w:space="0" w:color="auto"/>
              <w:left w:val="nil"/>
              <w:bottom w:val="single" w:sz="4" w:space="0" w:color="auto"/>
              <w:right w:val="single" w:sz="4" w:space="0" w:color="auto"/>
            </w:tcBorders>
            <w:shd w:val="clear" w:color="000000" w:fill="FFFFFF"/>
            <w:noWrap/>
            <w:hideMark/>
          </w:tcPr>
          <w:p w14:paraId="14910515" w14:textId="77777777" w:rsidR="00C12188" w:rsidRPr="009E234D" w:rsidRDefault="00C12188" w:rsidP="00EE0DF6">
            <w:pPr>
              <w:spacing w:after="0" w:line="240" w:lineRule="auto"/>
              <w:rPr>
                <w:rFonts w:ascii="Calibri" w:eastAsia="Times New Roman" w:hAnsi="Calibri" w:cs="Times New Roman"/>
                <w:b/>
                <w:color w:val="000000"/>
                <w:lang w:eastAsia="en-GB"/>
              </w:rPr>
            </w:pPr>
            <w:r w:rsidRPr="009E234D">
              <w:rPr>
                <w:rFonts w:ascii="Calibri" w:eastAsia="Times New Roman" w:hAnsi="Calibri" w:cs="Times New Roman"/>
                <w:b/>
                <w:color w:val="000000"/>
                <w:lang w:eastAsia="en-GB"/>
              </w:rPr>
              <w:t>Details</w:t>
            </w:r>
          </w:p>
        </w:tc>
        <w:tc>
          <w:tcPr>
            <w:tcW w:w="4111" w:type="dxa"/>
            <w:tcBorders>
              <w:top w:val="single" w:sz="4" w:space="0" w:color="auto"/>
              <w:left w:val="nil"/>
              <w:bottom w:val="single" w:sz="4" w:space="0" w:color="auto"/>
              <w:right w:val="single" w:sz="4" w:space="0" w:color="auto"/>
            </w:tcBorders>
            <w:shd w:val="clear" w:color="000000" w:fill="FFFFFF"/>
            <w:noWrap/>
            <w:hideMark/>
          </w:tcPr>
          <w:p w14:paraId="1A7CB040" w14:textId="77777777" w:rsidR="00C12188" w:rsidRPr="009E234D" w:rsidRDefault="00C12188" w:rsidP="00EE0DF6">
            <w:pPr>
              <w:spacing w:after="0" w:line="240" w:lineRule="auto"/>
              <w:rPr>
                <w:rFonts w:ascii="Calibri" w:eastAsia="Times New Roman" w:hAnsi="Calibri" w:cs="Times New Roman"/>
                <w:b/>
                <w:color w:val="000000"/>
                <w:lang w:eastAsia="en-GB"/>
              </w:rPr>
            </w:pPr>
            <w:r w:rsidRPr="009E234D">
              <w:rPr>
                <w:rFonts w:ascii="Calibri" w:eastAsia="Times New Roman" w:hAnsi="Calibri" w:cs="Times New Roman"/>
                <w:b/>
                <w:color w:val="000000"/>
                <w:lang w:eastAsia="en-GB"/>
              </w:rPr>
              <w:t>Construction</w:t>
            </w:r>
          </w:p>
        </w:tc>
      </w:tr>
      <w:tr w:rsidR="00C12188" w:rsidRPr="009E234D" w14:paraId="463456C1" w14:textId="77777777" w:rsidTr="00EE0DF6">
        <w:trPr>
          <w:trHeight w:val="318"/>
        </w:trPr>
        <w:tc>
          <w:tcPr>
            <w:tcW w:w="9513" w:type="dxa"/>
            <w:gridSpan w:val="3"/>
            <w:tcBorders>
              <w:top w:val="nil"/>
              <w:left w:val="single" w:sz="4" w:space="0" w:color="auto"/>
              <w:bottom w:val="single" w:sz="4" w:space="0" w:color="auto"/>
              <w:right w:val="single" w:sz="4" w:space="0" w:color="auto"/>
            </w:tcBorders>
            <w:shd w:val="clear" w:color="auto" w:fill="DBE5F1" w:themeFill="accent1" w:themeFillTint="33"/>
            <w:noWrap/>
          </w:tcPr>
          <w:p w14:paraId="6EFEF61B" w14:textId="77777777" w:rsidR="00C12188" w:rsidRPr="009E234D" w:rsidRDefault="00C12188" w:rsidP="00EE0DF6">
            <w:pPr>
              <w:spacing w:after="0" w:line="240" w:lineRule="auto"/>
              <w:rPr>
                <w:rFonts w:ascii="Calibri" w:eastAsia="Times New Roman" w:hAnsi="Calibri" w:cs="Times New Roman"/>
                <w:color w:val="000000"/>
                <w:lang w:eastAsia="en-GB"/>
              </w:rPr>
            </w:pPr>
            <w:r>
              <w:rPr>
                <w:rFonts w:ascii="Calibri" w:eastAsia="Times New Roman" w:hAnsi="Calibri" w:cs="Times New Roman"/>
                <w:b/>
                <w:bCs/>
                <w:color w:val="000000"/>
                <w:lang w:eastAsia="en-GB"/>
              </w:rPr>
              <w:t>Fried</w:t>
            </w:r>
          </w:p>
        </w:tc>
      </w:tr>
      <w:tr w:rsidR="00C12188" w:rsidRPr="009E234D" w14:paraId="6A2DDA50" w14:textId="77777777" w:rsidTr="00EE0DF6">
        <w:trPr>
          <w:trHeight w:val="544"/>
        </w:trPr>
        <w:tc>
          <w:tcPr>
            <w:tcW w:w="1178" w:type="dxa"/>
            <w:tcBorders>
              <w:top w:val="nil"/>
              <w:left w:val="single" w:sz="4" w:space="0" w:color="auto"/>
              <w:bottom w:val="single" w:sz="4" w:space="0" w:color="auto"/>
              <w:right w:val="single" w:sz="4" w:space="0" w:color="auto"/>
            </w:tcBorders>
            <w:shd w:val="clear" w:color="000000" w:fill="FFFFFF"/>
            <w:noWrap/>
            <w:hideMark/>
          </w:tcPr>
          <w:p w14:paraId="60F107FF" w14:textId="77777777" w:rsidR="00C12188" w:rsidRPr="009E234D" w:rsidRDefault="00C12188" w:rsidP="00EE0DF6">
            <w:pPr>
              <w:spacing w:after="0" w:line="240" w:lineRule="auto"/>
              <w:rPr>
                <w:rFonts w:ascii="Calibri" w:eastAsia="Times New Roman" w:hAnsi="Calibri" w:cs="Times New Roman"/>
                <w:b/>
                <w:bCs/>
                <w:color w:val="000000"/>
                <w:lang w:eastAsia="en-GB"/>
              </w:rPr>
            </w:pPr>
            <w:r w:rsidRPr="009E234D">
              <w:rPr>
                <w:rFonts w:ascii="Calibri" w:eastAsia="Times New Roman" w:hAnsi="Calibri" w:cs="Times New Roman"/>
                <w:b/>
                <w:bCs/>
                <w:color w:val="000000"/>
                <w:lang w:eastAsia="en-GB"/>
              </w:rPr>
              <w:t>Nutritional status</w:t>
            </w:r>
          </w:p>
        </w:tc>
        <w:tc>
          <w:tcPr>
            <w:tcW w:w="4224" w:type="dxa"/>
            <w:tcBorders>
              <w:top w:val="nil"/>
              <w:left w:val="nil"/>
              <w:bottom w:val="single" w:sz="4" w:space="0" w:color="auto"/>
              <w:right w:val="single" w:sz="4" w:space="0" w:color="auto"/>
            </w:tcBorders>
            <w:shd w:val="clear" w:color="000000" w:fill="FFFFFF"/>
            <w:noWrap/>
            <w:hideMark/>
          </w:tcPr>
          <w:p w14:paraId="19CCB255"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Difference between current weight to usual weight</w:t>
            </w:r>
          </w:p>
        </w:tc>
        <w:tc>
          <w:tcPr>
            <w:tcW w:w="4111" w:type="dxa"/>
            <w:tcBorders>
              <w:top w:val="nil"/>
              <w:left w:val="nil"/>
              <w:bottom w:val="single" w:sz="4" w:space="0" w:color="auto"/>
              <w:right w:val="single" w:sz="4" w:space="0" w:color="auto"/>
            </w:tcBorders>
            <w:shd w:val="clear" w:color="000000" w:fill="FFFFFF"/>
            <w:hideMark/>
          </w:tcPr>
          <w:p w14:paraId="5CE2218C"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 xml:space="preserve"> "1" or "2" - wtscore0 =  1 current weight is lower than usual weight </w:t>
            </w:r>
          </w:p>
        </w:tc>
      </w:tr>
      <w:tr w:rsidR="00C12188" w:rsidRPr="009E234D" w14:paraId="113C4646" w14:textId="77777777" w:rsidTr="00EE0DF6">
        <w:trPr>
          <w:trHeight w:val="1263"/>
        </w:trPr>
        <w:tc>
          <w:tcPr>
            <w:tcW w:w="1178" w:type="dxa"/>
            <w:tcBorders>
              <w:top w:val="nil"/>
              <w:left w:val="single" w:sz="4" w:space="0" w:color="auto"/>
              <w:bottom w:val="single" w:sz="4" w:space="0" w:color="auto"/>
              <w:right w:val="single" w:sz="4" w:space="0" w:color="auto"/>
            </w:tcBorders>
            <w:shd w:val="clear" w:color="000000" w:fill="FFFFFF"/>
            <w:noWrap/>
            <w:hideMark/>
          </w:tcPr>
          <w:p w14:paraId="7C1D22D3" w14:textId="77777777" w:rsidR="00C12188" w:rsidRPr="009E234D" w:rsidRDefault="00C12188" w:rsidP="00EE0DF6">
            <w:pPr>
              <w:spacing w:after="0" w:line="240" w:lineRule="auto"/>
              <w:rPr>
                <w:rFonts w:ascii="Calibri" w:eastAsia="Times New Roman" w:hAnsi="Calibri" w:cs="Times New Roman"/>
                <w:b/>
                <w:bCs/>
                <w:color w:val="000000"/>
                <w:lang w:eastAsia="en-GB"/>
              </w:rPr>
            </w:pPr>
            <w:r w:rsidRPr="009E234D">
              <w:rPr>
                <w:rFonts w:ascii="Calibri" w:eastAsia="Times New Roman" w:hAnsi="Calibri" w:cs="Times New Roman"/>
                <w:b/>
                <w:bCs/>
                <w:color w:val="000000"/>
                <w:lang w:eastAsia="en-GB"/>
              </w:rPr>
              <w:t>Strength</w:t>
            </w:r>
          </w:p>
        </w:tc>
        <w:tc>
          <w:tcPr>
            <w:tcW w:w="4224" w:type="dxa"/>
            <w:tcBorders>
              <w:top w:val="nil"/>
              <w:left w:val="nil"/>
              <w:bottom w:val="single" w:sz="4" w:space="0" w:color="auto"/>
              <w:right w:val="single" w:sz="4" w:space="0" w:color="auto"/>
            </w:tcBorders>
            <w:shd w:val="clear" w:color="000000" w:fill="FFFFFF"/>
            <w:noWrap/>
            <w:hideMark/>
          </w:tcPr>
          <w:p w14:paraId="04CDEAD9"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Grip strength, cut offs are Fried</w:t>
            </w:r>
          </w:p>
        </w:tc>
        <w:tc>
          <w:tcPr>
            <w:tcW w:w="4111" w:type="dxa"/>
            <w:tcBorders>
              <w:top w:val="nil"/>
              <w:left w:val="nil"/>
              <w:bottom w:val="single" w:sz="4" w:space="0" w:color="auto"/>
              <w:right w:val="single" w:sz="4" w:space="0" w:color="auto"/>
            </w:tcBorders>
            <w:shd w:val="clear" w:color="000000" w:fill="FFFFFF"/>
            <w:hideMark/>
          </w:tcPr>
          <w:p w14:paraId="6AB73369"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Max grip strength from all left and right hand measures. Below Fried cut offs = 1. Female BMI &lt;=23 cut off &lt;= 17, 23.1-26 cut off &lt;= 17.3, 26.1-29 cut off &lt;= 18, 29+ cut off &lt;= 21.</w:t>
            </w:r>
          </w:p>
        </w:tc>
      </w:tr>
      <w:tr w:rsidR="00C12188" w:rsidRPr="009E234D" w14:paraId="63C0E8BF" w14:textId="77777777" w:rsidTr="00EE0DF6">
        <w:trPr>
          <w:trHeight w:val="300"/>
        </w:trPr>
        <w:tc>
          <w:tcPr>
            <w:tcW w:w="1178" w:type="dxa"/>
            <w:tcBorders>
              <w:top w:val="nil"/>
              <w:left w:val="single" w:sz="4" w:space="0" w:color="auto"/>
              <w:bottom w:val="single" w:sz="4" w:space="0" w:color="auto"/>
              <w:right w:val="single" w:sz="4" w:space="0" w:color="auto"/>
            </w:tcBorders>
            <w:shd w:val="clear" w:color="000000" w:fill="FFFFFF"/>
            <w:noWrap/>
            <w:hideMark/>
          </w:tcPr>
          <w:p w14:paraId="506099F6" w14:textId="77777777" w:rsidR="00C12188" w:rsidRPr="009E234D" w:rsidRDefault="00C12188" w:rsidP="00EE0DF6">
            <w:pPr>
              <w:spacing w:after="0" w:line="240" w:lineRule="auto"/>
              <w:rPr>
                <w:rFonts w:ascii="Calibri" w:eastAsia="Times New Roman" w:hAnsi="Calibri" w:cs="Times New Roman"/>
                <w:b/>
                <w:bCs/>
                <w:color w:val="000000"/>
                <w:lang w:eastAsia="en-GB"/>
              </w:rPr>
            </w:pPr>
            <w:r w:rsidRPr="009E234D">
              <w:rPr>
                <w:rFonts w:ascii="Calibri" w:eastAsia="Times New Roman" w:hAnsi="Calibri" w:cs="Times New Roman"/>
                <w:b/>
                <w:bCs/>
                <w:color w:val="000000"/>
                <w:lang w:eastAsia="en-GB"/>
              </w:rPr>
              <w:t>Energy</w:t>
            </w:r>
          </w:p>
        </w:tc>
        <w:tc>
          <w:tcPr>
            <w:tcW w:w="4224" w:type="dxa"/>
            <w:tcBorders>
              <w:top w:val="nil"/>
              <w:left w:val="nil"/>
              <w:bottom w:val="single" w:sz="4" w:space="0" w:color="auto"/>
              <w:right w:val="single" w:sz="4" w:space="0" w:color="auto"/>
            </w:tcBorders>
            <w:shd w:val="clear" w:color="000000" w:fill="FFFFFF"/>
            <w:noWrap/>
            <w:hideMark/>
          </w:tcPr>
          <w:p w14:paraId="24FF447E"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Do you feel full of energy? "no"</w:t>
            </w:r>
          </w:p>
        </w:tc>
        <w:tc>
          <w:tcPr>
            <w:tcW w:w="4111" w:type="dxa"/>
            <w:tcBorders>
              <w:top w:val="nil"/>
              <w:left w:val="nil"/>
              <w:bottom w:val="single" w:sz="4" w:space="0" w:color="auto"/>
              <w:right w:val="single" w:sz="4" w:space="0" w:color="auto"/>
            </w:tcBorders>
            <w:shd w:val="clear" w:color="000000" w:fill="FFFFFF"/>
            <w:hideMark/>
          </w:tcPr>
          <w:p w14:paraId="6FF34C3E"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 xml:space="preserve">"0" - GDS13 </w:t>
            </w:r>
          </w:p>
        </w:tc>
      </w:tr>
      <w:tr w:rsidR="00C12188" w:rsidRPr="009E234D" w14:paraId="04DC3997" w14:textId="77777777" w:rsidTr="00EE0DF6">
        <w:trPr>
          <w:trHeight w:val="600"/>
        </w:trPr>
        <w:tc>
          <w:tcPr>
            <w:tcW w:w="1178" w:type="dxa"/>
            <w:tcBorders>
              <w:top w:val="nil"/>
              <w:left w:val="single" w:sz="4" w:space="0" w:color="auto"/>
              <w:bottom w:val="single" w:sz="4" w:space="0" w:color="auto"/>
              <w:right w:val="single" w:sz="4" w:space="0" w:color="auto"/>
            </w:tcBorders>
            <w:shd w:val="clear" w:color="000000" w:fill="FFFFFF"/>
            <w:noWrap/>
            <w:hideMark/>
          </w:tcPr>
          <w:p w14:paraId="7AADDBBF" w14:textId="77777777" w:rsidR="00C12188" w:rsidRPr="009E234D" w:rsidRDefault="00C12188" w:rsidP="00EE0DF6">
            <w:pPr>
              <w:spacing w:after="0" w:line="240" w:lineRule="auto"/>
              <w:rPr>
                <w:rFonts w:ascii="Calibri" w:eastAsia="Times New Roman" w:hAnsi="Calibri" w:cs="Times New Roman"/>
                <w:b/>
                <w:bCs/>
                <w:color w:val="000000"/>
                <w:lang w:eastAsia="en-GB"/>
              </w:rPr>
            </w:pPr>
            <w:r w:rsidRPr="009E234D">
              <w:rPr>
                <w:rFonts w:ascii="Calibri" w:eastAsia="Times New Roman" w:hAnsi="Calibri" w:cs="Times New Roman"/>
                <w:b/>
                <w:bCs/>
                <w:color w:val="000000"/>
                <w:lang w:eastAsia="en-GB"/>
              </w:rPr>
              <w:t>Mobility</w:t>
            </w:r>
          </w:p>
        </w:tc>
        <w:tc>
          <w:tcPr>
            <w:tcW w:w="4224" w:type="dxa"/>
            <w:tcBorders>
              <w:top w:val="nil"/>
              <w:left w:val="nil"/>
              <w:bottom w:val="single" w:sz="4" w:space="0" w:color="auto"/>
              <w:right w:val="single" w:sz="4" w:space="0" w:color="auto"/>
            </w:tcBorders>
            <w:shd w:val="clear" w:color="000000" w:fill="FFFFFF"/>
            <w:hideMark/>
          </w:tcPr>
          <w:p w14:paraId="7AD431F5"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 xml:space="preserve">Can't walk independently for any distance according to </w:t>
            </w:r>
            <w:proofErr w:type="spellStart"/>
            <w:r w:rsidRPr="009E234D">
              <w:rPr>
                <w:rFonts w:ascii="Calibri" w:eastAsia="Times New Roman" w:hAnsi="Calibri" w:cs="Times New Roman"/>
                <w:color w:val="000000"/>
                <w:lang w:eastAsia="en-GB"/>
              </w:rPr>
              <w:t>Barthel</w:t>
            </w:r>
            <w:proofErr w:type="spellEnd"/>
            <w:r w:rsidRPr="009E234D">
              <w:rPr>
                <w:rFonts w:ascii="Calibri" w:eastAsia="Times New Roman" w:hAnsi="Calibri" w:cs="Times New Roman"/>
                <w:color w:val="000000"/>
                <w:lang w:eastAsia="en-GB"/>
              </w:rPr>
              <w:t xml:space="preserve"> Activities of daily living</w:t>
            </w:r>
          </w:p>
        </w:tc>
        <w:tc>
          <w:tcPr>
            <w:tcW w:w="4111" w:type="dxa"/>
            <w:tcBorders>
              <w:top w:val="nil"/>
              <w:left w:val="nil"/>
              <w:bottom w:val="single" w:sz="4" w:space="0" w:color="auto"/>
              <w:right w:val="single" w:sz="4" w:space="0" w:color="auto"/>
            </w:tcBorders>
            <w:shd w:val="clear" w:color="000000" w:fill="FFFFFF"/>
            <w:hideMark/>
          </w:tcPr>
          <w:p w14:paraId="398D82B5"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0,1,8 - walk0 = 1</w:t>
            </w:r>
          </w:p>
        </w:tc>
      </w:tr>
      <w:tr w:rsidR="00C12188" w:rsidRPr="009E234D" w14:paraId="421FE350" w14:textId="77777777" w:rsidTr="00EE0DF6">
        <w:trPr>
          <w:trHeight w:val="600"/>
        </w:trPr>
        <w:tc>
          <w:tcPr>
            <w:tcW w:w="1178" w:type="dxa"/>
            <w:tcBorders>
              <w:top w:val="nil"/>
              <w:left w:val="single" w:sz="4" w:space="0" w:color="auto"/>
              <w:bottom w:val="single" w:sz="4" w:space="0" w:color="auto"/>
              <w:right w:val="single" w:sz="4" w:space="0" w:color="auto"/>
            </w:tcBorders>
            <w:shd w:val="clear" w:color="000000" w:fill="FFFFFF"/>
            <w:noWrap/>
            <w:hideMark/>
          </w:tcPr>
          <w:p w14:paraId="0F9A158C" w14:textId="77777777" w:rsidR="00C12188" w:rsidRPr="009E234D" w:rsidRDefault="00C12188" w:rsidP="00EE0DF6">
            <w:pPr>
              <w:spacing w:after="0" w:line="240" w:lineRule="auto"/>
              <w:rPr>
                <w:rFonts w:ascii="Calibri" w:eastAsia="Times New Roman" w:hAnsi="Calibri" w:cs="Times New Roman"/>
                <w:b/>
                <w:bCs/>
                <w:color w:val="000000"/>
                <w:lang w:eastAsia="en-GB"/>
              </w:rPr>
            </w:pPr>
            <w:r w:rsidRPr="009E234D">
              <w:rPr>
                <w:rFonts w:ascii="Calibri" w:eastAsia="Times New Roman" w:hAnsi="Calibri" w:cs="Times New Roman"/>
                <w:b/>
                <w:bCs/>
                <w:color w:val="000000"/>
                <w:lang w:eastAsia="en-GB"/>
              </w:rPr>
              <w:t>Physical activity</w:t>
            </w:r>
          </w:p>
        </w:tc>
        <w:tc>
          <w:tcPr>
            <w:tcW w:w="4224" w:type="dxa"/>
            <w:tcBorders>
              <w:top w:val="nil"/>
              <w:left w:val="nil"/>
              <w:bottom w:val="single" w:sz="4" w:space="0" w:color="auto"/>
              <w:right w:val="single" w:sz="4" w:space="0" w:color="auto"/>
            </w:tcBorders>
            <w:shd w:val="clear" w:color="000000" w:fill="FFFFFF"/>
            <w:hideMark/>
          </w:tcPr>
          <w:p w14:paraId="25395E79"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 xml:space="preserve">Can't transfer independently according to </w:t>
            </w:r>
            <w:proofErr w:type="spellStart"/>
            <w:r w:rsidRPr="009E234D">
              <w:rPr>
                <w:rFonts w:ascii="Calibri" w:eastAsia="Times New Roman" w:hAnsi="Calibri" w:cs="Times New Roman"/>
                <w:color w:val="000000"/>
                <w:lang w:eastAsia="en-GB"/>
              </w:rPr>
              <w:t>Barthel</w:t>
            </w:r>
            <w:proofErr w:type="spellEnd"/>
            <w:r w:rsidRPr="009E234D">
              <w:rPr>
                <w:rFonts w:ascii="Calibri" w:eastAsia="Times New Roman" w:hAnsi="Calibri" w:cs="Times New Roman"/>
                <w:color w:val="000000"/>
                <w:lang w:eastAsia="en-GB"/>
              </w:rPr>
              <w:t xml:space="preserve"> activities of daily living</w:t>
            </w:r>
          </w:p>
        </w:tc>
        <w:tc>
          <w:tcPr>
            <w:tcW w:w="4111" w:type="dxa"/>
            <w:tcBorders>
              <w:top w:val="nil"/>
              <w:left w:val="nil"/>
              <w:bottom w:val="single" w:sz="4" w:space="0" w:color="auto"/>
              <w:right w:val="single" w:sz="4" w:space="0" w:color="auto"/>
            </w:tcBorders>
            <w:shd w:val="clear" w:color="000000" w:fill="FFFFFF"/>
            <w:hideMark/>
          </w:tcPr>
          <w:p w14:paraId="24EA0DCB"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 xml:space="preserve"> 0,1,3,8 - trans0  = 1</w:t>
            </w:r>
          </w:p>
        </w:tc>
      </w:tr>
      <w:tr w:rsidR="00C12188" w:rsidRPr="009E234D" w14:paraId="73B39E71" w14:textId="77777777" w:rsidTr="00EE0DF6">
        <w:trPr>
          <w:trHeight w:val="317"/>
        </w:trPr>
        <w:tc>
          <w:tcPr>
            <w:tcW w:w="951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5C60413D" w14:textId="77777777" w:rsidR="00C12188" w:rsidRPr="009E234D" w:rsidRDefault="00C12188" w:rsidP="00EE0DF6">
            <w:pPr>
              <w:spacing w:after="0" w:line="240" w:lineRule="auto"/>
              <w:rPr>
                <w:rFonts w:ascii="Calibri" w:eastAsia="Times New Roman" w:hAnsi="Calibri" w:cs="Times New Roman"/>
                <w:color w:val="000000"/>
                <w:lang w:eastAsia="en-GB"/>
              </w:rPr>
            </w:pPr>
            <w:r>
              <w:rPr>
                <w:rFonts w:ascii="Calibri" w:eastAsia="Times New Roman" w:hAnsi="Calibri" w:cs="Times New Roman"/>
                <w:b/>
                <w:bCs/>
                <w:color w:val="000000"/>
                <w:lang w:eastAsia="en-GB"/>
              </w:rPr>
              <w:t>Rothman</w:t>
            </w:r>
          </w:p>
        </w:tc>
      </w:tr>
      <w:tr w:rsidR="00C12188" w:rsidRPr="009E234D" w14:paraId="6A398CAB" w14:textId="77777777" w:rsidTr="00EE0DF6">
        <w:trPr>
          <w:trHeight w:val="600"/>
        </w:trPr>
        <w:tc>
          <w:tcPr>
            <w:tcW w:w="1178" w:type="dxa"/>
            <w:tcBorders>
              <w:top w:val="single" w:sz="4" w:space="0" w:color="auto"/>
              <w:left w:val="single" w:sz="4" w:space="0" w:color="auto"/>
              <w:bottom w:val="single" w:sz="4" w:space="0" w:color="auto"/>
              <w:right w:val="single" w:sz="4" w:space="0" w:color="auto"/>
            </w:tcBorders>
            <w:shd w:val="clear" w:color="000000" w:fill="FFFFFF"/>
            <w:noWrap/>
          </w:tcPr>
          <w:p w14:paraId="4CD25AB9" w14:textId="77777777" w:rsidR="00C12188" w:rsidRPr="009E234D" w:rsidRDefault="00C12188" w:rsidP="00EE0DF6">
            <w:pPr>
              <w:spacing w:after="0" w:line="240" w:lineRule="auto"/>
              <w:rPr>
                <w:rFonts w:ascii="Calibri" w:eastAsia="Times New Roman" w:hAnsi="Calibri" w:cs="Times New Roman"/>
                <w:b/>
                <w:bCs/>
                <w:color w:val="000000"/>
                <w:lang w:eastAsia="en-GB"/>
              </w:rPr>
            </w:pPr>
            <w:r w:rsidRPr="009E234D">
              <w:rPr>
                <w:rFonts w:ascii="Calibri" w:eastAsia="Times New Roman" w:hAnsi="Calibri" w:cs="Times New Roman"/>
                <w:b/>
                <w:bCs/>
                <w:color w:val="000000"/>
                <w:lang w:eastAsia="en-GB"/>
              </w:rPr>
              <w:t>Nutritional status</w:t>
            </w:r>
          </w:p>
        </w:tc>
        <w:tc>
          <w:tcPr>
            <w:tcW w:w="4224" w:type="dxa"/>
            <w:tcBorders>
              <w:top w:val="single" w:sz="4" w:space="0" w:color="auto"/>
              <w:left w:val="nil"/>
              <w:bottom w:val="single" w:sz="4" w:space="0" w:color="auto"/>
              <w:right w:val="single" w:sz="4" w:space="0" w:color="auto"/>
            </w:tcBorders>
            <w:shd w:val="clear" w:color="000000" w:fill="FFFFFF"/>
          </w:tcPr>
          <w:p w14:paraId="3CEF46D8"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Difference between current weight to usual weight</w:t>
            </w:r>
          </w:p>
        </w:tc>
        <w:tc>
          <w:tcPr>
            <w:tcW w:w="4111" w:type="dxa"/>
            <w:tcBorders>
              <w:top w:val="single" w:sz="4" w:space="0" w:color="auto"/>
              <w:left w:val="nil"/>
              <w:bottom w:val="single" w:sz="4" w:space="0" w:color="auto"/>
              <w:right w:val="single" w:sz="4" w:space="0" w:color="auto"/>
            </w:tcBorders>
            <w:shd w:val="clear" w:color="000000" w:fill="FFFFFF"/>
          </w:tcPr>
          <w:p w14:paraId="427DABED"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 xml:space="preserve">"1" or "2" - wtscore0 =  1 current weight is lower than usual weight </w:t>
            </w:r>
          </w:p>
        </w:tc>
      </w:tr>
      <w:tr w:rsidR="00C12188" w:rsidRPr="009E234D" w14:paraId="00788A21" w14:textId="77777777" w:rsidTr="00EE0DF6">
        <w:trPr>
          <w:trHeight w:val="600"/>
        </w:trPr>
        <w:tc>
          <w:tcPr>
            <w:tcW w:w="1178" w:type="dxa"/>
            <w:tcBorders>
              <w:top w:val="single" w:sz="4" w:space="0" w:color="auto"/>
              <w:left w:val="single" w:sz="4" w:space="0" w:color="auto"/>
              <w:bottom w:val="single" w:sz="4" w:space="0" w:color="auto"/>
              <w:right w:val="single" w:sz="4" w:space="0" w:color="auto"/>
            </w:tcBorders>
            <w:shd w:val="clear" w:color="000000" w:fill="FFFFFF"/>
            <w:noWrap/>
          </w:tcPr>
          <w:p w14:paraId="3CD679B4" w14:textId="77777777" w:rsidR="00C12188" w:rsidRPr="009E234D" w:rsidRDefault="00C12188" w:rsidP="00EE0DF6">
            <w:pPr>
              <w:spacing w:after="0" w:line="240" w:lineRule="auto"/>
              <w:rPr>
                <w:rFonts w:ascii="Calibri" w:eastAsia="Times New Roman" w:hAnsi="Calibri" w:cs="Times New Roman"/>
                <w:b/>
                <w:bCs/>
                <w:color w:val="000000"/>
                <w:lang w:eastAsia="en-GB"/>
              </w:rPr>
            </w:pPr>
            <w:r w:rsidRPr="009E234D">
              <w:rPr>
                <w:rFonts w:ascii="Calibri" w:eastAsia="Times New Roman" w:hAnsi="Calibri" w:cs="Times New Roman"/>
                <w:b/>
                <w:bCs/>
                <w:color w:val="000000"/>
                <w:lang w:eastAsia="en-GB"/>
              </w:rPr>
              <w:t>Mobility</w:t>
            </w:r>
          </w:p>
        </w:tc>
        <w:tc>
          <w:tcPr>
            <w:tcW w:w="4224" w:type="dxa"/>
            <w:tcBorders>
              <w:top w:val="single" w:sz="4" w:space="0" w:color="auto"/>
              <w:left w:val="nil"/>
              <w:bottom w:val="single" w:sz="4" w:space="0" w:color="auto"/>
              <w:right w:val="single" w:sz="4" w:space="0" w:color="auto"/>
            </w:tcBorders>
            <w:shd w:val="clear" w:color="000000" w:fill="FFFFFF"/>
          </w:tcPr>
          <w:p w14:paraId="0B07B25B"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 xml:space="preserve">Can't walk independently for any distance according to </w:t>
            </w:r>
            <w:proofErr w:type="spellStart"/>
            <w:r w:rsidRPr="009E234D">
              <w:rPr>
                <w:rFonts w:ascii="Calibri" w:eastAsia="Times New Roman" w:hAnsi="Calibri" w:cs="Times New Roman"/>
                <w:color w:val="000000"/>
                <w:lang w:eastAsia="en-GB"/>
              </w:rPr>
              <w:t>Barthel</w:t>
            </w:r>
            <w:proofErr w:type="spellEnd"/>
            <w:r w:rsidRPr="009E234D">
              <w:rPr>
                <w:rFonts w:ascii="Calibri" w:eastAsia="Times New Roman" w:hAnsi="Calibri" w:cs="Times New Roman"/>
                <w:color w:val="000000"/>
                <w:lang w:eastAsia="en-GB"/>
              </w:rPr>
              <w:t xml:space="preserve"> Activities of daily living</w:t>
            </w:r>
          </w:p>
        </w:tc>
        <w:tc>
          <w:tcPr>
            <w:tcW w:w="4111" w:type="dxa"/>
            <w:tcBorders>
              <w:top w:val="single" w:sz="4" w:space="0" w:color="auto"/>
              <w:left w:val="nil"/>
              <w:bottom w:val="single" w:sz="4" w:space="0" w:color="auto"/>
              <w:right w:val="single" w:sz="4" w:space="0" w:color="auto"/>
            </w:tcBorders>
            <w:shd w:val="clear" w:color="000000" w:fill="FFFFFF"/>
          </w:tcPr>
          <w:p w14:paraId="4151F6DE"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0, 1, 8 - walk0 = 1</w:t>
            </w:r>
          </w:p>
        </w:tc>
      </w:tr>
      <w:tr w:rsidR="00C12188" w:rsidRPr="009E234D" w14:paraId="3AFA9518" w14:textId="77777777" w:rsidTr="00EE0DF6">
        <w:trPr>
          <w:trHeight w:val="600"/>
        </w:trPr>
        <w:tc>
          <w:tcPr>
            <w:tcW w:w="1178" w:type="dxa"/>
            <w:tcBorders>
              <w:top w:val="single" w:sz="4" w:space="0" w:color="auto"/>
              <w:left w:val="single" w:sz="4" w:space="0" w:color="auto"/>
              <w:bottom w:val="single" w:sz="4" w:space="0" w:color="auto"/>
              <w:right w:val="single" w:sz="4" w:space="0" w:color="auto"/>
            </w:tcBorders>
            <w:shd w:val="clear" w:color="000000" w:fill="FFFFFF"/>
            <w:noWrap/>
          </w:tcPr>
          <w:p w14:paraId="2B57C18C" w14:textId="77777777" w:rsidR="00C12188" w:rsidRPr="009E234D" w:rsidRDefault="00C12188" w:rsidP="00EE0DF6">
            <w:pPr>
              <w:spacing w:after="0" w:line="240" w:lineRule="auto"/>
              <w:rPr>
                <w:rFonts w:ascii="Calibri" w:eastAsia="Times New Roman" w:hAnsi="Calibri" w:cs="Times New Roman"/>
                <w:b/>
                <w:bCs/>
                <w:color w:val="000000"/>
                <w:lang w:eastAsia="en-GB"/>
              </w:rPr>
            </w:pPr>
            <w:r w:rsidRPr="009E234D">
              <w:rPr>
                <w:rFonts w:ascii="Calibri" w:eastAsia="Times New Roman" w:hAnsi="Calibri" w:cs="Times New Roman"/>
                <w:b/>
                <w:bCs/>
                <w:color w:val="000000"/>
                <w:lang w:eastAsia="en-GB"/>
              </w:rPr>
              <w:t>Physical activity</w:t>
            </w:r>
          </w:p>
        </w:tc>
        <w:tc>
          <w:tcPr>
            <w:tcW w:w="4224" w:type="dxa"/>
            <w:tcBorders>
              <w:top w:val="single" w:sz="4" w:space="0" w:color="auto"/>
              <w:left w:val="nil"/>
              <w:bottom w:val="single" w:sz="4" w:space="0" w:color="auto"/>
              <w:right w:val="single" w:sz="4" w:space="0" w:color="auto"/>
            </w:tcBorders>
            <w:shd w:val="clear" w:color="000000" w:fill="FFFFFF"/>
          </w:tcPr>
          <w:p w14:paraId="60A8DC1E"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 xml:space="preserve">Can't transfer independently according to </w:t>
            </w:r>
            <w:proofErr w:type="spellStart"/>
            <w:r w:rsidRPr="009E234D">
              <w:rPr>
                <w:rFonts w:ascii="Calibri" w:eastAsia="Times New Roman" w:hAnsi="Calibri" w:cs="Times New Roman"/>
                <w:color w:val="000000"/>
                <w:lang w:eastAsia="en-GB"/>
              </w:rPr>
              <w:t>Barthel</w:t>
            </w:r>
            <w:proofErr w:type="spellEnd"/>
            <w:r w:rsidRPr="009E234D">
              <w:rPr>
                <w:rFonts w:ascii="Calibri" w:eastAsia="Times New Roman" w:hAnsi="Calibri" w:cs="Times New Roman"/>
                <w:color w:val="000000"/>
                <w:lang w:eastAsia="en-GB"/>
              </w:rPr>
              <w:t xml:space="preserve"> activities of daily living</w:t>
            </w:r>
          </w:p>
        </w:tc>
        <w:tc>
          <w:tcPr>
            <w:tcW w:w="4111" w:type="dxa"/>
            <w:tcBorders>
              <w:top w:val="single" w:sz="4" w:space="0" w:color="auto"/>
              <w:left w:val="nil"/>
              <w:bottom w:val="single" w:sz="4" w:space="0" w:color="auto"/>
              <w:right w:val="single" w:sz="4" w:space="0" w:color="auto"/>
            </w:tcBorders>
            <w:shd w:val="clear" w:color="000000" w:fill="FFFFFF"/>
          </w:tcPr>
          <w:p w14:paraId="49116272"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 xml:space="preserve"> 0, 1, 3, 8 - trans0  = 1</w:t>
            </w:r>
          </w:p>
        </w:tc>
      </w:tr>
      <w:tr w:rsidR="00C12188" w:rsidRPr="009E234D" w14:paraId="0BFC7012" w14:textId="77777777" w:rsidTr="00EE0DF6">
        <w:trPr>
          <w:trHeight w:val="600"/>
        </w:trPr>
        <w:tc>
          <w:tcPr>
            <w:tcW w:w="1178" w:type="dxa"/>
            <w:tcBorders>
              <w:top w:val="single" w:sz="4" w:space="0" w:color="auto"/>
              <w:left w:val="single" w:sz="4" w:space="0" w:color="auto"/>
              <w:bottom w:val="single" w:sz="4" w:space="0" w:color="auto"/>
              <w:right w:val="single" w:sz="4" w:space="0" w:color="auto"/>
            </w:tcBorders>
            <w:shd w:val="clear" w:color="000000" w:fill="FFFFFF"/>
            <w:noWrap/>
          </w:tcPr>
          <w:p w14:paraId="3A367FDA" w14:textId="77777777" w:rsidR="00C12188" w:rsidRPr="009E234D" w:rsidRDefault="00C12188" w:rsidP="00EE0DF6">
            <w:pPr>
              <w:spacing w:after="0" w:line="240" w:lineRule="auto"/>
              <w:rPr>
                <w:rFonts w:ascii="Calibri" w:eastAsia="Times New Roman" w:hAnsi="Calibri" w:cs="Times New Roman"/>
                <w:b/>
                <w:bCs/>
                <w:color w:val="000000"/>
                <w:lang w:eastAsia="en-GB"/>
              </w:rPr>
            </w:pPr>
            <w:r w:rsidRPr="009E234D">
              <w:rPr>
                <w:rFonts w:ascii="Calibri" w:eastAsia="Times New Roman" w:hAnsi="Calibri" w:cs="Times New Roman"/>
                <w:b/>
                <w:bCs/>
                <w:color w:val="000000"/>
                <w:lang w:eastAsia="en-GB"/>
              </w:rPr>
              <w:t>Cognition</w:t>
            </w:r>
          </w:p>
        </w:tc>
        <w:tc>
          <w:tcPr>
            <w:tcW w:w="4224" w:type="dxa"/>
            <w:tcBorders>
              <w:top w:val="single" w:sz="4" w:space="0" w:color="auto"/>
              <w:left w:val="nil"/>
              <w:bottom w:val="single" w:sz="4" w:space="0" w:color="auto"/>
              <w:right w:val="single" w:sz="4" w:space="0" w:color="auto"/>
            </w:tcBorders>
            <w:shd w:val="clear" w:color="000000" w:fill="FFFFFF"/>
          </w:tcPr>
          <w:p w14:paraId="57D3A8A2"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MMSE &lt;24/30 indicating cognitive impairment</w:t>
            </w:r>
          </w:p>
        </w:tc>
        <w:tc>
          <w:tcPr>
            <w:tcW w:w="4111" w:type="dxa"/>
            <w:tcBorders>
              <w:top w:val="single" w:sz="4" w:space="0" w:color="auto"/>
              <w:left w:val="nil"/>
              <w:bottom w:val="single" w:sz="4" w:space="0" w:color="auto"/>
              <w:right w:val="single" w:sz="4" w:space="0" w:color="auto"/>
            </w:tcBorders>
            <w:shd w:val="clear" w:color="000000" w:fill="FFFFFF"/>
          </w:tcPr>
          <w:p w14:paraId="6DF931E7" w14:textId="77777777" w:rsidR="00C12188" w:rsidRPr="009E234D" w:rsidRDefault="00C12188" w:rsidP="00EE0DF6">
            <w:pPr>
              <w:spacing w:after="0" w:line="240" w:lineRule="auto"/>
              <w:rPr>
                <w:rFonts w:ascii="Calibri" w:eastAsia="Times New Roman" w:hAnsi="Calibri" w:cs="Times New Roman"/>
                <w:color w:val="000000"/>
                <w:lang w:eastAsia="en-GB"/>
              </w:rPr>
            </w:pPr>
            <w:r w:rsidRPr="009E234D">
              <w:rPr>
                <w:rFonts w:ascii="Calibri" w:eastAsia="Times New Roman" w:hAnsi="Calibri" w:cs="Times New Roman"/>
                <w:color w:val="000000"/>
                <w:lang w:eastAsia="en-GB"/>
              </w:rPr>
              <w:t>Sum MMSE01-11, total &lt; 24 = 1</w:t>
            </w:r>
          </w:p>
        </w:tc>
      </w:tr>
    </w:tbl>
    <w:p w14:paraId="6E640D78" w14:textId="77777777" w:rsidR="00C12188" w:rsidRDefault="00C12188" w:rsidP="00C12188">
      <w:pPr>
        <w:pStyle w:val="Tablehead"/>
        <w:rPr>
          <w:b/>
        </w:rPr>
      </w:pPr>
    </w:p>
    <w:p w14:paraId="0F65B7DF" w14:textId="77777777" w:rsidR="00C12188" w:rsidRDefault="00C12188" w:rsidP="00C12188">
      <w:pPr>
        <w:spacing w:after="160" w:line="259" w:lineRule="auto"/>
        <w:rPr>
          <w:rFonts w:cstheme="minorHAnsi"/>
          <w:i/>
          <w:iCs/>
          <w:szCs w:val="18"/>
          <w:lang w:eastAsia="en-GB"/>
        </w:rPr>
      </w:pPr>
      <w:r>
        <w:br w:type="page"/>
      </w:r>
    </w:p>
    <w:p w14:paraId="4C4BA27A" w14:textId="77777777" w:rsidR="00C12188" w:rsidRPr="00DE0326" w:rsidRDefault="00C12188" w:rsidP="00C12188">
      <w:pPr>
        <w:rPr>
          <w:i/>
        </w:rPr>
      </w:pPr>
      <w:r>
        <w:rPr>
          <w:i/>
        </w:rPr>
        <w:lastRenderedPageBreak/>
        <w:t>Inclusion criteria for ambulatory cohort</w:t>
      </w:r>
    </w:p>
    <w:p w14:paraId="0CA51291" w14:textId="77777777" w:rsidR="00C12188" w:rsidRDefault="00C12188" w:rsidP="00C12188">
      <w:pPr>
        <w:rPr>
          <w:i/>
        </w:rPr>
      </w:pPr>
      <w:r>
        <w:rPr>
          <w:i/>
          <w:noProof/>
          <w:lang w:eastAsia="zh-CN"/>
        </w:rPr>
        <w:drawing>
          <wp:inline distT="0" distB="0" distL="0" distR="0" wp14:anchorId="22B41859" wp14:editId="7216CDF2">
            <wp:extent cx="4956175" cy="571246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6175" cy="5712460"/>
                    </a:xfrm>
                    <a:prstGeom prst="rect">
                      <a:avLst/>
                    </a:prstGeom>
                    <a:noFill/>
                  </pic:spPr>
                </pic:pic>
              </a:graphicData>
            </a:graphic>
          </wp:inline>
        </w:drawing>
      </w:r>
    </w:p>
    <w:p w14:paraId="33C5FBE6" w14:textId="77777777" w:rsidR="00C12188" w:rsidRDefault="00C12188" w:rsidP="00C12188">
      <w:pPr>
        <w:spacing w:after="160" w:line="259" w:lineRule="auto"/>
        <w:rPr>
          <w:i/>
        </w:rPr>
      </w:pPr>
      <w:r>
        <w:rPr>
          <w:i/>
        </w:rPr>
        <w:br w:type="page"/>
      </w:r>
    </w:p>
    <w:p w14:paraId="4D5D7B5F" w14:textId="77777777" w:rsidR="00C12188" w:rsidRPr="00DE0326" w:rsidRDefault="00C12188" w:rsidP="00C12188">
      <w:pPr>
        <w:rPr>
          <w:i/>
        </w:rPr>
      </w:pPr>
      <w:r>
        <w:rPr>
          <w:i/>
        </w:rPr>
        <w:lastRenderedPageBreak/>
        <w:t>Inclusion criteria for in-patient cohort</w:t>
      </w:r>
    </w:p>
    <w:p w14:paraId="1652DD08" w14:textId="77777777" w:rsidR="00C12188" w:rsidRDefault="00C12188" w:rsidP="00C12188">
      <w:r>
        <w:rPr>
          <w:noProof/>
          <w:lang w:eastAsia="zh-CN"/>
        </w:rPr>
        <w:drawing>
          <wp:inline distT="0" distB="0" distL="0" distR="0" wp14:anchorId="6FE79EEB" wp14:editId="23C88DB1">
            <wp:extent cx="4389755" cy="450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9755" cy="4505325"/>
                    </a:xfrm>
                    <a:prstGeom prst="rect">
                      <a:avLst/>
                    </a:prstGeom>
                    <a:noFill/>
                  </pic:spPr>
                </pic:pic>
              </a:graphicData>
            </a:graphic>
          </wp:inline>
        </w:drawing>
      </w:r>
    </w:p>
    <w:p w14:paraId="03F63681" w14:textId="77777777" w:rsidR="00C12188" w:rsidRDefault="00C12188" w:rsidP="00C12188"/>
    <w:p w14:paraId="1795A7FE" w14:textId="77777777" w:rsidR="00C12188" w:rsidRPr="009305C1" w:rsidRDefault="00C12188" w:rsidP="00C12188"/>
    <w:p w14:paraId="635A666E" w14:textId="77777777" w:rsidR="00C12188" w:rsidRDefault="00C12188" w:rsidP="00C12188">
      <w:pPr>
        <w:spacing w:after="160" w:line="259" w:lineRule="auto"/>
        <w:rPr>
          <w:rFonts w:cstheme="minorHAnsi"/>
          <w:i/>
          <w:iCs/>
          <w:szCs w:val="18"/>
          <w:lang w:eastAsia="en-GB"/>
        </w:rPr>
      </w:pPr>
      <w:r>
        <w:br w:type="page"/>
      </w:r>
    </w:p>
    <w:p w14:paraId="1E187BC8" w14:textId="77777777" w:rsidR="00C12188" w:rsidRPr="009E234D" w:rsidRDefault="00C12188" w:rsidP="00C12188">
      <w:pPr>
        <w:pStyle w:val="Tablehead"/>
      </w:pPr>
      <w:r w:rsidRPr="009E234D">
        <w:lastRenderedPageBreak/>
        <w:t>Intensity of hospital use over remaining lifetime</w:t>
      </w:r>
    </w:p>
    <w:tbl>
      <w:tblPr>
        <w:tblStyle w:val="LightShading"/>
        <w:tblW w:w="8931" w:type="dxa"/>
        <w:jc w:val="center"/>
        <w:tblInd w:w="0" w:type="dxa"/>
        <w:tblLayout w:type="fixed"/>
        <w:tblLook w:val="04A0" w:firstRow="1" w:lastRow="0" w:firstColumn="1" w:lastColumn="0" w:noHBand="0" w:noVBand="1"/>
      </w:tblPr>
      <w:tblGrid>
        <w:gridCol w:w="1671"/>
        <w:gridCol w:w="1023"/>
        <w:gridCol w:w="649"/>
        <w:gridCol w:w="910"/>
        <w:gridCol w:w="762"/>
        <w:gridCol w:w="655"/>
        <w:gridCol w:w="1017"/>
        <w:gridCol w:w="543"/>
        <w:gridCol w:w="1129"/>
        <w:gridCol w:w="572"/>
      </w:tblGrid>
      <w:tr w:rsidR="00C12188" w:rsidRPr="009E234D" w14:paraId="63927A23" w14:textId="77777777" w:rsidTr="00EE0DF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94" w:type="dxa"/>
            <w:gridSpan w:val="2"/>
            <w:vMerge w:val="restart"/>
            <w:tcBorders>
              <w:top w:val="single" w:sz="4" w:space="0" w:color="auto"/>
              <w:bottom w:val="nil"/>
            </w:tcBorders>
            <w:shd w:val="clear" w:color="auto" w:fill="DBE5F1" w:themeFill="accent1" w:themeFillTint="33"/>
            <w:hideMark/>
          </w:tcPr>
          <w:p w14:paraId="2C5157C3" w14:textId="77777777" w:rsidR="00C12188" w:rsidRPr="009E234D" w:rsidRDefault="00C12188" w:rsidP="00EE0DF6">
            <w:pPr>
              <w:pStyle w:val="NoSpacing"/>
            </w:pPr>
            <w:r w:rsidRPr="009E234D">
              <w:t>Frailty Scale (sample size)</w:t>
            </w:r>
          </w:p>
        </w:tc>
        <w:tc>
          <w:tcPr>
            <w:tcW w:w="2976" w:type="dxa"/>
            <w:gridSpan w:val="4"/>
            <w:tcBorders>
              <w:top w:val="single" w:sz="4" w:space="0" w:color="auto"/>
              <w:bottom w:val="nil"/>
            </w:tcBorders>
            <w:shd w:val="clear" w:color="auto" w:fill="DBE5F1" w:themeFill="accent1" w:themeFillTint="33"/>
            <w:vAlign w:val="center"/>
            <w:hideMark/>
          </w:tcPr>
          <w:p w14:paraId="47A09ED8" w14:textId="77777777" w:rsidR="00C12188" w:rsidRPr="009E234D" w:rsidRDefault="00C12188" w:rsidP="00EE0DF6">
            <w:pPr>
              <w:pStyle w:val="NoSpacing"/>
              <w:jc w:val="center"/>
              <w:cnfStyle w:val="100000000000" w:firstRow="1" w:lastRow="0" w:firstColumn="0" w:lastColumn="0" w:oddVBand="0" w:evenVBand="0" w:oddHBand="0" w:evenHBand="0" w:firstRowFirstColumn="0" w:firstRowLastColumn="0" w:lastRowFirstColumn="0" w:lastRowLastColumn="0"/>
            </w:pPr>
            <w:r w:rsidRPr="009E234D">
              <w:t xml:space="preserve">Mean </w:t>
            </w:r>
            <w:r>
              <w:t>number</w:t>
            </w:r>
            <w:r w:rsidRPr="009E234D">
              <w:t xml:space="preserve"> of days spent in hospital as </w:t>
            </w:r>
            <w:r>
              <w:t>percentage</w:t>
            </w:r>
            <w:r w:rsidRPr="009E234D">
              <w:t xml:space="preserve"> of remaining days alive</w:t>
            </w:r>
            <w:r>
              <w:t xml:space="preserve"> [95% CI]</w:t>
            </w:r>
          </w:p>
        </w:tc>
        <w:tc>
          <w:tcPr>
            <w:tcW w:w="3261" w:type="dxa"/>
            <w:gridSpan w:val="4"/>
            <w:tcBorders>
              <w:top w:val="single" w:sz="4" w:space="0" w:color="auto"/>
              <w:bottom w:val="nil"/>
            </w:tcBorders>
            <w:shd w:val="clear" w:color="auto" w:fill="DBE5F1" w:themeFill="accent1" w:themeFillTint="33"/>
            <w:vAlign w:val="center"/>
            <w:hideMark/>
          </w:tcPr>
          <w:p w14:paraId="77FA977C" w14:textId="77777777" w:rsidR="00C12188" w:rsidRPr="009E234D" w:rsidRDefault="00C12188" w:rsidP="00EE0DF6">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9E234D">
              <w:t>Rate Ratios (standard error) for rate of use over remaining days alive</w:t>
            </w:r>
          </w:p>
        </w:tc>
      </w:tr>
      <w:tr w:rsidR="00C12188" w:rsidRPr="009E234D" w14:paraId="5EF3BFAE" w14:textId="77777777" w:rsidTr="00EE0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94" w:type="dxa"/>
            <w:gridSpan w:val="2"/>
            <w:vMerge/>
            <w:tcBorders>
              <w:top w:val="nil"/>
              <w:bottom w:val="single" w:sz="4" w:space="0" w:color="auto"/>
            </w:tcBorders>
            <w:shd w:val="clear" w:color="auto" w:fill="DBE5F1" w:themeFill="accent1" w:themeFillTint="33"/>
            <w:vAlign w:val="center"/>
            <w:hideMark/>
          </w:tcPr>
          <w:p w14:paraId="056487EE" w14:textId="77777777" w:rsidR="00C12188" w:rsidRPr="009E234D" w:rsidRDefault="00C12188" w:rsidP="00EE0DF6">
            <w:pPr>
              <w:pStyle w:val="NoSpacing"/>
            </w:pPr>
          </w:p>
        </w:tc>
        <w:tc>
          <w:tcPr>
            <w:tcW w:w="1559" w:type="dxa"/>
            <w:gridSpan w:val="2"/>
            <w:tcBorders>
              <w:top w:val="nil"/>
              <w:bottom w:val="single" w:sz="4" w:space="0" w:color="auto"/>
            </w:tcBorders>
            <w:shd w:val="clear" w:color="auto" w:fill="DBE5F1" w:themeFill="accent1" w:themeFillTint="33"/>
            <w:vAlign w:val="center"/>
            <w:hideMark/>
          </w:tcPr>
          <w:p w14:paraId="7CBF688F"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Non-Frail</w:t>
            </w:r>
          </w:p>
        </w:tc>
        <w:tc>
          <w:tcPr>
            <w:tcW w:w="1417" w:type="dxa"/>
            <w:gridSpan w:val="2"/>
            <w:tcBorders>
              <w:top w:val="nil"/>
              <w:bottom w:val="single" w:sz="4" w:space="0" w:color="auto"/>
            </w:tcBorders>
            <w:shd w:val="clear" w:color="auto" w:fill="DBE5F1" w:themeFill="accent1" w:themeFillTint="33"/>
            <w:vAlign w:val="center"/>
            <w:hideMark/>
          </w:tcPr>
          <w:p w14:paraId="561B3181"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Frail</w:t>
            </w:r>
          </w:p>
        </w:tc>
        <w:tc>
          <w:tcPr>
            <w:tcW w:w="1560" w:type="dxa"/>
            <w:gridSpan w:val="2"/>
            <w:tcBorders>
              <w:top w:val="nil"/>
              <w:bottom w:val="single" w:sz="4" w:space="0" w:color="auto"/>
            </w:tcBorders>
            <w:shd w:val="clear" w:color="auto" w:fill="DBE5F1" w:themeFill="accent1" w:themeFillTint="33"/>
            <w:vAlign w:val="center"/>
            <w:hideMark/>
          </w:tcPr>
          <w:p w14:paraId="6C470FEE"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Unadjusted</w:t>
            </w:r>
          </w:p>
        </w:tc>
        <w:tc>
          <w:tcPr>
            <w:tcW w:w="1701" w:type="dxa"/>
            <w:gridSpan w:val="2"/>
            <w:tcBorders>
              <w:top w:val="nil"/>
              <w:bottom w:val="single" w:sz="4" w:space="0" w:color="auto"/>
            </w:tcBorders>
            <w:shd w:val="clear" w:color="auto" w:fill="DBE5F1" w:themeFill="accent1" w:themeFillTint="33"/>
            <w:vAlign w:val="center"/>
            <w:hideMark/>
          </w:tcPr>
          <w:p w14:paraId="7D3B1724"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Adjusted for age and sex†</w:t>
            </w:r>
          </w:p>
        </w:tc>
      </w:tr>
      <w:tr w:rsidR="00C12188" w:rsidRPr="009E234D" w14:paraId="33039106" w14:textId="77777777" w:rsidTr="00EE0DF6">
        <w:trPr>
          <w:trHeight w:hRule="exact" w:val="113"/>
          <w:jc w:val="center"/>
        </w:trPr>
        <w:tc>
          <w:tcPr>
            <w:cnfStyle w:val="001000000000" w:firstRow="0" w:lastRow="0" w:firstColumn="1" w:lastColumn="0" w:oddVBand="0" w:evenVBand="0" w:oddHBand="0" w:evenHBand="0" w:firstRowFirstColumn="0" w:firstRowLastColumn="0" w:lastRowFirstColumn="0" w:lastRowLastColumn="0"/>
            <w:tcW w:w="1671" w:type="dxa"/>
            <w:tcBorders>
              <w:top w:val="single" w:sz="4" w:space="0" w:color="auto"/>
              <w:bottom w:val="single" w:sz="4" w:space="0" w:color="auto"/>
            </w:tcBorders>
            <w:shd w:val="clear" w:color="auto" w:fill="FFFFFF" w:themeFill="background1"/>
            <w:vAlign w:val="center"/>
          </w:tcPr>
          <w:p w14:paraId="480D5CF0" w14:textId="77777777" w:rsidR="00C12188" w:rsidRPr="009E234D" w:rsidRDefault="00C12188" w:rsidP="00EE0DF6">
            <w:pPr>
              <w:pStyle w:val="NoSpacing"/>
              <w:rPr>
                <w:b w:val="0"/>
                <w:bCs w:val="0"/>
              </w:rPr>
            </w:pPr>
          </w:p>
        </w:tc>
        <w:tc>
          <w:tcPr>
            <w:tcW w:w="1672" w:type="dxa"/>
            <w:gridSpan w:val="2"/>
            <w:tcBorders>
              <w:top w:val="single" w:sz="4" w:space="0" w:color="auto"/>
              <w:bottom w:val="single" w:sz="4" w:space="0" w:color="auto"/>
            </w:tcBorders>
            <w:shd w:val="clear" w:color="auto" w:fill="FFFFFF" w:themeFill="background1"/>
            <w:vAlign w:val="center"/>
          </w:tcPr>
          <w:p w14:paraId="43B33E27"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672" w:type="dxa"/>
            <w:gridSpan w:val="2"/>
            <w:tcBorders>
              <w:top w:val="single" w:sz="4" w:space="0" w:color="auto"/>
              <w:bottom w:val="single" w:sz="4" w:space="0" w:color="auto"/>
            </w:tcBorders>
            <w:shd w:val="clear" w:color="auto" w:fill="FFFFFF" w:themeFill="background1"/>
            <w:vAlign w:val="center"/>
          </w:tcPr>
          <w:p w14:paraId="4E642546"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672" w:type="dxa"/>
            <w:gridSpan w:val="2"/>
            <w:tcBorders>
              <w:top w:val="single" w:sz="4" w:space="0" w:color="auto"/>
              <w:bottom w:val="single" w:sz="4" w:space="0" w:color="auto"/>
            </w:tcBorders>
            <w:shd w:val="clear" w:color="auto" w:fill="FFFFFF" w:themeFill="background1"/>
            <w:vAlign w:val="center"/>
          </w:tcPr>
          <w:p w14:paraId="72F6D6BA"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2244" w:type="dxa"/>
            <w:gridSpan w:val="3"/>
            <w:tcBorders>
              <w:top w:val="single" w:sz="4" w:space="0" w:color="auto"/>
              <w:bottom w:val="single" w:sz="4" w:space="0" w:color="auto"/>
            </w:tcBorders>
            <w:shd w:val="clear" w:color="auto" w:fill="FFFFFF" w:themeFill="background1"/>
            <w:vAlign w:val="center"/>
          </w:tcPr>
          <w:p w14:paraId="029897C8"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r>
      <w:tr w:rsidR="00C12188" w:rsidRPr="009E234D" w14:paraId="570A7123" w14:textId="77777777" w:rsidTr="00EE0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931" w:type="dxa"/>
            <w:gridSpan w:val="10"/>
            <w:tcBorders>
              <w:top w:val="single" w:sz="4" w:space="0" w:color="auto"/>
              <w:bottom w:val="single" w:sz="4" w:space="0" w:color="auto"/>
            </w:tcBorders>
            <w:shd w:val="clear" w:color="auto" w:fill="DBE5F1" w:themeFill="accent1" w:themeFillTint="33"/>
            <w:vAlign w:val="center"/>
          </w:tcPr>
          <w:p w14:paraId="2ADF63F5" w14:textId="77777777" w:rsidR="00C12188" w:rsidRPr="009E234D" w:rsidRDefault="00C12188" w:rsidP="00EE0DF6">
            <w:pPr>
              <w:pStyle w:val="NoSpacing"/>
              <w:rPr>
                <w:b w:val="0"/>
                <w:bCs w:val="0"/>
                <w:i/>
              </w:rPr>
            </w:pPr>
            <w:r>
              <w:rPr>
                <w:i/>
              </w:rPr>
              <w:t>Ambulatory</w:t>
            </w:r>
            <w:r w:rsidRPr="009E234D">
              <w:rPr>
                <w:i/>
              </w:rPr>
              <w:t xml:space="preserve"> Cohort</w:t>
            </w:r>
          </w:p>
        </w:tc>
      </w:tr>
      <w:tr w:rsidR="00C12188" w:rsidRPr="009E234D" w14:paraId="0612DF9C" w14:textId="77777777" w:rsidTr="00EE0DF6">
        <w:trPr>
          <w:trHeight w:val="20"/>
          <w:jc w:val="center"/>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auto"/>
            </w:tcBorders>
            <w:shd w:val="clear" w:color="auto" w:fill="auto"/>
            <w:vAlign w:val="center"/>
            <w:hideMark/>
          </w:tcPr>
          <w:p w14:paraId="46A34254" w14:textId="77777777" w:rsidR="00C12188" w:rsidRPr="009E234D" w:rsidRDefault="00C12188" w:rsidP="00EE0DF6">
            <w:pPr>
              <w:pStyle w:val="NoSpacing"/>
            </w:pPr>
            <w:r w:rsidRPr="009E234D">
              <w:t>Fried (</w:t>
            </w:r>
            <w:r>
              <w:t>49</w:t>
            </w:r>
            <w:r w:rsidRPr="009E234D">
              <w:t>4)</w:t>
            </w:r>
          </w:p>
        </w:tc>
        <w:tc>
          <w:tcPr>
            <w:tcW w:w="1559" w:type="dxa"/>
            <w:gridSpan w:val="2"/>
            <w:tcBorders>
              <w:top w:val="single" w:sz="4" w:space="0" w:color="auto"/>
            </w:tcBorders>
            <w:shd w:val="clear" w:color="auto" w:fill="auto"/>
            <w:vAlign w:val="center"/>
          </w:tcPr>
          <w:p w14:paraId="0034589A"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4.6</w:t>
            </w:r>
            <w:r w:rsidRPr="009E234D">
              <w:t xml:space="preserve"> %</w:t>
            </w:r>
          </w:p>
          <w:p w14:paraId="7337B561"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[3.5,5.6]</w:t>
            </w:r>
          </w:p>
        </w:tc>
        <w:tc>
          <w:tcPr>
            <w:tcW w:w="1417" w:type="dxa"/>
            <w:gridSpan w:val="2"/>
            <w:tcBorders>
              <w:top w:val="single" w:sz="4" w:space="0" w:color="auto"/>
            </w:tcBorders>
            <w:shd w:val="clear" w:color="auto" w:fill="auto"/>
            <w:vAlign w:val="center"/>
          </w:tcPr>
          <w:p w14:paraId="3B36353D"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8.3</w:t>
            </w:r>
            <w:r w:rsidRPr="009E234D">
              <w:t xml:space="preserve"> %</w:t>
            </w:r>
          </w:p>
          <w:p w14:paraId="29A535B6"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[5.4,11.1]</w:t>
            </w:r>
          </w:p>
        </w:tc>
        <w:tc>
          <w:tcPr>
            <w:tcW w:w="1560" w:type="dxa"/>
            <w:gridSpan w:val="2"/>
            <w:tcBorders>
              <w:top w:val="single" w:sz="4" w:space="0" w:color="auto"/>
            </w:tcBorders>
            <w:shd w:val="clear" w:color="auto" w:fill="auto"/>
            <w:vAlign w:val="center"/>
          </w:tcPr>
          <w:p w14:paraId="420A44B5"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1.8**</w:t>
            </w:r>
          </w:p>
          <w:p w14:paraId="1EFAB96F"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[1.3,2.4]</w:t>
            </w:r>
          </w:p>
        </w:tc>
        <w:tc>
          <w:tcPr>
            <w:tcW w:w="1701" w:type="dxa"/>
            <w:gridSpan w:val="2"/>
            <w:tcBorders>
              <w:top w:val="single" w:sz="4" w:space="0" w:color="auto"/>
            </w:tcBorders>
            <w:shd w:val="clear" w:color="auto" w:fill="auto"/>
            <w:vAlign w:val="center"/>
          </w:tcPr>
          <w:p w14:paraId="13A89D76"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1.5*</w:t>
            </w:r>
          </w:p>
          <w:p w14:paraId="46AD6BF1"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[1.1,2.0]</w:t>
            </w:r>
          </w:p>
        </w:tc>
      </w:tr>
      <w:tr w:rsidR="00C12188" w:rsidRPr="009E234D" w14:paraId="58E9E9AE" w14:textId="77777777" w:rsidTr="00EE0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94" w:type="dxa"/>
            <w:gridSpan w:val="2"/>
            <w:shd w:val="clear" w:color="auto" w:fill="auto"/>
            <w:vAlign w:val="center"/>
            <w:hideMark/>
          </w:tcPr>
          <w:p w14:paraId="1D191C18" w14:textId="77777777" w:rsidR="00C12188" w:rsidRPr="009E234D" w:rsidRDefault="00C12188" w:rsidP="00EE0DF6">
            <w:pPr>
              <w:pStyle w:val="NoSpacing"/>
            </w:pPr>
            <w:r w:rsidRPr="009E234D">
              <w:t>Rothman (5</w:t>
            </w:r>
            <w:r>
              <w:t>03</w:t>
            </w:r>
            <w:r w:rsidRPr="009E234D">
              <w:t>)</w:t>
            </w:r>
          </w:p>
        </w:tc>
        <w:tc>
          <w:tcPr>
            <w:tcW w:w="1559" w:type="dxa"/>
            <w:gridSpan w:val="2"/>
            <w:shd w:val="clear" w:color="auto" w:fill="auto"/>
            <w:vAlign w:val="center"/>
          </w:tcPr>
          <w:p w14:paraId="675795F0"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4.3</w:t>
            </w:r>
            <w:r w:rsidRPr="009E234D">
              <w:t xml:space="preserve"> %</w:t>
            </w:r>
          </w:p>
          <w:p w14:paraId="2620147F"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[3.3,5.3]</w:t>
            </w:r>
          </w:p>
        </w:tc>
        <w:tc>
          <w:tcPr>
            <w:tcW w:w="1417" w:type="dxa"/>
            <w:gridSpan w:val="2"/>
            <w:shd w:val="clear" w:color="auto" w:fill="auto"/>
            <w:vAlign w:val="center"/>
          </w:tcPr>
          <w:p w14:paraId="37BF0CBA"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9.2</w:t>
            </w:r>
            <w:r w:rsidRPr="009E234D">
              <w:t xml:space="preserve"> %</w:t>
            </w:r>
          </w:p>
          <w:p w14:paraId="37580513"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[6.3,12.2]</w:t>
            </w:r>
          </w:p>
        </w:tc>
        <w:tc>
          <w:tcPr>
            <w:tcW w:w="1560" w:type="dxa"/>
            <w:gridSpan w:val="2"/>
            <w:shd w:val="clear" w:color="auto" w:fill="auto"/>
            <w:vAlign w:val="center"/>
          </w:tcPr>
          <w:p w14:paraId="46C78B02"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2.1*</w:t>
            </w:r>
            <w:r>
              <w:t>*</w:t>
            </w:r>
          </w:p>
          <w:p w14:paraId="702CB526"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[1.6,2.8]</w:t>
            </w:r>
          </w:p>
        </w:tc>
        <w:tc>
          <w:tcPr>
            <w:tcW w:w="1701" w:type="dxa"/>
            <w:gridSpan w:val="2"/>
            <w:shd w:val="clear" w:color="auto" w:fill="auto"/>
            <w:vAlign w:val="center"/>
          </w:tcPr>
          <w:p w14:paraId="7E2E6272"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1.8**</w:t>
            </w:r>
          </w:p>
          <w:p w14:paraId="5483A1FA"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[1.4,2.4]</w:t>
            </w:r>
          </w:p>
        </w:tc>
      </w:tr>
      <w:tr w:rsidR="00C12188" w:rsidRPr="009E234D" w14:paraId="3B825B5B" w14:textId="77777777" w:rsidTr="00EE0DF6">
        <w:trPr>
          <w:trHeight w:val="20"/>
          <w:jc w:val="center"/>
        </w:trPr>
        <w:tc>
          <w:tcPr>
            <w:cnfStyle w:val="001000000000" w:firstRow="0" w:lastRow="0" w:firstColumn="1" w:lastColumn="0" w:oddVBand="0" w:evenVBand="0" w:oddHBand="0" w:evenHBand="0" w:firstRowFirstColumn="0" w:firstRowLastColumn="0" w:lastRowFirstColumn="0" w:lastRowLastColumn="0"/>
            <w:tcW w:w="2694" w:type="dxa"/>
            <w:gridSpan w:val="2"/>
            <w:shd w:val="clear" w:color="auto" w:fill="auto"/>
            <w:vAlign w:val="center"/>
            <w:hideMark/>
          </w:tcPr>
          <w:p w14:paraId="20B6ADB3" w14:textId="77777777" w:rsidR="00C12188" w:rsidRPr="009E234D" w:rsidRDefault="00C12188" w:rsidP="00EE0DF6">
            <w:pPr>
              <w:pStyle w:val="NoSpacing"/>
            </w:pPr>
            <w:r w:rsidRPr="009E234D">
              <w:t>Rockwood (</w:t>
            </w:r>
            <w:r>
              <w:t>489</w:t>
            </w:r>
            <w:r w:rsidRPr="009E234D">
              <w:t>)</w:t>
            </w:r>
          </w:p>
        </w:tc>
        <w:tc>
          <w:tcPr>
            <w:tcW w:w="1559" w:type="dxa"/>
            <w:gridSpan w:val="2"/>
            <w:shd w:val="clear" w:color="auto" w:fill="auto"/>
            <w:vAlign w:val="center"/>
          </w:tcPr>
          <w:p w14:paraId="1B327EAD"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4.5</w:t>
            </w:r>
            <w:r w:rsidRPr="009E234D">
              <w:t xml:space="preserve"> %</w:t>
            </w:r>
          </w:p>
          <w:p w14:paraId="7B3273BB"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[3.2,5.8]</w:t>
            </w:r>
          </w:p>
        </w:tc>
        <w:tc>
          <w:tcPr>
            <w:tcW w:w="1417" w:type="dxa"/>
            <w:gridSpan w:val="2"/>
            <w:shd w:val="clear" w:color="auto" w:fill="auto"/>
            <w:vAlign w:val="center"/>
          </w:tcPr>
          <w:p w14:paraId="598ED8AC"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7.4</w:t>
            </w:r>
            <w:r w:rsidRPr="009E234D">
              <w:t xml:space="preserve"> %</w:t>
            </w:r>
          </w:p>
          <w:p w14:paraId="581B358B"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[5.6,9.3]</w:t>
            </w:r>
          </w:p>
        </w:tc>
        <w:tc>
          <w:tcPr>
            <w:tcW w:w="1560" w:type="dxa"/>
            <w:gridSpan w:val="2"/>
            <w:shd w:val="clear" w:color="auto" w:fill="auto"/>
            <w:vAlign w:val="center"/>
          </w:tcPr>
          <w:p w14:paraId="26E20764"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2.0**</w:t>
            </w:r>
          </w:p>
          <w:p w14:paraId="48423E66"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[1.5,2.6]</w:t>
            </w:r>
          </w:p>
        </w:tc>
        <w:tc>
          <w:tcPr>
            <w:tcW w:w="1701" w:type="dxa"/>
            <w:gridSpan w:val="2"/>
            <w:shd w:val="clear" w:color="auto" w:fill="auto"/>
            <w:vAlign w:val="center"/>
          </w:tcPr>
          <w:p w14:paraId="3060BC4D"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1.8**</w:t>
            </w:r>
          </w:p>
          <w:p w14:paraId="0A24A95F"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[1.4,2.3]</w:t>
            </w:r>
          </w:p>
        </w:tc>
      </w:tr>
      <w:tr w:rsidR="00C12188" w:rsidRPr="009E234D" w14:paraId="547B536D" w14:textId="77777777" w:rsidTr="00EE0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94" w:type="dxa"/>
            <w:gridSpan w:val="2"/>
            <w:tcBorders>
              <w:bottom w:val="single" w:sz="4" w:space="0" w:color="auto"/>
            </w:tcBorders>
            <w:shd w:val="clear" w:color="auto" w:fill="auto"/>
            <w:vAlign w:val="center"/>
            <w:hideMark/>
          </w:tcPr>
          <w:p w14:paraId="12F79498" w14:textId="77777777" w:rsidR="00C12188" w:rsidRPr="009E234D" w:rsidRDefault="00C12188" w:rsidP="00EE0DF6">
            <w:pPr>
              <w:pStyle w:val="NoSpacing"/>
            </w:pPr>
            <w:r w:rsidRPr="009E234D">
              <w:t>HFRS (</w:t>
            </w:r>
            <w:r>
              <w:t>674</w:t>
            </w:r>
            <w:r w:rsidRPr="009E234D">
              <w:t>)</w:t>
            </w:r>
          </w:p>
        </w:tc>
        <w:tc>
          <w:tcPr>
            <w:tcW w:w="1559" w:type="dxa"/>
            <w:gridSpan w:val="2"/>
            <w:tcBorders>
              <w:bottom w:val="single" w:sz="4" w:space="0" w:color="auto"/>
            </w:tcBorders>
            <w:shd w:val="clear" w:color="auto" w:fill="auto"/>
            <w:vAlign w:val="center"/>
          </w:tcPr>
          <w:p w14:paraId="3F0C393A"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4</w:t>
            </w:r>
            <w:r w:rsidRPr="009E234D">
              <w:t>.5 %</w:t>
            </w:r>
          </w:p>
          <w:p w14:paraId="52FC2DC7"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[3.4,5.6]</w:t>
            </w:r>
          </w:p>
        </w:tc>
        <w:tc>
          <w:tcPr>
            <w:tcW w:w="1417" w:type="dxa"/>
            <w:gridSpan w:val="2"/>
            <w:tcBorders>
              <w:bottom w:val="single" w:sz="4" w:space="0" w:color="auto"/>
            </w:tcBorders>
            <w:shd w:val="clear" w:color="auto" w:fill="auto"/>
            <w:vAlign w:val="center"/>
          </w:tcPr>
          <w:p w14:paraId="2F74FE9D"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8.3</w:t>
            </w:r>
            <w:r w:rsidRPr="009E234D">
              <w:t xml:space="preserve"> %</w:t>
            </w:r>
          </w:p>
          <w:p w14:paraId="3658A647"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[6.6,10.0]</w:t>
            </w:r>
          </w:p>
        </w:tc>
        <w:tc>
          <w:tcPr>
            <w:tcW w:w="1560" w:type="dxa"/>
            <w:gridSpan w:val="2"/>
            <w:tcBorders>
              <w:bottom w:val="single" w:sz="4" w:space="0" w:color="auto"/>
            </w:tcBorders>
            <w:shd w:val="clear" w:color="auto" w:fill="auto"/>
            <w:vAlign w:val="center"/>
          </w:tcPr>
          <w:p w14:paraId="01EFB216"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2.0**</w:t>
            </w:r>
          </w:p>
          <w:p w14:paraId="638FA39F"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[1.6,2.4]</w:t>
            </w:r>
          </w:p>
        </w:tc>
        <w:tc>
          <w:tcPr>
            <w:tcW w:w="1701" w:type="dxa"/>
            <w:gridSpan w:val="2"/>
            <w:tcBorders>
              <w:bottom w:val="single" w:sz="4" w:space="0" w:color="auto"/>
            </w:tcBorders>
            <w:shd w:val="clear" w:color="auto" w:fill="auto"/>
            <w:vAlign w:val="center"/>
          </w:tcPr>
          <w:p w14:paraId="1884FC5C"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1.8**</w:t>
            </w:r>
          </w:p>
          <w:p w14:paraId="40D207A0"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[1.4,2.2]</w:t>
            </w:r>
          </w:p>
        </w:tc>
      </w:tr>
      <w:tr w:rsidR="00C12188" w:rsidRPr="009E234D" w14:paraId="16BBC4A6" w14:textId="77777777" w:rsidTr="00EE0DF6">
        <w:trPr>
          <w:trHeight w:val="20"/>
          <w:jc w:val="center"/>
        </w:trPr>
        <w:tc>
          <w:tcPr>
            <w:cnfStyle w:val="001000000000" w:firstRow="0" w:lastRow="0" w:firstColumn="1" w:lastColumn="0" w:oddVBand="0" w:evenVBand="0" w:oddHBand="0" w:evenHBand="0" w:firstRowFirstColumn="0" w:firstRowLastColumn="0" w:lastRowFirstColumn="0" w:lastRowLastColumn="0"/>
            <w:tcW w:w="8931" w:type="dxa"/>
            <w:gridSpan w:val="10"/>
            <w:tcBorders>
              <w:top w:val="single" w:sz="4" w:space="0" w:color="auto"/>
              <w:bottom w:val="single" w:sz="4" w:space="0" w:color="auto"/>
            </w:tcBorders>
            <w:shd w:val="clear" w:color="auto" w:fill="DBE5F1" w:themeFill="accent1" w:themeFillTint="33"/>
            <w:vAlign w:val="center"/>
          </w:tcPr>
          <w:p w14:paraId="1A3C4F52" w14:textId="77777777" w:rsidR="00C12188" w:rsidRPr="009E234D" w:rsidRDefault="00C12188" w:rsidP="00EE0DF6">
            <w:pPr>
              <w:pStyle w:val="NoSpacing"/>
              <w:rPr>
                <w:b w:val="0"/>
                <w:bCs w:val="0"/>
                <w:i/>
              </w:rPr>
            </w:pPr>
            <w:r>
              <w:rPr>
                <w:i/>
              </w:rPr>
              <w:t>In-patient Cohort</w:t>
            </w:r>
          </w:p>
        </w:tc>
      </w:tr>
      <w:tr w:rsidR="00C12188" w:rsidRPr="009E234D" w14:paraId="42DDB466" w14:textId="77777777" w:rsidTr="00EE0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auto"/>
            </w:tcBorders>
            <w:shd w:val="clear" w:color="auto" w:fill="auto"/>
            <w:vAlign w:val="center"/>
            <w:hideMark/>
          </w:tcPr>
          <w:p w14:paraId="3C73CF33" w14:textId="77777777" w:rsidR="00C12188" w:rsidRPr="009E234D" w:rsidRDefault="00C12188" w:rsidP="00EE0DF6">
            <w:pPr>
              <w:pStyle w:val="NoSpacing"/>
            </w:pPr>
            <w:r w:rsidRPr="009E234D">
              <w:t>Fried (140)</w:t>
            </w:r>
          </w:p>
        </w:tc>
        <w:tc>
          <w:tcPr>
            <w:tcW w:w="1559" w:type="dxa"/>
            <w:gridSpan w:val="2"/>
            <w:tcBorders>
              <w:top w:val="single" w:sz="4" w:space="0" w:color="auto"/>
            </w:tcBorders>
            <w:shd w:val="clear" w:color="auto" w:fill="auto"/>
            <w:vAlign w:val="center"/>
          </w:tcPr>
          <w:p w14:paraId="41E0A886"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12.2</w:t>
            </w:r>
            <w:r w:rsidRPr="009E234D">
              <w:t xml:space="preserve"> %</w:t>
            </w:r>
          </w:p>
          <w:p w14:paraId="62AE0414"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[6.5,17.0]</w:t>
            </w:r>
          </w:p>
        </w:tc>
        <w:tc>
          <w:tcPr>
            <w:tcW w:w="1417" w:type="dxa"/>
            <w:gridSpan w:val="2"/>
            <w:tcBorders>
              <w:top w:val="single" w:sz="4" w:space="0" w:color="auto"/>
            </w:tcBorders>
            <w:shd w:val="clear" w:color="auto" w:fill="auto"/>
            <w:vAlign w:val="center"/>
          </w:tcPr>
          <w:p w14:paraId="48DF6694"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20.0</w:t>
            </w:r>
            <w:r w:rsidRPr="009E234D">
              <w:t xml:space="preserve"> %</w:t>
            </w:r>
          </w:p>
          <w:p w14:paraId="3D6F2A83"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[15.1,24.8]</w:t>
            </w:r>
          </w:p>
        </w:tc>
        <w:tc>
          <w:tcPr>
            <w:tcW w:w="1560" w:type="dxa"/>
            <w:gridSpan w:val="2"/>
            <w:tcBorders>
              <w:top w:val="single" w:sz="4" w:space="0" w:color="auto"/>
            </w:tcBorders>
            <w:shd w:val="clear" w:color="auto" w:fill="auto"/>
            <w:vAlign w:val="center"/>
          </w:tcPr>
          <w:p w14:paraId="6CBEA8E5"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1.6**</w:t>
            </w:r>
          </w:p>
          <w:p w14:paraId="69625A11"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[1.0,2.4]</w:t>
            </w:r>
          </w:p>
        </w:tc>
        <w:tc>
          <w:tcPr>
            <w:tcW w:w="1701" w:type="dxa"/>
            <w:gridSpan w:val="2"/>
            <w:tcBorders>
              <w:top w:val="single" w:sz="4" w:space="0" w:color="auto"/>
            </w:tcBorders>
            <w:shd w:val="clear" w:color="auto" w:fill="auto"/>
            <w:vAlign w:val="center"/>
          </w:tcPr>
          <w:p w14:paraId="7D262832"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1.5</w:t>
            </w:r>
          </w:p>
          <w:p w14:paraId="3BE10731"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[1.0,2.3]</w:t>
            </w:r>
          </w:p>
        </w:tc>
      </w:tr>
      <w:tr w:rsidR="00C12188" w:rsidRPr="009E234D" w14:paraId="28F5176E" w14:textId="77777777" w:rsidTr="00EE0DF6">
        <w:trPr>
          <w:trHeight w:val="20"/>
          <w:jc w:val="center"/>
        </w:trPr>
        <w:tc>
          <w:tcPr>
            <w:cnfStyle w:val="001000000000" w:firstRow="0" w:lastRow="0" w:firstColumn="1" w:lastColumn="0" w:oddVBand="0" w:evenVBand="0" w:oddHBand="0" w:evenHBand="0" w:firstRowFirstColumn="0" w:firstRowLastColumn="0" w:lastRowFirstColumn="0" w:lastRowLastColumn="0"/>
            <w:tcW w:w="2694" w:type="dxa"/>
            <w:gridSpan w:val="2"/>
            <w:shd w:val="clear" w:color="auto" w:fill="auto"/>
            <w:vAlign w:val="center"/>
            <w:hideMark/>
          </w:tcPr>
          <w:p w14:paraId="4E5E7F7A" w14:textId="77777777" w:rsidR="00C12188" w:rsidRPr="009E234D" w:rsidRDefault="00C12188" w:rsidP="00EE0DF6">
            <w:pPr>
              <w:pStyle w:val="NoSpacing"/>
            </w:pPr>
            <w:r w:rsidRPr="009E234D">
              <w:t>Rothman (192)</w:t>
            </w:r>
          </w:p>
        </w:tc>
        <w:tc>
          <w:tcPr>
            <w:tcW w:w="1559" w:type="dxa"/>
            <w:gridSpan w:val="2"/>
            <w:shd w:val="clear" w:color="auto" w:fill="auto"/>
            <w:vAlign w:val="center"/>
          </w:tcPr>
          <w:p w14:paraId="1A4D3DAB"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16.1</w:t>
            </w:r>
            <w:r w:rsidRPr="009E234D">
              <w:t xml:space="preserve"> %</w:t>
            </w:r>
          </w:p>
          <w:p w14:paraId="20439480"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[11.4,20.8]</w:t>
            </w:r>
          </w:p>
        </w:tc>
        <w:tc>
          <w:tcPr>
            <w:tcW w:w="1417" w:type="dxa"/>
            <w:gridSpan w:val="2"/>
            <w:shd w:val="clear" w:color="auto" w:fill="auto"/>
            <w:vAlign w:val="center"/>
          </w:tcPr>
          <w:p w14:paraId="5BA4C1FF"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23.3</w:t>
            </w:r>
            <w:r w:rsidRPr="009E234D">
              <w:t xml:space="preserve"> %</w:t>
            </w:r>
          </w:p>
          <w:p w14:paraId="5AB3491F"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[17.2,29.4]</w:t>
            </w:r>
          </w:p>
        </w:tc>
        <w:tc>
          <w:tcPr>
            <w:tcW w:w="1560" w:type="dxa"/>
            <w:gridSpan w:val="2"/>
            <w:shd w:val="clear" w:color="auto" w:fill="auto"/>
            <w:vAlign w:val="center"/>
          </w:tcPr>
          <w:p w14:paraId="2B092346"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1.5*</w:t>
            </w:r>
          </w:p>
          <w:p w14:paraId="189AF552"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[1.1,2.0]</w:t>
            </w:r>
          </w:p>
        </w:tc>
        <w:tc>
          <w:tcPr>
            <w:tcW w:w="1701" w:type="dxa"/>
            <w:gridSpan w:val="2"/>
            <w:shd w:val="clear" w:color="auto" w:fill="auto"/>
            <w:vAlign w:val="center"/>
          </w:tcPr>
          <w:p w14:paraId="0BC209CF"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1.4*</w:t>
            </w:r>
          </w:p>
          <w:p w14:paraId="2DFEF476"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[1.0,1.9]</w:t>
            </w:r>
          </w:p>
        </w:tc>
      </w:tr>
      <w:tr w:rsidR="00C12188" w:rsidRPr="009E234D" w14:paraId="54269246" w14:textId="77777777" w:rsidTr="00EE0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94" w:type="dxa"/>
            <w:gridSpan w:val="2"/>
            <w:tcBorders>
              <w:bottom w:val="single" w:sz="4" w:space="0" w:color="auto"/>
            </w:tcBorders>
            <w:shd w:val="clear" w:color="auto" w:fill="auto"/>
            <w:vAlign w:val="center"/>
            <w:hideMark/>
          </w:tcPr>
          <w:p w14:paraId="5D909227" w14:textId="77777777" w:rsidR="00C12188" w:rsidRPr="009E234D" w:rsidRDefault="00C12188" w:rsidP="00EE0DF6">
            <w:pPr>
              <w:pStyle w:val="NoSpacing"/>
            </w:pPr>
            <w:r w:rsidRPr="009E234D">
              <w:t>HFRS (246)</w:t>
            </w:r>
          </w:p>
        </w:tc>
        <w:tc>
          <w:tcPr>
            <w:tcW w:w="1559" w:type="dxa"/>
            <w:gridSpan w:val="2"/>
            <w:tcBorders>
              <w:bottom w:val="single" w:sz="4" w:space="0" w:color="auto"/>
            </w:tcBorders>
            <w:shd w:val="clear" w:color="auto" w:fill="auto"/>
            <w:vAlign w:val="center"/>
          </w:tcPr>
          <w:p w14:paraId="0E43CF0B"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13.3</w:t>
            </w:r>
            <w:r w:rsidRPr="009E234D">
              <w:t xml:space="preserve"> %</w:t>
            </w:r>
          </w:p>
          <w:p w14:paraId="5A6A898C"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[9.7,17.0]</w:t>
            </w:r>
          </w:p>
        </w:tc>
        <w:tc>
          <w:tcPr>
            <w:tcW w:w="1417" w:type="dxa"/>
            <w:gridSpan w:val="2"/>
            <w:tcBorders>
              <w:bottom w:val="single" w:sz="4" w:space="0" w:color="auto"/>
            </w:tcBorders>
            <w:shd w:val="clear" w:color="auto" w:fill="auto"/>
            <w:vAlign w:val="center"/>
          </w:tcPr>
          <w:p w14:paraId="442BB4AC"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23.4</w:t>
            </w:r>
            <w:r w:rsidRPr="009E234D">
              <w:t xml:space="preserve"> %</w:t>
            </w:r>
          </w:p>
          <w:p w14:paraId="5BBF0B24"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[18.9,28.0]</w:t>
            </w:r>
          </w:p>
        </w:tc>
        <w:tc>
          <w:tcPr>
            <w:tcW w:w="1560" w:type="dxa"/>
            <w:gridSpan w:val="2"/>
            <w:tcBorders>
              <w:bottom w:val="single" w:sz="4" w:space="0" w:color="auto"/>
            </w:tcBorders>
            <w:shd w:val="clear" w:color="auto" w:fill="auto"/>
            <w:vAlign w:val="center"/>
          </w:tcPr>
          <w:p w14:paraId="4B1B4A0E"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1.7**</w:t>
            </w:r>
          </w:p>
          <w:p w14:paraId="70F4DD17"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[1.3,2.3]</w:t>
            </w:r>
          </w:p>
        </w:tc>
        <w:tc>
          <w:tcPr>
            <w:tcW w:w="1701" w:type="dxa"/>
            <w:gridSpan w:val="2"/>
            <w:tcBorders>
              <w:bottom w:val="single" w:sz="4" w:space="0" w:color="auto"/>
            </w:tcBorders>
            <w:shd w:val="clear" w:color="auto" w:fill="auto"/>
            <w:vAlign w:val="center"/>
          </w:tcPr>
          <w:p w14:paraId="7CD2ABAB"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1.7**</w:t>
            </w:r>
          </w:p>
          <w:p w14:paraId="3910CA1D"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[1.3,2.2]</w:t>
            </w:r>
          </w:p>
        </w:tc>
      </w:tr>
      <w:tr w:rsidR="00C12188" w:rsidRPr="009E234D" w14:paraId="5BEE82BD" w14:textId="77777777" w:rsidTr="00EE0DF6">
        <w:trPr>
          <w:gridAfter w:val="1"/>
          <w:wAfter w:w="572" w:type="dxa"/>
          <w:trHeight w:val="264"/>
          <w:jc w:val="center"/>
        </w:trPr>
        <w:tc>
          <w:tcPr>
            <w:cnfStyle w:val="001000000000" w:firstRow="0" w:lastRow="0" w:firstColumn="1" w:lastColumn="0" w:oddVBand="0" w:evenVBand="0" w:oddHBand="0" w:evenHBand="0" w:firstRowFirstColumn="0" w:firstRowLastColumn="0" w:lastRowFirstColumn="0" w:lastRowLastColumn="0"/>
            <w:tcW w:w="8359" w:type="dxa"/>
            <w:gridSpan w:val="9"/>
            <w:tcBorders>
              <w:top w:val="single" w:sz="8" w:space="0" w:color="000000" w:themeColor="text1"/>
              <w:bottom w:val="nil"/>
            </w:tcBorders>
            <w:shd w:val="clear" w:color="auto" w:fill="auto"/>
            <w:vAlign w:val="center"/>
          </w:tcPr>
          <w:p w14:paraId="66C67C2A" w14:textId="77777777" w:rsidR="00C12188" w:rsidRDefault="00C12188" w:rsidP="00EE0DF6">
            <w:pPr>
              <w:pStyle w:val="NoSpacing"/>
              <w:rPr>
                <w:b w:val="0"/>
                <w:sz w:val="20"/>
                <w:szCs w:val="20"/>
              </w:rPr>
            </w:pPr>
            <w:r w:rsidRPr="00D9095B">
              <w:rPr>
                <w:b w:val="0"/>
                <w:sz w:val="20"/>
                <w:szCs w:val="20"/>
              </w:rPr>
              <w:t>*</w:t>
            </w:r>
            <w:r>
              <w:rPr>
                <w:b w:val="0"/>
                <w:sz w:val="20"/>
                <w:szCs w:val="20"/>
              </w:rPr>
              <w:t>Statistically significant at 5% level (p&lt;0.05)</w:t>
            </w:r>
          </w:p>
          <w:p w14:paraId="6796574F" w14:textId="77777777" w:rsidR="00C12188" w:rsidRPr="00D9095B" w:rsidRDefault="00C12188" w:rsidP="00EE0DF6">
            <w:pPr>
              <w:pStyle w:val="NoSpacing"/>
              <w:rPr>
                <w:b w:val="0"/>
                <w:sz w:val="20"/>
                <w:szCs w:val="20"/>
              </w:rPr>
            </w:pPr>
            <w:r>
              <w:rPr>
                <w:b w:val="0"/>
                <w:sz w:val="20"/>
                <w:szCs w:val="20"/>
              </w:rPr>
              <w:t>**Statistically significant at 0.1% level (p&lt;0.001)</w:t>
            </w:r>
          </w:p>
          <w:p w14:paraId="0DA05BCD" w14:textId="77777777" w:rsidR="00C12188" w:rsidRPr="009E234D" w:rsidRDefault="00C12188" w:rsidP="00EE0DF6">
            <w:pPr>
              <w:rPr>
                <w:bCs w:val="0"/>
              </w:rPr>
            </w:pPr>
            <w:r w:rsidRPr="00D9095B">
              <w:rPr>
                <w:b w:val="0"/>
                <w:sz w:val="20"/>
                <w:szCs w:val="20"/>
              </w:rPr>
              <w:t>†Southampton analysis adjusted for age only (women-only cohort</w:t>
            </w:r>
          </w:p>
        </w:tc>
      </w:tr>
    </w:tbl>
    <w:p w14:paraId="681A807F" w14:textId="77777777" w:rsidR="00C12188" w:rsidRDefault="00C12188" w:rsidP="00C12188">
      <w:pPr>
        <w:pStyle w:val="Tablehead"/>
      </w:pPr>
    </w:p>
    <w:p w14:paraId="5BC0814B" w14:textId="77777777" w:rsidR="00C12188" w:rsidRDefault="00C12188" w:rsidP="00C12188">
      <w:pPr>
        <w:rPr>
          <w:rFonts w:cstheme="minorHAnsi"/>
          <w:szCs w:val="18"/>
          <w:lang w:eastAsia="en-GB"/>
        </w:rPr>
      </w:pPr>
      <w:r>
        <w:br w:type="page"/>
      </w:r>
    </w:p>
    <w:p w14:paraId="032D0F70" w14:textId="77777777" w:rsidR="00C12188" w:rsidRPr="009E234D" w:rsidRDefault="00C12188" w:rsidP="00C12188">
      <w:pPr>
        <w:pStyle w:val="Tablehead"/>
      </w:pPr>
      <w:r w:rsidRPr="009E234D">
        <w:lastRenderedPageBreak/>
        <w:t>Two-Year survi</w:t>
      </w:r>
      <w:r>
        <w:t xml:space="preserve">val by frailty status in the two </w:t>
      </w:r>
      <w:r w:rsidRPr="009E234D">
        <w:t>cohorts</w:t>
      </w:r>
      <w:r>
        <w:t xml:space="preserve"> (female only)</w:t>
      </w:r>
    </w:p>
    <w:tbl>
      <w:tblPr>
        <w:tblStyle w:val="LightShading"/>
        <w:tblW w:w="8918" w:type="dxa"/>
        <w:jc w:val="center"/>
        <w:tblInd w:w="0" w:type="dxa"/>
        <w:tblLayout w:type="fixed"/>
        <w:tblLook w:val="04A0" w:firstRow="1" w:lastRow="0" w:firstColumn="1" w:lastColumn="0" w:noHBand="0" w:noVBand="1"/>
      </w:tblPr>
      <w:tblGrid>
        <w:gridCol w:w="2075"/>
        <w:gridCol w:w="477"/>
        <w:gridCol w:w="889"/>
        <w:gridCol w:w="812"/>
        <w:gridCol w:w="554"/>
        <w:gridCol w:w="863"/>
        <w:gridCol w:w="503"/>
        <w:gridCol w:w="1198"/>
        <w:gridCol w:w="168"/>
        <w:gridCol w:w="1358"/>
        <w:gridCol w:w="9"/>
        <w:gridCol w:w="12"/>
      </w:tblGrid>
      <w:tr w:rsidR="00C12188" w:rsidRPr="009E234D" w14:paraId="58260CC4" w14:textId="77777777" w:rsidTr="00EE0DF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vMerge w:val="restart"/>
            <w:tcBorders>
              <w:top w:val="single" w:sz="4" w:space="0" w:color="auto"/>
              <w:bottom w:val="nil"/>
            </w:tcBorders>
            <w:shd w:val="clear" w:color="auto" w:fill="DBE5F1" w:themeFill="accent1" w:themeFillTint="33"/>
            <w:vAlign w:val="center"/>
            <w:hideMark/>
          </w:tcPr>
          <w:p w14:paraId="72B5F275" w14:textId="77777777" w:rsidR="00C12188" w:rsidRPr="009E234D" w:rsidRDefault="00C12188" w:rsidP="00EE0DF6">
            <w:pPr>
              <w:pStyle w:val="NoSpacing"/>
            </w:pPr>
          </w:p>
          <w:p w14:paraId="49236A3E" w14:textId="77777777" w:rsidR="00C12188" w:rsidRPr="009E234D" w:rsidRDefault="00C12188" w:rsidP="00EE0DF6">
            <w:pPr>
              <w:pStyle w:val="NoSpacing"/>
            </w:pPr>
            <w:r w:rsidRPr="009E234D">
              <w:t>Frailty Scale (sample size)</w:t>
            </w:r>
          </w:p>
        </w:tc>
        <w:tc>
          <w:tcPr>
            <w:tcW w:w="3118" w:type="dxa"/>
            <w:gridSpan w:val="4"/>
            <w:tcBorders>
              <w:top w:val="single" w:sz="4" w:space="0" w:color="auto"/>
              <w:bottom w:val="nil"/>
            </w:tcBorders>
            <w:shd w:val="clear" w:color="auto" w:fill="DBE5F1" w:themeFill="accent1" w:themeFillTint="33"/>
            <w:vAlign w:val="center"/>
            <w:hideMark/>
          </w:tcPr>
          <w:p w14:paraId="6EAFA0F7" w14:textId="77777777" w:rsidR="00C12188" w:rsidRPr="009E234D" w:rsidRDefault="00C12188" w:rsidP="00EE0DF6">
            <w:pPr>
              <w:pStyle w:val="NoSpacing"/>
              <w:jc w:val="center"/>
              <w:cnfStyle w:val="100000000000" w:firstRow="1" w:lastRow="0" w:firstColumn="0" w:lastColumn="0" w:oddVBand="0" w:evenVBand="0" w:oddHBand="0" w:evenHBand="0" w:firstRowFirstColumn="0" w:firstRowLastColumn="0" w:lastRowFirstColumn="0" w:lastRowLastColumn="0"/>
            </w:pPr>
            <w:r w:rsidRPr="009E234D">
              <w:t>Mortality Percentage</w:t>
            </w:r>
            <w:r>
              <w:t xml:space="preserve"> [95% CI]</w:t>
            </w:r>
          </w:p>
        </w:tc>
        <w:tc>
          <w:tcPr>
            <w:tcW w:w="3248" w:type="dxa"/>
            <w:gridSpan w:val="6"/>
            <w:tcBorders>
              <w:top w:val="single" w:sz="4" w:space="0" w:color="auto"/>
              <w:bottom w:val="nil"/>
            </w:tcBorders>
            <w:shd w:val="clear" w:color="auto" w:fill="DBE5F1" w:themeFill="accent1" w:themeFillTint="33"/>
            <w:vAlign w:val="center"/>
            <w:hideMark/>
          </w:tcPr>
          <w:p w14:paraId="62BF18C4" w14:textId="77777777" w:rsidR="00C12188" w:rsidRPr="009E234D" w:rsidRDefault="00C12188" w:rsidP="00EE0DF6">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9E234D">
              <w:t xml:space="preserve">Hazard Ratios </w:t>
            </w:r>
            <w:r>
              <w:t>[95% CI]</w:t>
            </w:r>
          </w:p>
        </w:tc>
      </w:tr>
      <w:tr w:rsidR="00C12188" w:rsidRPr="009E234D" w14:paraId="7E153B77" w14:textId="77777777" w:rsidTr="00EE0DF6">
        <w:trPr>
          <w:gridAfter w:val="1"/>
          <w:cnfStyle w:val="000000100000" w:firstRow="0" w:lastRow="0" w:firstColumn="0" w:lastColumn="0" w:oddVBand="0" w:evenVBand="0" w:oddHBand="1" w:evenHBand="0" w:firstRowFirstColumn="0" w:firstRowLastColumn="0" w:lastRowFirstColumn="0" w:lastRowLastColumn="0"/>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vMerge/>
            <w:tcBorders>
              <w:top w:val="nil"/>
              <w:bottom w:val="single" w:sz="4" w:space="0" w:color="auto"/>
            </w:tcBorders>
            <w:shd w:val="clear" w:color="auto" w:fill="auto"/>
            <w:vAlign w:val="center"/>
            <w:hideMark/>
          </w:tcPr>
          <w:p w14:paraId="46C494D1" w14:textId="77777777" w:rsidR="00C12188" w:rsidRPr="009E234D" w:rsidRDefault="00C12188" w:rsidP="00EE0DF6">
            <w:pPr>
              <w:pStyle w:val="NoSpacing"/>
            </w:pPr>
          </w:p>
        </w:tc>
        <w:tc>
          <w:tcPr>
            <w:tcW w:w="1701" w:type="dxa"/>
            <w:gridSpan w:val="2"/>
            <w:tcBorders>
              <w:top w:val="nil"/>
              <w:bottom w:val="single" w:sz="4" w:space="0" w:color="auto"/>
            </w:tcBorders>
            <w:shd w:val="clear" w:color="auto" w:fill="DBE5F1" w:themeFill="accent1" w:themeFillTint="33"/>
            <w:vAlign w:val="center"/>
            <w:hideMark/>
          </w:tcPr>
          <w:p w14:paraId="7E8DF90D"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Non-Frail</w:t>
            </w:r>
          </w:p>
        </w:tc>
        <w:tc>
          <w:tcPr>
            <w:tcW w:w="1417" w:type="dxa"/>
            <w:gridSpan w:val="2"/>
            <w:tcBorders>
              <w:top w:val="nil"/>
              <w:bottom w:val="single" w:sz="4" w:space="0" w:color="auto"/>
            </w:tcBorders>
            <w:shd w:val="clear" w:color="auto" w:fill="DBE5F1" w:themeFill="accent1" w:themeFillTint="33"/>
            <w:vAlign w:val="center"/>
            <w:hideMark/>
          </w:tcPr>
          <w:p w14:paraId="279873D7"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Frail</w:t>
            </w:r>
          </w:p>
        </w:tc>
        <w:tc>
          <w:tcPr>
            <w:tcW w:w="1701" w:type="dxa"/>
            <w:gridSpan w:val="2"/>
            <w:tcBorders>
              <w:top w:val="nil"/>
              <w:bottom w:val="single" w:sz="4" w:space="0" w:color="auto"/>
            </w:tcBorders>
            <w:shd w:val="clear" w:color="auto" w:fill="DBE5F1" w:themeFill="accent1" w:themeFillTint="33"/>
            <w:vAlign w:val="center"/>
            <w:hideMark/>
          </w:tcPr>
          <w:p w14:paraId="1EA0CC36"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Unadjusted</w:t>
            </w:r>
          </w:p>
        </w:tc>
        <w:tc>
          <w:tcPr>
            <w:tcW w:w="1535" w:type="dxa"/>
            <w:gridSpan w:val="3"/>
            <w:tcBorders>
              <w:top w:val="nil"/>
              <w:bottom w:val="single" w:sz="4" w:space="0" w:color="auto"/>
            </w:tcBorders>
            <w:shd w:val="clear" w:color="auto" w:fill="DBE5F1" w:themeFill="accent1" w:themeFillTint="33"/>
            <w:vAlign w:val="center"/>
            <w:hideMark/>
          </w:tcPr>
          <w:p w14:paraId="19C6E393"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Adjusted for age</w:t>
            </w:r>
          </w:p>
        </w:tc>
      </w:tr>
      <w:tr w:rsidR="00C12188" w:rsidRPr="009E234D" w14:paraId="3D682A05" w14:textId="77777777" w:rsidTr="00EE0DF6">
        <w:trPr>
          <w:gridAfter w:val="1"/>
          <w:wAfter w:w="12" w:type="dxa"/>
          <w:trHeight w:hRule="exact" w:val="113"/>
          <w:jc w:val="center"/>
        </w:trPr>
        <w:tc>
          <w:tcPr>
            <w:cnfStyle w:val="001000000000" w:firstRow="0" w:lastRow="0" w:firstColumn="1" w:lastColumn="0" w:oddVBand="0" w:evenVBand="0" w:oddHBand="0" w:evenHBand="0" w:firstRowFirstColumn="0" w:firstRowLastColumn="0" w:lastRowFirstColumn="0" w:lastRowLastColumn="0"/>
            <w:tcW w:w="2075" w:type="dxa"/>
            <w:tcBorders>
              <w:top w:val="single" w:sz="4" w:space="0" w:color="auto"/>
              <w:bottom w:val="single" w:sz="4" w:space="0" w:color="auto"/>
            </w:tcBorders>
            <w:shd w:val="clear" w:color="auto" w:fill="FFFFFF" w:themeFill="background1"/>
            <w:vAlign w:val="center"/>
          </w:tcPr>
          <w:p w14:paraId="0F9745DC" w14:textId="77777777" w:rsidR="00C12188" w:rsidRPr="009E234D" w:rsidRDefault="00C12188" w:rsidP="00EE0DF6">
            <w:pPr>
              <w:pStyle w:val="NoSpacing"/>
              <w:rPr>
                <w:b w:val="0"/>
                <w:bCs w:val="0"/>
              </w:rPr>
            </w:pPr>
          </w:p>
        </w:tc>
        <w:tc>
          <w:tcPr>
            <w:tcW w:w="1366" w:type="dxa"/>
            <w:gridSpan w:val="2"/>
            <w:tcBorders>
              <w:top w:val="single" w:sz="4" w:space="0" w:color="auto"/>
              <w:bottom w:val="single" w:sz="4" w:space="0" w:color="auto"/>
            </w:tcBorders>
            <w:shd w:val="clear" w:color="auto" w:fill="FFFFFF" w:themeFill="background1"/>
            <w:vAlign w:val="center"/>
          </w:tcPr>
          <w:p w14:paraId="395FC58A"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366" w:type="dxa"/>
            <w:gridSpan w:val="2"/>
            <w:tcBorders>
              <w:top w:val="single" w:sz="4" w:space="0" w:color="auto"/>
              <w:bottom w:val="single" w:sz="4" w:space="0" w:color="auto"/>
            </w:tcBorders>
            <w:shd w:val="clear" w:color="auto" w:fill="FFFFFF" w:themeFill="background1"/>
            <w:vAlign w:val="center"/>
          </w:tcPr>
          <w:p w14:paraId="2A2A16F3"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366" w:type="dxa"/>
            <w:gridSpan w:val="2"/>
            <w:tcBorders>
              <w:top w:val="single" w:sz="4" w:space="0" w:color="auto"/>
              <w:bottom w:val="single" w:sz="4" w:space="0" w:color="auto"/>
            </w:tcBorders>
            <w:shd w:val="clear" w:color="auto" w:fill="FFFFFF" w:themeFill="background1"/>
            <w:vAlign w:val="center"/>
          </w:tcPr>
          <w:p w14:paraId="2BBF3D9F"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366" w:type="dxa"/>
            <w:gridSpan w:val="2"/>
            <w:tcBorders>
              <w:top w:val="single" w:sz="4" w:space="0" w:color="auto"/>
              <w:bottom w:val="single" w:sz="4" w:space="0" w:color="auto"/>
            </w:tcBorders>
            <w:shd w:val="clear" w:color="auto" w:fill="FFFFFF" w:themeFill="background1"/>
            <w:vAlign w:val="center"/>
          </w:tcPr>
          <w:p w14:paraId="62ABD254"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367" w:type="dxa"/>
            <w:gridSpan w:val="2"/>
            <w:tcBorders>
              <w:top w:val="single" w:sz="4" w:space="0" w:color="auto"/>
              <w:bottom w:val="single" w:sz="4" w:space="0" w:color="auto"/>
            </w:tcBorders>
            <w:shd w:val="clear" w:color="auto" w:fill="FFFFFF" w:themeFill="background1"/>
            <w:vAlign w:val="center"/>
          </w:tcPr>
          <w:p w14:paraId="74B0CAFC"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pPr>
          </w:p>
        </w:tc>
      </w:tr>
      <w:tr w:rsidR="00C12188" w:rsidRPr="009E234D" w14:paraId="68668464" w14:textId="77777777" w:rsidTr="00EE0DF6">
        <w:trPr>
          <w:gridAfter w:val="1"/>
          <w:cnfStyle w:val="000000100000" w:firstRow="0" w:lastRow="0" w:firstColumn="0" w:lastColumn="0" w:oddVBand="0" w:evenVBand="0" w:oddHBand="1" w:evenHBand="0" w:firstRowFirstColumn="0" w:firstRowLastColumn="0" w:lastRowFirstColumn="0" w:lastRowLastColumn="0"/>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8906" w:type="dxa"/>
            <w:gridSpan w:val="11"/>
            <w:tcBorders>
              <w:top w:val="single" w:sz="4" w:space="0" w:color="auto"/>
              <w:bottom w:val="single" w:sz="4" w:space="0" w:color="auto"/>
            </w:tcBorders>
            <w:shd w:val="clear" w:color="auto" w:fill="DBE5F1" w:themeFill="accent1" w:themeFillTint="33"/>
            <w:vAlign w:val="center"/>
          </w:tcPr>
          <w:p w14:paraId="6020E10C" w14:textId="77777777" w:rsidR="00C12188" w:rsidRPr="009E234D" w:rsidRDefault="00C12188" w:rsidP="00EE0DF6">
            <w:pPr>
              <w:pStyle w:val="NoSpacing"/>
              <w:rPr>
                <w:i/>
              </w:rPr>
            </w:pPr>
            <w:r>
              <w:rPr>
                <w:i/>
              </w:rPr>
              <w:t xml:space="preserve">Ambulatory </w:t>
            </w:r>
            <w:r w:rsidRPr="009E234D">
              <w:rPr>
                <w:i/>
              </w:rPr>
              <w:t>Cohort</w:t>
            </w:r>
          </w:p>
        </w:tc>
      </w:tr>
      <w:tr w:rsidR="00C12188" w:rsidRPr="009E234D" w14:paraId="0FEE697B" w14:textId="77777777" w:rsidTr="00EE0DF6">
        <w:trPr>
          <w:gridAfter w:val="1"/>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tcBorders>
              <w:top w:val="single" w:sz="4" w:space="0" w:color="auto"/>
            </w:tcBorders>
            <w:shd w:val="clear" w:color="auto" w:fill="auto"/>
            <w:vAlign w:val="center"/>
            <w:hideMark/>
          </w:tcPr>
          <w:p w14:paraId="3FF1D3E8" w14:textId="77777777" w:rsidR="00C12188" w:rsidRPr="009E234D" w:rsidRDefault="00C12188" w:rsidP="00EE0DF6">
            <w:pPr>
              <w:pStyle w:val="NoSpacing"/>
            </w:pPr>
            <w:r w:rsidRPr="009E234D">
              <w:t>Fried (</w:t>
            </w:r>
            <w:r>
              <w:t>282</w:t>
            </w:r>
            <w:r w:rsidRPr="009E234D">
              <w:t>)</w:t>
            </w:r>
          </w:p>
        </w:tc>
        <w:tc>
          <w:tcPr>
            <w:tcW w:w="1701" w:type="dxa"/>
            <w:gridSpan w:val="2"/>
            <w:tcBorders>
              <w:top w:val="single" w:sz="4" w:space="0" w:color="auto"/>
            </w:tcBorders>
            <w:shd w:val="clear" w:color="auto" w:fill="auto"/>
            <w:vAlign w:val="center"/>
          </w:tcPr>
          <w:p w14:paraId="3B5B547B"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14.5 %</w:t>
            </w:r>
          </w:p>
          <w:p w14:paraId="39C4CD6C"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[9.7,19.3]</w:t>
            </w:r>
          </w:p>
        </w:tc>
        <w:tc>
          <w:tcPr>
            <w:tcW w:w="1417" w:type="dxa"/>
            <w:gridSpan w:val="2"/>
            <w:tcBorders>
              <w:top w:val="single" w:sz="4" w:space="0" w:color="auto"/>
            </w:tcBorders>
            <w:shd w:val="clear" w:color="auto" w:fill="auto"/>
            <w:vAlign w:val="center"/>
          </w:tcPr>
          <w:p w14:paraId="4E0980CD"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26.2 %</w:t>
            </w:r>
          </w:p>
          <w:p w14:paraId="5D9F06C5"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[15.2, 37.1]</w:t>
            </w:r>
          </w:p>
        </w:tc>
        <w:tc>
          <w:tcPr>
            <w:tcW w:w="1701" w:type="dxa"/>
            <w:gridSpan w:val="2"/>
            <w:tcBorders>
              <w:top w:val="single" w:sz="4" w:space="0" w:color="auto"/>
            </w:tcBorders>
            <w:shd w:val="clear" w:color="auto" w:fill="auto"/>
            <w:vAlign w:val="center"/>
          </w:tcPr>
          <w:p w14:paraId="38D3ACA7"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 xml:space="preserve">1.9* </w:t>
            </w:r>
          </w:p>
          <w:p w14:paraId="2B934A87"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1.0,3.4]</w:t>
            </w:r>
          </w:p>
        </w:tc>
        <w:tc>
          <w:tcPr>
            <w:tcW w:w="1535" w:type="dxa"/>
            <w:gridSpan w:val="3"/>
            <w:tcBorders>
              <w:top w:val="single" w:sz="4" w:space="0" w:color="auto"/>
            </w:tcBorders>
            <w:shd w:val="clear" w:color="auto" w:fill="auto"/>
            <w:vAlign w:val="center"/>
          </w:tcPr>
          <w:p w14:paraId="4C9ED7F0"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1.4</w:t>
            </w:r>
          </w:p>
          <w:p w14:paraId="04CEE330"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[0.8,2.7]</w:t>
            </w:r>
          </w:p>
        </w:tc>
      </w:tr>
      <w:tr w:rsidR="00C12188" w:rsidRPr="009E234D" w14:paraId="7A5F0CFB" w14:textId="77777777" w:rsidTr="00EE0DF6">
        <w:trPr>
          <w:gridAfter w:val="1"/>
          <w:cnfStyle w:val="000000100000" w:firstRow="0" w:lastRow="0" w:firstColumn="0" w:lastColumn="0" w:oddVBand="0" w:evenVBand="0" w:oddHBand="1" w:evenHBand="0" w:firstRowFirstColumn="0" w:firstRowLastColumn="0" w:lastRowFirstColumn="0" w:lastRowLastColumn="0"/>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auto"/>
            <w:vAlign w:val="center"/>
            <w:hideMark/>
          </w:tcPr>
          <w:p w14:paraId="48513A46" w14:textId="77777777" w:rsidR="00C12188" w:rsidRPr="009E234D" w:rsidRDefault="00C12188" w:rsidP="00EE0DF6">
            <w:pPr>
              <w:pStyle w:val="NoSpacing"/>
            </w:pPr>
            <w:r>
              <w:t>Rothman (278</w:t>
            </w:r>
            <w:r w:rsidRPr="009E234D">
              <w:t>)</w:t>
            </w:r>
          </w:p>
        </w:tc>
        <w:tc>
          <w:tcPr>
            <w:tcW w:w="1701" w:type="dxa"/>
            <w:gridSpan w:val="2"/>
            <w:shd w:val="clear" w:color="auto" w:fill="auto"/>
            <w:vAlign w:val="center"/>
          </w:tcPr>
          <w:p w14:paraId="6F3557CF"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13.9 %</w:t>
            </w:r>
          </w:p>
          <w:p w14:paraId="6C768BDE"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[9.2, 18.6]</w:t>
            </w:r>
          </w:p>
        </w:tc>
        <w:tc>
          <w:tcPr>
            <w:tcW w:w="1417" w:type="dxa"/>
            <w:gridSpan w:val="2"/>
            <w:shd w:val="clear" w:color="auto" w:fill="auto"/>
            <w:vAlign w:val="center"/>
          </w:tcPr>
          <w:p w14:paraId="1AE0C49A"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29.0 %</w:t>
            </w:r>
          </w:p>
          <w:p w14:paraId="3BE312A6"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[18.0,40.0]</w:t>
            </w:r>
          </w:p>
        </w:tc>
        <w:tc>
          <w:tcPr>
            <w:tcW w:w="1701" w:type="dxa"/>
            <w:gridSpan w:val="2"/>
            <w:shd w:val="clear" w:color="auto" w:fill="auto"/>
            <w:vAlign w:val="center"/>
          </w:tcPr>
          <w:p w14:paraId="114F47D2"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2.2*</w:t>
            </w:r>
          </w:p>
          <w:p w14:paraId="2982EAC7"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[1.3,3.9]</w:t>
            </w:r>
          </w:p>
        </w:tc>
        <w:tc>
          <w:tcPr>
            <w:tcW w:w="1535" w:type="dxa"/>
            <w:gridSpan w:val="3"/>
            <w:shd w:val="clear" w:color="auto" w:fill="auto"/>
            <w:vAlign w:val="center"/>
          </w:tcPr>
          <w:p w14:paraId="1E75A392"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2.2*</w:t>
            </w:r>
          </w:p>
          <w:p w14:paraId="2210D243"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[1.2,3.9]</w:t>
            </w:r>
          </w:p>
        </w:tc>
      </w:tr>
      <w:tr w:rsidR="00C12188" w:rsidRPr="009E234D" w14:paraId="7654C5C7" w14:textId="77777777" w:rsidTr="00EE0DF6">
        <w:trPr>
          <w:gridAfter w:val="1"/>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auto"/>
            <w:vAlign w:val="center"/>
            <w:hideMark/>
          </w:tcPr>
          <w:p w14:paraId="2B8205AD" w14:textId="77777777" w:rsidR="00C12188" w:rsidRPr="009E234D" w:rsidRDefault="00C12188" w:rsidP="00EE0DF6">
            <w:pPr>
              <w:pStyle w:val="NoSpacing"/>
            </w:pPr>
            <w:r w:rsidRPr="009E234D">
              <w:t>Rockwood (</w:t>
            </w:r>
            <w:r>
              <w:t>271</w:t>
            </w:r>
            <w:r w:rsidRPr="009E234D">
              <w:t>)</w:t>
            </w:r>
          </w:p>
        </w:tc>
        <w:tc>
          <w:tcPr>
            <w:tcW w:w="1701" w:type="dxa"/>
            <w:gridSpan w:val="2"/>
            <w:shd w:val="clear" w:color="auto" w:fill="auto"/>
            <w:vAlign w:val="center"/>
          </w:tcPr>
          <w:p w14:paraId="36208781"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11.7 %</w:t>
            </w:r>
          </w:p>
          <w:p w14:paraId="18FB288C"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[6.9,16.4]</w:t>
            </w:r>
          </w:p>
        </w:tc>
        <w:tc>
          <w:tcPr>
            <w:tcW w:w="1417" w:type="dxa"/>
            <w:gridSpan w:val="2"/>
            <w:shd w:val="clear" w:color="auto" w:fill="auto"/>
            <w:vAlign w:val="center"/>
          </w:tcPr>
          <w:p w14:paraId="764F3DAD"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27.5 %</w:t>
            </w:r>
          </w:p>
          <w:p w14:paraId="58FE063D"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[18.1,36.8]</w:t>
            </w:r>
          </w:p>
        </w:tc>
        <w:tc>
          <w:tcPr>
            <w:tcW w:w="1701" w:type="dxa"/>
            <w:gridSpan w:val="2"/>
            <w:shd w:val="clear" w:color="auto" w:fill="auto"/>
            <w:vAlign w:val="center"/>
          </w:tcPr>
          <w:p w14:paraId="24423DAF"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2.5*</w:t>
            </w:r>
          </w:p>
          <w:p w14:paraId="1C452F27"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[1.4,4.5]</w:t>
            </w:r>
          </w:p>
        </w:tc>
        <w:tc>
          <w:tcPr>
            <w:tcW w:w="1535" w:type="dxa"/>
            <w:gridSpan w:val="3"/>
            <w:shd w:val="clear" w:color="auto" w:fill="auto"/>
            <w:vAlign w:val="center"/>
          </w:tcPr>
          <w:p w14:paraId="252EB713"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2.2*</w:t>
            </w:r>
          </w:p>
          <w:p w14:paraId="0C320775"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[1.2,3.9]</w:t>
            </w:r>
          </w:p>
        </w:tc>
      </w:tr>
      <w:tr w:rsidR="00C12188" w:rsidRPr="009E234D" w14:paraId="4581DBAB" w14:textId="77777777" w:rsidTr="00EE0DF6">
        <w:trPr>
          <w:gridAfter w:val="1"/>
          <w:cnfStyle w:val="000000100000" w:firstRow="0" w:lastRow="0" w:firstColumn="0" w:lastColumn="0" w:oddVBand="0" w:evenVBand="0" w:oddHBand="1" w:evenHBand="0" w:firstRowFirstColumn="0" w:firstRowLastColumn="0" w:lastRowFirstColumn="0" w:lastRowLastColumn="0"/>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tcBorders>
              <w:bottom w:val="single" w:sz="4" w:space="0" w:color="auto"/>
            </w:tcBorders>
            <w:shd w:val="clear" w:color="auto" w:fill="auto"/>
            <w:vAlign w:val="center"/>
            <w:hideMark/>
          </w:tcPr>
          <w:p w14:paraId="2D345EED" w14:textId="77777777" w:rsidR="00C12188" w:rsidRPr="009E234D" w:rsidRDefault="00C12188" w:rsidP="00EE0DF6">
            <w:pPr>
              <w:pStyle w:val="NoSpacing"/>
            </w:pPr>
            <w:r w:rsidRPr="009E234D">
              <w:t>HFRS (</w:t>
            </w:r>
            <w:r>
              <w:t>387</w:t>
            </w:r>
            <w:r w:rsidRPr="009E234D">
              <w:t>)</w:t>
            </w:r>
          </w:p>
        </w:tc>
        <w:tc>
          <w:tcPr>
            <w:tcW w:w="1701" w:type="dxa"/>
            <w:gridSpan w:val="2"/>
            <w:tcBorders>
              <w:bottom w:val="single" w:sz="4" w:space="0" w:color="auto"/>
            </w:tcBorders>
            <w:shd w:val="clear" w:color="auto" w:fill="auto"/>
            <w:vAlign w:val="center"/>
          </w:tcPr>
          <w:p w14:paraId="4D2A78B2"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14.4 %</w:t>
            </w:r>
          </w:p>
          <w:p w14:paraId="71653341"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[9.8,19.1]</w:t>
            </w:r>
          </w:p>
        </w:tc>
        <w:tc>
          <w:tcPr>
            <w:tcW w:w="1417" w:type="dxa"/>
            <w:gridSpan w:val="2"/>
            <w:tcBorders>
              <w:bottom w:val="single" w:sz="4" w:space="0" w:color="auto"/>
            </w:tcBorders>
            <w:shd w:val="clear" w:color="auto" w:fill="auto"/>
            <w:vAlign w:val="center"/>
          </w:tcPr>
          <w:p w14:paraId="526C48B6"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29.1 %</w:t>
            </w:r>
          </w:p>
          <w:p w14:paraId="1F2E50F3"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[22.1,36.1]</w:t>
            </w:r>
          </w:p>
        </w:tc>
        <w:tc>
          <w:tcPr>
            <w:tcW w:w="1701" w:type="dxa"/>
            <w:gridSpan w:val="2"/>
            <w:tcBorders>
              <w:bottom w:val="single" w:sz="4" w:space="0" w:color="auto"/>
            </w:tcBorders>
            <w:shd w:val="clear" w:color="auto" w:fill="auto"/>
            <w:vAlign w:val="center"/>
          </w:tcPr>
          <w:p w14:paraId="4EE44428"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 xml:space="preserve">2.1** </w:t>
            </w:r>
          </w:p>
          <w:p w14:paraId="2617901E"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[1.4,3.3]</w:t>
            </w:r>
          </w:p>
        </w:tc>
        <w:tc>
          <w:tcPr>
            <w:tcW w:w="1535" w:type="dxa"/>
            <w:gridSpan w:val="3"/>
            <w:tcBorders>
              <w:bottom w:val="single" w:sz="4" w:space="0" w:color="auto"/>
            </w:tcBorders>
            <w:shd w:val="clear" w:color="auto" w:fill="auto"/>
            <w:vAlign w:val="center"/>
          </w:tcPr>
          <w:p w14:paraId="7100A3B7"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 xml:space="preserve">1.5 </w:t>
            </w:r>
          </w:p>
          <w:p w14:paraId="409594FF"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[1.0,2.4]</w:t>
            </w:r>
          </w:p>
        </w:tc>
      </w:tr>
      <w:tr w:rsidR="00C12188" w:rsidRPr="009E234D" w14:paraId="0610282C" w14:textId="77777777" w:rsidTr="00EE0DF6">
        <w:trPr>
          <w:gridAfter w:val="2"/>
          <w:wAfter w:w="21" w:type="dxa"/>
          <w:trHeight w:val="20"/>
          <w:jc w:val="center"/>
        </w:trPr>
        <w:tc>
          <w:tcPr>
            <w:cnfStyle w:val="001000000000" w:firstRow="0" w:lastRow="0" w:firstColumn="1" w:lastColumn="0" w:oddVBand="0" w:evenVBand="0" w:oddHBand="0" w:evenHBand="0" w:firstRowFirstColumn="0" w:firstRowLastColumn="0" w:lastRowFirstColumn="0" w:lastRowLastColumn="0"/>
            <w:tcW w:w="8897" w:type="dxa"/>
            <w:gridSpan w:val="10"/>
            <w:tcBorders>
              <w:top w:val="single" w:sz="4" w:space="0" w:color="auto"/>
              <w:bottom w:val="single" w:sz="4" w:space="0" w:color="auto"/>
            </w:tcBorders>
            <w:shd w:val="clear" w:color="auto" w:fill="DBE5F1" w:themeFill="accent1" w:themeFillTint="33"/>
            <w:vAlign w:val="center"/>
          </w:tcPr>
          <w:p w14:paraId="21D51194" w14:textId="77777777" w:rsidR="00C12188" w:rsidRPr="009E234D" w:rsidRDefault="00C12188" w:rsidP="00EE0DF6">
            <w:pPr>
              <w:pStyle w:val="NoSpacing"/>
              <w:rPr>
                <w:b w:val="0"/>
                <w:bCs w:val="0"/>
                <w:i/>
              </w:rPr>
            </w:pPr>
            <w:r>
              <w:rPr>
                <w:i/>
              </w:rPr>
              <w:t>In-patient Cohort</w:t>
            </w:r>
          </w:p>
        </w:tc>
      </w:tr>
      <w:tr w:rsidR="00C12188" w:rsidRPr="009E234D" w14:paraId="58F44864" w14:textId="77777777" w:rsidTr="00EE0DF6">
        <w:trPr>
          <w:gridAfter w:val="1"/>
          <w:cnfStyle w:val="000000100000" w:firstRow="0" w:lastRow="0" w:firstColumn="0" w:lastColumn="0" w:oddVBand="0" w:evenVBand="0" w:oddHBand="1" w:evenHBand="0" w:firstRowFirstColumn="0" w:firstRowLastColumn="0" w:lastRowFirstColumn="0" w:lastRowLastColumn="0"/>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tcBorders>
              <w:top w:val="single" w:sz="4" w:space="0" w:color="auto"/>
            </w:tcBorders>
            <w:shd w:val="clear" w:color="auto" w:fill="auto"/>
            <w:vAlign w:val="center"/>
            <w:hideMark/>
          </w:tcPr>
          <w:p w14:paraId="34E1C573" w14:textId="77777777" w:rsidR="00C12188" w:rsidRPr="009E234D" w:rsidRDefault="00C12188" w:rsidP="00EE0DF6">
            <w:pPr>
              <w:pStyle w:val="NoSpacing"/>
            </w:pPr>
            <w:r w:rsidRPr="009E234D">
              <w:t>Fried (140)</w:t>
            </w:r>
          </w:p>
        </w:tc>
        <w:tc>
          <w:tcPr>
            <w:tcW w:w="1701" w:type="dxa"/>
            <w:gridSpan w:val="2"/>
            <w:tcBorders>
              <w:top w:val="single" w:sz="4" w:space="0" w:color="auto"/>
            </w:tcBorders>
            <w:shd w:val="clear" w:color="auto" w:fill="auto"/>
            <w:vAlign w:val="center"/>
            <w:hideMark/>
          </w:tcPr>
          <w:p w14:paraId="54609FB9"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21</w:t>
            </w:r>
            <w:r>
              <w:t>.4</w:t>
            </w:r>
            <w:r w:rsidRPr="009E234D">
              <w:t xml:space="preserve"> %</w:t>
            </w:r>
          </w:p>
          <w:p w14:paraId="19DC58F9"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[5.2,37.6]</w:t>
            </w:r>
          </w:p>
        </w:tc>
        <w:tc>
          <w:tcPr>
            <w:tcW w:w="1417" w:type="dxa"/>
            <w:gridSpan w:val="2"/>
            <w:tcBorders>
              <w:top w:val="single" w:sz="4" w:space="0" w:color="auto"/>
            </w:tcBorders>
            <w:shd w:val="clear" w:color="auto" w:fill="auto"/>
            <w:vAlign w:val="center"/>
            <w:hideMark/>
          </w:tcPr>
          <w:p w14:paraId="354DF6FD"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46</w:t>
            </w:r>
            <w:r>
              <w:t>.4</w:t>
            </w:r>
            <w:r w:rsidRPr="009E234D">
              <w:t xml:space="preserve"> %</w:t>
            </w:r>
          </w:p>
          <w:p w14:paraId="0B091A09"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[37.0,55.8]</w:t>
            </w:r>
          </w:p>
        </w:tc>
        <w:tc>
          <w:tcPr>
            <w:tcW w:w="1701" w:type="dxa"/>
            <w:gridSpan w:val="2"/>
            <w:tcBorders>
              <w:top w:val="single" w:sz="4" w:space="0" w:color="auto"/>
            </w:tcBorders>
            <w:shd w:val="clear" w:color="auto" w:fill="auto"/>
            <w:vAlign w:val="center"/>
            <w:hideMark/>
          </w:tcPr>
          <w:p w14:paraId="773881BD"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2.6*</w:t>
            </w:r>
          </w:p>
          <w:p w14:paraId="4DD631E3"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[1.1,6.1]</w:t>
            </w:r>
          </w:p>
        </w:tc>
        <w:tc>
          <w:tcPr>
            <w:tcW w:w="1535" w:type="dxa"/>
            <w:gridSpan w:val="3"/>
            <w:tcBorders>
              <w:top w:val="single" w:sz="4" w:space="0" w:color="auto"/>
            </w:tcBorders>
            <w:shd w:val="clear" w:color="auto" w:fill="auto"/>
            <w:vAlign w:val="center"/>
          </w:tcPr>
          <w:p w14:paraId="2D449F77"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2.3</w:t>
            </w:r>
          </w:p>
          <w:p w14:paraId="3CA67571"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[1.0,5.4]</w:t>
            </w:r>
          </w:p>
        </w:tc>
      </w:tr>
      <w:tr w:rsidR="00C12188" w:rsidRPr="009E234D" w14:paraId="0656113C" w14:textId="77777777" w:rsidTr="00EE0DF6">
        <w:trPr>
          <w:gridAfter w:val="1"/>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auto"/>
            <w:vAlign w:val="center"/>
            <w:hideMark/>
          </w:tcPr>
          <w:p w14:paraId="2E8A0416" w14:textId="77777777" w:rsidR="00C12188" w:rsidRPr="009E234D" w:rsidRDefault="00C12188" w:rsidP="00EE0DF6">
            <w:pPr>
              <w:pStyle w:val="NoSpacing"/>
            </w:pPr>
            <w:r w:rsidRPr="009E234D">
              <w:t>Rothman (192)</w:t>
            </w:r>
          </w:p>
        </w:tc>
        <w:tc>
          <w:tcPr>
            <w:tcW w:w="1701" w:type="dxa"/>
            <w:gridSpan w:val="2"/>
            <w:shd w:val="clear" w:color="auto" w:fill="auto"/>
            <w:vAlign w:val="center"/>
            <w:hideMark/>
          </w:tcPr>
          <w:p w14:paraId="7FCB9F13"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31</w:t>
            </w:r>
            <w:r>
              <w:t>.3</w:t>
            </w:r>
            <w:r w:rsidRPr="009E234D">
              <w:t xml:space="preserve"> %</w:t>
            </w:r>
          </w:p>
          <w:p w14:paraId="41A28900"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[22.0,54.2]</w:t>
            </w:r>
          </w:p>
        </w:tc>
        <w:tc>
          <w:tcPr>
            <w:tcW w:w="1417" w:type="dxa"/>
            <w:gridSpan w:val="2"/>
            <w:shd w:val="clear" w:color="auto" w:fill="auto"/>
            <w:vAlign w:val="center"/>
            <w:hideMark/>
          </w:tcPr>
          <w:p w14:paraId="136E8A76"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5</w:t>
            </w:r>
            <w:r>
              <w:t>2.7</w:t>
            </w:r>
            <w:r w:rsidRPr="009E234D">
              <w:t xml:space="preserve"> %</w:t>
            </w:r>
          </w:p>
          <w:p w14:paraId="12C292F5"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[34.8,50.0]</w:t>
            </w:r>
          </w:p>
        </w:tc>
        <w:tc>
          <w:tcPr>
            <w:tcW w:w="1701" w:type="dxa"/>
            <w:gridSpan w:val="2"/>
            <w:shd w:val="clear" w:color="auto" w:fill="auto"/>
            <w:vAlign w:val="center"/>
            <w:hideMark/>
          </w:tcPr>
          <w:p w14:paraId="4D8C7C6C"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2.0*</w:t>
            </w:r>
          </w:p>
          <w:p w14:paraId="218E16A6"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[1.3,3.1]</w:t>
            </w:r>
          </w:p>
        </w:tc>
        <w:tc>
          <w:tcPr>
            <w:tcW w:w="1535" w:type="dxa"/>
            <w:gridSpan w:val="3"/>
            <w:shd w:val="clear" w:color="auto" w:fill="auto"/>
            <w:vAlign w:val="center"/>
          </w:tcPr>
          <w:p w14:paraId="6307A8DB"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1.6*</w:t>
            </w:r>
          </w:p>
          <w:p w14:paraId="37E5CF7F"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[1.0,2.6]</w:t>
            </w:r>
          </w:p>
        </w:tc>
      </w:tr>
      <w:tr w:rsidR="00C12188" w:rsidRPr="009E234D" w14:paraId="2E43D112" w14:textId="77777777" w:rsidTr="00EE0DF6">
        <w:trPr>
          <w:gridAfter w:val="1"/>
          <w:cnfStyle w:val="000000100000" w:firstRow="0" w:lastRow="0" w:firstColumn="0" w:lastColumn="0" w:oddVBand="0" w:evenVBand="0" w:oddHBand="1" w:evenHBand="0" w:firstRowFirstColumn="0" w:firstRowLastColumn="0" w:lastRowFirstColumn="0" w:lastRowLastColumn="0"/>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2552" w:type="dxa"/>
            <w:gridSpan w:val="2"/>
            <w:tcBorders>
              <w:bottom w:val="single" w:sz="4" w:space="0" w:color="auto"/>
            </w:tcBorders>
            <w:shd w:val="clear" w:color="auto" w:fill="auto"/>
            <w:vAlign w:val="center"/>
            <w:hideMark/>
          </w:tcPr>
          <w:p w14:paraId="2EDFD2F6" w14:textId="77777777" w:rsidR="00C12188" w:rsidRPr="009E234D" w:rsidRDefault="00C12188" w:rsidP="00EE0DF6">
            <w:pPr>
              <w:pStyle w:val="NoSpacing"/>
            </w:pPr>
            <w:r w:rsidRPr="009E234D">
              <w:t>HFRS (246)</w:t>
            </w:r>
          </w:p>
        </w:tc>
        <w:tc>
          <w:tcPr>
            <w:tcW w:w="1701" w:type="dxa"/>
            <w:gridSpan w:val="2"/>
            <w:tcBorders>
              <w:bottom w:val="single" w:sz="4" w:space="0" w:color="auto"/>
            </w:tcBorders>
            <w:shd w:val="clear" w:color="auto" w:fill="auto"/>
            <w:vAlign w:val="center"/>
            <w:hideMark/>
          </w:tcPr>
          <w:p w14:paraId="5BACE8A1"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43</w:t>
            </w:r>
            <w:r>
              <w:t>.2</w:t>
            </w:r>
            <w:r w:rsidRPr="009E234D">
              <w:t xml:space="preserve"> %</w:t>
            </w:r>
          </w:p>
          <w:p w14:paraId="13654A59"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[32.1,54.2]</w:t>
            </w:r>
          </w:p>
        </w:tc>
        <w:tc>
          <w:tcPr>
            <w:tcW w:w="1417" w:type="dxa"/>
            <w:gridSpan w:val="2"/>
            <w:tcBorders>
              <w:bottom w:val="single" w:sz="4" w:space="0" w:color="auto"/>
            </w:tcBorders>
            <w:shd w:val="clear" w:color="auto" w:fill="auto"/>
            <w:vAlign w:val="center"/>
            <w:hideMark/>
          </w:tcPr>
          <w:p w14:paraId="2FE1F45A"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42</w:t>
            </w:r>
            <w:r>
              <w:t>.4</w:t>
            </w:r>
            <w:r w:rsidRPr="009E234D">
              <w:t xml:space="preserve"> %</w:t>
            </w:r>
          </w:p>
          <w:p w14:paraId="0A67E722"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[34.8,50.0]</w:t>
            </w:r>
          </w:p>
        </w:tc>
        <w:tc>
          <w:tcPr>
            <w:tcW w:w="1701" w:type="dxa"/>
            <w:gridSpan w:val="2"/>
            <w:tcBorders>
              <w:bottom w:val="single" w:sz="4" w:space="0" w:color="auto"/>
            </w:tcBorders>
            <w:shd w:val="clear" w:color="auto" w:fill="auto"/>
            <w:vAlign w:val="center"/>
            <w:hideMark/>
          </w:tcPr>
          <w:p w14:paraId="4F1AACF0"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1.0</w:t>
            </w:r>
          </w:p>
          <w:p w14:paraId="4D6945C2"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[0.7,1.6]</w:t>
            </w:r>
          </w:p>
        </w:tc>
        <w:tc>
          <w:tcPr>
            <w:tcW w:w="1535" w:type="dxa"/>
            <w:gridSpan w:val="3"/>
            <w:tcBorders>
              <w:bottom w:val="single" w:sz="4" w:space="0" w:color="auto"/>
            </w:tcBorders>
            <w:shd w:val="clear" w:color="auto" w:fill="auto"/>
            <w:vAlign w:val="center"/>
          </w:tcPr>
          <w:p w14:paraId="5AA603C2"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1.1</w:t>
            </w:r>
          </w:p>
          <w:p w14:paraId="2DEB12FA"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[0.7,1.6]</w:t>
            </w:r>
          </w:p>
        </w:tc>
      </w:tr>
      <w:tr w:rsidR="00C12188" w:rsidRPr="009E234D" w14:paraId="49C47554" w14:textId="77777777" w:rsidTr="00EE0DF6">
        <w:trPr>
          <w:gridAfter w:val="1"/>
          <w:wAfter w:w="12" w:type="dxa"/>
          <w:trHeight w:val="20"/>
          <w:jc w:val="center"/>
        </w:trPr>
        <w:tc>
          <w:tcPr>
            <w:cnfStyle w:val="001000000000" w:firstRow="0" w:lastRow="0" w:firstColumn="1" w:lastColumn="0" w:oddVBand="0" w:evenVBand="0" w:oddHBand="0" w:evenHBand="0" w:firstRowFirstColumn="0" w:firstRowLastColumn="0" w:lastRowFirstColumn="0" w:lastRowLastColumn="0"/>
            <w:tcW w:w="8906" w:type="dxa"/>
            <w:gridSpan w:val="11"/>
            <w:tcBorders>
              <w:top w:val="single" w:sz="4" w:space="0" w:color="auto"/>
              <w:bottom w:val="nil"/>
            </w:tcBorders>
            <w:shd w:val="clear" w:color="auto" w:fill="auto"/>
            <w:vAlign w:val="center"/>
          </w:tcPr>
          <w:p w14:paraId="7AB8679E" w14:textId="77777777" w:rsidR="00C12188" w:rsidRPr="00DE0326" w:rsidRDefault="00C12188" w:rsidP="00EE0DF6">
            <w:pPr>
              <w:pStyle w:val="Tablehead"/>
              <w:spacing w:after="0"/>
              <w:rPr>
                <w:b w:val="0"/>
                <w:i w:val="0"/>
                <w:sz w:val="20"/>
                <w:szCs w:val="20"/>
                <w:lang w:eastAsia="en-US"/>
              </w:rPr>
            </w:pPr>
            <w:r w:rsidRPr="00DE0326">
              <w:rPr>
                <w:b w:val="0"/>
                <w:i w:val="0"/>
                <w:sz w:val="20"/>
                <w:szCs w:val="20"/>
                <w:lang w:eastAsia="en-US"/>
              </w:rPr>
              <w:t>95% CI = 95% Confidence Interval</w:t>
            </w:r>
          </w:p>
          <w:p w14:paraId="0F6C0E90" w14:textId="77777777" w:rsidR="00C12188" w:rsidRPr="00DE0326" w:rsidRDefault="00C12188" w:rsidP="00EE0DF6">
            <w:pPr>
              <w:pStyle w:val="Tablehead"/>
              <w:spacing w:after="0"/>
              <w:rPr>
                <w:b w:val="0"/>
                <w:i w:val="0"/>
                <w:sz w:val="20"/>
                <w:szCs w:val="20"/>
                <w:lang w:eastAsia="en-US"/>
              </w:rPr>
            </w:pPr>
            <w:r w:rsidRPr="00DE0326">
              <w:rPr>
                <w:b w:val="0"/>
                <w:i w:val="0"/>
                <w:sz w:val="20"/>
                <w:szCs w:val="20"/>
                <w:lang w:eastAsia="en-US"/>
              </w:rPr>
              <w:t>*Statistically significant at 5% level (p&lt;0.05)</w:t>
            </w:r>
          </w:p>
          <w:p w14:paraId="3F776F06" w14:textId="77777777" w:rsidR="00C12188" w:rsidRPr="00DE0326" w:rsidRDefault="00C12188" w:rsidP="00EE0DF6">
            <w:pPr>
              <w:rPr>
                <w:b w:val="0"/>
                <w:i/>
                <w:sz w:val="20"/>
                <w:szCs w:val="20"/>
              </w:rPr>
            </w:pPr>
            <w:r w:rsidRPr="00DE0326">
              <w:rPr>
                <w:b w:val="0"/>
                <w:sz w:val="20"/>
                <w:szCs w:val="20"/>
              </w:rPr>
              <w:t>**Statistically significant at 0.1% level (p&lt;0.001)</w:t>
            </w:r>
          </w:p>
          <w:p w14:paraId="63EB024F" w14:textId="77777777" w:rsidR="00C12188" w:rsidRPr="00DE0326" w:rsidRDefault="00C12188" w:rsidP="00EE0DF6">
            <w:pPr>
              <w:pStyle w:val="NoSpacing"/>
              <w:jc w:val="center"/>
              <w:rPr>
                <w:b w:val="0"/>
              </w:rPr>
            </w:pPr>
          </w:p>
        </w:tc>
      </w:tr>
    </w:tbl>
    <w:p w14:paraId="10D5EF2F" w14:textId="77777777" w:rsidR="00C12188" w:rsidRDefault="00C12188" w:rsidP="00C12188">
      <w:pPr>
        <w:rPr>
          <w:i/>
        </w:rPr>
      </w:pPr>
    </w:p>
    <w:p w14:paraId="7A45A57A" w14:textId="77777777" w:rsidR="00C12188" w:rsidRDefault="00C12188" w:rsidP="00C12188">
      <w:r>
        <w:br w:type="page"/>
      </w:r>
    </w:p>
    <w:p w14:paraId="5CEA3D7E" w14:textId="77777777" w:rsidR="00C12188" w:rsidRPr="00DE0326" w:rsidRDefault="00C12188" w:rsidP="00C12188">
      <w:pPr>
        <w:rPr>
          <w:i/>
        </w:rPr>
      </w:pPr>
      <w:r w:rsidRPr="00DC3314">
        <w:rPr>
          <w:i/>
        </w:rPr>
        <w:lastRenderedPageBreak/>
        <w:t>Intensity of hospital use over two years measured in bed days</w:t>
      </w:r>
      <w:r>
        <w:rPr>
          <w:i/>
        </w:rPr>
        <w:t xml:space="preserve"> (female only)</w:t>
      </w:r>
    </w:p>
    <w:tbl>
      <w:tblPr>
        <w:tblStyle w:val="LightShading"/>
        <w:tblW w:w="8472" w:type="dxa"/>
        <w:jc w:val="center"/>
        <w:tblInd w:w="0" w:type="dxa"/>
        <w:tblLayout w:type="fixed"/>
        <w:tblLook w:val="04A0" w:firstRow="1" w:lastRow="0" w:firstColumn="1" w:lastColumn="0" w:noHBand="0" w:noVBand="1"/>
      </w:tblPr>
      <w:tblGrid>
        <w:gridCol w:w="1671"/>
        <w:gridCol w:w="880"/>
        <w:gridCol w:w="792"/>
        <w:gridCol w:w="592"/>
        <w:gridCol w:w="1080"/>
        <w:gridCol w:w="337"/>
        <w:gridCol w:w="1335"/>
        <w:gridCol w:w="225"/>
        <w:gridCol w:w="1560"/>
      </w:tblGrid>
      <w:tr w:rsidR="00C12188" w:rsidRPr="009E234D" w14:paraId="1BBEC5A8" w14:textId="77777777" w:rsidTr="00EE0DF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1" w:type="dxa"/>
            <w:gridSpan w:val="2"/>
            <w:vMerge w:val="restart"/>
            <w:tcBorders>
              <w:top w:val="single" w:sz="4" w:space="0" w:color="auto"/>
              <w:bottom w:val="nil"/>
            </w:tcBorders>
            <w:shd w:val="clear" w:color="auto" w:fill="DBE5F1" w:themeFill="accent1" w:themeFillTint="33"/>
            <w:hideMark/>
          </w:tcPr>
          <w:p w14:paraId="2145F480" w14:textId="77777777" w:rsidR="00C12188" w:rsidRPr="009E234D" w:rsidRDefault="00C12188" w:rsidP="00EE0DF6">
            <w:pPr>
              <w:pStyle w:val="NoSpacing"/>
            </w:pPr>
            <w:r w:rsidRPr="009E234D">
              <w:t>Frailty Scale (sample size)</w:t>
            </w:r>
          </w:p>
        </w:tc>
        <w:tc>
          <w:tcPr>
            <w:tcW w:w="2801" w:type="dxa"/>
            <w:gridSpan w:val="4"/>
            <w:tcBorders>
              <w:top w:val="single" w:sz="4" w:space="0" w:color="auto"/>
              <w:bottom w:val="nil"/>
            </w:tcBorders>
            <w:shd w:val="clear" w:color="auto" w:fill="DBE5F1" w:themeFill="accent1" w:themeFillTint="33"/>
            <w:hideMark/>
          </w:tcPr>
          <w:p w14:paraId="13C1914B" w14:textId="77777777" w:rsidR="00C12188" w:rsidRPr="009E234D" w:rsidRDefault="00C12188" w:rsidP="00EE0DF6">
            <w:pPr>
              <w:pStyle w:val="NoSpacing"/>
              <w:jc w:val="center"/>
              <w:cnfStyle w:val="100000000000" w:firstRow="1" w:lastRow="0" w:firstColumn="0" w:lastColumn="0" w:oddVBand="0" w:evenVBand="0" w:oddHBand="0" w:evenHBand="0" w:firstRowFirstColumn="0" w:firstRowLastColumn="0" w:lastRowFirstColumn="0" w:lastRowLastColumn="0"/>
            </w:pPr>
            <w:r w:rsidRPr="009E234D">
              <w:t>Mean bed days per person (SD)</w:t>
            </w:r>
          </w:p>
        </w:tc>
        <w:tc>
          <w:tcPr>
            <w:tcW w:w="3120" w:type="dxa"/>
            <w:gridSpan w:val="3"/>
            <w:tcBorders>
              <w:top w:val="single" w:sz="4" w:space="0" w:color="auto"/>
              <w:bottom w:val="nil"/>
            </w:tcBorders>
            <w:shd w:val="clear" w:color="auto" w:fill="DBE5F1" w:themeFill="accent1" w:themeFillTint="33"/>
            <w:hideMark/>
          </w:tcPr>
          <w:p w14:paraId="03EFA5F8" w14:textId="77777777" w:rsidR="00C12188" w:rsidRPr="009E234D" w:rsidRDefault="00C12188" w:rsidP="00EE0DF6">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 xml:space="preserve">Rate Ratios for rate of use over two year </w:t>
            </w:r>
            <w:r w:rsidRPr="009E234D">
              <w:t>period</w:t>
            </w:r>
            <w:r>
              <w:t xml:space="preserve"> [95% CI]</w:t>
            </w:r>
          </w:p>
        </w:tc>
      </w:tr>
      <w:tr w:rsidR="00C12188" w:rsidRPr="009E234D" w14:paraId="7BB90060" w14:textId="77777777" w:rsidTr="00EE0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1" w:type="dxa"/>
            <w:gridSpan w:val="2"/>
            <w:vMerge/>
            <w:tcBorders>
              <w:top w:val="nil"/>
              <w:bottom w:val="single" w:sz="4" w:space="0" w:color="auto"/>
            </w:tcBorders>
            <w:shd w:val="clear" w:color="auto" w:fill="DBE5F1" w:themeFill="accent1" w:themeFillTint="33"/>
            <w:vAlign w:val="center"/>
            <w:hideMark/>
          </w:tcPr>
          <w:p w14:paraId="00B1781B" w14:textId="77777777" w:rsidR="00C12188" w:rsidRPr="009E234D" w:rsidRDefault="00C12188" w:rsidP="00EE0DF6">
            <w:pPr>
              <w:pStyle w:val="NoSpacing"/>
            </w:pPr>
          </w:p>
        </w:tc>
        <w:tc>
          <w:tcPr>
            <w:tcW w:w="1384" w:type="dxa"/>
            <w:gridSpan w:val="2"/>
            <w:tcBorders>
              <w:top w:val="nil"/>
              <w:bottom w:val="single" w:sz="4" w:space="0" w:color="auto"/>
            </w:tcBorders>
            <w:shd w:val="clear" w:color="auto" w:fill="DBE5F1" w:themeFill="accent1" w:themeFillTint="33"/>
            <w:vAlign w:val="center"/>
            <w:hideMark/>
          </w:tcPr>
          <w:p w14:paraId="33594E85" w14:textId="77777777" w:rsidR="00C12188" w:rsidRPr="009E234D" w:rsidRDefault="00C12188" w:rsidP="00EE0DF6">
            <w:pPr>
              <w:pStyle w:val="NoSpacing"/>
              <w:cnfStyle w:val="000000100000" w:firstRow="0" w:lastRow="0" w:firstColumn="0" w:lastColumn="0" w:oddVBand="0" w:evenVBand="0" w:oddHBand="1" w:evenHBand="0" w:firstRowFirstColumn="0" w:firstRowLastColumn="0" w:lastRowFirstColumn="0" w:lastRowLastColumn="0"/>
            </w:pPr>
            <w:r w:rsidRPr="009E234D">
              <w:t>Non-Frail</w:t>
            </w:r>
          </w:p>
        </w:tc>
        <w:tc>
          <w:tcPr>
            <w:tcW w:w="1417" w:type="dxa"/>
            <w:gridSpan w:val="2"/>
            <w:tcBorders>
              <w:top w:val="nil"/>
              <w:bottom w:val="single" w:sz="4" w:space="0" w:color="auto"/>
            </w:tcBorders>
            <w:shd w:val="clear" w:color="auto" w:fill="DBE5F1" w:themeFill="accent1" w:themeFillTint="33"/>
            <w:vAlign w:val="center"/>
            <w:hideMark/>
          </w:tcPr>
          <w:p w14:paraId="04260C54"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Frail</w:t>
            </w:r>
          </w:p>
        </w:tc>
        <w:tc>
          <w:tcPr>
            <w:tcW w:w="1560" w:type="dxa"/>
            <w:gridSpan w:val="2"/>
            <w:tcBorders>
              <w:top w:val="nil"/>
              <w:bottom w:val="single" w:sz="4" w:space="0" w:color="auto"/>
            </w:tcBorders>
            <w:shd w:val="clear" w:color="auto" w:fill="DBE5F1" w:themeFill="accent1" w:themeFillTint="33"/>
            <w:vAlign w:val="center"/>
            <w:hideMark/>
          </w:tcPr>
          <w:p w14:paraId="42B3A07C"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Unadjusted</w:t>
            </w:r>
          </w:p>
        </w:tc>
        <w:tc>
          <w:tcPr>
            <w:tcW w:w="1560" w:type="dxa"/>
            <w:tcBorders>
              <w:top w:val="nil"/>
              <w:bottom w:val="single" w:sz="4" w:space="0" w:color="auto"/>
            </w:tcBorders>
            <w:shd w:val="clear" w:color="auto" w:fill="DBE5F1" w:themeFill="accent1" w:themeFillTint="33"/>
            <w:vAlign w:val="center"/>
            <w:hideMark/>
          </w:tcPr>
          <w:p w14:paraId="00208C74"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Adjusted for age and sex</w:t>
            </w:r>
          </w:p>
        </w:tc>
      </w:tr>
      <w:tr w:rsidR="00C12188" w:rsidRPr="009E234D" w14:paraId="5BB28B04" w14:textId="77777777" w:rsidTr="00EE0DF6">
        <w:trPr>
          <w:trHeight w:hRule="exact" w:val="113"/>
          <w:jc w:val="center"/>
        </w:trPr>
        <w:tc>
          <w:tcPr>
            <w:cnfStyle w:val="001000000000" w:firstRow="0" w:lastRow="0" w:firstColumn="1" w:lastColumn="0" w:oddVBand="0" w:evenVBand="0" w:oddHBand="0" w:evenHBand="0" w:firstRowFirstColumn="0" w:firstRowLastColumn="0" w:lastRowFirstColumn="0" w:lastRowLastColumn="0"/>
            <w:tcW w:w="1671" w:type="dxa"/>
            <w:tcBorders>
              <w:top w:val="single" w:sz="4" w:space="0" w:color="auto"/>
              <w:bottom w:val="single" w:sz="4" w:space="0" w:color="auto"/>
            </w:tcBorders>
            <w:shd w:val="clear" w:color="auto" w:fill="FFFFFF" w:themeFill="background1"/>
            <w:vAlign w:val="center"/>
          </w:tcPr>
          <w:p w14:paraId="03505299" w14:textId="77777777" w:rsidR="00C12188" w:rsidRPr="009E234D" w:rsidRDefault="00C12188" w:rsidP="00EE0DF6">
            <w:pPr>
              <w:pStyle w:val="NoSpacing"/>
              <w:rPr>
                <w:b w:val="0"/>
                <w:bCs w:val="0"/>
              </w:rPr>
            </w:pPr>
          </w:p>
        </w:tc>
        <w:tc>
          <w:tcPr>
            <w:tcW w:w="1672" w:type="dxa"/>
            <w:gridSpan w:val="2"/>
            <w:tcBorders>
              <w:top w:val="single" w:sz="4" w:space="0" w:color="auto"/>
              <w:bottom w:val="single" w:sz="4" w:space="0" w:color="auto"/>
            </w:tcBorders>
            <w:shd w:val="clear" w:color="auto" w:fill="FFFFFF" w:themeFill="background1"/>
            <w:vAlign w:val="center"/>
          </w:tcPr>
          <w:p w14:paraId="3B7D72B3"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672" w:type="dxa"/>
            <w:gridSpan w:val="2"/>
            <w:tcBorders>
              <w:top w:val="single" w:sz="4" w:space="0" w:color="auto"/>
              <w:bottom w:val="single" w:sz="4" w:space="0" w:color="auto"/>
            </w:tcBorders>
            <w:shd w:val="clear" w:color="auto" w:fill="FFFFFF" w:themeFill="background1"/>
            <w:vAlign w:val="center"/>
          </w:tcPr>
          <w:p w14:paraId="56A622EE"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672" w:type="dxa"/>
            <w:gridSpan w:val="2"/>
            <w:tcBorders>
              <w:top w:val="single" w:sz="4" w:space="0" w:color="auto"/>
              <w:bottom w:val="single" w:sz="4" w:space="0" w:color="auto"/>
            </w:tcBorders>
            <w:shd w:val="clear" w:color="auto" w:fill="FFFFFF" w:themeFill="background1"/>
            <w:vAlign w:val="center"/>
          </w:tcPr>
          <w:p w14:paraId="3E96F681"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85" w:type="dxa"/>
            <w:gridSpan w:val="2"/>
            <w:tcBorders>
              <w:top w:val="single" w:sz="4" w:space="0" w:color="auto"/>
              <w:bottom w:val="single" w:sz="4" w:space="0" w:color="auto"/>
            </w:tcBorders>
            <w:shd w:val="clear" w:color="auto" w:fill="FFFFFF" w:themeFill="background1"/>
            <w:vAlign w:val="center"/>
          </w:tcPr>
          <w:p w14:paraId="407B77DF" w14:textId="77777777" w:rsidR="00C12188" w:rsidRPr="009E234D" w:rsidRDefault="00C12188" w:rsidP="00EE0DF6">
            <w:pPr>
              <w:pStyle w:val="NoSpacing"/>
              <w:cnfStyle w:val="000000000000" w:firstRow="0" w:lastRow="0" w:firstColumn="0" w:lastColumn="0" w:oddVBand="0" w:evenVBand="0" w:oddHBand="0" w:evenHBand="0" w:firstRowFirstColumn="0" w:firstRowLastColumn="0" w:lastRowFirstColumn="0" w:lastRowLastColumn="0"/>
              <w:rPr>
                <w:b/>
                <w:bCs/>
              </w:rPr>
            </w:pPr>
          </w:p>
        </w:tc>
      </w:tr>
      <w:tr w:rsidR="00C12188" w:rsidRPr="009E234D" w14:paraId="720082BE" w14:textId="77777777" w:rsidTr="00EE0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72" w:type="dxa"/>
            <w:gridSpan w:val="9"/>
            <w:tcBorders>
              <w:top w:val="single" w:sz="4" w:space="0" w:color="auto"/>
              <w:bottom w:val="single" w:sz="4" w:space="0" w:color="auto"/>
            </w:tcBorders>
            <w:shd w:val="clear" w:color="auto" w:fill="DBE5F1" w:themeFill="accent1" w:themeFillTint="33"/>
            <w:vAlign w:val="center"/>
          </w:tcPr>
          <w:p w14:paraId="6B8BEC98" w14:textId="77777777" w:rsidR="00C12188" w:rsidRPr="009E234D" w:rsidRDefault="00C12188" w:rsidP="00EE0DF6">
            <w:pPr>
              <w:pStyle w:val="NoSpacing"/>
              <w:rPr>
                <w:b w:val="0"/>
                <w:bCs w:val="0"/>
                <w:i/>
              </w:rPr>
            </w:pPr>
            <w:r>
              <w:rPr>
                <w:i/>
              </w:rPr>
              <w:t>Ambulatory</w:t>
            </w:r>
            <w:r w:rsidRPr="009E234D">
              <w:rPr>
                <w:i/>
              </w:rPr>
              <w:t xml:space="preserve"> Cohort</w:t>
            </w:r>
          </w:p>
        </w:tc>
      </w:tr>
      <w:tr w:rsidR="00C12188" w:rsidRPr="009E234D" w14:paraId="68216591" w14:textId="77777777" w:rsidTr="00EE0DF6">
        <w:trPr>
          <w:trHeight w:val="20"/>
          <w:jc w:val="center"/>
        </w:trPr>
        <w:tc>
          <w:tcPr>
            <w:cnfStyle w:val="001000000000" w:firstRow="0" w:lastRow="0" w:firstColumn="1" w:lastColumn="0" w:oddVBand="0" w:evenVBand="0" w:oddHBand="0" w:evenHBand="0" w:firstRowFirstColumn="0" w:firstRowLastColumn="0" w:lastRowFirstColumn="0" w:lastRowLastColumn="0"/>
            <w:tcW w:w="2551" w:type="dxa"/>
            <w:gridSpan w:val="2"/>
            <w:tcBorders>
              <w:top w:val="single" w:sz="4" w:space="0" w:color="auto"/>
            </w:tcBorders>
            <w:shd w:val="clear" w:color="auto" w:fill="auto"/>
            <w:vAlign w:val="center"/>
            <w:hideMark/>
          </w:tcPr>
          <w:p w14:paraId="18A4B913" w14:textId="77777777" w:rsidR="00C12188" w:rsidRPr="009E234D" w:rsidRDefault="00C12188" w:rsidP="00EE0DF6">
            <w:pPr>
              <w:pStyle w:val="NoSpacing"/>
            </w:pPr>
            <w:r w:rsidRPr="009E234D">
              <w:t>Fried (</w:t>
            </w:r>
            <w:r>
              <w:t>282</w:t>
            </w:r>
            <w:r w:rsidRPr="009E234D">
              <w:t>)</w:t>
            </w:r>
          </w:p>
        </w:tc>
        <w:tc>
          <w:tcPr>
            <w:tcW w:w="1384" w:type="dxa"/>
            <w:gridSpan w:val="2"/>
            <w:tcBorders>
              <w:top w:val="single" w:sz="4" w:space="0" w:color="auto"/>
            </w:tcBorders>
            <w:shd w:val="clear" w:color="auto" w:fill="auto"/>
            <w:vAlign w:val="center"/>
          </w:tcPr>
          <w:p w14:paraId="025CBFBC"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17.5 (27.0)</w:t>
            </w:r>
          </w:p>
        </w:tc>
        <w:tc>
          <w:tcPr>
            <w:tcW w:w="1417" w:type="dxa"/>
            <w:gridSpan w:val="2"/>
            <w:tcBorders>
              <w:top w:val="single" w:sz="4" w:space="0" w:color="auto"/>
            </w:tcBorders>
            <w:shd w:val="clear" w:color="auto" w:fill="auto"/>
            <w:vAlign w:val="center"/>
          </w:tcPr>
          <w:p w14:paraId="3B343AC2"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26.8 (40.0)</w:t>
            </w:r>
          </w:p>
        </w:tc>
        <w:tc>
          <w:tcPr>
            <w:tcW w:w="1560" w:type="dxa"/>
            <w:gridSpan w:val="2"/>
            <w:tcBorders>
              <w:top w:val="single" w:sz="4" w:space="0" w:color="auto"/>
            </w:tcBorders>
            <w:shd w:val="clear" w:color="auto" w:fill="auto"/>
            <w:vAlign w:val="center"/>
          </w:tcPr>
          <w:p w14:paraId="5DBEE571"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1.7*</w:t>
            </w:r>
          </w:p>
          <w:p w14:paraId="7F74FD09"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[1.2,2.3]</w:t>
            </w:r>
          </w:p>
        </w:tc>
        <w:tc>
          <w:tcPr>
            <w:tcW w:w="1560" w:type="dxa"/>
            <w:tcBorders>
              <w:top w:val="single" w:sz="4" w:space="0" w:color="auto"/>
            </w:tcBorders>
            <w:shd w:val="clear" w:color="auto" w:fill="auto"/>
          </w:tcPr>
          <w:p w14:paraId="461C2C11"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1.4</w:t>
            </w:r>
          </w:p>
          <w:p w14:paraId="41D3744C"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[1.0,1.9]</w:t>
            </w:r>
          </w:p>
        </w:tc>
      </w:tr>
      <w:tr w:rsidR="00C12188" w:rsidRPr="009E234D" w14:paraId="1F3274A2" w14:textId="77777777" w:rsidTr="00EE0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1" w:type="dxa"/>
            <w:gridSpan w:val="2"/>
            <w:shd w:val="clear" w:color="auto" w:fill="auto"/>
            <w:vAlign w:val="center"/>
            <w:hideMark/>
          </w:tcPr>
          <w:p w14:paraId="64426356" w14:textId="77777777" w:rsidR="00C12188" w:rsidRPr="009E234D" w:rsidRDefault="00C12188" w:rsidP="00EE0DF6">
            <w:pPr>
              <w:pStyle w:val="NoSpacing"/>
            </w:pPr>
            <w:r w:rsidRPr="009E234D">
              <w:t>Rothman (</w:t>
            </w:r>
            <w:r>
              <w:t>278</w:t>
            </w:r>
            <w:r w:rsidRPr="009E234D">
              <w:t>)</w:t>
            </w:r>
          </w:p>
        </w:tc>
        <w:tc>
          <w:tcPr>
            <w:tcW w:w="1384" w:type="dxa"/>
            <w:gridSpan w:val="2"/>
            <w:shd w:val="clear" w:color="auto" w:fill="auto"/>
            <w:vAlign w:val="center"/>
          </w:tcPr>
          <w:p w14:paraId="61E9B727"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17.2 (28.4)</w:t>
            </w:r>
          </w:p>
        </w:tc>
        <w:tc>
          <w:tcPr>
            <w:tcW w:w="1417" w:type="dxa"/>
            <w:gridSpan w:val="2"/>
            <w:shd w:val="clear" w:color="auto" w:fill="auto"/>
            <w:vAlign w:val="center"/>
          </w:tcPr>
          <w:p w14:paraId="5E2435FF"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27.3 (36.0)</w:t>
            </w:r>
          </w:p>
        </w:tc>
        <w:tc>
          <w:tcPr>
            <w:tcW w:w="1560" w:type="dxa"/>
            <w:gridSpan w:val="2"/>
            <w:shd w:val="clear" w:color="auto" w:fill="auto"/>
            <w:vAlign w:val="center"/>
          </w:tcPr>
          <w:p w14:paraId="2E3867E1"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1.7*</w:t>
            </w:r>
          </w:p>
          <w:p w14:paraId="44F60053"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[1.2,2.3]</w:t>
            </w:r>
          </w:p>
        </w:tc>
        <w:tc>
          <w:tcPr>
            <w:tcW w:w="1560" w:type="dxa"/>
            <w:shd w:val="clear" w:color="auto" w:fill="auto"/>
          </w:tcPr>
          <w:p w14:paraId="2C7744F9"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1.4*</w:t>
            </w:r>
          </w:p>
          <w:p w14:paraId="769DCF9B"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[1.0,1.9]</w:t>
            </w:r>
          </w:p>
        </w:tc>
      </w:tr>
      <w:tr w:rsidR="00C12188" w:rsidRPr="009E234D" w14:paraId="132C729C" w14:textId="77777777" w:rsidTr="00EE0DF6">
        <w:trPr>
          <w:trHeight w:val="20"/>
          <w:jc w:val="center"/>
        </w:trPr>
        <w:tc>
          <w:tcPr>
            <w:cnfStyle w:val="001000000000" w:firstRow="0" w:lastRow="0" w:firstColumn="1" w:lastColumn="0" w:oddVBand="0" w:evenVBand="0" w:oddHBand="0" w:evenHBand="0" w:firstRowFirstColumn="0" w:firstRowLastColumn="0" w:lastRowFirstColumn="0" w:lastRowLastColumn="0"/>
            <w:tcW w:w="2551" w:type="dxa"/>
            <w:gridSpan w:val="2"/>
            <w:shd w:val="clear" w:color="auto" w:fill="auto"/>
            <w:vAlign w:val="center"/>
            <w:hideMark/>
          </w:tcPr>
          <w:p w14:paraId="6DB11FF9" w14:textId="77777777" w:rsidR="00C12188" w:rsidRPr="009E234D" w:rsidRDefault="00C12188" w:rsidP="00EE0DF6">
            <w:pPr>
              <w:pStyle w:val="NoSpacing"/>
            </w:pPr>
            <w:r w:rsidRPr="009E234D">
              <w:t>Rockwood (</w:t>
            </w:r>
            <w:r>
              <w:t>271</w:t>
            </w:r>
            <w:r w:rsidRPr="009E234D">
              <w:t>)</w:t>
            </w:r>
          </w:p>
        </w:tc>
        <w:tc>
          <w:tcPr>
            <w:tcW w:w="1384" w:type="dxa"/>
            <w:gridSpan w:val="2"/>
            <w:shd w:val="clear" w:color="auto" w:fill="auto"/>
            <w:vAlign w:val="center"/>
          </w:tcPr>
          <w:p w14:paraId="3F248B58"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15.2 (26.4)</w:t>
            </w:r>
          </w:p>
        </w:tc>
        <w:tc>
          <w:tcPr>
            <w:tcW w:w="1417" w:type="dxa"/>
            <w:gridSpan w:val="2"/>
            <w:shd w:val="clear" w:color="auto" w:fill="auto"/>
            <w:vAlign w:val="center"/>
          </w:tcPr>
          <w:p w14:paraId="78027A6B"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28.1 (36.6)</w:t>
            </w:r>
          </w:p>
        </w:tc>
        <w:tc>
          <w:tcPr>
            <w:tcW w:w="1560" w:type="dxa"/>
            <w:gridSpan w:val="2"/>
            <w:shd w:val="clear" w:color="auto" w:fill="auto"/>
            <w:vAlign w:val="center"/>
          </w:tcPr>
          <w:p w14:paraId="121F57B4"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1.9**</w:t>
            </w:r>
          </w:p>
          <w:p w14:paraId="57745F65"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[1.4,2.6]</w:t>
            </w:r>
          </w:p>
        </w:tc>
        <w:tc>
          <w:tcPr>
            <w:tcW w:w="1560" w:type="dxa"/>
            <w:shd w:val="clear" w:color="auto" w:fill="auto"/>
          </w:tcPr>
          <w:p w14:paraId="267C78B7"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1.8**</w:t>
            </w:r>
          </w:p>
          <w:p w14:paraId="102FC1DA"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[1.4,2.4]</w:t>
            </w:r>
          </w:p>
        </w:tc>
      </w:tr>
      <w:tr w:rsidR="00C12188" w:rsidRPr="009E234D" w14:paraId="428777F3" w14:textId="77777777" w:rsidTr="00EE0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1" w:type="dxa"/>
            <w:gridSpan w:val="2"/>
            <w:tcBorders>
              <w:bottom w:val="single" w:sz="4" w:space="0" w:color="auto"/>
            </w:tcBorders>
            <w:shd w:val="clear" w:color="auto" w:fill="auto"/>
            <w:vAlign w:val="center"/>
            <w:hideMark/>
          </w:tcPr>
          <w:p w14:paraId="2B3576CE" w14:textId="77777777" w:rsidR="00C12188" w:rsidRPr="009E234D" w:rsidRDefault="00C12188" w:rsidP="00EE0DF6">
            <w:pPr>
              <w:pStyle w:val="NoSpacing"/>
            </w:pPr>
            <w:r w:rsidRPr="009E234D">
              <w:t>HFRS (</w:t>
            </w:r>
            <w:r>
              <w:t>387</w:t>
            </w:r>
            <w:r w:rsidRPr="009E234D">
              <w:t>)</w:t>
            </w:r>
          </w:p>
        </w:tc>
        <w:tc>
          <w:tcPr>
            <w:tcW w:w="1384" w:type="dxa"/>
            <w:gridSpan w:val="2"/>
            <w:tcBorders>
              <w:bottom w:val="single" w:sz="4" w:space="0" w:color="auto"/>
            </w:tcBorders>
            <w:shd w:val="clear" w:color="auto" w:fill="auto"/>
            <w:vAlign w:val="center"/>
          </w:tcPr>
          <w:p w14:paraId="3D1B9627"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14.6 (25.1)</w:t>
            </w:r>
          </w:p>
        </w:tc>
        <w:tc>
          <w:tcPr>
            <w:tcW w:w="1417" w:type="dxa"/>
            <w:gridSpan w:val="2"/>
            <w:tcBorders>
              <w:bottom w:val="single" w:sz="4" w:space="0" w:color="auto"/>
            </w:tcBorders>
            <w:shd w:val="clear" w:color="auto" w:fill="auto"/>
            <w:vAlign w:val="center"/>
          </w:tcPr>
          <w:p w14:paraId="665C1D6C"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29.0 (33.6)</w:t>
            </w:r>
          </w:p>
        </w:tc>
        <w:tc>
          <w:tcPr>
            <w:tcW w:w="1560" w:type="dxa"/>
            <w:gridSpan w:val="2"/>
            <w:tcBorders>
              <w:bottom w:val="single" w:sz="4" w:space="0" w:color="auto"/>
            </w:tcBorders>
            <w:shd w:val="clear" w:color="auto" w:fill="auto"/>
            <w:vAlign w:val="center"/>
          </w:tcPr>
          <w:p w14:paraId="76E1AE78"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2.0**</w:t>
            </w:r>
          </w:p>
          <w:p w14:paraId="4AEF238F"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[1.6,2.6]</w:t>
            </w:r>
          </w:p>
        </w:tc>
        <w:tc>
          <w:tcPr>
            <w:tcW w:w="1560" w:type="dxa"/>
            <w:tcBorders>
              <w:bottom w:val="single" w:sz="4" w:space="0" w:color="auto"/>
            </w:tcBorders>
            <w:shd w:val="clear" w:color="auto" w:fill="auto"/>
          </w:tcPr>
          <w:p w14:paraId="5334096D"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1.8**</w:t>
            </w:r>
          </w:p>
          <w:p w14:paraId="0E5A8AB2"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[1.5,2.3]</w:t>
            </w:r>
          </w:p>
        </w:tc>
      </w:tr>
      <w:tr w:rsidR="00C12188" w:rsidRPr="009E234D" w14:paraId="54C20E02" w14:textId="77777777" w:rsidTr="00EE0DF6">
        <w:trPr>
          <w:trHeight w:val="20"/>
          <w:jc w:val="center"/>
        </w:trPr>
        <w:tc>
          <w:tcPr>
            <w:cnfStyle w:val="001000000000" w:firstRow="0" w:lastRow="0" w:firstColumn="1" w:lastColumn="0" w:oddVBand="0" w:evenVBand="0" w:oddHBand="0" w:evenHBand="0" w:firstRowFirstColumn="0" w:firstRowLastColumn="0" w:lastRowFirstColumn="0" w:lastRowLastColumn="0"/>
            <w:tcW w:w="8472" w:type="dxa"/>
            <w:gridSpan w:val="9"/>
            <w:tcBorders>
              <w:top w:val="single" w:sz="4" w:space="0" w:color="auto"/>
              <w:bottom w:val="single" w:sz="4" w:space="0" w:color="auto"/>
            </w:tcBorders>
            <w:shd w:val="clear" w:color="auto" w:fill="DBE5F1" w:themeFill="accent1" w:themeFillTint="33"/>
            <w:vAlign w:val="center"/>
          </w:tcPr>
          <w:p w14:paraId="62118256" w14:textId="77777777" w:rsidR="00C12188" w:rsidRPr="009E234D" w:rsidRDefault="00C12188" w:rsidP="00EE0DF6">
            <w:pPr>
              <w:pStyle w:val="NoSpacing"/>
              <w:rPr>
                <w:b w:val="0"/>
                <w:bCs w:val="0"/>
                <w:i/>
              </w:rPr>
            </w:pPr>
            <w:r>
              <w:rPr>
                <w:i/>
              </w:rPr>
              <w:t>In-patient Cohort</w:t>
            </w:r>
          </w:p>
        </w:tc>
      </w:tr>
      <w:tr w:rsidR="00C12188" w:rsidRPr="009E234D" w14:paraId="74D88EC4" w14:textId="77777777" w:rsidTr="00EE0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1" w:type="dxa"/>
            <w:gridSpan w:val="2"/>
            <w:tcBorders>
              <w:top w:val="single" w:sz="4" w:space="0" w:color="auto"/>
            </w:tcBorders>
            <w:shd w:val="clear" w:color="auto" w:fill="auto"/>
            <w:vAlign w:val="center"/>
            <w:hideMark/>
          </w:tcPr>
          <w:p w14:paraId="33A04ABA" w14:textId="77777777" w:rsidR="00C12188" w:rsidRPr="009E234D" w:rsidRDefault="00C12188" w:rsidP="00EE0DF6">
            <w:pPr>
              <w:pStyle w:val="NoSpacing"/>
            </w:pPr>
            <w:r w:rsidRPr="009E234D">
              <w:t>Fried (140)</w:t>
            </w:r>
          </w:p>
        </w:tc>
        <w:tc>
          <w:tcPr>
            <w:tcW w:w="1384" w:type="dxa"/>
            <w:gridSpan w:val="2"/>
            <w:tcBorders>
              <w:top w:val="single" w:sz="4" w:space="0" w:color="auto"/>
            </w:tcBorders>
            <w:shd w:val="clear" w:color="auto" w:fill="auto"/>
            <w:hideMark/>
          </w:tcPr>
          <w:p w14:paraId="275F9FE8"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64.3 (56.6)</w:t>
            </w:r>
          </w:p>
        </w:tc>
        <w:tc>
          <w:tcPr>
            <w:tcW w:w="1417" w:type="dxa"/>
            <w:gridSpan w:val="2"/>
            <w:tcBorders>
              <w:top w:val="single" w:sz="4" w:space="0" w:color="auto"/>
            </w:tcBorders>
            <w:shd w:val="clear" w:color="auto" w:fill="auto"/>
            <w:hideMark/>
          </w:tcPr>
          <w:p w14:paraId="1A86550F"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55.8 (39.4)</w:t>
            </w:r>
          </w:p>
        </w:tc>
        <w:tc>
          <w:tcPr>
            <w:tcW w:w="1560" w:type="dxa"/>
            <w:gridSpan w:val="2"/>
            <w:tcBorders>
              <w:top w:val="single" w:sz="4" w:space="0" w:color="auto"/>
            </w:tcBorders>
            <w:shd w:val="clear" w:color="auto" w:fill="auto"/>
            <w:vAlign w:val="center"/>
          </w:tcPr>
          <w:p w14:paraId="2E79E8C2"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0.9</w:t>
            </w:r>
          </w:p>
          <w:p w14:paraId="15E318D2"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[0.6,1.2]</w:t>
            </w:r>
          </w:p>
        </w:tc>
        <w:tc>
          <w:tcPr>
            <w:tcW w:w="1560" w:type="dxa"/>
            <w:tcBorders>
              <w:top w:val="single" w:sz="4" w:space="0" w:color="auto"/>
            </w:tcBorders>
            <w:shd w:val="clear" w:color="auto" w:fill="auto"/>
          </w:tcPr>
          <w:p w14:paraId="443BE88F"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0.9</w:t>
            </w:r>
          </w:p>
          <w:p w14:paraId="49559F99"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[0.6,1.2]</w:t>
            </w:r>
          </w:p>
        </w:tc>
      </w:tr>
      <w:tr w:rsidR="00C12188" w:rsidRPr="009E234D" w14:paraId="579FE27D" w14:textId="77777777" w:rsidTr="00EE0DF6">
        <w:trPr>
          <w:trHeight w:val="20"/>
          <w:jc w:val="center"/>
        </w:trPr>
        <w:tc>
          <w:tcPr>
            <w:cnfStyle w:val="001000000000" w:firstRow="0" w:lastRow="0" w:firstColumn="1" w:lastColumn="0" w:oddVBand="0" w:evenVBand="0" w:oddHBand="0" w:evenHBand="0" w:firstRowFirstColumn="0" w:firstRowLastColumn="0" w:lastRowFirstColumn="0" w:lastRowLastColumn="0"/>
            <w:tcW w:w="2551" w:type="dxa"/>
            <w:gridSpan w:val="2"/>
            <w:shd w:val="clear" w:color="auto" w:fill="auto"/>
            <w:vAlign w:val="center"/>
            <w:hideMark/>
          </w:tcPr>
          <w:p w14:paraId="32E9DB68" w14:textId="77777777" w:rsidR="00C12188" w:rsidRPr="009E234D" w:rsidRDefault="00C12188" w:rsidP="00EE0DF6">
            <w:pPr>
              <w:pStyle w:val="NoSpacing"/>
            </w:pPr>
            <w:r w:rsidRPr="009E234D">
              <w:t>Rothman (192)</w:t>
            </w:r>
          </w:p>
        </w:tc>
        <w:tc>
          <w:tcPr>
            <w:tcW w:w="1384" w:type="dxa"/>
            <w:gridSpan w:val="2"/>
            <w:shd w:val="clear" w:color="auto" w:fill="auto"/>
            <w:hideMark/>
          </w:tcPr>
          <w:p w14:paraId="5092F554"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57.2 (50.7)</w:t>
            </w:r>
          </w:p>
        </w:tc>
        <w:tc>
          <w:tcPr>
            <w:tcW w:w="1417" w:type="dxa"/>
            <w:gridSpan w:val="2"/>
            <w:shd w:val="clear" w:color="auto" w:fill="auto"/>
            <w:hideMark/>
          </w:tcPr>
          <w:p w14:paraId="30DA7B79"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rsidRPr="009E234D">
              <w:t>58.2 (35.8)</w:t>
            </w:r>
          </w:p>
        </w:tc>
        <w:tc>
          <w:tcPr>
            <w:tcW w:w="1560" w:type="dxa"/>
            <w:gridSpan w:val="2"/>
            <w:shd w:val="clear" w:color="auto" w:fill="auto"/>
            <w:vAlign w:val="center"/>
          </w:tcPr>
          <w:p w14:paraId="48BF9045"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1.0</w:t>
            </w:r>
          </w:p>
          <w:p w14:paraId="780E938F"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[0.8,1.3]</w:t>
            </w:r>
          </w:p>
        </w:tc>
        <w:tc>
          <w:tcPr>
            <w:tcW w:w="1560" w:type="dxa"/>
            <w:shd w:val="clear" w:color="auto" w:fill="auto"/>
          </w:tcPr>
          <w:p w14:paraId="623FD5C0" w14:textId="77777777" w:rsidR="00C12188"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1.0</w:t>
            </w:r>
          </w:p>
          <w:p w14:paraId="45F809E1" w14:textId="77777777" w:rsidR="00C12188" w:rsidRPr="009E234D" w:rsidRDefault="00C12188" w:rsidP="00EE0DF6">
            <w:pPr>
              <w:pStyle w:val="NoSpacing"/>
              <w:jc w:val="center"/>
              <w:cnfStyle w:val="000000000000" w:firstRow="0" w:lastRow="0" w:firstColumn="0" w:lastColumn="0" w:oddVBand="0" w:evenVBand="0" w:oddHBand="0" w:evenHBand="0" w:firstRowFirstColumn="0" w:firstRowLastColumn="0" w:lastRowFirstColumn="0" w:lastRowLastColumn="0"/>
            </w:pPr>
            <w:r>
              <w:t>[0.8,1.3]</w:t>
            </w:r>
          </w:p>
        </w:tc>
      </w:tr>
      <w:tr w:rsidR="00C12188" w:rsidRPr="009E234D" w14:paraId="0DC4516F" w14:textId="77777777" w:rsidTr="00EE0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1" w:type="dxa"/>
            <w:gridSpan w:val="2"/>
            <w:tcBorders>
              <w:bottom w:val="single" w:sz="4" w:space="0" w:color="auto"/>
            </w:tcBorders>
            <w:shd w:val="clear" w:color="auto" w:fill="auto"/>
            <w:vAlign w:val="center"/>
            <w:hideMark/>
          </w:tcPr>
          <w:p w14:paraId="2BC0C8E0" w14:textId="77777777" w:rsidR="00C12188" w:rsidRPr="009E234D" w:rsidRDefault="00C12188" w:rsidP="00EE0DF6">
            <w:pPr>
              <w:pStyle w:val="NoSpacing"/>
            </w:pPr>
            <w:r w:rsidRPr="009E234D">
              <w:t>HFRS (246)</w:t>
            </w:r>
          </w:p>
        </w:tc>
        <w:tc>
          <w:tcPr>
            <w:tcW w:w="1384" w:type="dxa"/>
            <w:gridSpan w:val="2"/>
            <w:tcBorders>
              <w:bottom w:val="single" w:sz="4" w:space="0" w:color="auto"/>
            </w:tcBorders>
            <w:shd w:val="clear" w:color="auto" w:fill="auto"/>
            <w:hideMark/>
          </w:tcPr>
          <w:p w14:paraId="1DE70FB2"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53.1 (47.2)</w:t>
            </w:r>
          </w:p>
        </w:tc>
        <w:tc>
          <w:tcPr>
            <w:tcW w:w="1417" w:type="dxa"/>
            <w:gridSpan w:val="2"/>
            <w:tcBorders>
              <w:bottom w:val="single" w:sz="4" w:space="0" w:color="auto"/>
            </w:tcBorders>
            <w:shd w:val="clear" w:color="auto" w:fill="auto"/>
            <w:hideMark/>
          </w:tcPr>
          <w:p w14:paraId="4451DCBB"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rsidRPr="009E234D">
              <w:t>65.2 (45.3)</w:t>
            </w:r>
          </w:p>
        </w:tc>
        <w:tc>
          <w:tcPr>
            <w:tcW w:w="1560" w:type="dxa"/>
            <w:gridSpan w:val="2"/>
            <w:tcBorders>
              <w:bottom w:val="single" w:sz="4" w:space="0" w:color="auto"/>
            </w:tcBorders>
            <w:shd w:val="clear" w:color="auto" w:fill="auto"/>
            <w:vAlign w:val="center"/>
          </w:tcPr>
          <w:p w14:paraId="138DCD33"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1.2*</w:t>
            </w:r>
          </w:p>
          <w:p w14:paraId="4205DA25"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[1.0,1.5]</w:t>
            </w:r>
          </w:p>
        </w:tc>
        <w:tc>
          <w:tcPr>
            <w:tcW w:w="1560" w:type="dxa"/>
            <w:tcBorders>
              <w:bottom w:val="single" w:sz="4" w:space="0" w:color="auto"/>
            </w:tcBorders>
            <w:shd w:val="clear" w:color="auto" w:fill="auto"/>
          </w:tcPr>
          <w:p w14:paraId="758E9541" w14:textId="77777777" w:rsidR="00C12188"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1.2</w:t>
            </w:r>
          </w:p>
          <w:p w14:paraId="7A00DA51" w14:textId="77777777" w:rsidR="00C12188" w:rsidRPr="009E234D" w:rsidRDefault="00C12188" w:rsidP="00EE0DF6">
            <w:pPr>
              <w:pStyle w:val="NoSpacing"/>
              <w:jc w:val="center"/>
              <w:cnfStyle w:val="000000100000" w:firstRow="0" w:lastRow="0" w:firstColumn="0" w:lastColumn="0" w:oddVBand="0" w:evenVBand="0" w:oddHBand="1" w:evenHBand="0" w:firstRowFirstColumn="0" w:firstRowLastColumn="0" w:lastRowFirstColumn="0" w:lastRowLastColumn="0"/>
            </w:pPr>
            <w:r>
              <w:t>[1.0,1.5]</w:t>
            </w:r>
          </w:p>
        </w:tc>
      </w:tr>
      <w:tr w:rsidR="00C12188" w:rsidRPr="009E234D" w14:paraId="0FB1B722" w14:textId="77777777" w:rsidTr="00EE0DF6">
        <w:trPr>
          <w:trHeight w:val="20"/>
          <w:jc w:val="center"/>
        </w:trPr>
        <w:tc>
          <w:tcPr>
            <w:cnfStyle w:val="001000000000" w:firstRow="0" w:lastRow="0" w:firstColumn="1" w:lastColumn="0" w:oddVBand="0" w:evenVBand="0" w:oddHBand="0" w:evenHBand="0" w:firstRowFirstColumn="0" w:firstRowLastColumn="0" w:lastRowFirstColumn="0" w:lastRowLastColumn="0"/>
            <w:tcW w:w="8472" w:type="dxa"/>
            <w:gridSpan w:val="9"/>
            <w:tcBorders>
              <w:top w:val="single" w:sz="4" w:space="0" w:color="auto"/>
              <w:bottom w:val="nil"/>
            </w:tcBorders>
            <w:shd w:val="clear" w:color="auto" w:fill="auto"/>
            <w:vAlign w:val="center"/>
          </w:tcPr>
          <w:p w14:paraId="3F74DA7A" w14:textId="77777777" w:rsidR="00C12188" w:rsidRPr="005721B3" w:rsidRDefault="00C12188" w:rsidP="00EE0DF6">
            <w:pPr>
              <w:rPr>
                <w:rFonts w:eastAsia="Calibri"/>
                <w:b w:val="0"/>
                <w:sz w:val="20"/>
                <w:szCs w:val="20"/>
              </w:rPr>
            </w:pPr>
            <w:r w:rsidRPr="005721B3">
              <w:rPr>
                <w:rFonts w:eastAsia="Calibri"/>
                <w:b w:val="0"/>
                <w:sz w:val="20"/>
                <w:szCs w:val="20"/>
              </w:rPr>
              <w:t>SD = Standard Deviation</w:t>
            </w:r>
          </w:p>
          <w:p w14:paraId="00EE5B48" w14:textId="77777777" w:rsidR="00C12188" w:rsidRPr="005721B3" w:rsidRDefault="00C12188" w:rsidP="00EE0DF6">
            <w:pPr>
              <w:rPr>
                <w:rFonts w:eastAsia="Calibri"/>
                <w:b w:val="0"/>
                <w:sz w:val="20"/>
                <w:szCs w:val="20"/>
              </w:rPr>
            </w:pPr>
            <w:r w:rsidRPr="005721B3">
              <w:rPr>
                <w:rFonts w:eastAsia="Calibri"/>
                <w:b w:val="0"/>
                <w:sz w:val="20"/>
                <w:szCs w:val="20"/>
              </w:rPr>
              <w:t>*Statistically significant at 5% level (p&lt;0.05)</w:t>
            </w:r>
          </w:p>
          <w:p w14:paraId="53308E48" w14:textId="77777777" w:rsidR="00C12188" w:rsidRPr="005721B3" w:rsidRDefault="00C12188" w:rsidP="00EE0DF6">
            <w:pPr>
              <w:rPr>
                <w:b w:val="0"/>
                <w:sz w:val="20"/>
                <w:szCs w:val="20"/>
              </w:rPr>
            </w:pPr>
            <w:r w:rsidRPr="005721B3">
              <w:rPr>
                <w:rFonts w:eastAsia="Calibri"/>
                <w:b w:val="0"/>
                <w:sz w:val="20"/>
                <w:szCs w:val="20"/>
              </w:rPr>
              <w:t>**Statistically significant at 0.1% level (p&lt;0.001)</w:t>
            </w:r>
          </w:p>
          <w:p w14:paraId="08CF31AF" w14:textId="77777777" w:rsidR="00C12188" w:rsidRPr="005721B3" w:rsidRDefault="00C12188" w:rsidP="00EE0DF6">
            <w:pPr>
              <w:pStyle w:val="NoSpacing"/>
              <w:jc w:val="center"/>
              <w:rPr>
                <w:b w:val="0"/>
              </w:rPr>
            </w:pPr>
          </w:p>
        </w:tc>
      </w:tr>
    </w:tbl>
    <w:p w14:paraId="2FCB3B71" w14:textId="77777777" w:rsidR="00C12188" w:rsidRDefault="00C12188" w:rsidP="00C12188"/>
    <w:p w14:paraId="237DD468" w14:textId="77777777" w:rsidR="00C12188" w:rsidRDefault="00C12188" w:rsidP="00314EB5">
      <w:pPr>
        <w:spacing w:after="0"/>
        <w:rPr>
          <w:i/>
        </w:rPr>
      </w:pPr>
    </w:p>
    <w:p w14:paraId="4060B850" w14:textId="77777777" w:rsidR="00314EB5" w:rsidRPr="00314EB5" w:rsidRDefault="00314EB5" w:rsidP="00314EB5"/>
    <w:sectPr w:rsidR="00314EB5" w:rsidRPr="00314EB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72CACE" w16cid:durableId="2012F933"/>
  <w16cid:commentId w16cid:paraId="3BEC95A9" w16cid:durableId="2012F934"/>
  <w16cid:commentId w16cid:paraId="306A594E" w16cid:durableId="2012F935"/>
  <w16cid:commentId w16cid:paraId="0D19778F" w16cid:durableId="2012F936"/>
  <w16cid:commentId w16cid:paraId="6601EB82" w16cid:durableId="2012F937"/>
  <w16cid:commentId w16cid:paraId="5C3D72D8" w16cid:durableId="2012F938"/>
  <w16cid:commentId w16cid:paraId="7C7DAC7A" w16cid:durableId="2012F939"/>
  <w16cid:commentId w16cid:paraId="2A0B4BF5" w16cid:durableId="2012F93A"/>
  <w16cid:commentId w16cid:paraId="65314A48" w16cid:durableId="2012F93B"/>
  <w16cid:commentId w16cid:paraId="59D2D437" w16cid:durableId="2012F93C"/>
  <w16cid:commentId w16cid:paraId="3D9AEA40" w16cid:durableId="2012F93D"/>
  <w16cid:commentId w16cid:paraId="60093925" w16cid:durableId="2012F93E"/>
  <w16cid:commentId w16cid:paraId="358CEC78" w16cid:durableId="201308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F526C" w14:textId="77777777" w:rsidR="0076398C" w:rsidRDefault="0076398C" w:rsidP="007D6317">
      <w:pPr>
        <w:spacing w:after="0" w:line="240" w:lineRule="auto"/>
      </w:pPr>
      <w:r>
        <w:separator/>
      </w:r>
    </w:p>
  </w:endnote>
  <w:endnote w:type="continuationSeparator" w:id="0">
    <w:p w14:paraId="5C72061F" w14:textId="77777777" w:rsidR="0076398C" w:rsidRDefault="0076398C" w:rsidP="007D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A0261" w14:textId="0BA3CAC4" w:rsidR="0076398C" w:rsidRDefault="0076398C">
    <w:pPr>
      <w:pStyle w:val="Footer"/>
      <w:jc w:val="right"/>
    </w:pPr>
  </w:p>
  <w:p w14:paraId="0A7A1C2F" w14:textId="77777777" w:rsidR="0076398C" w:rsidRDefault="00763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9BADC" w14:textId="77777777" w:rsidR="0076398C" w:rsidRDefault="0076398C" w:rsidP="007D6317">
      <w:pPr>
        <w:spacing w:after="0" w:line="240" w:lineRule="auto"/>
      </w:pPr>
      <w:r>
        <w:separator/>
      </w:r>
    </w:p>
  </w:footnote>
  <w:footnote w:type="continuationSeparator" w:id="0">
    <w:p w14:paraId="69DDCB7C" w14:textId="77777777" w:rsidR="0076398C" w:rsidRDefault="0076398C" w:rsidP="007D6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D67"/>
    <w:multiLevelType w:val="hybridMultilevel"/>
    <w:tmpl w:val="92566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03751D"/>
    <w:multiLevelType w:val="hybridMultilevel"/>
    <w:tmpl w:val="A6C8C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27D7EF8"/>
    <w:multiLevelType w:val="hybridMultilevel"/>
    <w:tmpl w:val="78D29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E4B2B82"/>
    <w:multiLevelType w:val="hybridMultilevel"/>
    <w:tmpl w:val="AF4A5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80C53BF"/>
    <w:multiLevelType w:val="hybridMultilevel"/>
    <w:tmpl w:val="0BC01CC0"/>
    <w:lvl w:ilvl="0" w:tplc="0809000F">
      <w:start w:val="1"/>
      <w:numFmt w:val="decimal"/>
      <w:lvlText w:val="%1."/>
      <w:lvlJc w:val="left"/>
      <w:pPr>
        <w:ind w:left="760" w:hanging="360"/>
      </w:pPr>
    </w:lvl>
    <w:lvl w:ilvl="1" w:tplc="08090019">
      <w:start w:val="1"/>
      <w:numFmt w:val="lowerLetter"/>
      <w:lvlText w:val="%2."/>
      <w:lvlJc w:val="left"/>
      <w:pPr>
        <w:ind w:left="1480" w:hanging="360"/>
      </w:pPr>
    </w:lvl>
    <w:lvl w:ilvl="2" w:tplc="0809001B">
      <w:start w:val="1"/>
      <w:numFmt w:val="lowerRoman"/>
      <w:lvlText w:val="%3."/>
      <w:lvlJc w:val="right"/>
      <w:pPr>
        <w:ind w:left="2200" w:hanging="180"/>
      </w:pPr>
    </w:lvl>
    <w:lvl w:ilvl="3" w:tplc="0809000F">
      <w:start w:val="1"/>
      <w:numFmt w:val="decimal"/>
      <w:lvlText w:val="%4."/>
      <w:lvlJc w:val="left"/>
      <w:pPr>
        <w:ind w:left="2920" w:hanging="360"/>
      </w:pPr>
    </w:lvl>
    <w:lvl w:ilvl="4" w:tplc="08090019">
      <w:start w:val="1"/>
      <w:numFmt w:val="lowerLetter"/>
      <w:lvlText w:val="%5."/>
      <w:lvlJc w:val="left"/>
      <w:pPr>
        <w:ind w:left="3640" w:hanging="360"/>
      </w:pPr>
    </w:lvl>
    <w:lvl w:ilvl="5" w:tplc="0809001B">
      <w:start w:val="1"/>
      <w:numFmt w:val="lowerRoman"/>
      <w:lvlText w:val="%6."/>
      <w:lvlJc w:val="right"/>
      <w:pPr>
        <w:ind w:left="4360" w:hanging="180"/>
      </w:pPr>
    </w:lvl>
    <w:lvl w:ilvl="6" w:tplc="0809000F">
      <w:start w:val="1"/>
      <w:numFmt w:val="decimal"/>
      <w:lvlText w:val="%7."/>
      <w:lvlJc w:val="left"/>
      <w:pPr>
        <w:ind w:left="5080" w:hanging="360"/>
      </w:pPr>
    </w:lvl>
    <w:lvl w:ilvl="7" w:tplc="08090019">
      <w:start w:val="1"/>
      <w:numFmt w:val="lowerLetter"/>
      <w:lvlText w:val="%8."/>
      <w:lvlJc w:val="left"/>
      <w:pPr>
        <w:ind w:left="5800" w:hanging="360"/>
      </w:pPr>
    </w:lvl>
    <w:lvl w:ilvl="8" w:tplc="0809001B">
      <w:start w:val="1"/>
      <w:numFmt w:val="lowerRoman"/>
      <w:lvlText w:val="%9."/>
      <w:lvlJc w:val="right"/>
      <w:pPr>
        <w:ind w:left="6520" w:hanging="180"/>
      </w:pPr>
    </w:lvl>
  </w:abstractNum>
  <w:abstractNum w:abstractNumId="5">
    <w:nsid w:val="3C4D19A8"/>
    <w:multiLevelType w:val="hybridMultilevel"/>
    <w:tmpl w:val="E99A5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A723D9D"/>
    <w:multiLevelType w:val="hybridMultilevel"/>
    <w:tmpl w:val="FC9E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DD308EA"/>
    <w:multiLevelType w:val="hybridMultilevel"/>
    <w:tmpl w:val="4320B0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6BD7EF2"/>
    <w:multiLevelType w:val="hybridMultilevel"/>
    <w:tmpl w:val="DB40C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D295A3A"/>
    <w:multiLevelType w:val="hybridMultilevel"/>
    <w:tmpl w:val="75967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EBE1418"/>
    <w:multiLevelType w:val="hybridMultilevel"/>
    <w:tmpl w:val="14009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9"/>
  </w:num>
  <w:num w:numId="4">
    <w:abstractNumId w:val="3"/>
  </w:num>
  <w:num w:numId="5">
    <w:abstractNumId w:val="5"/>
  </w:num>
  <w:num w:numId="6">
    <w:abstractNumId w:val="0"/>
  </w:num>
  <w:num w:numId="7">
    <w:abstractNumId w:val="8"/>
  </w:num>
  <w:num w:numId="8">
    <w:abstractNumId w:val="1"/>
  </w:num>
  <w:num w:numId="9">
    <w:abstractNumId w:val="10"/>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5ada52fwzzflexpwcv0awr0ptttxa9frxe&quot;&gt;My EndNote Library&lt;record-ids&gt;&lt;item&gt;1561&lt;/item&gt;&lt;item&gt;2622&lt;/item&gt;&lt;item&gt;2920&lt;/item&gt;&lt;item&gt;2999&lt;/item&gt;&lt;item&gt;3471&lt;/item&gt;&lt;item&gt;3529&lt;/item&gt;&lt;item&gt;3711&lt;/item&gt;&lt;item&gt;3722&lt;/item&gt;&lt;item&gt;3941&lt;/item&gt;&lt;item&gt;3973&lt;/item&gt;&lt;item&gt;3982&lt;/item&gt;&lt;item&gt;4003&lt;/item&gt;&lt;item&gt;4034&lt;/item&gt;&lt;item&gt;4054&lt;/item&gt;&lt;item&gt;4095&lt;/item&gt;&lt;item&gt;4759&lt;/item&gt;&lt;item&gt;4767&lt;/item&gt;&lt;item&gt;4832&lt;/item&gt;&lt;item&gt;4836&lt;/item&gt;&lt;item&gt;4837&lt;/item&gt;&lt;item&gt;5000&lt;/item&gt;&lt;/record-ids&gt;&lt;/item&gt;&lt;/Libraries&gt;"/>
  </w:docVars>
  <w:rsids>
    <w:rsidRoot w:val="00853C91"/>
    <w:rsid w:val="0000159E"/>
    <w:rsid w:val="000064FB"/>
    <w:rsid w:val="000111F1"/>
    <w:rsid w:val="000145DD"/>
    <w:rsid w:val="00015B13"/>
    <w:rsid w:val="00020F5F"/>
    <w:rsid w:val="000213C5"/>
    <w:rsid w:val="0002554B"/>
    <w:rsid w:val="00030112"/>
    <w:rsid w:val="00034A17"/>
    <w:rsid w:val="00044983"/>
    <w:rsid w:val="00046167"/>
    <w:rsid w:val="00054353"/>
    <w:rsid w:val="000545B8"/>
    <w:rsid w:val="000562D2"/>
    <w:rsid w:val="00060C38"/>
    <w:rsid w:val="000756B4"/>
    <w:rsid w:val="00075C44"/>
    <w:rsid w:val="00080B0D"/>
    <w:rsid w:val="0008185A"/>
    <w:rsid w:val="000878B5"/>
    <w:rsid w:val="00092538"/>
    <w:rsid w:val="000933EC"/>
    <w:rsid w:val="000957F2"/>
    <w:rsid w:val="000A04DA"/>
    <w:rsid w:val="000A71AA"/>
    <w:rsid w:val="000B0E72"/>
    <w:rsid w:val="000B1064"/>
    <w:rsid w:val="000B3195"/>
    <w:rsid w:val="000C25F5"/>
    <w:rsid w:val="000C2E58"/>
    <w:rsid w:val="000C31DE"/>
    <w:rsid w:val="000C50EC"/>
    <w:rsid w:val="000C52BB"/>
    <w:rsid w:val="000C6CBA"/>
    <w:rsid w:val="000C7535"/>
    <w:rsid w:val="000D70BA"/>
    <w:rsid w:val="000D7DA9"/>
    <w:rsid w:val="000E71DD"/>
    <w:rsid w:val="000F0047"/>
    <w:rsid w:val="000F562B"/>
    <w:rsid w:val="000F6D91"/>
    <w:rsid w:val="000F78FC"/>
    <w:rsid w:val="00106BEB"/>
    <w:rsid w:val="00113438"/>
    <w:rsid w:val="0012075A"/>
    <w:rsid w:val="00120866"/>
    <w:rsid w:val="0012217B"/>
    <w:rsid w:val="00123A8B"/>
    <w:rsid w:val="0012462C"/>
    <w:rsid w:val="001246D7"/>
    <w:rsid w:val="00124E98"/>
    <w:rsid w:val="00125682"/>
    <w:rsid w:val="00126DF5"/>
    <w:rsid w:val="00134704"/>
    <w:rsid w:val="00141687"/>
    <w:rsid w:val="00146E58"/>
    <w:rsid w:val="00153E80"/>
    <w:rsid w:val="00157E4C"/>
    <w:rsid w:val="00163900"/>
    <w:rsid w:val="001653C3"/>
    <w:rsid w:val="001654FF"/>
    <w:rsid w:val="001666DF"/>
    <w:rsid w:val="00180496"/>
    <w:rsid w:val="00181EF4"/>
    <w:rsid w:val="00187EFA"/>
    <w:rsid w:val="00191966"/>
    <w:rsid w:val="0019312E"/>
    <w:rsid w:val="00193670"/>
    <w:rsid w:val="0019608C"/>
    <w:rsid w:val="001A133B"/>
    <w:rsid w:val="001A24D7"/>
    <w:rsid w:val="001A348B"/>
    <w:rsid w:val="001A4240"/>
    <w:rsid w:val="001A43F7"/>
    <w:rsid w:val="001B11CE"/>
    <w:rsid w:val="001B1A02"/>
    <w:rsid w:val="001B1D1F"/>
    <w:rsid w:val="001B5D1B"/>
    <w:rsid w:val="001B7604"/>
    <w:rsid w:val="001C1D68"/>
    <w:rsid w:val="001C4B67"/>
    <w:rsid w:val="001C73A3"/>
    <w:rsid w:val="001D1D7F"/>
    <w:rsid w:val="001D4C2E"/>
    <w:rsid w:val="001E1B72"/>
    <w:rsid w:val="001E5DE3"/>
    <w:rsid w:val="001F18FA"/>
    <w:rsid w:val="001F39EA"/>
    <w:rsid w:val="001F5610"/>
    <w:rsid w:val="001F7029"/>
    <w:rsid w:val="00201A56"/>
    <w:rsid w:val="00201F58"/>
    <w:rsid w:val="00205204"/>
    <w:rsid w:val="00206145"/>
    <w:rsid w:val="00210403"/>
    <w:rsid w:val="00217D85"/>
    <w:rsid w:val="002220F6"/>
    <w:rsid w:val="0022635C"/>
    <w:rsid w:val="00230BB0"/>
    <w:rsid w:val="002325B6"/>
    <w:rsid w:val="00234CA0"/>
    <w:rsid w:val="00236D76"/>
    <w:rsid w:val="00240F52"/>
    <w:rsid w:val="00240F70"/>
    <w:rsid w:val="0024600B"/>
    <w:rsid w:val="00246813"/>
    <w:rsid w:val="00256B01"/>
    <w:rsid w:val="00256DB7"/>
    <w:rsid w:val="00262995"/>
    <w:rsid w:val="00262C37"/>
    <w:rsid w:val="00263C82"/>
    <w:rsid w:val="0026445D"/>
    <w:rsid w:val="00265CD8"/>
    <w:rsid w:val="002747BF"/>
    <w:rsid w:val="002754EA"/>
    <w:rsid w:val="002756BE"/>
    <w:rsid w:val="00276131"/>
    <w:rsid w:val="00284D61"/>
    <w:rsid w:val="0029231D"/>
    <w:rsid w:val="00295729"/>
    <w:rsid w:val="00295A8F"/>
    <w:rsid w:val="00295AE0"/>
    <w:rsid w:val="00296D4A"/>
    <w:rsid w:val="002A1C4C"/>
    <w:rsid w:val="002A2513"/>
    <w:rsid w:val="002A6293"/>
    <w:rsid w:val="002A673F"/>
    <w:rsid w:val="002A7E05"/>
    <w:rsid w:val="002B06FB"/>
    <w:rsid w:val="002B423F"/>
    <w:rsid w:val="002B48E4"/>
    <w:rsid w:val="002B7D8F"/>
    <w:rsid w:val="002C0713"/>
    <w:rsid w:val="002C2FE4"/>
    <w:rsid w:val="002C4F03"/>
    <w:rsid w:val="002D2B64"/>
    <w:rsid w:val="002D37CB"/>
    <w:rsid w:val="002D5435"/>
    <w:rsid w:val="002D6006"/>
    <w:rsid w:val="002D6549"/>
    <w:rsid w:val="002E56DD"/>
    <w:rsid w:val="002F0F69"/>
    <w:rsid w:val="002F3EBB"/>
    <w:rsid w:val="002F59FB"/>
    <w:rsid w:val="002F5B24"/>
    <w:rsid w:val="002F6A63"/>
    <w:rsid w:val="002F7D7E"/>
    <w:rsid w:val="00301DD8"/>
    <w:rsid w:val="00303FFD"/>
    <w:rsid w:val="00305FA1"/>
    <w:rsid w:val="003075AF"/>
    <w:rsid w:val="00314283"/>
    <w:rsid w:val="00314EB5"/>
    <w:rsid w:val="003250AD"/>
    <w:rsid w:val="00332513"/>
    <w:rsid w:val="00334631"/>
    <w:rsid w:val="00342151"/>
    <w:rsid w:val="00343FF4"/>
    <w:rsid w:val="00344822"/>
    <w:rsid w:val="00344AA7"/>
    <w:rsid w:val="003461A8"/>
    <w:rsid w:val="003472D5"/>
    <w:rsid w:val="003473BC"/>
    <w:rsid w:val="003524E4"/>
    <w:rsid w:val="003554F0"/>
    <w:rsid w:val="00355E81"/>
    <w:rsid w:val="0036065D"/>
    <w:rsid w:val="003620C7"/>
    <w:rsid w:val="003620E9"/>
    <w:rsid w:val="003629D2"/>
    <w:rsid w:val="00363304"/>
    <w:rsid w:val="0037076F"/>
    <w:rsid w:val="00371CFB"/>
    <w:rsid w:val="003726E2"/>
    <w:rsid w:val="00373C1D"/>
    <w:rsid w:val="00373FEC"/>
    <w:rsid w:val="00374E39"/>
    <w:rsid w:val="0038035F"/>
    <w:rsid w:val="00380476"/>
    <w:rsid w:val="003826E4"/>
    <w:rsid w:val="003828AD"/>
    <w:rsid w:val="00386A5F"/>
    <w:rsid w:val="003923D0"/>
    <w:rsid w:val="00396498"/>
    <w:rsid w:val="003A207A"/>
    <w:rsid w:val="003A27B3"/>
    <w:rsid w:val="003A2A15"/>
    <w:rsid w:val="003A2DA9"/>
    <w:rsid w:val="003A46AC"/>
    <w:rsid w:val="003A6D26"/>
    <w:rsid w:val="003B35A7"/>
    <w:rsid w:val="003B604F"/>
    <w:rsid w:val="003B7037"/>
    <w:rsid w:val="003C2343"/>
    <w:rsid w:val="003C253D"/>
    <w:rsid w:val="003C2A09"/>
    <w:rsid w:val="003C32CD"/>
    <w:rsid w:val="003C5332"/>
    <w:rsid w:val="003C591D"/>
    <w:rsid w:val="003C72AE"/>
    <w:rsid w:val="003E1C0B"/>
    <w:rsid w:val="003E1D73"/>
    <w:rsid w:val="003E4327"/>
    <w:rsid w:val="003E57C8"/>
    <w:rsid w:val="003E5F41"/>
    <w:rsid w:val="003F39DF"/>
    <w:rsid w:val="003F5D49"/>
    <w:rsid w:val="00404121"/>
    <w:rsid w:val="00405BDD"/>
    <w:rsid w:val="004062AF"/>
    <w:rsid w:val="004100DF"/>
    <w:rsid w:val="0041633F"/>
    <w:rsid w:val="004201A0"/>
    <w:rsid w:val="00425290"/>
    <w:rsid w:val="004313C0"/>
    <w:rsid w:val="00432DC4"/>
    <w:rsid w:val="00434EA4"/>
    <w:rsid w:val="00435DB5"/>
    <w:rsid w:val="00436A3D"/>
    <w:rsid w:val="00437AE1"/>
    <w:rsid w:val="004423DD"/>
    <w:rsid w:val="004512D6"/>
    <w:rsid w:val="00460173"/>
    <w:rsid w:val="00460A02"/>
    <w:rsid w:val="00460E35"/>
    <w:rsid w:val="00462359"/>
    <w:rsid w:val="00466B46"/>
    <w:rsid w:val="004712EC"/>
    <w:rsid w:val="00473A0C"/>
    <w:rsid w:val="00473EE4"/>
    <w:rsid w:val="0047499C"/>
    <w:rsid w:val="00474B6E"/>
    <w:rsid w:val="00482887"/>
    <w:rsid w:val="00486563"/>
    <w:rsid w:val="004928B5"/>
    <w:rsid w:val="00492DC0"/>
    <w:rsid w:val="004A18FA"/>
    <w:rsid w:val="004A3CB4"/>
    <w:rsid w:val="004B4143"/>
    <w:rsid w:val="004C3309"/>
    <w:rsid w:val="004D133C"/>
    <w:rsid w:val="004D627B"/>
    <w:rsid w:val="004D7982"/>
    <w:rsid w:val="004E3C31"/>
    <w:rsid w:val="004E41C1"/>
    <w:rsid w:val="004E4F38"/>
    <w:rsid w:val="004F66F4"/>
    <w:rsid w:val="004F7849"/>
    <w:rsid w:val="005031BA"/>
    <w:rsid w:val="00513A6A"/>
    <w:rsid w:val="00514992"/>
    <w:rsid w:val="005263A6"/>
    <w:rsid w:val="005304CE"/>
    <w:rsid w:val="00534FC8"/>
    <w:rsid w:val="005356CC"/>
    <w:rsid w:val="005408C4"/>
    <w:rsid w:val="00545B73"/>
    <w:rsid w:val="00551E9E"/>
    <w:rsid w:val="00552C06"/>
    <w:rsid w:val="00556C84"/>
    <w:rsid w:val="005624EA"/>
    <w:rsid w:val="005636AF"/>
    <w:rsid w:val="00565F03"/>
    <w:rsid w:val="00565F9D"/>
    <w:rsid w:val="005675CF"/>
    <w:rsid w:val="00570604"/>
    <w:rsid w:val="00572648"/>
    <w:rsid w:val="005752C8"/>
    <w:rsid w:val="00583B29"/>
    <w:rsid w:val="005850AD"/>
    <w:rsid w:val="00585E23"/>
    <w:rsid w:val="005944B1"/>
    <w:rsid w:val="00594A14"/>
    <w:rsid w:val="00595E78"/>
    <w:rsid w:val="005A1808"/>
    <w:rsid w:val="005A6A25"/>
    <w:rsid w:val="005A7492"/>
    <w:rsid w:val="005B0916"/>
    <w:rsid w:val="005B13D8"/>
    <w:rsid w:val="005B3579"/>
    <w:rsid w:val="005B70DA"/>
    <w:rsid w:val="005C5631"/>
    <w:rsid w:val="005C5718"/>
    <w:rsid w:val="005D18F6"/>
    <w:rsid w:val="005D3D38"/>
    <w:rsid w:val="005D4EB9"/>
    <w:rsid w:val="005D6201"/>
    <w:rsid w:val="005D6749"/>
    <w:rsid w:val="005E281C"/>
    <w:rsid w:val="005E3325"/>
    <w:rsid w:val="005E6CEC"/>
    <w:rsid w:val="005E7BE1"/>
    <w:rsid w:val="00606069"/>
    <w:rsid w:val="00614447"/>
    <w:rsid w:val="00615392"/>
    <w:rsid w:val="006172D5"/>
    <w:rsid w:val="00621358"/>
    <w:rsid w:val="0062213C"/>
    <w:rsid w:val="00627829"/>
    <w:rsid w:val="00627AB1"/>
    <w:rsid w:val="00630DB1"/>
    <w:rsid w:val="006318D9"/>
    <w:rsid w:val="006324BC"/>
    <w:rsid w:val="006325F6"/>
    <w:rsid w:val="00633CC4"/>
    <w:rsid w:val="006354B1"/>
    <w:rsid w:val="0063685A"/>
    <w:rsid w:val="006378FF"/>
    <w:rsid w:val="00642373"/>
    <w:rsid w:val="0064615B"/>
    <w:rsid w:val="00646D5B"/>
    <w:rsid w:val="00651953"/>
    <w:rsid w:val="006602A5"/>
    <w:rsid w:val="00661071"/>
    <w:rsid w:val="00675DE2"/>
    <w:rsid w:val="00676D31"/>
    <w:rsid w:val="00676DFE"/>
    <w:rsid w:val="00680269"/>
    <w:rsid w:val="0068319C"/>
    <w:rsid w:val="006833B3"/>
    <w:rsid w:val="00683A73"/>
    <w:rsid w:val="0068480E"/>
    <w:rsid w:val="00685E49"/>
    <w:rsid w:val="006879B1"/>
    <w:rsid w:val="00697121"/>
    <w:rsid w:val="00697D4F"/>
    <w:rsid w:val="006A22D4"/>
    <w:rsid w:val="006A46FC"/>
    <w:rsid w:val="006A5B72"/>
    <w:rsid w:val="006A7E7B"/>
    <w:rsid w:val="006B252A"/>
    <w:rsid w:val="006B5D62"/>
    <w:rsid w:val="006C1FF4"/>
    <w:rsid w:val="006C2F3D"/>
    <w:rsid w:val="006C5D61"/>
    <w:rsid w:val="006D31DE"/>
    <w:rsid w:val="006D38D0"/>
    <w:rsid w:val="006D66E8"/>
    <w:rsid w:val="006E2990"/>
    <w:rsid w:val="006E33EA"/>
    <w:rsid w:val="006F1E65"/>
    <w:rsid w:val="006F5B36"/>
    <w:rsid w:val="0070221F"/>
    <w:rsid w:val="0070397F"/>
    <w:rsid w:val="0070553F"/>
    <w:rsid w:val="00711725"/>
    <w:rsid w:val="00712068"/>
    <w:rsid w:val="00720BA4"/>
    <w:rsid w:val="007221B5"/>
    <w:rsid w:val="007221FD"/>
    <w:rsid w:val="00726B5E"/>
    <w:rsid w:val="007274C6"/>
    <w:rsid w:val="007324FA"/>
    <w:rsid w:val="007357FE"/>
    <w:rsid w:val="00735F65"/>
    <w:rsid w:val="0073635F"/>
    <w:rsid w:val="00740213"/>
    <w:rsid w:val="007435C4"/>
    <w:rsid w:val="00743F59"/>
    <w:rsid w:val="0074624E"/>
    <w:rsid w:val="0074787F"/>
    <w:rsid w:val="00750697"/>
    <w:rsid w:val="00754045"/>
    <w:rsid w:val="0075612F"/>
    <w:rsid w:val="007564CB"/>
    <w:rsid w:val="00762A67"/>
    <w:rsid w:val="00762A68"/>
    <w:rsid w:val="0076398C"/>
    <w:rsid w:val="00765874"/>
    <w:rsid w:val="00772B9F"/>
    <w:rsid w:val="007750C3"/>
    <w:rsid w:val="007775F5"/>
    <w:rsid w:val="00781449"/>
    <w:rsid w:val="0078445A"/>
    <w:rsid w:val="00785FFF"/>
    <w:rsid w:val="00787320"/>
    <w:rsid w:val="0079293C"/>
    <w:rsid w:val="007947D8"/>
    <w:rsid w:val="00795781"/>
    <w:rsid w:val="007A0722"/>
    <w:rsid w:val="007A6544"/>
    <w:rsid w:val="007A66D5"/>
    <w:rsid w:val="007B1A97"/>
    <w:rsid w:val="007B21D8"/>
    <w:rsid w:val="007B360D"/>
    <w:rsid w:val="007C210A"/>
    <w:rsid w:val="007C55BD"/>
    <w:rsid w:val="007C6C78"/>
    <w:rsid w:val="007C6D87"/>
    <w:rsid w:val="007C7A18"/>
    <w:rsid w:val="007D04BE"/>
    <w:rsid w:val="007D6317"/>
    <w:rsid w:val="007E0596"/>
    <w:rsid w:val="007E4B53"/>
    <w:rsid w:val="007F0FE9"/>
    <w:rsid w:val="007F101E"/>
    <w:rsid w:val="007F20D5"/>
    <w:rsid w:val="007F2603"/>
    <w:rsid w:val="007F2BAB"/>
    <w:rsid w:val="007F5175"/>
    <w:rsid w:val="007F757D"/>
    <w:rsid w:val="007F7D12"/>
    <w:rsid w:val="00805919"/>
    <w:rsid w:val="00806D92"/>
    <w:rsid w:val="00813A20"/>
    <w:rsid w:val="008142CB"/>
    <w:rsid w:val="0081483D"/>
    <w:rsid w:val="00822DF3"/>
    <w:rsid w:val="0082723B"/>
    <w:rsid w:val="00832683"/>
    <w:rsid w:val="008326A3"/>
    <w:rsid w:val="0083286E"/>
    <w:rsid w:val="00846584"/>
    <w:rsid w:val="00852080"/>
    <w:rsid w:val="00853C91"/>
    <w:rsid w:val="00854C30"/>
    <w:rsid w:val="008550B0"/>
    <w:rsid w:val="008619AA"/>
    <w:rsid w:val="00866B17"/>
    <w:rsid w:val="00866FB4"/>
    <w:rsid w:val="00867C56"/>
    <w:rsid w:val="00874CED"/>
    <w:rsid w:val="00875E3B"/>
    <w:rsid w:val="00877C01"/>
    <w:rsid w:val="00880E8A"/>
    <w:rsid w:val="00881573"/>
    <w:rsid w:val="00881FE1"/>
    <w:rsid w:val="00882014"/>
    <w:rsid w:val="00885DFD"/>
    <w:rsid w:val="00892B9F"/>
    <w:rsid w:val="00894527"/>
    <w:rsid w:val="008A0B9E"/>
    <w:rsid w:val="008A70F7"/>
    <w:rsid w:val="008B1493"/>
    <w:rsid w:val="008B56A1"/>
    <w:rsid w:val="008C444E"/>
    <w:rsid w:val="008D009F"/>
    <w:rsid w:val="008D6BF8"/>
    <w:rsid w:val="008E2D74"/>
    <w:rsid w:val="008E3358"/>
    <w:rsid w:val="008E360B"/>
    <w:rsid w:val="008F3337"/>
    <w:rsid w:val="008F3E95"/>
    <w:rsid w:val="008F48E5"/>
    <w:rsid w:val="008F7A34"/>
    <w:rsid w:val="0090321F"/>
    <w:rsid w:val="0090517B"/>
    <w:rsid w:val="009054C2"/>
    <w:rsid w:val="0090770E"/>
    <w:rsid w:val="00910BE1"/>
    <w:rsid w:val="009126AE"/>
    <w:rsid w:val="00912CB1"/>
    <w:rsid w:val="00913A3B"/>
    <w:rsid w:val="009146EB"/>
    <w:rsid w:val="00924930"/>
    <w:rsid w:val="00931796"/>
    <w:rsid w:val="009327BF"/>
    <w:rsid w:val="00935E38"/>
    <w:rsid w:val="009422B0"/>
    <w:rsid w:val="0094414D"/>
    <w:rsid w:val="00946D2E"/>
    <w:rsid w:val="0095010E"/>
    <w:rsid w:val="00955F49"/>
    <w:rsid w:val="00963F94"/>
    <w:rsid w:val="009649F2"/>
    <w:rsid w:val="0096706D"/>
    <w:rsid w:val="00973A21"/>
    <w:rsid w:val="00981CE4"/>
    <w:rsid w:val="00990F24"/>
    <w:rsid w:val="00993F5F"/>
    <w:rsid w:val="00995F0E"/>
    <w:rsid w:val="00997512"/>
    <w:rsid w:val="009A158F"/>
    <w:rsid w:val="009A4F3D"/>
    <w:rsid w:val="009A5AF4"/>
    <w:rsid w:val="009A6BB5"/>
    <w:rsid w:val="009C43FE"/>
    <w:rsid w:val="009C4CB1"/>
    <w:rsid w:val="009C78C3"/>
    <w:rsid w:val="009D0B33"/>
    <w:rsid w:val="009D18A3"/>
    <w:rsid w:val="009D5C9D"/>
    <w:rsid w:val="009D5E5F"/>
    <w:rsid w:val="009D7216"/>
    <w:rsid w:val="009E14D5"/>
    <w:rsid w:val="009E1E65"/>
    <w:rsid w:val="009E234D"/>
    <w:rsid w:val="009E545E"/>
    <w:rsid w:val="009E64C8"/>
    <w:rsid w:val="009E6BC0"/>
    <w:rsid w:val="009E6C33"/>
    <w:rsid w:val="009F04CA"/>
    <w:rsid w:val="009F07E1"/>
    <w:rsid w:val="009F4ADC"/>
    <w:rsid w:val="009F66B6"/>
    <w:rsid w:val="009F75DB"/>
    <w:rsid w:val="00A01825"/>
    <w:rsid w:val="00A03B1B"/>
    <w:rsid w:val="00A03CBC"/>
    <w:rsid w:val="00A03F9D"/>
    <w:rsid w:val="00A1408B"/>
    <w:rsid w:val="00A1431E"/>
    <w:rsid w:val="00A1585F"/>
    <w:rsid w:val="00A16957"/>
    <w:rsid w:val="00A175A3"/>
    <w:rsid w:val="00A223E7"/>
    <w:rsid w:val="00A24DB5"/>
    <w:rsid w:val="00A2707B"/>
    <w:rsid w:val="00A322B6"/>
    <w:rsid w:val="00A334B9"/>
    <w:rsid w:val="00A3630C"/>
    <w:rsid w:val="00A37F3F"/>
    <w:rsid w:val="00A4225C"/>
    <w:rsid w:val="00A42B3A"/>
    <w:rsid w:val="00A50172"/>
    <w:rsid w:val="00A65C60"/>
    <w:rsid w:val="00A66680"/>
    <w:rsid w:val="00A675AF"/>
    <w:rsid w:val="00A71A6A"/>
    <w:rsid w:val="00A74026"/>
    <w:rsid w:val="00A74F3A"/>
    <w:rsid w:val="00A847CC"/>
    <w:rsid w:val="00A84E33"/>
    <w:rsid w:val="00A93B19"/>
    <w:rsid w:val="00A95ECB"/>
    <w:rsid w:val="00AA1281"/>
    <w:rsid w:val="00AA2410"/>
    <w:rsid w:val="00AA2B9E"/>
    <w:rsid w:val="00AB1565"/>
    <w:rsid w:val="00AB1994"/>
    <w:rsid w:val="00AB6FB6"/>
    <w:rsid w:val="00AC0727"/>
    <w:rsid w:val="00AC17A1"/>
    <w:rsid w:val="00AC29EF"/>
    <w:rsid w:val="00AD15D4"/>
    <w:rsid w:val="00AD564D"/>
    <w:rsid w:val="00AD5915"/>
    <w:rsid w:val="00AD5D97"/>
    <w:rsid w:val="00AE13E6"/>
    <w:rsid w:val="00AE2561"/>
    <w:rsid w:val="00AE3441"/>
    <w:rsid w:val="00AE4689"/>
    <w:rsid w:val="00AF06D2"/>
    <w:rsid w:val="00B02755"/>
    <w:rsid w:val="00B05294"/>
    <w:rsid w:val="00B05D20"/>
    <w:rsid w:val="00B104FE"/>
    <w:rsid w:val="00B11D14"/>
    <w:rsid w:val="00B16A91"/>
    <w:rsid w:val="00B21F0B"/>
    <w:rsid w:val="00B234F5"/>
    <w:rsid w:val="00B24187"/>
    <w:rsid w:val="00B24C89"/>
    <w:rsid w:val="00B251BE"/>
    <w:rsid w:val="00B258B8"/>
    <w:rsid w:val="00B2660B"/>
    <w:rsid w:val="00B3086D"/>
    <w:rsid w:val="00B31C6A"/>
    <w:rsid w:val="00B40537"/>
    <w:rsid w:val="00B434CB"/>
    <w:rsid w:val="00B4701F"/>
    <w:rsid w:val="00B47432"/>
    <w:rsid w:val="00B52ECC"/>
    <w:rsid w:val="00B53FFE"/>
    <w:rsid w:val="00B541DC"/>
    <w:rsid w:val="00B61857"/>
    <w:rsid w:val="00B711EC"/>
    <w:rsid w:val="00B71B50"/>
    <w:rsid w:val="00B800AA"/>
    <w:rsid w:val="00B81556"/>
    <w:rsid w:val="00B83299"/>
    <w:rsid w:val="00B84917"/>
    <w:rsid w:val="00B862D4"/>
    <w:rsid w:val="00B901B1"/>
    <w:rsid w:val="00B91544"/>
    <w:rsid w:val="00B922D7"/>
    <w:rsid w:val="00B93054"/>
    <w:rsid w:val="00B97EED"/>
    <w:rsid w:val="00BA13F2"/>
    <w:rsid w:val="00BB03DC"/>
    <w:rsid w:val="00BB0A69"/>
    <w:rsid w:val="00BB0F4B"/>
    <w:rsid w:val="00BB30AB"/>
    <w:rsid w:val="00BB5113"/>
    <w:rsid w:val="00BC3EF6"/>
    <w:rsid w:val="00BC4F17"/>
    <w:rsid w:val="00BF1EB5"/>
    <w:rsid w:val="00C019B4"/>
    <w:rsid w:val="00C02B58"/>
    <w:rsid w:val="00C0609F"/>
    <w:rsid w:val="00C07759"/>
    <w:rsid w:val="00C118D0"/>
    <w:rsid w:val="00C12188"/>
    <w:rsid w:val="00C16678"/>
    <w:rsid w:val="00C17798"/>
    <w:rsid w:val="00C20A2A"/>
    <w:rsid w:val="00C21657"/>
    <w:rsid w:val="00C22C74"/>
    <w:rsid w:val="00C2485F"/>
    <w:rsid w:val="00C275A0"/>
    <w:rsid w:val="00C3221B"/>
    <w:rsid w:val="00C322E4"/>
    <w:rsid w:val="00C506C8"/>
    <w:rsid w:val="00C52F21"/>
    <w:rsid w:val="00C61A2D"/>
    <w:rsid w:val="00C61F3A"/>
    <w:rsid w:val="00C64026"/>
    <w:rsid w:val="00C643DD"/>
    <w:rsid w:val="00C64BF2"/>
    <w:rsid w:val="00C64E98"/>
    <w:rsid w:val="00C66243"/>
    <w:rsid w:val="00C666D5"/>
    <w:rsid w:val="00C67BE5"/>
    <w:rsid w:val="00C67E8D"/>
    <w:rsid w:val="00C77FF7"/>
    <w:rsid w:val="00C81A57"/>
    <w:rsid w:val="00C93E58"/>
    <w:rsid w:val="00CA2B9B"/>
    <w:rsid w:val="00CA637C"/>
    <w:rsid w:val="00CB1CFC"/>
    <w:rsid w:val="00CB1E9A"/>
    <w:rsid w:val="00CB29CD"/>
    <w:rsid w:val="00CC4019"/>
    <w:rsid w:val="00CD15AA"/>
    <w:rsid w:val="00CD3A0B"/>
    <w:rsid w:val="00CE2D60"/>
    <w:rsid w:val="00CE4642"/>
    <w:rsid w:val="00CE6A26"/>
    <w:rsid w:val="00CF31CC"/>
    <w:rsid w:val="00CF3CBD"/>
    <w:rsid w:val="00CF5D7B"/>
    <w:rsid w:val="00CF7AAD"/>
    <w:rsid w:val="00D0423B"/>
    <w:rsid w:val="00D049B2"/>
    <w:rsid w:val="00D072D7"/>
    <w:rsid w:val="00D07A1A"/>
    <w:rsid w:val="00D1070A"/>
    <w:rsid w:val="00D12DDB"/>
    <w:rsid w:val="00D13DE5"/>
    <w:rsid w:val="00D15FAE"/>
    <w:rsid w:val="00D17622"/>
    <w:rsid w:val="00D20957"/>
    <w:rsid w:val="00D23F49"/>
    <w:rsid w:val="00D2480E"/>
    <w:rsid w:val="00D25646"/>
    <w:rsid w:val="00D25BEC"/>
    <w:rsid w:val="00D30054"/>
    <w:rsid w:val="00D3129F"/>
    <w:rsid w:val="00D328D9"/>
    <w:rsid w:val="00D37298"/>
    <w:rsid w:val="00D411F2"/>
    <w:rsid w:val="00D42594"/>
    <w:rsid w:val="00D44714"/>
    <w:rsid w:val="00D45F19"/>
    <w:rsid w:val="00D55239"/>
    <w:rsid w:val="00D55C64"/>
    <w:rsid w:val="00D5703F"/>
    <w:rsid w:val="00D72719"/>
    <w:rsid w:val="00D77D60"/>
    <w:rsid w:val="00D81B06"/>
    <w:rsid w:val="00D83C7A"/>
    <w:rsid w:val="00D87B2A"/>
    <w:rsid w:val="00D9095B"/>
    <w:rsid w:val="00DA0CB0"/>
    <w:rsid w:val="00DA22DA"/>
    <w:rsid w:val="00DA52FF"/>
    <w:rsid w:val="00DA7A2B"/>
    <w:rsid w:val="00DB0400"/>
    <w:rsid w:val="00DB2FD5"/>
    <w:rsid w:val="00DB46C7"/>
    <w:rsid w:val="00DB7AC3"/>
    <w:rsid w:val="00DC3314"/>
    <w:rsid w:val="00DC647C"/>
    <w:rsid w:val="00DC797B"/>
    <w:rsid w:val="00DD2472"/>
    <w:rsid w:val="00DD38C7"/>
    <w:rsid w:val="00DD49D7"/>
    <w:rsid w:val="00DD6076"/>
    <w:rsid w:val="00DE308D"/>
    <w:rsid w:val="00DE455E"/>
    <w:rsid w:val="00DF05E6"/>
    <w:rsid w:val="00DF397B"/>
    <w:rsid w:val="00DF4386"/>
    <w:rsid w:val="00DF64BB"/>
    <w:rsid w:val="00DF6F63"/>
    <w:rsid w:val="00E025FF"/>
    <w:rsid w:val="00E029A8"/>
    <w:rsid w:val="00E06974"/>
    <w:rsid w:val="00E06CC3"/>
    <w:rsid w:val="00E07491"/>
    <w:rsid w:val="00E157E8"/>
    <w:rsid w:val="00E23275"/>
    <w:rsid w:val="00E26566"/>
    <w:rsid w:val="00E27DDA"/>
    <w:rsid w:val="00E36686"/>
    <w:rsid w:val="00E40D2A"/>
    <w:rsid w:val="00E41584"/>
    <w:rsid w:val="00E41647"/>
    <w:rsid w:val="00E503EB"/>
    <w:rsid w:val="00E53C48"/>
    <w:rsid w:val="00E559E6"/>
    <w:rsid w:val="00E57BF5"/>
    <w:rsid w:val="00E61574"/>
    <w:rsid w:val="00E62060"/>
    <w:rsid w:val="00E632F8"/>
    <w:rsid w:val="00E6335B"/>
    <w:rsid w:val="00E65B3A"/>
    <w:rsid w:val="00E667BA"/>
    <w:rsid w:val="00E674D9"/>
    <w:rsid w:val="00E71756"/>
    <w:rsid w:val="00E73DC4"/>
    <w:rsid w:val="00E760FE"/>
    <w:rsid w:val="00E76627"/>
    <w:rsid w:val="00E841F3"/>
    <w:rsid w:val="00E9034F"/>
    <w:rsid w:val="00E968C3"/>
    <w:rsid w:val="00EA4868"/>
    <w:rsid w:val="00EA59D3"/>
    <w:rsid w:val="00EB0B82"/>
    <w:rsid w:val="00EB281B"/>
    <w:rsid w:val="00EB77B3"/>
    <w:rsid w:val="00EC2E02"/>
    <w:rsid w:val="00EC3BE7"/>
    <w:rsid w:val="00EC5088"/>
    <w:rsid w:val="00ED1312"/>
    <w:rsid w:val="00ED19B6"/>
    <w:rsid w:val="00ED68CD"/>
    <w:rsid w:val="00ED754B"/>
    <w:rsid w:val="00EE1B2E"/>
    <w:rsid w:val="00EE68E8"/>
    <w:rsid w:val="00EE716E"/>
    <w:rsid w:val="00EF082F"/>
    <w:rsid w:val="00EF2C69"/>
    <w:rsid w:val="00EF5FAD"/>
    <w:rsid w:val="00EF69CD"/>
    <w:rsid w:val="00F01764"/>
    <w:rsid w:val="00F01AAB"/>
    <w:rsid w:val="00F112B6"/>
    <w:rsid w:val="00F126C0"/>
    <w:rsid w:val="00F27530"/>
    <w:rsid w:val="00F31EAA"/>
    <w:rsid w:val="00F3506E"/>
    <w:rsid w:val="00F35E8D"/>
    <w:rsid w:val="00F42D00"/>
    <w:rsid w:val="00F439F0"/>
    <w:rsid w:val="00F516F8"/>
    <w:rsid w:val="00F51FAC"/>
    <w:rsid w:val="00F52E14"/>
    <w:rsid w:val="00F5621A"/>
    <w:rsid w:val="00F60804"/>
    <w:rsid w:val="00F60CE2"/>
    <w:rsid w:val="00F6101E"/>
    <w:rsid w:val="00F62AEC"/>
    <w:rsid w:val="00F62F23"/>
    <w:rsid w:val="00F707EF"/>
    <w:rsid w:val="00F7270C"/>
    <w:rsid w:val="00F742D4"/>
    <w:rsid w:val="00F7433A"/>
    <w:rsid w:val="00F74B98"/>
    <w:rsid w:val="00F77B98"/>
    <w:rsid w:val="00F77FBF"/>
    <w:rsid w:val="00F83AC7"/>
    <w:rsid w:val="00F9148A"/>
    <w:rsid w:val="00F93F90"/>
    <w:rsid w:val="00F949A4"/>
    <w:rsid w:val="00F96BBE"/>
    <w:rsid w:val="00FA2BBB"/>
    <w:rsid w:val="00FA2C16"/>
    <w:rsid w:val="00FA44E5"/>
    <w:rsid w:val="00FA4909"/>
    <w:rsid w:val="00FA6118"/>
    <w:rsid w:val="00FA62DF"/>
    <w:rsid w:val="00FA75AE"/>
    <w:rsid w:val="00FB0369"/>
    <w:rsid w:val="00FB6644"/>
    <w:rsid w:val="00FC1BE7"/>
    <w:rsid w:val="00FC26F0"/>
    <w:rsid w:val="00FC2F08"/>
    <w:rsid w:val="00FC461B"/>
    <w:rsid w:val="00FD285A"/>
    <w:rsid w:val="00FD2DAC"/>
    <w:rsid w:val="00FD5608"/>
    <w:rsid w:val="00FD64BD"/>
    <w:rsid w:val="00FE44D9"/>
    <w:rsid w:val="00FF62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E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3C91"/>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D18A3"/>
    <w:pPr>
      <w:keepNext/>
      <w:keepLines/>
      <w:spacing w:before="40" w:after="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3E1C0B"/>
    <w:pPr>
      <w:jc w:val="both"/>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C91"/>
    <w:rPr>
      <w:rFonts w:eastAsiaTheme="majorEastAsia" w:cstheme="majorBidi"/>
      <w:b/>
      <w:bCs/>
      <w:sz w:val="28"/>
      <w:szCs w:val="28"/>
    </w:rPr>
  </w:style>
  <w:style w:type="paragraph" w:styleId="Title">
    <w:name w:val="Title"/>
    <w:basedOn w:val="Normal"/>
    <w:next w:val="Normal"/>
    <w:link w:val="TitleChar"/>
    <w:uiPriority w:val="10"/>
    <w:qFormat/>
    <w:rsid w:val="00853C91"/>
    <w:pPr>
      <w:pBdr>
        <w:bottom w:val="single" w:sz="8" w:space="4" w:color="000000" w:themeColor="text1"/>
      </w:pBdr>
      <w:spacing w:after="300" w:line="240" w:lineRule="auto"/>
      <w:contextualSpacing/>
    </w:pPr>
    <w:rPr>
      <w:rFonts w:eastAsiaTheme="majorEastAsia" w:cstheme="majorBidi"/>
      <w:spacing w:val="5"/>
      <w:kern w:val="28"/>
      <w:sz w:val="32"/>
      <w:szCs w:val="52"/>
    </w:rPr>
  </w:style>
  <w:style w:type="character" w:customStyle="1" w:styleId="TitleChar">
    <w:name w:val="Title Char"/>
    <w:basedOn w:val="DefaultParagraphFont"/>
    <w:link w:val="Title"/>
    <w:uiPriority w:val="10"/>
    <w:rsid w:val="00853C91"/>
    <w:rPr>
      <w:rFonts w:eastAsiaTheme="majorEastAsia" w:cstheme="majorBidi"/>
      <w:spacing w:val="5"/>
      <w:kern w:val="28"/>
      <w:sz w:val="32"/>
      <w:szCs w:val="52"/>
    </w:rPr>
  </w:style>
  <w:style w:type="paragraph" w:styleId="ListParagraph">
    <w:name w:val="List Paragraph"/>
    <w:basedOn w:val="Normal"/>
    <w:uiPriority w:val="34"/>
    <w:qFormat/>
    <w:rsid w:val="00B21F0B"/>
    <w:pPr>
      <w:ind w:left="720"/>
      <w:contextualSpacing/>
    </w:pPr>
  </w:style>
  <w:style w:type="paragraph" w:customStyle="1" w:styleId="Tablehead">
    <w:name w:val="Tablehead"/>
    <w:basedOn w:val="Caption"/>
    <w:next w:val="Normal"/>
    <w:qFormat/>
    <w:rsid w:val="00B16A91"/>
    <w:pPr>
      <w:keepNext/>
      <w:spacing w:after="120"/>
    </w:pPr>
    <w:rPr>
      <w:rFonts w:cstheme="minorHAnsi"/>
      <w:b w:val="0"/>
      <w:bCs w:val="0"/>
      <w:i/>
      <w:iCs/>
      <w:color w:val="auto"/>
      <w:sz w:val="22"/>
      <w:lang w:eastAsia="en-GB"/>
    </w:rPr>
  </w:style>
  <w:style w:type="paragraph" w:styleId="Caption">
    <w:name w:val="caption"/>
    <w:basedOn w:val="Normal"/>
    <w:next w:val="Normal"/>
    <w:uiPriority w:val="35"/>
    <w:unhideWhenUsed/>
    <w:qFormat/>
    <w:rsid w:val="00B16A91"/>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B16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A91"/>
    <w:rPr>
      <w:rFonts w:ascii="Tahoma" w:hAnsi="Tahoma" w:cs="Tahoma"/>
      <w:sz w:val="16"/>
      <w:szCs w:val="16"/>
    </w:rPr>
  </w:style>
  <w:style w:type="paragraph" w:styleId="NoSpacing">
    <w:name w:val="No Spacing"/>
    <w:basedOn w:val="Normal"/>
    <w:uiPriority w:val="1"/>
    <w:qFormat/>
    <w:rsid w:val="00D77D60"/>
    <w:pPr>
      <w:spacing w:after="0" w:line="240" w:lineRule="auto"/>
    </w:pPr>
    <w:rPr>
      <w:rFonts w:eastAsiaTheme="minorEastAsia"/>
    </w:rPr>
  </w:style>
  <w:style w:type="table" w:styleId="LightShading">
    <w:name w:val="Light Shading"/>
    <w:basedOn w:val="TableNormal"/>
    <w:uiPriority w:val="60"/>
    <w:rsid w:val="00B16A91"/>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FA4909"/>
    <w:rPr>
      <w:sz w:val="16"/>
      <w:szCs w:val="16"/>
    </w:rPr>
  </w:style>
  <w:style w:type="paragraph" w:styleId="CommentText">
    <w:name w:val="annotation text"/>
    <w:basedOn w:val="Normal"/>
    <w:link w:val="CommentTextChar"/>
    <w:uiPriority w:val="99"/>
    <w:unhideWhenUsed/>
    <w:rsid w:val="00FA4909"/>
    <w:pPr>
      <w:spacing w:line="240" w:lineRule="auto"/>
    </w:pPr>
    <w:rPr>
      <w:sz w:val="20"/>
      <w:szCs w:val="20"/>
    </w:rPr>
  </w:style>
  <w:style w:type="character" w:customStyle="1" w:styleId="CommentTextChar">
    <w:name w:val="Comment Text Char"/>
    <w:basedOn w:val="DefaultParagraphFont"/>
    <w:link w:val="CommentText"/>
    <w:uiPriority w:val="99"/>
    <w:rsid w:val="00FA4909"/>
    <w:rPr>
      <w:sz w:val="20"/>
      <w:szCs w:val="20"/>
    </w:rPr>
  </w:style>
  <w:style w:type="paragraph" w:styleId="CommentSubject">
    <w:name w:val="annotation subject"/>
    <w:basedOn w:val="CommentText"/>
    <w:next w:val="CommentText"/>
    <w:link w:val="CommentSubjectChar"/>
    <w:uiPriority w:val="99"/>
    <w:semiHidden/>
    <w:unhideWhenUsed/>
    <w:rsid w:val="00FA4909"/>
    <w:rPr>
      <w:b/>
      <w:bCs/>
    </w:rPr>
  </w:style>
  <w:style w:type="character" w:customStyle="1" w:styleId="CommentSubjectChar">
    <w:name w:val="Comment Subject Char"/>
    <w:basedOn w:val="CommentTextChar"/>
    <w:link w:val="CommentSubject"/>
    <w:uiPriority w:val="99"/>
    <w:semiHidden/>
    <w:rsid w:val="00FA4909"/>
    <w:rPr>
      <w:b/>
      <w:bCs/>
      <w:sz w:val="20"/>
      <w:szCs w:val="20"/>
    </w:rPr>
  </w:style>
  <w:style w:type="table" w:customStyle="1" w:styleId="LightShading1">
    <w:name w:val="Light Shading1"/>
    <w:basedOn w:val="TableNormal"/>
    <w:next w:val="LightShading"/>
    <w:uiPriority w:val="60"/>
    <w:rsid w:val="004423DD"/>
    <w:pPr>
      <w:spacing w:after="0" w:line="240" w:lineRule="auto"/>
    </w:pPr>
    <w:rPr>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7D6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317"/>
  </w:style>
  <w:style w:type="paragraph" w:styleId="Footer">
    <w:name w:val="footer"/>
    <w:basedOn w:val="Normal"/>
    <w:link w:val="FooterChar"/>
    <w:uiPriority w:val="99"/>
    <w:unhideWhenUsed/>
    <w:rsid w:val="007D6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317"/>
  </w:style>
  <w:style w:type="paragraph" w:styleId="Bibliography">
    <w:name w:val="Bibliography"/>
    <w:basedOn w:val="Normal"/>
    <w:next w:val="Normal"/>
    <w:uiPriority w:val="37"/>
    <w:unhideWhenUsed/>
    <w:rsid w:val="00DD49D7"/>
    <w:pPr>
      <w:tabs>
        <w:tab w:val="left" w:pos="504"/>
      </w:tabs>
      <w:spacing w:after="240" w:line="240" w:lineRule="auto"/>
      <w:ind w:left="504" w:hanging="504"/>
    </w:pPr>
  </w:style>
  <w:style w:type="paragraph" w:customStyle="1" w:styleId="EndNoteBibliographyTitle">
    <w:name w:val="EndNote Bibliography Title"/>
    <w:basedOn w:val="Normal"/>
    <w:link w:val="EndNoteBibliographyTitleChar"/>
    <w:rsid w:val="00371CF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71CFB"/>
    <w:rPr>
      <w:rFonts w:ascii="Calibri" w:hAnsi="Calibri" w:cs="Calibri"/>
      <w:noProof/>
      <w:lang w:val="en-US"/>
    </w:rPr>
  </w:style>
  <w:style w:type="paragraph" w:customStyle="1" w:styleId="EndNoteBibliography">
    <w:name w:val="EndNote Bibliography"/>
    <w:basedOn w:val="Normal"/>
    <w:link w:val="EndNoteBibliographyChar"/>
    <w:rsid w:val="00371CF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71CFB"/>
    <w:rPr>
      <w:rFonts w:ascii="Calibri" w:hAnsi="Calibri" w:cs="Calibri"/>
      <w:noProof/>
      <w:lang w:val="en-US"/>
    </w:rPr>
  </w:style>
  <w:style w:type="paragraph" w:styleId="EndnoteText">
    <w:name w:val="endnote text"/>
    <w:basedOn w:val="Normal"/>
    <w:link w:val="EndnoteTextChar"/>
    <w:uiPriority w:val="99"/>
    <w:semiHidden/>
    <w:unhideWhenUsed/>
    <w:rsid w:val="001D1D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1D7F"/>
    <w:rPr>
      <w:sz w:val="20"/>
      <w:szCs w:val="20"/>
    </w:rPr>
  </w:style>
  <w:style w:type="character" w:styleId="EndnoteReference">
    <w:name w:val="endnote reference"/>
    <w:basedOn w:val="DefaultParagraphFont"/>
    <w:uiPriority w:val="99"/>
    <w:semiHidden/>
    <w:unhideWhenUsed/>
    <w:rsid w:val="001D1D7F"/>
    <w:rPr>
      <w:vertAlign w:val="superscript"/>
    </w:rPr>
  </w:style>
  <w:style w:type="character" w:customStyle="1" w:styleId="Heading2Char">
    <w:name w:val="Heading 2 Char"/>
    <w:basedOn w:val="DefaultParagraphFont"/>
    <w:link w:val="Heading2"/>
    <w:uiPriority w:val="9"/>
    <w:rsid w:val="009D18A3"/>
    <w:rPr>
      <w:rFonts w:ascii="Calibri" w:eastAsiaTheme="majorEastAsia" w:hAnsi="Calibri" w:cstheme="majorBidi"/>
      <w:b/>
      <w:szCs w:val="26"/>
    </w:rPr>
  </w:style>
  <w:style w:type="paragraph" w:styleId="FootnoteText">
    <w:name w:val="footnote text"/>
    <w:basedOn w:val="Normal"/>
    <w:link w:val="FootnoteTextChar"/>
    <w:uiPriority w:val="99"/>
    <w:semiHidden/>
    <w:unhideWhenUsed/>
    <w:rsid w:val="00E27D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DDA"/>
    <w:rPr>
      <w:sz w:val="20"/>
      <w:szCs w:val="20"/>
    </w:rPr>
  </w:style>
  <w:style w:type="character" w:styleId="FootnoteReference">
    <w:name w:val="footnote reference"/>
    <w:basedOn w:val="DefaultParagraphFont"/>
    <w:uiPriority w:val="99"/>
    <w:semiHidden/>
    <w:unhideWhenUsed/>
    <w:rsid w:val="00E27DDA"/>
    <w:rPr>
      <w:vertAlign w:val="superscript"/>
    </w:rPr>
  </w:style>
  <w:style w:type="paragraph" w:styleId="Revision">
    <w:name w:val="Revision"/>
    <w:hidden/>
    <w:uiPriority w:val="99"/>
    <w:semiHidden/>
    <w:rsid w:val="001F5610"/>
    <w:pPr>
      <w:spacing w:after="0" w:line="240" w:lineRule="auto"/>
    </w:pPr>
  </w:style>
  <w:style w:type="character" w:styleId="Hyperlink">
    <w:name w:val="Hyperlink"/>
    <w:basedOn w:val="DefaultParagraphFont"/>
    <w:uiPriority w:val="99"/>
    <w:unhideWhenUsed/>
    <w:rsid w:val="00EB281B"/>
    <w:rPr>
      <w:color w:val="0000FF"/>
      <w:u w:val="single"/>
    </w:rPr>
  </w:style>
  <w:style w:type="character" w:styleId="FollowedHyperlink">
    <w:name w:val="FollowedHyperlink"/>
    <w:basedOn w:val="DefaultParagraphFont"/>
    <w:uiPriority w:val="99"/>
    <w:semiHidden/>
    <w:unhideWhenUsed/>
    <w:rsid w:val="00EB281B"/>
    <w:rPr>
      <w:color w:val="800080" w:themeColor="followedHyperlink"/>
      <w:u w:val="single"/>
    </w:rPr>
  </w:style>
  <w:style w:type="character" w:customStyle="1" w:styleId="UnresolvedMention1">
    <w:name w:val="Unresolved Mention1"/>
    <w:basedOn w:val="DefaultParagraphFont"/>
    <w:uiPriority w:val="99"/>
    <w:semiHidden/>
    <w:unhideWhenUsed/>
    <w:rsid w:val="00265CD8"/>
    <w:rPr>
      <w:color w:val="605E5C"/>
      <w:shd w:val="clear" w:color="auto" w:fill="E1DFDD"/>
    </w:rPr>
  </w:style>
  <w:style w:type="character" w:customStyle="1" w:styleId="Heading3Char">
    <w:name w:val="Heading 3 Char"/>
    <w:basedOn w:val="DefaultParagraphFont"/>
    <w:link w:val="Heading3"/>
    <w:uiPriority w:val="9"/>
    <w:rsid w:val="003E1C0B"/>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3C91"/>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D18A3"/>
    <w:pPr>
      <w:keepNext/>
      <w:keepLines/>
      <w:spacing w:before="40" w:after="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3E1C0B"/>
    <w:pPr>
      <w:jc w:val="both"/>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C91"/>
    <w:rPr>
      <w:rFonts w:eastAsiaTheme="majorEastAsia" w:cstheme="majorBidi"/>
      <w:b/>
      <w:bCs/>
      <w:sz w:val="28"/>
      <w:szCs w:val="28"/>
    </w:rPr>
  </w:style>
  <w:style w:type="paragraph" w:styleId="Title">
    <w:name w:val="Title"/>
    <w:basedOn w:val="Normal"/>
    <w:next w:val="Normal"/>
    <w:link w:val="TitleChar"/>
    <w:uiPriority w:val="10"/>
    <w:qFormat/>
    <w:rsid w:val="00853C91"/>
    <w:pPr>
      <w:pBdr>
        <w:bottom w:val="single" w:sz="8" w:space="4" w:color="000000" w:themeColor="text1"/>
      </w:pBdr>
      <w:spacing w:after="300" w:line="240" w:lineRule="auto"/>
      <w:contextualSpacing/>
    </w:pPr>
    <w:rPr>
      <w:rFonts w:eastAsiaTheme="majorEastAsia" w:cstheme="majorBidi"/>
      <w:spacing w:val="5"/>
      <w:kern w:val="28"/>
      <w:sz w:val="32"/>
      <w:szCs w:val="52"/>
    </w:rPr>
  </w:style>
  <w:style w:type="character" w:customStyle="1" w:styleId="TitleChar">
    <w:name w:val="Title Char"/>
    <w:basedOn w:val="DefaultParagraphFont"/>
    <w:link w:val="Title"/>
    <w:uiPriority w:val="10"/>
    <w:rsid w:val="00853C91"/>
    <w:rPr>
      <w:rFonts w:eastAsiaTheme="majorEastAsia" w:cstheme="majorBidi"/>
      <w:spacing w:val="5"/>
      <w:kern w:val="28"/>
      <w:sz w:val="32"/>
      <w:szCs w:val="52"/>
    </w:rPr>
  </w:style>
  <w:style w:type="paragraph" w:styleId="ListParagraph">
    <w:name w:val="List Paragraph"/>
    <w:basedOn w:val="Normal"/>
    <w:uiPriority w:val="34"/>
    <w:qFormat/>
    <w:rsid w:val="00B21F0B"/>
    <w:pPr>
      <w:ind w:left="720"/>
      <w:contextualSpacing/>
    </w:pPr>
  </w:style>
  <w:style w:type="paragraph" w:customStyle="1" w:styleId="Tablehead">
    <w:name w:val="Tablehead"/>
    <w:basedOn w:val="Caption"/>
    <w:next w:val="Normal"/>
    <w:qFormat/>
    <w:rsid w:val="00B16A91"/>
    <w:pPr>
      <w:keepNext/>
      <w:spacing w:after="120"/>
    </w:pPr>
    <w:rPr>
      <w:rFonts w:cstheme="minorHAnsi"/>
      <w:b w:val="0"/>
      <w:bCs w:val="0"/>
      <w:i/>
      <w:iCs/>
      <w:color w:val="auto"/>
      <w:sz w:val="22"/>
      <w:lang w:eastAsia="en-GB"/>
    </w:rPr>
  </w:style>
  <w:style w:type="paragraph" w:styleId="Caption">
    <w:name w:val="caption"/>
    <w:basedOn w:val="Normal"/>
    <w:next w:val="Normal"/>
    <w:uiPriority w:val="35"/>
    <w:unhideWhenUsed/>
    <w:qFormat/>
    <w:rsid w:val="00B16A91"/>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B16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A91"/>
    <w:rPr>
      <w:rFonts w:ascii="Tahoma" w:hAnsi="Tahoma" w:cs="Tahoma"/>
      <w:sz w:val="16"/>
      <w:szCs w:val="16"/>
    </w:rPr>
  </w:style>
  <w:style w:type="paragraph" w:styleId="NoSpacing">
    <w:name w:val="No Spacing"/>
    <w:basedOn w:val="Normal"/>
    <w:uiPriority w:val="1"/>
    <w:qFormat/>
    <w:rsid w:val="00D77D60"/>
    <w:pPr>
      <w:spacing w:after="0" w:line="240" w:lineRule="auto"/>
    </w:pPr>
    <w:rPr>
      <w:rFonts w:eastAsiaTheme="minorEastAsia"/>
    </w:rPr>
  </w:style>
  <w:style w:type="table" w:styleId="LightShading">
    <w:name w:val="Light Shading"/>
    <w:basedOn w:val="TableNormal"/>
    <w:uiPriority w:val="60"/>
    <w:rsid w:val="00B16A91"/>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FA4909"/>
    <w:rPr>
      <w:sz w:val="16"/>
      <w:szCs w:val="16"/>
    </w:rPr>
  </w:style>
  <w:style w:type="paragraph" w:styleId="CommentText">
    <w:name w:val="annotation text"/>
    <w:basedOn w:val="Normal"/>
    <w:link w:val="CommentTextChar"/>
    <w:uiPriority w:val="99"/>
    <w:unhideWhenUsed/>
    <w:rsid w:val="00FA4909"/>
    <w:pPr>
      <w:spacing w:line="240" w:lineRule="auto"/>
    </w:pPr>
    <w:rPr>
      <w:sz w:val="20"/>
      <w:szCs w:val="20"/>
    </w:rPr>
  </w:style>
  <w:style w:type="character" w:customStyle="1" w:styleId="CommentTextChar">
    <w:name w:val="Comment Text Char"/>
    <w:basedOn w:val="DefaultParagraphFont"/>
    <w:link w:val="CommentText"/>
    <w:uiPriority w:val="99"/>
    <w:rsid w:val="00FA4909"/>
    <w:rPr>
      <w:sz w:val="20"/>
      <w:szCs w:val="20"/>
    </w:rPr>
  </w:style>
  <w:style w:type="paragraph" w:styleId="CommentSubject">
    <w:name w:val="annotation subject"/>
    <w:basedOn w:val="CommentText"/>
    <w:next w:val="CommentText"/>
    <w:link w:val="CommentSubjectChar"/>
    <w:uiPriority w:val="99"/>
    <w:semiHidden/>
    <w:unhideWhenUsed/>
    <w:rsid w:val="00FA4909"/>
    <w:rPr>
      <w:b/>
      <w:bCs/>
    </w:rPr>
  </w:style>
  <w:style w:type="character" w:customStyle="1" w:styleId="CommentSubjectChar">
    <w:name w:val="Comment Subject Char"/>
    <w:basedOn w:val="CommentTextChar"/>
    <w:link w:val="CommentSubject"/>
    <w:uiPriority w:val="99"/>
    <w:semiHidden/>
    <w:rsid w:val="00FA4909"/>
    <w:rPr>
      <w:b/>
      <w:bCs/>
      <w:sz w:val="20"/>
      <w:szCs w:val="20"/>
    </w:rPr>
  </w:style>
  <w:style w:type="table" w:customStyle="1" w:styleId="LightShading1">
    <w:name w:val="Light Shading1"/>
    <w:basedOn w:val="TableNormal"/>
    <w:next w:val="LightShading"/>
    <w:uiPriority w:val="60"/>
    <w:rsid w:val="004423DD"/>
    <w:pPr>
      <w:spacing w:after="0" w:line="240" w:lineRule="auto"/>
    </w:pPr>
    <w:rPr>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7D6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317"/>
  </w:style>
  <w:style w:type="paragraph" w:styleId="Footer">
    <w:name w:val="footer"/>
    <w:basedOn w:val="Normal"/>
    <w:link w:val="FooterChar"/>
    <w:uiPriority w:val="99"/>
    <w:unhideWhenUsed/>
    <w:rsid w:val="007D6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317"/>
  </w:style>
  <w:style w:type="paragraph" w:styleId="Bibliography">
    <w:name w:val="Bibliography"/>
    <w:basedOn w:val="Normal"/>
    <w:next w:val="Normal"/>
    <w:uiPriority w:val="37"/>
    <w:unhideWhenUsed/>
    <w:rsid w:val="00DD49D7"/>
    <w:pPr>
      <w:tabs>
        <w:tab w:val="left" w:pos="504"/>
      </w:tabs>
      <w:spacing w:after="240" w:line="240" w:lineRule="auto"/>
      <w:ind w:left="504" w:hanging="504"/>
    </w:pPr>
  </w:style>
  <w:style w:type="paragraph" w:customStyle="1" w:styleId="EndNoteBibliographyTitle">
    <w:name w:val="EndNote Bibliography Title"/>
    <w:basedOn w:val="Normal"/>
    <w:link w:val="EndNoteBibliographyTitleChar"/>
    <w:rsid w:val="00371CF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71CFB"/>
    <w:rPr>
      <w:rFonts w:ascii="Calibri" w:hAnsi="Calibri" w:cs="Calibri"/>
      <w:noProof/>
      <w:lang w:val="en-US"/>
    </w:rPr>
  </w:style>
  <w:style w:type="paragraph" w:customStyle="1" w:styleId="EndNoteBibliography">
    <w:name w:val="EndNote Bibliography"/>
    <w:basedOn w:val="Normal"/>
    <w:link w:val="EndNoteBibliographyChar"/>
    <w:rsid w:val="00371CF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71CFB"/>
    <w:rPr>
      <w:rFonts w:ascii="Calibri" w:hAnsi="Calibri" w:cs="Calibri"/>
      <w:noProof/>
      <w:lang w:val="en-US"/>
    </w:rPr>
  </w:style>
  <w:style w:type="paragraph" w:styleId="EndnoteText">
    <w:name w:val="endnote text"/>
    <w:basedOn w:val="Normal"/>
    <w:link w:val="EndnoteTextChar"/>
    <w:uiPriority w:val="99"/>
    <w:semiHidden/>
    <w:unhideWhenUsed/>
    <w:rsid w:val="001D1D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1D7F"/>
    <w:rPr>
      <w:sz w:val="20"/>
      <w:szCs w:val="20"/>
    </w:rPr>
  </w:style>
  <w:style w:type="character" w:styleId="EndnoteReference">
    <w:name w:val="endnote reference"/>
    <w:basedOn w:val="DefaultParagraphFont"/>
    <w:uiPriority w:val="99"/>
    <w:semiHidden/>
    <w:unhideWhenUsed/>
    <w:rsid w:val="001D1D7F"/>
    <w:rPr>
      <w:vertAlign w:val="superscript"/>
    </w:rPr>
  </w:style>
  <w:style w:type="character" w:customStyle="1" w:styleId="Heading2Char">
    <w:name w:val="Heading 2 Char"/>
    <w:basedOn w:val="DefaultParagraphFont"/>
    <w:link w:val="Heading2"/>
    <w:uiPriority w:val="9"/>
    <w:rsid w:val="009D18A3"/>
    <w:rPr>
      <w:rFonts w:ascii="Calibri" w:eastAsiaTheme="majorEastAsia" w:hAnsi="Calibri" w:cstheme="majorBidi"/>
      <w:b/>
      <w:szCs w:val="26"/>
    </w:rPr>
  </w:style>
  <w:style w:type="paragraph" w:styleId="FootnoteText">
    <w:name w:val="footnote text"/>
    <w:basedOn w:val="Normal"/>
    <w:link w:val="FootnoteTextChar"/>
    <w:uiPriority w:val="99"/>
    <w:semiHidden/>
    <w:unhideWhenUsed/>
    <w:rsid w:val="00E27D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DDA"/>
    <w:rPr>
      <w:sz w:val="20"/>
      <w:szCs w:val="20"/>
    </w:rPr>
  </w:style>
  <w:style w:type="character" w:styleId="FootnoteReference">
    <w:name w:val="footnote reference"/>
    <w:basedOn w:val="DefaultParagraphFont"/>
    <w:uiPriority w:val="99"/>
    <w:semiHidden/>
    <w:unhideWhenUsed/>
    <w:rsid w:val="00E27DDA"/>
    <w:rPr>
      <w:vertAlign w:val="superscript"/>
    </w:rPr>
  </w:style>
  <w:style w:type="paragraph" w:styleId="Revision">
    <w:name w:val="Revision"/>
    <w:hidden/>
    <w:uiPriority w:val="99"/>
    <w:semiHidden/>
    <w:rsid w:val="001F5610"/>
    <w:pPr>
      <w:spacing w:after="0" w:line="240" w:lineRule="auto"/>
    </w:pPr>
  </w:style>
  <w:style w:type="character" w:styleId="Hyperlink">
    <w:name w:val="Hyperlink"/>
    <w:basedOn w:val="DefaultParagraphFont"/>
    <w:uiPriority w:val="99"/>
    <w:unhideWhenUsed/>
    <w:rsid w:val="00EB281B"/>
    <w:rPr>
      <w:color w:val="0000FF"/>
      <w:u w:val="single"/>
    </w:rPr>
  </w:style>
  <w:style w:type="character" w:styleId="FollowedHyperlink">
    <w:name w:val="FollowedHyperlink"/>
    <w:basedOn w:val="DefaultParagraphFont"/>
    <w:uiPriority w:val="99"/>
    <w:semiHidden/>
    <w:unhideWhenUsed/>
    <w:rsid w:val="00EB281B"/>
    <w:rPr>
      <w:color w:val="800080" w:themeColor="followedHyperlink"/>
      <w:u w:val="single"/>
    </w:rPr>
  </w:style>
  <w:style w:type="character" w:customStyle="1" w:styleId="UnresolvedMention1">
    <w:name w:val="Unresolved Mention1"/>
    <w:basedOn w:val="DefaultParagraphFont"/>
    <w:uiPriority w:val="99"/>
    <w:semiHidden/>
    <w:unhideWhenUsed/>
    <w:rsid w:val="00265CD8"/>
    <w:rPr>
      <w:color w:val="605E5C"/>
      <w:shd w:val="clear" w:color="auto" w:fill="E1DFDD"/>
    </w:rPr>
  </w:style>
  <w:style w:type="character" w:customStyle="1" w:styleId="Heading3Char">
    <w:name w:val="Heading 3 Char"/>
    <w:basedOn w:val="DefaultParagraphFont"/>
    <w:link w:val="Heading3"/>
    <w:uiPriority w:val="9"/>
    <w:rsid w:val="003E1C0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88008">
      <w:bodyDiv w:val="1"/>
      <w:marLeft w:val="0"/>
      <w:marRight w:val="0"/>
      <w:marTop w:val="0"/>
      <w:marBottom w:val="0"/>
      <w:divBdr>
        <w:top w:val="none" w:sz="0" w:space="0" w:color="auto"/>
        <w:left w:val="none" w:sz="0" w:space="0" w:color="auto"/>
        <w:bottom w:val="none" w:sz="0" w:space="0" w:color="auto"/>
        <w:right w:val="none" w:sz="0" w:space="0" w:color="auto"/>
      </w:divBdr>
    </w:div>
    <w:div w:id="323509596">
      <w:bodyDiv w:val="1"/>
      <w:marLeft w:val="0"/>
      <w:marRight w:val="0"/>
      <w:marTop w:val="0"/>
      <w:marBottom w:val="0"/>
      <w:divBdr>
        <w:top w:val="none" w:sz="0" w:space="0" w:color="auto"/>
        <w:left w:val="none" w:sz="0" w:space="0" w:color="auto"/>
        <w:bottom w:val="none" w:sz="0" w:space="0" w:color="auto"/>
        <w:right w:val="none" w:sz="0" w:space="0" w:color="auto"/>
      </w:divBdr>
    </w:div>
    <w:div w:id="901521116">
      <w:bodyDiv w:val="1"/>
      <w:marLeft w:val="0"/>
      <w:marRight w:val="0"/>
      <w:marTop w:val="0"/>
      <w:marBottom w:val="0"/>
      <w:divBdr>
        <w:top w:val="none" w:sz="0" w:space="0" w:color="auto"/>
        <w:left w:val="none" w:sz="0" w:space="0" w:color="auto"/>
        <w:bottom w:val="none" w:sz="0" w:space="0" w:color="auto"/>
        <w:right w:val="none" w:sz="0" w:space="0" w:color="auto"/>
      </w:divBdr>
    </w:div>
    <w:div w:id="1029572520">
      <w:bodyDiv w:val="1"/>
      <w:marLeft w:val="0"/>
      <w:marRight w:val="0"/>
      <w:marTop w:val="0"/>
      <w:marBottom w:val="0"/>
      <w:divBdr>
        <w:top w:val="none" w:sz="0" w:space="0" w:color="auto"/>
        <w:left w:val="none" w:sz="0" w:space="0" w:color="auto"/>
        <w:bottom w:val="none" w:sz="0" w:space="0" w:color="auto"/>
        <w:right w:val="none" w:sz="0" w:space="0" w:color="auto"/>
      </w:divBdr>
    </w:div>
    <w:div w:id="1145395704">
      <w:bodyDiv w:val="1"/>
      <w:marLeft w:val="0"/>
      <w:marRight w:val="0"/>
      <w:marTop w:val="0"/>
      <w:marBottom w:val="0"/>
      <w:divBdr>
        <w:top w:val="none" w:sz="0" w:space="0" w:color="auto"/>
        <w:left w:val="none" w:sz="0" w:space="0" w:color="auto"/>
        <w:bottom w:val="none" w:sz="0" w:space="0" w:color="auto"/>
        <w:right w:val="none" w:sz="0" w:space="0" w:color="auto"/>
      </w:divBdr>
    </w:div>
    <w:div w:id="1292050070">
      <w:bodyDiv w:val="1"/>
      <w:marLeft w:val="0"/>
      <w:marRight w:val="0"/>
      <w:marTop w:val="0"/>
      <w:marBottom w:val="0"/>
      <w:divBdr>
        <w:top w:val="none" w:sz="0" w:space="0" w:color="auto"/>
        <w:left w:val="none" w:sz="0" w:space="0" w:color="auto"/>
        <w:bottom w:val="none" w:sz="0" w:space="0" w:color="auto"/>
        <w:right w:val="none" w:sz="0" w:space="0" w:color="auto"/>
      </w:divBdr>
    </w:div>
    <w:div w:id="1961568585">
      <w:bodyDiv w:val="1"/>
      <w:marLeft w:val="0"/>
      <w:marRight w:val="0"/>
      <w:marTop w:val="0"/>
      <w:marBottom w:val="0"/>
      <w:divBdr>
        <w:top w:val="none" w:sz="0" w:space="0" w:color="auto"/>
        <w:left w:val="none" w:sz="0" w:space="0" w:color="auto"/>
        <w:bottom w:val="none" w:sz="0" w:space="0" w:color="auto"/>
        <w:right w:val="none" w:sz="0" w:space="0" w:color="auto"/>
      </w:divBdr>
    </w:div>
    <w:div w:id="2028602444">
      <w:bodyDiv w:val="1"/>
      <w:marLeft w:val="0"/>
      <w:marRight w:val="0"/>
      <w:marTop w:val="0"/>
      <w:marBottom w:val="0"/>
      <w:divBdr>
        <w:top w:val="none" w:sz="0" w:space="0" w:color="auto"/>
        <w:left w:val="none" w:sz="0" w:space="0" w:color="auto"/>
        <w:bottom w:val="none" w:sz="0" w:space="0" w:color="auto"/>
        <w:right w:val="none" w:sz="0" w:space="0" w:color="auto"/>
      </w:divBdr>
    </w:div>
    <w:div w:id="212391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uffieldtrust.org.uk/about/corporate-policies" TargetMode="External"/><Relationship Id="rId4" Type="http://schemas.microsoft.com/office/2007/relationships/stylesWithEffects" Target="stylesWithEffects.xml"/><Relationship Id="rId9" Type="http://schemas.openxmlformats.org/officeDocument/2006/relationships/hyperlink" Target="mailto:eilis.keeble@nuffieldtrust.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Edm13</b:Tag>
    <b:SourceType>JournalArticle</b:SourceType>
    <b:Guid>{4A6831EB-6DE8-4636-B395-E3B4484FEB00}</b:Guid>
    <b:Title>Specialist geriatric medical assessment for patients discharged from hospital acute assessment units: randomised controlled trial</b:Title>
    <b:Year>2013</b:Year>
    <b:StandardNumber>f5874</b:StandardNumber>
    <b:Author>
      <b:Author>
        <b:NameList>
          <b:Person>
            <b:Last>Edmans</b:Last>
            <b:First>J</b:First>
          </b:Person>
          <b:Person>
            <b:Last>Bradshaw</b:Last>
            <b:First>L</b:First>
          </b:Person>
          <b:Person>
            <b:Last>Franklin</b:Last>
            <b:First>M</b:First>
          </b:Person>
          <b:Person>
            <b:Last>al</b:Last>
            <b:First>et</b:First>
          </b:Person>
        </b:NameList>
      </b:Author>
    </b:Author>
    <b:Volume>347</b:Volume>
    <b:JournalName>BMJ</b:JournalName>
    <b:RefOrder>2</b:RefOrder>
  </b:Source>
  <b:Source>
    <b:Tag>Rob13</b:Tag>
    <b:SourceType>JournalArticle</b:SourceType>
    <b:Guid>{9A951982-3795-4EA2-81D5-5F118645D628}</b:Guid>
    <b:Author>
      <b:Author>
        <b:NameList>
          <b:Person>
            <b:Last>Roberts</b:Last>
            <b:First>HC</b:First>
          </b:Person>
          <b:Person>
            <b:Last>Pilgrim</b:Last>
            <b:First>A</b:First>
          </b:Person>
          <b:Person>
            <b:Last>Elia</b:Last>
            <b:First>M</b:First>
          </b:Person>
        </b:NameList>
      </b:Author>
    </b:Author>
    <b:Title>Southampton mealtime assistance study: design and methods</b:Title>
    <b:Year>2013</b:Year>
    <b:Volume>13</b:Volume>
    <b:Issue>5</b:Issue>
    <b:JournalName>BMC Geriatrics</b:JournalName>
    <b:RefOrder>3</b:RefOrder>
  </b:Source>
  <b:Source>
    <b:Tag>Wou131</b:Tag>
    <b:SourceType>JournalArticle</b:SourceType>
    <b:Guid>{98F6E997-7A2A-41C5-87F0-B0DBB3EB5A89}</b:Guid>
    <b:Author>
      <b:Author>
        <b:NameList>
          <b:Person>
            <b:Last>Wou</b:Last>
            <b:First>F</b:First>
          </b:Person>
          <b:Person>
            <b:Last>Gladman</b:Last>
            <b:First>JRF</b:First>
          </b:Person>
          <b:Person>
            <b:Last>Bradshaw</b:Last>
            <b:First>L</b:First>
          </b:Person>
          <b:Person>
            <b:Last>Franklin</b:Last>
            <b:First>M</b:First>
          </b:Person>
          <b:Person>
            <b:Last>Edmans</b:Last>
            <b:First>J</b:First>
          </b:Person>
          <b:Person>
            <b:Last>Conroy</b:Last>
            <b:First>SP</b:First>
          </b:Person>
        </b:NameList>
      </b:Author>
    </b:Author>
    <b:Title>The predictive properties of frailty-rating scales in the acute medical unit</b:Title>
    <b:Year>2013</b:Year>
    <b:Volume>42</b:Volume>
    <b:Issue>6</b:Issue>
    <b:JournalName>Age Ageing</b:JournalName>
    <b:Pages>776-781</b:Pages>
    <b:RefOrder>4</b:RefOrder>
  </b:Source>
  <b:Source>
    <b:Tag>Qua11</b:Tag>
    <b:SourceType>JournalArticle</b:SourceType>
    <b:Guid>{B343442C-426F-4E78-B5BE-3F802414CDB2}</b:Guid>
    <b:Author>
      <b:Author>
        <b:NameList>
          <b:Person>
            <b:Last>Quan</b:Last>
            <b:First>H</b:First>
          </b:Person>
          <b:Person>
            <b:Last>Li</b:Last>
            <b:First>B</b:First>
          </b:Person>
          <b:Person>
            <b:Last>Couris</b:Last>
            <b:First>CM</b:First>
          </b:Person>
          <b:Person>
            <b:Last>Fushimi</b:Last>
            <b:First>K</b:First>
          </b:Person>
          <b:Person>
            <b:Last>Graham</b:Last>
            <b:First>P</b:First>
          </b:Person>
          <b:Person>
            <b:Last>Hider</b:Last>
            <b:First>P</b:First>
          </b:Person>
          <b:Person>
            <b:Last>Januel</b:Last>
            <b:First>JM</b:First>
          </b:Person>
          <b:Person>
            <b:Last>Sundararajan</b:Last>
            <b:First>V</b:First>
          </b:Person>
        </b:NameList>
      </b:Author>
    </b:Author>
    <b:Title>Updating and Validating the Charlson Comorbidity Index and Score for Risk Adjustment in Hospital Discharge Abstracts Using Data From 6 Countries</b:Title>
    <b:Year>2011</b:Year>
    <b:Volume>173</b:Volume>
    <b:Issue>6</b:Issue>
    <b:JournalName>American Journal of Epidemiology</b:JournalName>
    <b:Pages>676-682</b:Pages>
    <b:RefOrder>1</b:RefOrder>
  </b:Source>
  <b:Source>
    <b:Tag>Dig17</b:Tag>
    <b:SourceType>ElectronicSource</b:SourceType>
    <b:Guid>{D63DE4A3-35AA-458F-9F1D-284526C1126B}</b:Guid>
    <b:Author>
      <b:Author>
        <b:Corporate>NHS Digital</b:Corporate>
      </b:Author>
    </b:Author>
    <b:Title>HRG4 2016/17 Local Payment Grouper Leeds: NHS digital</b:Title>
    <b:Year>2017</b:Year>
    <b:URL>http://content.digital.nhs.uk/article/7052/HRG4-201617-Local-Payment-Grouper</b:URL>
    <b:RefOrder>5</b:RefOrder>
  </b:Source>
  <b:Source>
    <b:Tag>Imp17</b:Tag>
    <b:SourceType>ElectronicSource</b:SourceType>
    <b:Guid>{672C1E6F-B3D1-4926-83BA-555F992758DC}</b:Guid>
    <b:Author>
      <b:Author>
        <b:Corporate>NHS Improvement</b:Corporate>
      </b:Author>
    </b:Author>
    <b:Title>National Tariff Payment System 2016/17</b:Title>
    <b:Year>2017</b:Year>
    <b:URL>https://improvement.nhs.uk/resources/national-tariff-payment-system-201617/</b:URL>
    <b:RefOrder>6</b:RefOrder>
  </b:Source>
  <b:Source>
    <b:Tag>Hea14</b:Tag>
    <b:SourceType>Report</b:SourceType>
    <b:Guid>{A0A45DA6-1756-48EB-A40A-A951222E6226}</b:Guid>
    <b:Author>
      <b:Author>
        <b:Corporate>Department of Health</b:Corporate>
      </b:Author>
    </b:Author>
    <b:Title>NHS reference costs 2013-14</b:Title>
    <b:City>London</b:City>
    <b:Year>2014</b:Year>
    <b:Publisher>Department of Health</b:Publisher>
    <b:URL>https://www.gov.uk/government/uploads/system/uploads/attachment_data/file/380322/01_Final_2013-14_Reference_Costs_publication_v2.pdf</b:URL>
    <b:RefOrder>7</b:RefOrder>
  </b:Source>
  <b:Source>
    <b:Tag>Avi08</b:Tag>
    <b:SourceType>JournalArticle</b:SourceType>
    <b:Guid>{38AEEE5A-4993-4CEA-AA89-101348C1FA3E}</b:Guid>
    <b:Title>Frailty among community-dwelling elderly people in france: the three-city study</b:Title>
    <b:Year>2008</b:Year>
    <b:Publisher>The journals of gerontology. Series A, Biological sciences and medical sciences</b:Publisher>
    <b:Volume>63</b:Volume>
    <b:Issue>10</b:Issue>
    <b:Author>
      <b:Author>
        <b:NameList>
          <b:Person>
            <b:Last>Avila-Funes</b:Last>
            <b:First>JA</b:First>
          </b:Person>
          <b:Person>
            <b:Last>Helmer</b:Last>
            <b:First>C</b:First>
          </b:Person>
          <b:Person>
            <b:Last>Amieva</b:Last>
            <b:First>H</b:First>
          </b:Person>
          <b:Person>
            <b:Last>Barberger-Gateau</b:Last>
            <b:First>P</b:First>
          </b:Person>
          <b:Person>
            <b:Last>Le Goff</b:Last>
            <b:First>M</b:First>
          </b:Person>
          <b:Person>
            <b:Last>Ritchie</b:Last>
            <b:First>K</b:First>
          </b:Person>
          <b:Person>
            <b:Last>Portet</b:Last>
            <b:First>F</b:First>
          </b:Person>
          <b:Person>
            <b:Last>Carriere</b:Last>
            <b:First>I</b:First>
          </b:Person>
          <b:Person>
            <b:Last>Tavernier</b:Last>
            <b:First>B</b:First>
          </b:Person>
          <b:Person>
            <b:Last>Gutiérrez-Robledo</b:Last>
            <b:First>LM</b:First>
          </b:Person>
          <b:Person>
            <b:Last>Dartigues</b:Last>
            <b:First>JF</b:First>
          </b:Person>
        </b:NameList>
      </b:Author>
    </b:Author>
    <b:Pages>1089-1096</b:Pages>
    <b:RefOrder>8</b:RefOrder>
  </b:Source>
  <b:Source>
    <b:Tag>Ban06</b:Tag>
    <b:SourceType>JournalArticle</b:SourceType>
    <b:Guid>{E891E33F-7874-465A-9162-ABA99A567DCC}</b:Guid>
    <b:Author>
      <b:Author>
        <b:NameList>
          <b:Person>
            <b:Last>Bandeen-Roche</b:Last>
            <b:First>K.</b:First>
          </b:Person>
          <b:Person>
            <b:Last>Xue</b:Last>
            <b:First>Q.L.</b:First>
          </b:Person>
          <b:Person>
            <b:Last>Ferrucci</b:Last>
            <b:First>L.</b:First>
          </b:Person>
          <b:Person>
            <b:Last>al</b:Last>
            <b:First>et</b:First>
          </b:Person>
        </b:NameList>
      </b:Author>
    </b:Author>
    <b:Title>Phenotype of frailty: characterization in the women's health and aging studies</b:Title>
    <b:Year>2006</b:Year>
    <b:Volume>61</b:Volume>
    <b:Issue>3</b:Issue>
    <b:JournalName> J Gerontol A Biol Sci Med Sci</b:JournalName>
    <b:Pages>262-6</b:Pages>
    <b:RefOrder>9</b:RefOrder>
  </b:Source>
  <b:Source>
    <b:Tag>Coe15</b:Tag>
    <b:SourceType>JournalArticle</b:SourceType>
    <b:Guid>{C74A44D3-B752-41C8-A557-886088B83A52}</b:Guid>
    <b:Author>
      <b:Author>
        <b:NameList>
          <b:Person>
            <b:Last>Coelho</b:Last>
            <b:First>T.</b:First>
          </b:Person>
          <b:Person>
            <b:Last>Paúl</b:Last>
            <b:First>C.</b:First>
          </b:Person>
          <b:Person>
            <b:Last>Gobbens</b:Last>
            <b:First>R.</b:First>
            <b:Middle>J. J</b:Middle>
          </b:Person>
          <b:Person>
            <b:Last>Fernandes</b:Last>
            <b:First>L</b:First>
          </b:Person>
        </b:NameList>
      </b:Author>
    </b:Author>
    <b:Title>Multidimensional Frailty and Pain in Community Dwelling Elderly</b:Title>
    <b:Year>2015</b:Year>
    <b:JournalName>Pain Med.</b:JournalName>
    <b:RefOrder>10</b:RefOrder>
  </b:Source>
  <b:Source>
    <b:Tag>Jun</b:Tag>
    <b:SourceType>JournalArticle</b:SourceType>
    <b:Guid>{A915BEA9-E1F6-453C-BC53-A950B3E1A75A}</b:Guid>
    <b:Author>
      <b:Author>
        <b:NameList>
          <b:Person>
            <b:Last>Jung</b:Last>
            <b:First>H.-W.,</b:First>
            <b:Middle>Kim, S.-W., Ahn, S., Lim, J.-Y., Han, J.-W., Kim, T.-H., Kim, C.-H.</b:Middle>
          </b:Person>
        </b:NameList>
      </b:Author>
    </b:Author>
    <b:Title>Prevalence and Outcomes of Frailty in Korean Elderly Population: Comparisons of a Multidimensional Frailty Index with Two Phenotype Models</b:Title>
    <b:Volume>9</b:Volume>
    <b:Issue>2</b:Issue>
    <b:StandardNumber>e87958</b:StandardNumber>
    <b:JournalName>PLoS ONE</b:JournalName>
    <b:RefOrder>11</b:RefOrder>
  </b:Source>
  <b:Source>
    <b:Tag>Roc05</b:Tag>
    <b:SourceType>JournalArticle</b:SourceType>
    <b:Guid>{D01C000B-8FA1-4288-A33F-25A59AB8D245}</b:Guid>
    <b:Author>
      <b:Author>
        <b:NameList>
          <b:Person>
            <b:Last>Rockwood</b:Last>
            <b:First>K</b:First>
          </b:Person>
          <b:Person>
            <b:Last>Song</b:Last>
            <b:First>X</b:First>
          </b:Person>
          <b:Person>
            <b:Last>Mitnitski</b:Last>
            <b:First>A</b:First>
          </b:Person>
        </b:NameList>
      </b:Author>
    </b:Author>
    <b:Title>A global clinical measure of fitness and frailty in elderly people</b:Title>
    <b:Year>2005</b:Year>
    <b:Publisher>Canadian Medical Association Journal</b:Publisher>
    <b:Volume>173</b:Volume>
    <b:Issue>5</b:Issue>
    <b:Pages>489-495</b:Pages>
    <b:RefOrder>12</b:RefOrder>
  </b:Source>
  <b:Source>
    <b:Tag>Fri01</b:Tag>
    <b:SourceType>JournalArticle</b:SourceType>
    <b:Guid>{D6372A3E-3036-4956-87A1-D1762962A1E1}</b:Guid>
    <b:Author>
      <b:Author>
        <b:NameList>
          <b:Person>
            <b:Last>Fried</b:Last>
            <b:First>LP</b:First>
          </b:Person>
          <b:Person>
            <b:Last>Tangen</b:Last>
            <b:First>CM</b:First>
          </b:Person>
          <b:Person>
            <b:Last>Walston</b:Last>
            <b:First>J</b:First>
          </b:Person>
          <b:Person>
            <b:Last>Newman</b:Last>
            <b:First>AB</b:First>
          </b:Person>
          <b:Person>
            <b:Last>Hirsch</b:Last>
            <b:First>C</b:First>
          </b:Person>
          <b:Person>
            <b:Last>Gottdiener</b:Last>
            <b:First>J</b:First>
          </b:Person>
          <b:Person>
            <b:Last>Seeman</b:Last>
            <b:First>T</b:First>
          </b:Person>
          <b:Person>
            <b:Last>Tracy</b:Last>
            <b:First>R</b:First>
          </b:Person>
          <b:Person>
            <b:Last>Kop</b:Last>
            <b:First>WJ</b:First>
          </b:Person>
          <b:Person>
            <b:Last>Burke</b:Last>
            <b:First>G</b:First>
          </b:Person>
          <b:Person>
            <b:Last>McBurnie</b:Last>
            <b:First>MA</b:First>
          </b:Person>
        </b:NameList>
      </b:Author>
    </b:Author>
    <b:Title>Frailty in Older Adults: Evidence for a Phenotype</b:Title>
    <b:Year>2001</b:Year>
    <b:Publisher>Journal of Gerontology: Medical Sciences</b:Publisher>
    <b:Volume>56A</b:Volume>
    <b:Issue>3</b:Issue>
    <b:Pages>M146-M156</b:Pages>
    <b:RefOrder>13</b:RefOrder>
  </b:Source>
  <b:Source>
    <b:Tag>Soo15</b:Tag>
    <b:SourceType>JournalArticle</b:SourceType>
    <b:Guid>{223FAD2E-6429-43FB-8890-97262F9A4FA4}</b:Guid>
    <b:Title>Quantifying the prevalence of frailty in English hospitals</b:Title>
    <b:Year>2015</b:Year>
    <b:Volume>5</b:Volume>
    <b:Author>
      <b:Author>
        <b:NameList>
          <b:Person>
            <b:Last>Soong</b:Last>
            <b:First>J</b:First>
          </b:Person>
          <b:Person>
            <b:Last>Poots</b:Last>
            <b:First>AJ</b:First>
          </b:Person>
          <b:Person>
            <b:Last>Scott</b:Last>
            <b:First>S</b:First>
          </b:Person>
          <b:Person>
            <b:Last>Donald</b:Last>
            <b:First>K</b:First>
          </b:Person>
          <b:Person>
            <b:Last>Woodcock</b:Last>
            <b:First>T</b:First>
          </b:Person>
          <b:Person>
            <b:Last>Lovett</b:Last>
            <b:First>D</b:First>
          </b:Person>
          <b:Person>
            <b:Last>Bell</b:Last>
            <b:First>D</b:First>
          </b:Person>
        </b:NameList>
      </b:Author>
    </b:Author>
    <b:JournalName>BMJ Open</b:JournalName>
    <b:RefOrder>14</b:RefOrder>
  </b:Source>
  <b:Source>
    <b:Tag>Cle13</b:Tag>
    <b:SourceType>JournalArticle</b:SourceType>
    <b:Guid>{A3A599DF-1FE1-43F0-A6E2-2922A8DC070E}</b:Guid>
    <b:Author>
      <b:Author>
        <b:NameList>
          <b:Person>
            <b:Last>Clegg</b:Last>
            <b:First>A</b:First>
          </b:Person>
          <b:Person>
            <b:Last>Young</b:Last>
            <b:First>J</b:First>
          </b:Person>
          <b:Person>
            <b:Last>Iliffe</b:Last>
            <b:First>S</b:First>
          </b:Person>
          <b:Person>
            <b:Last>Rikkert</b:Last>
            <b:First>MO</b:First>
          </b:Person>
          <b:Person>
            <b:Last>Rockwood</b:Last>
            <b:First>K</b:First>
          </b:Person>
        </b:NameList>
      </b:Author>
    </b:Author>
    <b:Title>Frailty in Older People.</b:Title>
    <b:Year>2013</b:Year>
    <b:Volume>381</b:Volume>
    <b:Issue>9868</b:Issue>
    <b:JournalName>Lancet</b:JournalName>
    <b:Pages>751-762</b:Pages>
    <b:RefOrder>15</b:RefOrder>
  </b:Source>
  <b:Source>
    <b:Tag>NHS171</b:Tag>
    <b:SourceType>Misc</b:SourceType>
    <b:Guid>{CF6CF71D-1C4B-4D6C-8AF7-324366EA58D7}</b:Guid>
    <b:Author>
      <b:Author>
        <b:Corporate>NHS Digital</b:Corporate>
      </b:Author>
    </b:Author>
    <b:Title>Hospital Episode Statistics data 2015/16</b:Title>
    <b:Year>2017</b:Year>
    <b:RefOrder>16</b:RefOrder>
  </b:Source>
</b:Sources>
</file>

<file path=customXml/itemProps1.xml><?xml version="1.0" encoding="utf-8"?>
<ds:datastoreItem xmlns:ds="http://schemas.openxmlformats.org/officeDocument/2006/customXml" ds:itemID="{9656F073-D34F-4DB6-BA7F-EB559A37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5481</Words>
  <Characters>31190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Nuffield Trust</Company>
  <LinksUpToDate>false</LinksUpToDate>
  <CharactersWithSpaces>36598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Eilis Keeble</dc:creator>
  <cp:lastModifiedBy>Roberts H.C.</cp:lastModifiedBy>
  <cp:revision>5</cp:revision>
  <cp:lastPrinted>2018-06-14T14:02:00Z</cp:lastPrinted>
  <dcterms:created xsi:type="dcterms:W3CDTF">2019-02-26T13:27:00Z</dcterms:created>
  <dcterms:modified xsi:type="dcterms:W3CDTF">2019-02-26T13:30:00Z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zotero-version="5.0.56"&gt;&lt;session id="pb5snJYX"/&gt;&lt;style id="http://www.zotero.org/styles/vancouver" locale="en-GB" hasBibliography="1" bibliographyStyleHasBeenSet="1"/&gt;&lt;prefs&gt;&lt;pref name="fieldType" value="Field"/&gt;&lt;pref name="storeRef</vt:lpwstr>
  </property>
  <property fmtid="{D5CDD505-2E9C-101B-9397-08002B2CF9AE}" pid="3" name="ZOTERO_PREF_2">
    <vt:lpwstr>erences" value="true"/&gt;&lt;pref name="automaticJournalAbbreviations" value="true"/&gt;&lt;/prefs&gt;&lt;/data&gt;</vt:lpwstr>
  </property>
</Properties>
</file>