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77E0" w14:textId="77777777" w:rsidR="00BE6E99" w:rsidRPr="00CA158B" w:rsidRDefault="00BE6E99" w:rsidP="00BE6E99">
      <w:pPr>
        <w:pStyle w:val="Metadata"/>
        <w:spacing w:after="0"/>
        <w:rPr>
          <w:sz w:val="32"/>
          <w:lang w:val="en-CA"/>
        </w:rPr>
      </w:pPr>
      <w:r w:rsidRPr="00CA158B">
        <w:rPr>
          <w:sz w:val="32"/>
          <w:lang w:val="en-CA"/>
        </w:rPr>
        <w:t>Assessing the Longitudinal Stability of Latent Classes of Substance Use among Gay, Bisexual, and Other Men Who Have Sex with Men</w:t>
      </w:r>
    </w:p>
    <w:p w14:paraId="1B55C04B" w14:textId="77777777" w:rsidR="00BE6E99" w:rsidRDefault="00BE6E99" w:rsidP="00BE6E99">
      <w:pPr>
        <w:pStyle w:val="Metadata"/>
        <w:spacing w:after="0"/>
        <w:rPr>
          <w:i/>
        </w:rPr>
      </w:pPr>
    </w:p>
    <w:p w14:paraId="43BEB0A6" w14:textId="77777777" w:rsidR="00BE6E99" w:rsidRDefault="00BE6E99" w:rsidP="00BE6E99">
      <w:pPr>
        <w:pStyle w:val="Metadata"/>
        <w:spacing w:after="0"/>
        <w:rPr>
          <w:vertAlign w:val="superscript"/>
        </w:rPr>
      </w:pPr>
      <w:proofErr w:type="spellStart"/>
      <w:r w:rsidRPr="00D50E7C">
        <w:t>Kiffer</w:t>
      </w:r>
      <w:proofErr w:type="spellEnd"/>
      <w:r w:rsidRPr="00D50E7C">
        <w:t xml:space="preserve"> G. Card</w:t>
      </w:r>
      <w:r w:rsidRPr="00D50E7C">
        <w:rPr>
          <w:vertAlign w:val="superscript"/>
        </w:rPr>
        <w:t>1,2</w:t>
      </w:r>
      <w:r w:rsidRPr="00D50E7C">
        <w:t>, Heather L. Armstrong</w:t>
      </w:r>
      <w:r w:rsidRPr="00D50E7C">
        <w:rPr>
          <w:vertAlign w:val="superscript"/>
        </w:rPr>
        <w:t>1,3</w:t>
      </w:r>
      <w:r w:rsidRPr="00D50E7C">
        <w:t>, Allison Carter</w:t>
      </w:r>
      <w:r w:rsidRPr="00D50E7C">
        <w:rPr>
          <w:vertAlign w:val="superscript"/>
        </w:rPr>
        <w:t>1,2</w:t>
      </w:r>
      <w:r w:rsidRPr="00D50E7C">
        <w:t xml:space="preserve">, </w:t>
      </w:r>
      <w:proofErr w:type="spellStart"/>
      <w:r w:rsidRPr="00D50E7C">
        <w:t>Zishan</w:t>
      </w:r>
      <w:proofErr w:type="spellEnd"/>
      <w:r w:rsidRPr="00D50E7C">
        <w:t xml:space="preserve"> Cui</w:t>
      </w:r>
      <w:r w:rsidRPr="00D50E7C">
        <w:rPr>
          <w:vertAlign w:val="superscript"/>
        </w:rPr>
        <w:t>1</w:t>
      </w:r>
      <w:r w:rsidRPr="00D50E7C">
        <w:t>, Clara Wang</w:t>
      </w:r>
      <w:r w:rsidRPr="00D50E7C">
        <w:rPr>
          <w:vertAlign w:val="superscript"/>
        </w:rPr>
        <w:t>1</w:t>
      </w:r>
      <w:r w:rsidRPr="00D50E7C">
        <w:t>, Julia Zhu</w:t>
      </w:r>
      <w:r w:rsidRPr="00D50E7C">
        <w:rPr>
          <w:vertAlign w:val="superscript"/>
        </w:rPr>
        <w:t>1</w:t>
      </w:r>
      <w:r w:rsidRPr="00D50E7C">
        <w:t>, Nathan J. Lachowsky</w:t>
      </w:r>
      <w:r w:rsidRPr="00D50E7C">
        <w:rPr>
          <w:vertAlign w:val="superscript"/>
        </w:rPr>
        <w:t>1,4</w:t>
      </w:r>
      <w:r w:rsidRPr="00D50E7C">
        <w:t>, David M. Moore</w:t>
      </w:r>
      <w:r w:rsidRPr="00D50E7C">
        <w:rPr>
          <w:vertAlign w:val="superscript"/>
        </w:rPr>
        <w:t>1,3</w:t>
      </w:r>
      <w:r w:rsidRPr="00D50E7C">
        <w:t>, Robert S. Hogg</w:t>
      </w:r>
      <w:r w:rsidRPr="00D50E7C">
        <w:rPr>
          <w:vertAlign w:val="superscript"/>
        </w:rPr>
        <w:t>1,2</w:t>
      </w:r>
      <w:r w:rsidRPr="00D50E7C">
        <w:t>, Eric A. Roth</w:t>
      </w:r>
      <w:r w:rsidRPr="00D50E7C">
        <w:rPr>
          <w:vertAlign w:val="superscript"/>
        </w:rPr>
        <w:t>1,5</w:t>
      </w:r>
    </w:p>
    <w:p w14:paraId="058B9B03" w14:textId="77777777" w:rsidR="00BE6E99" w:rsidRDefault="00BE6E99" w:rsidP="00BE6E99">
      <w:pPr>
        <w:pStyle w:val="Metadata"/>
        <w:spacing w:after="0"/>
        <w:rPr>
          <w:vertAlign w:val="superscript"/>
        </w:rPr>
      </w:pPr>
    </w:p>
    <w:p w14:paraId="57C6793C" w14:textId="77777777" w:rsidR="00BE6E99" w:rsidRPr="00E06A95" w:rsidRDefault="00BE6E99" w:rsidP="00BE6E99">
      <w:pPr>
        <w:pStyle w:val="Metadata"/>
        <w:spacing w:after="0"/>
      </w:pPr>
      <w:r w:rsidRPr="00E06A95">
        <w:rPr>
          <w:vertAlign w:val="superscript"/>
        </w:rPr>
        <w:t xml:space="preserve">1 </w:t>
      </w:r>
      <w:r w:rsidRPr="00E06A95">
        <w:t xml:space="preserve">B.C. Centre for Excellence in HIV/AIDS, 608-1081 Burrard St, Vancouver, British Columbia, V6Z 1Y6, Canada </w:t>
      </w:r>
    </w:p>
    <w:p w14:paraId="7425E702" w14:textId="77777777" w:rsidR="00BE6E99" w:rsidRPr="00E06A95" w:rsidRDefault="00BE6E99" w:rsidP="00BE6E99">
      <w:pPr>
        <w:pStyle w:val="Metadata"/>
        <w:spacing w:after="0"/>
      </w:pPr>
      <w:r w:rsidRPr="00E06A95">
        <w:rPr>
          <w:vertAlign w:val="superscript"/>
        </w:rPr>
        <w:t xml:space="preserve">2 </w:t>
      </w:r>
      <w:r w:rsidRPr="00E06A95">
        <w:t xml:space="preserve">Faculty of Health Science, Simon Fraser University, 11300 </w:t>
      </w:r>
      <w:proofErr w:type="spellStart"/>
      <w:r w:rsidRPr="00E06A95">
        <w:t>Blusson</w:t>
      </w:r>
      <w:proofErr w:type="spellEnd"/>
      <w:r w:rsidRPr="00E06A95">
        <w:t xml:space="preserve"> Hall, 8888 University Drive, Burnaby, British Columbia, V5A 1S6, Canada </w:t>
      </w:r>
    </w:p>
    <w:p w14:paraId="6D1C2D5D" w14:textId="77777777" w:rsidR="00BE6E99" w:rsidRPr="00E06A95" w:rsidRDefault="00BE6E99" w:rsidP="00BE6E99">
      <w:pPr>
        <w:pStyle w:val="Metadata"/>
        <w:spacing w:after="0"/>
      </w:pPr>
      <w:r w:rsidRPr="00E06A95">
        <w:rPr>
          <w:vertAlign w:val="superscript"/>
        </w:rPr>
        <w:t xml:space="preserve">3 </w:t>
      </w:r>
      <w:r w:rsidRPr="00E06A95">
        <w:t>Faculty of Medicine, University of British Columbia,</w:t>
      </w:r>
      <w:r>
        <w:t xml:space="preserve"> </w:t>
      </w:r>
      <w:r w:rsidRPr="00E06A95">
        <w:t xml:space="preserve">317-2194 Health Sciences Mall, Vancouver, British Columbia V6T 1Z3, Canada </w:t>
      </w:r>
    </w:p>
    <w:p w14:paraId="6D052984" w14:textId="77777777" w:rsidR="00BE6E99" w:rsidRPr="00E06A95" w:rsidRDefault="00BE6E99" w:rsidP="00BE6E99">
      <w:pPr>
        <w:pStyle w:val="Metadata"/>
        <w:spacing w:after="0"/>
      </w:pPr>
      <w:r w:rsidRPr="00E06A95">
        <w:rPr>
          <w:vertAlign w:val="superscript"/>
        </w:rPr>
        <w:t xml:space="preserve">4 </w:t>
      </w:r>
      <w:r w:rsidRPr="00E06A95">
        <w:t xml:space="preserve">School of Public Health and Social Policy, University of Victoria, B202 HSD Building, Victoria, British Columbia, V8P 5C2, Canada </w:t>
      </w:r>
    </w:p>
    <w:p w14:paraId="7A1699F8" w14:textId="77777777" w:rsidR="00BE6E99" w:rsidRPr="00E06A95" w:rsidRDefault="00BE6E99" w:rsidP="00BE6E99">
      <w:pPr>
        <w:pStyle w:val="Metadata"/>
        <w:spacing w:after="0"/>
      </w:pPr>
      <w:r w:rsidRPr="00E06A95">
        <w:rPr>
          <w:vertAlign w:val="superscript"/>
        </w:rPr>
        <w:t xml:space="preserve">5 </w:t>
      </w:r>
      <w:r w:rsidRPr="00E06A95">
        <w:t xml:space="preserve">Department of Anthropology, University of Victoria, B228 Cornett Building, Victoria, British Columbia, V8P 5C2, Canada </w:t>
      </w:r>
    </w:p>
    <w:p w14:paraId="501DCA63" w14:textId="77777777" w:rsidR="00BE6E99" w:rsidRPr="00E06A95" w:rsidRDefault="00BE6E99" w:rsidP="00BE6E99">
      <w:pPr>
        <w:pStyle w:val="Metadata"/>
        <w:spacing w:after="0"/>
        <w:rPr>
          <w:b/>
        </w:rPr>
      </w:pPr>
    </w:p>
    <w:p w14:paraId="21EA0538" w14:textId="77777777" w:rsidR="00BE6E99" w:rsidRPr="00E06A95" w:rsidRDefault="00BE6E99" w:rsidP="00BE6E99">
      <w:pPr>
        <w:pStyle w:val="Metadata"/>
        <w:spacing w:after="0"/>
        <w:rPr>
          <w:b/>
        </w:rPr>
      </w:pPr>
      <w:r w:rsidRPr="00E06A95">
        <w:rPr>
          <w:b/>
        </w:rPr>
        <w:t>Email</w:t>
      </w:r>
      <w:r>
        <w:rPr>
          <w:b/>
        </w:rPr>
        <w:t xml:space="preserve"> Addresses:</w:t>
      </w:r>
    </w:p>
    <w:p w14:paraId="29D6F33C" w14:textId="77777777" w:rsidR="00BE6E99" w:rsidRPr="00E06A95" w:rsidRDefault="00BE6E99" w:rsidP="00BE6E99">
      <w:pPr>
        <w:pStyle w:val="Metadata"/>
        <w:spacing w:after="0"/>
      </w:pPr>
      <w:r w:rsidRPr="00E06A95">
        <w:rPr>
          <w:bCs/>
          <w:vertAlign w:val="superscript"/>
        </w:rPr>
        <w:t xml:space="preserve">§ </w:t>
      </w:r>
      <w:proofErr w:type="spellStart"/>
      <w:r w:rsidRPr="00E06A95">
        <w:t>Kiffer</w:t>
      </w:r>
      <w:proofErr w:type="spellEnd"/>
      <w:r w:rsidRPr="00E06A95">
        <w:t xml:space="preserve"> G. Card, </w:t>
      </w:r>
      <w:hyperlink r:id="rId8" w:history="1">
        <w:r w:rsidRPr="00E06A95">
          <w:rPr>
            <w:rStyle w:val="Hyperlink"/>
          </w:rPr>
          <w:t>kcard@sfu.ca</w:t>
        </w:r>
      </w:hyperlink>
      <w:r w:rsidRPr="00E06A95">
        <w:t xml:space="preserve"> </w:t>
      </w:r>
    </w:p>
    <w:p w14:paraId="363E1FFC" w14:textId="77777777" w:rsidR="00BE6E99" w:rsidRPr="00D50E7C" w:rsidRDefault="00BE6E99" w:rsidP="00BE6E99">
      <w:pPr>
        <w:pStyle w:val="Heading2"/>
        <w:spacing w:before="0" w:after="0"/>
        <w:ind w:firstLine="720"/>
        <w:rPr>
          <w:rFonts w:ascii="Times New Roman" w:hAnsi="Times New Roman" w:cs="Times New Roman"/>
          <w:b w:val="0"/>
        </w:rPr>
      </w:pPr>
      <w:r w:rsidRPr="00E06A95">
        <w:rPr>
          <w:rFonts w:ascii="Times New Roman" w:hAnsi="Times New Roman" w:cs="Times New Roman"/>
          <w:b w:val="0"/>
          <w:bCs/>
          <w:vertAlign w:val="superscript"/>
        </w:rPr>
        <w:t>§</w:t>
      </w:r>
      <w:r w:rsidRPr="00E06A95">
        <w:rPr>
          <w:rFonts w:ascii="Times New Roman" w:hAnsi="Times New Roman" w:cs="Times New Roman"/>
          <w:b w:val="0"/>
        </w:rPr>
        <w:t>Corresponding Author</w:t>
      </w:r>
    </w:p>
    <w:p w14:paraId="085DE290" w14:textId="77777777" w:rsidR="00BE6E99" w:rsidRPr="00E06A95" w:rsidRDefault="00BE6E99" w:rsidP="00BE6E99">
      <w:pPr>
        <w:pStyle w:val="Metadata"/>
        <w:spacing w:after="0"/>
      </w:pPr>
      <w:r w:rsidRPr="00E06A95">
        <w:t xml:space="preserve">Heather L. Armstrong, </w:t>
      </w:r>
      <w:hyperlink r:id="rId9" w:history="1">
        <w:r w:rsidRPr="00E06A95">
          <w:rPr>
            <w:rStyle w:val="Hyperlink"/>
          </w:rPr>
          <w:t>harmstrong@cfenet.ubc.ca</w:t>
        </w:r>
      </w:hyperlink>
      <w:r w:rsidRPr="00E06A95">
        <w:t xml:space="preserve"> </w:t>
      </w:r>
    </w:p>
    <w:p w14:paraId="14C963E4" w14:textId="77777777" w:rsidR="00BE6E99" w:rsidRPr="00E06A95" w:rsidRDefault="00BE6E99" w:rsidP="00BE6E99">
      <w:pPr>
        <w:pStyle w:val="Metadata"/>
        <w:spacing w:after="0"/>
      </w:pPr>
      <w:r w:rsidRPr="00E06A95">
        <w:t xml:space="preserve">Allison Carter, </w:t>
      </w:r>
      <w:hyperlink r:id="rId10" w:history="1">
        <w:r w:rsidRPr="00E06A95">
          <w:rPr>
            <w:rStyle w:val="Hyperlink"/>
          </w:rPr>
          <w:t>allison_carter@sfu.ca</w:t>
        </w:r>
      </w:hyperlink>
      <w:r w:rsidRPr="00E06A95">
        <w:t xml:space="preserve"> </w:t>
      </w:r>
    </w:p>
    <w:p w14:paraId="0D09D070" w14:textId="77777777" w:rsidR="00BE6E99" w:rsidRPr="00E06A95" w:rsidRDefault="00BE6E99" w:rsidP="00BE6E99">
      <w:pPr>
        <w:pStyle w:val="Metadata"/>
        <w:spacing w:after="0"/>
      </w:pPr>
      <w:proofErr w:type="spellStart"/>
      <w:r w:rsidRPr="00E06A95">
        <w:t>Zishan</w:t>
      </w:r>
      <w:proofErr w:type="spellEnd"/>
      <w:r w:rsidRPr="00E06A95">
        <w:t xml:space="preserve"> Cui, </w:t>
      </w:r>
      <w:hyperlink r:id="rId11" w:history="1">
        <w:r w:rsidRPr="00E06A95">
          <w:rPr>
            <w:rStyle w:val="Hyperlink"/>
          </w:rPr>
          <w:t>zcui@cfenet.ubc.ca</w:t>
        </w:r>
      </w:hyperlink>
      <w:r w:rsidRPr="00E06A95">
        <w:t xml:space="preserve"> </w:t>
      </w:r>
    </w:p>
    <w:p w14:paraId="4C8E0B6A" w14:textId="77777777" w:rsidR="00BE6E99" w:rsidRPr="00E06A95" w:rsidRDefault="00BE6E99" w:rsidP="00BE6E99">
      <w:pPr>
        <w:pStyle w:val="Metadata"/>
        <w:spacing w:after="0"/>
      </w:pPr>
      <w:r w:rsidRPr="00E06A95">
        <w:t xml:space="preserve">Clara Wang, </w:t>
      </w:r>
      <w:hyperlink r:id="rId12" w:history="1">
        <w:r w:rsidRPr="00E06A95">
          <w:rPr>
            <w:rStyle w:val="Hyperlink"/>
          </w:rPr>
          <w:t>cwang@cfenet.ubc.ca</w:t>
        </w:r>
      </w:hyperlink>
      <w:r w:rsidRPr="00E06A95">
        <w:t xml:space="preserve"> </w:t>
      </w:r>
    </w:p>
    <w:p w14:paraId="0058BA3A" w14:textId="77777777" w:rsidR="00BE6E99" w:rsidRPr="00E06A95" w:rsidRDefault="00BE6E99" w:rsidP="00BE6E99">
      <w:pPr>
        <w:pStyle w:val="Metadata"/>
        <w:spacing w:after="0"/>
      </w:pPr>
      <w:r w:rsidRPr="00E06A95">
        <w:t xml:space="preserve">Julia Zhu, </w:t>
      </w:r>
      <w:hyperlink r:id="rId13" w:history="1">
        <w:r w:rsidRPr="00E06A95">
          <w:rPr>
            <w:rStyle w:val="Hyperlink"/>
          </w:rPr>
          <w:t>jzhu@cfenet.ubc.ca</w:t>
        </w:r>
      </w:hyperlink>
      <w:r w:rsidRPr="00E06A95">
        <w:t xml:space="preserve"> </w:t>
      </w:r>
    </w:p>
    <w:p w14:paraId="66ECF8F1" w14:textId="77777777" w:rsidR="00BE6E99" w:rsidRPr="00E06A95" w:rsidRDefault="00BE6E99" w:rsidP="00BE6E99">
      <w:pPr>
        <w:pStyle w:val="Metadata"/>
        <w:spacing w:after="0"/>
      </w:pPr>
      <w:r w:rsidRPr="00E06A95">
        <w:t xml:space="preserve">Nathan J. </w:t>
      </w:r>
      <w:proofErr w:type="spellStart"/>
      <w:r w:rsidRPr="00E06A95">
        <w:t>Lachowsky</w:t>
      </w:r>
      <w:proofErr w:type="spellEnd"/>
      <w:r w:rsidRPr="00E06A95">
        <w:t xml:space="preserve"> </w:t>
      </w:r>
      <w:hyperlink r:id="rId14" w:history="1">
        <w:r w:rsidRPr="00E06A95">
          <w:rPr>
            <w:rStyle w:val="Hyperlink"/>
          </w:rPr>
          <w:t>nlachowsky@uvic.ca</w:t>
        </w:r>
      </w:hyperlink>
      <w:r w:rsidRPr="00E06A95">
        <w:t xml:space="preserve"> </w:t>
      </w:r>
    </w:p>
    <w:p w14:paraId="2C172665" w14:textId="77777777" w:rsidR="00BE6E99" w:rsidRPr="00E06A95" w:rsidRDefault="00BE6E99" w:rsidP="00BE6E99">
      <w:pPr>
        <w:pStyle w:val="Metadata"/>
        <w:spacing w:after="0"/>
      </w:pPr>
      <w:r w:rsidRPr="00E06A95">
        <w:t xml:space="preserve">David M. Moore, </w:t>
      </w:r>
      <w:hyperlink r:id="rId15" w:history="1">
        <w:r w:rsidRPr="00E06A95">
          <w:rPr>
            <w:rStyle w:val="Hyperlink"/>
          </w:rPr>
          <w:t>dmoore@cfenet.ubc.ca</w:t>
        </w:r>
      </w:hyperlink>
      <w:r w:rsidRPr="00E06A95">
        <w:t xml:space="preserve"> </w:t>
      </w:r>
    </w:p>
    <w:p w14:paraId="0F28C7B0" w14:textId="77777777" w:rsidR="00BE6E99" w:rsidRPr="00E06A95" w:rsidRDefault="00BE6E99" w:rsidP="00BE6E99">
      <w:pPr>
        <w:pStyle w:val="Metadata"/>
        <w:spacing w:after="0"/>
      </w:pPr>
      <w:r w:rsidRPr="00E06A95">
        <w:t xml:space="preserve">Robert S. Hogg, </w:t>
      </w:r>
      <w:hyperlink r:id="rId16" w:history="1">
        <w:r w:rsidRPr="00E06A95">
          <w:rPr>
            <w:rStyle w:val="Hyperlink"/>
          </w:rPr>
          <w:t>rhogg@sfu.ca</w:t>
        </w:r>
      </w:hyperlink>
      <w:r w:rsidRPr="00E06A95">
        <w:t xml:space="preserve"> </w:t>
      </w:r>
    </w:p>
    <w:p w14:paraId="2A8159FE" w14:textId="77777777" w:rsidR="00BE6E99" w:rsidRPr="00E06A95" w:rsidRDefault="00BE6E99" w:rsidP="00BE6E99">
      <w:pPr>
        <w:pStyle w:val="Metadata"/>
        <w:spacing w:after="0"/>
      </w:pPr>
      <w:r w:rsidRPr="00E06A95">
        <w:t xml:space="preserve">Eric A. Roth, </w:t>
      </w:r>
      <w:hyperlink r:id="rId17" w:history="1">
        <w:r w:rsidRPr="00E06A95">
          <w:rPr>
            <w:rStyle w:val="Hyperlink"/>
          </w:rPr>
          <w:t>ericroth@uvic.ca</w:t>
        </w:r>
      </w:hyperlink>
      <w:r w:rsidRPr="00E06A95">
        <w:t xml:space="preserve"> </w:t>
      </w:r>
    </w:p>
    <w:p w14:paraId="3F6641CF" w14:textId="77777777" w:rsidR="00BE6E99" w:rsidRPr="00E06A95" w:rsidRDefault="00BE6E99" w:rsidP="00BE6E99">
      <w:pPr>
        <w:spacing w:after="0" w:line="240" w:lineRule="auto"/>
        <w:rPr>
          <w:rFonts w:cs="Times New Roman"/>
        </w:rPr>
      </w:pPr>
    </w:p>
    <w:p w14:paraId="50F7888D" w14:textId="77777777" w:rsidR="00BE6E99" w:rsidRDefault="00BE6E99" w:rsidP="00BE6E99">
      <w:pPr>
        <w:spacing w:after="0" w:line="240" w:lineRule="auto"/>
        <w:rPr>
          <w:rFonts w:cs="Times New Roman"/>
          <w:b/>
          <w:bCs/>
        </w:rPr>
      </w:pPr>
      <w:r w:rsidRPr="00E06A95">
        <w:rPr>
          <w:rFonts w:cs="Times New Roman"/>
          <w:b/>
          <w:bCs/>
        </w:rPr>
        <w:t>Disclosures</w:t>
      </w:r>
    </w:p>
    <w:p w14:paraId="433E67B5" w14:textId="77777777" w:rsidR="00BE6E99" w:rsidRDefault="00BE6E99" w:rsidP="00BE6E99">
      <w:pPr>
        <w:spacing w:after="0" w:line="240" w:lineRule="auto"/>
        <w:rPr>
          <w:rFonts w:cs="Times New Roman"/>
          <w:bCs/>
        </w:rPr>
      </w:pPr>
      <w:bookmarkStart w:id="0" w:name="_Hlk506929122"/>
      <w:r>
        <w:rPr>
          <w:rFonts w:cs="Times New Roman"/>
          <w:bCs/>
        </w:rPr>
        <w:t>A</w:t>
      </w:r>
      <w:r w:rsidRPr="00476DCB">
        <w:rPr>
          <w:rFonts w:cs="Times New Roman"/>
          <w:bCs/>
        </w:rPr>
        <w:t xml:space="preserve">ll authors have approved the final </w:t>
      </w:r>
      <w:r>
        <w:rPr>
          <w:rFonts w:cs="Times New Roman"/>
          <w:bCs/>
        </w:rPr>
        <w:t>manuscript before submission and declare that we</w:t>
      </w:r>
      <w:r w:rsidRPr="00E06A95">
        <w:rPr>
          <w:rFonts w:cs="Times New Roman"/>
          <w:bCs/>
        </w:rPr>
        <w:t xml:space="preserve"> have no competing interests and </w:t>
      </w:r>
      <w:r>
        <w:rPr>
          <w:rFonts w:cs="Times New Roman"/>
          <w:bCs/>
        </w:rPr>
        <w:t xml:space="preserve">that </w:t>
      </w:r>
      <w:r w:rsidRPr="00E06A95">
        <w:rPr>
          <w:rFonts w:cs="Times New Roman"/>
          <w:bCs/>
        </w:rPr>
        <w:t>this manuscript is not under consideration at any other journal.</w:t>
      </w:r>
    </w:p>
    <w:bookmarkEnd w:id="0"/>
    <w:p w14:paraId="4C1D6677" w14:textId="77777777" w:rsidR="00BE6E99" w:rsidRPr="00E06A95" w:rsidRDefault="00BE6E99" w:rsidP="00BE6E99">
      <w:pPr>
        <w:spacing w:after="0" w:line="240" w:lineRule="auto"/>
        <w:rPr>
          <w:rFonts w:cs="Times New Roman"/>
          <w:bCs/>
        </w:rPr>
      </w:pPr>
    </w:p>
    <w:p w14:paraId="1EF0C9A9" w14:textId="77777777" w:rsidR="00BE6E99" w:rsidRDefault="00BE6E99" w:rsidP="00BE6E99">
      <w:pPr>
        <w:spacing w:after="0" w:line="240" w:lineRule="auto"/>
        <w:rPr>
          <w:rFonts w:cs="Times New Roman"/>
          <w:b/>
          <w:bCs/>
        </w:rPr>
      </w:pPr>
      <w:r w:rsidRPr="00E06A95">
        <w:rPr>
          <w:rFonts w:cs="Times New Roman"/>
          <w:b/>
          <w:bCs/>
        </w:rPr>
        <w:t>Declarations of Interest</w:t>
      </w:r>
    </w:p>
    <w:p w14:paraId="1675177D" w14:textId="77777777" w:rsidR="00BE6E99" w:rsidRPr="00E06A95" w:rsidRDefault="00BE6E99" w:rsidP="00BE6E99">
      <w:pPr>
        <w:spacing w:after="0" w:line="240" w:lineRule="auto"/>
        <w:rPr>
          <w:rFonts w:cs="Times New Roman"/>
          <w:b/>
          <w:bCs/>
        </w:rPr>
      </w:pPr>
      <w:r w:rsidRPr="00E06A95">
        <w:rPr>
          <w:rFonts w:cs="Times New Roman"/>
          <w:bCs/>
        </w:rPr>
        <w:t>None.</w:t>
      </w:r>
    </w:p>
    <w:p w14:paraId="2512C7A4" w14:textId="77777777" w:rsidR="00BE6E99" w:rsidRPr="00E06A95" w:rsidRDefault="00BE6E99" w:rsidP="00BE6E99">
      <w:pPr>
        <w:pStyle w:val="Metadata"/>
        <w:spacing w:after="0"/>
      </w:pPr>
    </w:p>
    <w:p w14:paraId="5C819F04" w14:textId="77777777" w:rsidR="00BE6E99" w:rsidRPr="00E06A95" w:rsidRDefault="00BE6E99" w:rsidP="00BE6E99">
      <w:pPr>
        <w:spacing w:after="0" w:line="240" w:lineRule="auto"/>
        <w:rPr>
          <w:rFonts w:cs="Times New Roman"/>
        </w:rPr>
      </w:pPr>
    </w:p>
    <w:p w14:paraId="646C1EF3" w14:textId="77777777" w:rsidR="00BE6E99" w:rsidRDefault="00BE6E99" w:rsidP="0047548F">
      <w:pPr>
        <w:pStyle w:val="Heading1"/>
        <w:rPr>
          <w:rFonts w:ascii="Times New Roman" w:hAnsi="Times New Roman" w:cs="Times New Roman"/>
        </w:rPr>
      </w:pPr>
    </w:p>
    <w:p w14:paraId="5B5778B4" w14:textId="77777777" w:rsidR="00BE6E99" w:rsidRDefault="00BE6E99" w:rsidP="0047548F">
      <w:pPr>
        <w:pStyle w:val="Heading1"/>
        <w:rPr>
          <w:rFonts w:ascii="Times New Roman" w:hAnsi="Times New Roman" w:cs="Times New Roman"/>
        </w:rPr>
      </w:pPr>
    </w:p>
    <w:p w14:paraId="380A26BD" w14:textId="77777777" w:rsidR="00BE6E99" w:rsidRDefault="00BE6E99" w:rsidP="0047548F">
      <w:pPr>
        <w:pStyle w:val="Heading1"/>
        <w:rPr>
          <w:rFonts w:ascii="Times New Roman" w:hAnsi="Times New Roman" w:cs="Times New Roman"/>
        </w:rPr>
      </w:pPr>
    </w:p>
    <w:p w14:paraId="3812CA01" w14:textId="45BE7E90" w:rsidR="00AC53AF" w:rsidRPr="00CA4BCA" w:rsidRDefault="00AC53AF" w:rsidP="0047548F">
      <w:pPr>
        <w:pStyle w:val="Heading1"/>
        <w:rPr>
          <w:rFonts w:ascii="Times New Roman" w:hAnsi="Times New Roman" w:cs="Times New Roman"/>
        </w:rPr>
      </w:pPr>
      <w:r w:rsidRPr="00CA4BCA">
        <w:rPr>
          <w:rFonts w:ascii="Times New Roman" w:hAnsi="Times New Roman" w:cs="Times New Roman"/>
        </w:rPr>
        <w:lastRenderedPageBreak/>
        <w:t>ABSTRACT</w:t>
      </w:r>
    </w:p>
    <w:p w14:paraId="67129D77" w14:textId="7D5C54D7" w:rsidR="007E69C5" w:rsidRPr="00CA4BCA" w:rsidRDefault="007E69C5" w:rsidP="007E69C5">
      <w:pPr>
        <w:rPr>
          <w:rFonts w:cs="Times New Roman"/>
        </w:rPr>
      </w:pPr>
      <w:r w:rsidRPr="00CA4BCA">
        <w:rPr>
          <w:rFonts w:cs="Times New Roman"/>
          <w:b/>
        </w:rPr>
        <w:t>Background:</w:t>
      </w:r>
      <w:r w:rsidRPr="00CA4BCA">
        <w:rPr>
          <w:rFonts w:cs="Times New Roman"/>
        </w:rPr>
        <w:t xml:space="preserve"> Association between substance use and HIV-risk among gay and bisexual </w:t>
      </w:r>
      <w:r w:rsidR="00447C10">
        <w:rPr>
          <w:rFonts w:cs="Times New Roman"/>
        </w:rPr>
        <w:t xml:space="preserve">men </w:t>
      </w:r>
      <w:r w:rsidRPr="00CA4BCA">
        <w:rPr>
          <w:rFonts w:cs="Times New Roman"/>
        </w:rPr>
        <w:t xml:space="preserve">(GBM) is well documented. However, their substance use patterns are diverse and it is unknown whether self-reported use patterns are </w:t>
      </w:r>
      <w:r w:rsidR="00392D49">
        <w:rPr>
          <w:rFonts w:cs="Times New Roman"/>
        </w:rPr>
        <w:t>stable over time</w:t>
      </w:r>
      <w:r w:rsidRPr="00CA4BCA">
        <w:rPr>
          <w:rFonts w:cs="Times New Roman"/>
        </w:rPr>
        <w:t xml:space="preserve">. </w:t>
      </w:r>
    </w:p>
    <w:p w14:paraId="502FCD59" w14:textId="73805E11" w:rsidR="007E69C5" w:rsidRPr="00CA4BCA" w:rsidRDefault="007E69C5" w:rsidP="007E69C5">
      <w:pPr>
        <w:rPr>
          <w:rFonts w:cs="Times New Roman"/>
        </w:rPr>
      </w:pPr>
      <w:r w:rsidRPr="00CA4BCA">
        <w:rPr>
          <w:rFonts w:cs="Times New Roman"/>
          <w:b/>
        </w:rPr>
        <w:t>Methods:</w:t>
      </w:r>
      <w:r w:rsidRPr="00CA4BCA">
        <w:rPr>
          <w:rFonts w:cs="Times New Roman"/>
        </w:rPr>
        <w:t xml:space="preserve"> Sexually-active GBM, aged </w:t>
      </w:r>
      <w:r w:rsidRPr="00CA4BCA">
        <w:rPr>
          <w:rFonts w:cs="Times New Roman"/>
          <w:u w:val="single"/>
        </w:rPr>
        <w:t>&gt;</w:t>
      </w:r>
      <w:r w:rsidRPr="00CA4BCA">
        <w:rPr>
          <w:rFonts w:cs="Times New Roman"/>
        </w:rPr>
        <w:t xml:space="preserve">16 years, were recruited in Metro Vancouver using respondent-driven sampling and followed across 5 study visits at six-month intervals (n=449). </w:t>
      </w:r>
      <w:r w:rsidR="006C0DAB">
        <w:rPr>
          <w:rFonts w:cs="Times New Roman"/>
        </w:rPr>
        <w:t>To i</w:t>
      </w:r>
      <w:r w:rsidRPr="00CA4BCA">
        <w:rPr>
          <w:rFonts w:cs="Times New Roman"/>
        </w:rPr>
        <w:t>dentify distinct patterns of substance use and their longitudinal stability, Latent Transition Analysis (LTA) was conducted for drugs reported by at least 30 participants. Intraclass correlation coefficients (ICC) quantified the stability of class assignments.</w:t>
      </w:r>
    </w:p>
    <w:p w14:paraId="54E5B77B" w14:textId="4901ADEE" w:rsidR="007E69C5" w:rsidRPr="00CA4BCA" w:rsidRDefault="007E69C5" w:rsidP="007E69C5">
      <w:pPr>
        <w:rPr>
          <w:rFonts w:cs="Times New Roman"/>
        </w:rPr>
      </w:pPr>
      <w:r w:rsidRPr="00CA4BCA">
        <w:rPr>
          <w:rFonts w:cs="Times New Roman"/>
          <w:b/>
        </w:rPr>
        <w:t>Results:</w:t>
      </w:r>
      <w:r w:rsidRPr="00CA4BCA">
        <w:rPr>
          <w:rFonts w:cs="Times New Roman"/>
        </w:rPr>
        <w:t xml:space="preserve"> Six classes characterizing ‘limited drug use’ (i.e., low use of all drugs, except alcohol), ‘conventional drug use’ (i.e., use of alcohol, marijuana, and tobacco), ‘club drug use' (i.e., use of alcohol, cocaine, and psychedelics), 'sex drug use’ (i.e., use of alcohol, crystal meth, GHB, poppers, and erectile dysfunction drugs), 'street drug use' (i.e., use of alcohol and street opioids) and ‘assorted drug use’ (i.e., use of most drugs) were identified. Across five visits (2.5 years), 26.3% (n=118/449) of GBM transitioned between classes. The prevalence of limited use trended upwards (Baseline:24.5%, Visit 5:28.3%, p&lt;0.0001) and assorted use trended downwards (13.4% to 9.6%, p=0.001). All classes had strong longitudinal stability (ICC</w:t>
      </w:r>
      <w:r w:rsidRPr="00CA4BCA">
        <w:rPr>
          <w:rFonts w:cs="Times New Roman"/>
          <w:u w:val="single"/>
        </w:rPr>
        <w:t>&gt;</w:t>
      </w:r>
      <w:r w:rsidRPr="00CA4BCA">
        <w:rPr>
          <w:rFonts w:cs="Times New Roman"/>
        </w:rPr>
        <w:t xml:space="preserve">0.97). </w:t>
      </w:r>
    </w:p>
    <w:p w14:paraId="0BBCD5F5" w14:textId="239B184E" w:rsidR="007E69C5" w:rsidRPr="00CA4BCA" w:rsidRDefault="007E69C5" w:rsidP="007E69C5">
      <w:pPr>
        <w:rPr>
          <w:rFonts w:cs="Times New Roman"/>
          <w:b/>
        </w:rPr>
      </w:pPr>
      <w:bookmarkStart w:id="1" w:name="_Hlk510957495"/>
      <w:r w:rsidRPr="00CA4BCA">
        <w:rPr>
          <w:rFonts w:cs="Times New Roman"/>
          <w:b/>
        </w:rPr>
        <w:t xml:space="preserve">Conclusion: </w:t>
      </w:r>
      <w:r w:rsidR="00276F00" w:rsidRPr="00276F00">
        <w:rPr>
          <w:rFonts w:cs="Times New Roman"/>
        </w:rPr>
        <w:t>Stability of latent substance use patterns highlight the reliability of these measures in identifying patterns of substance use among people who use drugs – potentially allowing for better assessment of these groups and interventions related to their health</w:t>
      </w:r>
      <w:r w:rsidR="00276F00">
        <w:rPr>
          <w:rFonts w:cs="Times New Roman"/>
        </w:rPr>
        <w:t xml:space="preserve">. </w:t>
      </w:r>
    </w:p>
    <w:bookmarkEnd w:id="1"/>
    <w:p w14:paraId="66297F52" w14:textId="4EE51058" w:rsidR="00AB2EA2" w:rsidRDefault="00AB2EA2" w:rsidP="0047548F">
      <w:pPr>
        <w:pStyle w:val="Heading2"/>
        <w:rPr>
          <w:rFonts w:ascii="Times New Roman" w:hAnsi="Times New Roman" w:cs="Times New Roman"/>
          <w:b w:val="0"/>
        </w:rPr>
      </w:pPr>
      <w:r w:rsidRPr="00CA4BCA">
        <w:rPr>
          <w:rFonts w:ascii="Times New Roman" w:hAnsi="Times New Roman" w:cs="Times New Roman"/>
        </w:rPr>
        <w:t>Keywords</w:t>
      </w:r>
      <w:r w:rsidR="0001794A" w:rsidRPr="00CA4BCA">
        <w:rPr>
          <w:rFonts w:ascii="Times New Roman" w:hAnsi="Times New Roman" w:cs="Times New Roman"/>
        </w:rPr>
        <w:t xml:space="preserve">: </w:t>
      </w:r>
      <w:r w:rsidR="0001794A" w:rsidRPr="00CA4BCA">
        <w:rPr>
          <w:rFonts w:ascii="Times New Roman" w:hAnsi="Times New Roman" w:cs="Times New Roman"/>
          <w:b w:val="0"/>
        </w:rPr>
        <w:t>Latent Transition Analysis, Subst</w:t>
      </w:r>
      <w:r w:rsidR="00A05CB4" w:rsidRPr="00CA4BCA">
        <w:rPr>
          <w:rFonts w:ascii="Times New Roman" w:hAnsi="Times New Roman" w:cs="Times New Roman"/>
          <w:b w:val="0"/>
        </w:rPr>
        <w:t>ance Use, Gay and Bisexual Men</w:t>
      </w:r>
    </w:p>
    <w:p w14:paraId="44B0ED97" w14:textId="529789BA" w:rsidR="00E359F0" w:rsidRDefault="00E359F0" w:rsidP="00E359F0">
      <w:pPr>
        <w:rPr>
          <w:lang w:val="en-CA"/>
        </w:rPr>
      </w:pPr>
    </w:p>
    <w:p w14:paraId="781AEA2C" w14:textId="77777777" w:rsidR="00E359F0" w:rsidRPr="00854CF8" w:rsidRDefault="00E359F0" w:rsidP="00E359F0">
      <w:pPr>
        <w:rPr>
          <w:rFonts w:cs="Times New Roman"/>
          <w:b/>
        </w:rPr>
      </w:pPr>
      <w:r w:rsidRPr="00854CF8">
        <w:rPr>
          <w:rFonts w:cs="Times New Roman"/>
          <w:b/>
        </w:rPr>
        <w:lastRenderedPageBreak/>
        <w:t>Highlights</w:t>
      </w:r>
    </w:p>
    <w:p w14:paraId="3B96831C" w14:textId="77777777" w:rsidR="00E359F0" w:rsidRDefault="00E359F0" w:rsidP="00E359F0">
      <w:pPr>
        <w:pStyle w:val="ListParagraph"/>
        <w:numPr>
          <w:ilvl w:val="0"/>
          <w:numId w:val="19"/>
        </w:numPr>
        <w:spacing w:after="160" w:line="259" w:lineRule="auto"/>
        <w:jc w:val="left"/>
        <w:rPr>
          <w:rFonts w:cs="Times New Roman"/>
        </w:rPr>
      </w:pPr>
      <w:r>
        <w:rPr>
          <w:rFonts w:cs="Times New Roman"/>
        </w:rPr>
        <w:t xml:space="preserve">Heterogenous patterns of substance use among gay and bisexual men were observed. </w:t>
      </w:r>
    </w:p>
    <w:p w14:paraId="18309D05" w14:textId="77777777" w:rsidR="00E359F0" w:rsidRPr="00854CF8" w:rsidRDefault="00E359F0" w:rsidP="00E359F0">
      <w:pPr>
        <w:pStyle w:val="ListParagraph"/>
        <w:numPr>
          <w:ilvl w:val="0"/>
          <w:numId w:val="19"/>
        </w:numPr>
        <w:spacing w:after="160" w:line="259" w:lineRule="auto"/>
        <w:jc w:val="left"/>
        <w:rPr>
          <w:rFonts w:cs="Times New Roman"/>
        </w:rPr>
      </w:pPr>
      <w:r>
        <w:rPr>
          <w:rFonts w:cs="Times New Roman"/>
        </w:rPr>
        <w:t>Substance use latent classes were generally</w:t>
      </w:r>
      <w:r w:rsidRPr="00854CF8">
        <w:rPr>
          <w:rFonts w:cs="Times New Roman"/>
        </w:rPr>
        <w:t xml:space="preserve"> </w:t>
      </w:r>
      <w:r>
        <w:rPr>
          <w:rFonts w:cs="Times New Roman"/>
        </w:rPr>
        <w:t>stable over</w:t>
      </w:r>
      <w:r w:rsidRPr="00854CF8">
        <w:rPr>
          <w:rFonts w:cs="Times New Roman"/>
        </w:rPr>
        <w:t xml:space="preserve"> </w:t>
      </w:r>
      <w:r>
        <w:rPr>
          <w:rFonts w:cs="Times New Roman"/>
        </w:rPr>
        <w:t>2.5 years of follow-up</w:t>
      </w:r>
      <w:r w:rsidRPr="00854CF8">
        <w:rPr>
          <w:rFonts w:cs="Times New Roman"/>
        </w:rPr>
        <w:t>.</w:t>
      </w:r>
    </w:p>
    <w:p w14:paraId="1C04861C" w14:textId="77777777" w:rsidR="00E359F0" w:rsidRPr="00854CF8" w:rsidRDefault="00E359F0" w:rsidP="00E359F0">
      <w:pPr>
        <w:pStyle w:val="ListParagraph"/>
        <w:numPr>
          <w:ilvl w:val="0"/>
          <w:numId w:val="19"/>
        </w:numPr>
        <w:spacing w:after="160" w:line="259" w:lineRule="auto"/>
        <w:jc w:val="left"/>
        <w:rPr>
          <w:rFonts w:cs="Times New Roman"/>
        </w:rPr>
      </w:pPr>
      <w:r>
        <w:rPr>
          <w:rFonts w:cs="Times New Roman"/>
        </w:rPr>
        <w:t>Over time, substance use trended towards limited use.</w:t>
      </w:r>
    </w:p>
    <w:p w14:paraId="1A8B968A" w14:textId="77777777" w:rsidR="00E359F0" w:rsidRPr="00E359F0" w:rsidRDefault="00E359F0" w:rsidP="00E359F0">
      <w:pPr>
        <w:rPr>
          <w:lang w:val="en-CA"/>
        </w:rPr>
      </w:pPr>
    </w:p>
    <w:p w14:paraId="0B3A09C5" w14:textId="77777777" w:rsidR="00FB5FB9" w:rsidRPr="00CA4BCA" w:rsidRDefault="00FB5FB9">
      <w:pPr>
        <w:spacing w:after="0" w:line="240" w:lineRule="auto"/>
        <w:jc w:val="left"/>
        <w:rPr>
          <w:rFonts w:cs="Times New Roman"/>
          <w:b/>
          <w:caps/>
          <w:lang w:val="en-CA"/>
        </w:rPr>
      </w:pPr>
      <w:r w:rsidRPr="00CA4BCA">
        <w:rPr>
          <w:rFonts w:cs="Times New Roman"/>
        </w:rPr>
        <w:br w:type="page"/>
      </w:r>
    </w:p>
    <w:p w14:paraId="595477DA" w14:textId="1E38FC76" w:rsidR="00FA4A16" w:rsidRPr="00CA4BCA" w:rsidRDefault="00FA4A16" w:rsidP="00EA15EB">
      <w:pPr>
        <w:pStyle w:val="Heading1"/>
        <w:numPr>
          <w:ilvl w:val="0"/>
          <w:numId w:val="18"/>
        </w:numPr>
        <w:ind w:left="360"/>
        <w:rPr>
          <w:rFonts w:ascii="Times New Roman" w:hAnsi="Times New Roman" w:cs="Times New Roman"/>
        </w:rPr>
      </w:pPr>
      <w:r w:rsidRPr="00CA4BCA">
        <w:rPr>
          <w:rFonts w:ascii="Times New Roman" w:hAnsi="Times New Roman" w:cs="Times New Roman"/>
        </w:rPr>
        <w:lastRenderedPageBreak/>
        <w:t>INTRODUCTION</w:t>
      </w:r>
    </w:p>
    <w:p w14:paraId="63D0D876" w14:textId="7E180838" w:rsidR="00EA15EB" w:rsidRPr="00CA4BCA" w:rsidRDefault="00EA15EB" w:rsidP="00EA15EB">
      <w:pPr>
        <w:pStyle w:val="Heading2"/>
        <w:rPr>
          <w:rFonts w:ascii="Times New Roman" w:hAnsi="Times New Roman" w:cs="Times New Roman"/>
        </w:rPr>
      </w:pPr>
      <w:r w:rsidRPr="00CA4BCA">
        <w:rPr>
          <w:rFonts w:ascii="Times New Roman" w:hAnsi="Times New Roman" w:cs="Times New Roman"/>
        </w:rPr>
        <w:t>1.1. Background</w:t>
      </w:r>
    </w:p>
    <w:p w14:paraId="3715CA6E" w14:textId="1EA5B41B" w:rsidR="00873B83" w:rsidRDefault="00873B83" w:rsidP="00F820DF">
      <w:pPr>
        <w:rPr>
          <w:rFonts w:cs="Times New Roman"/>
          <w:lang w:val="en-CA"/>
        </w:rPr>
      </w:pPr>
      <w:bookmarkStart w:id="2" w:name="_Hlk506931009"/>
      <w:bookmarkStart w:id="3" w:name="_Hlk506930050"/>
      <w:r>
        <w:rPr>
          <w:rFonts w:cs="Times New Roman"/>
          <w:lang w:val="en-CA"/>
        </w:rPr>
        <w:t>Gay, bisexual, and other men who have sex with men (GBM) represent a priority population for public health intervention</w:t>
      </w:r>
      <w:r w:rsidR="00AE09AB">
        <w:rPr>
          <w:rFonts w:cs="Times New Roman"/>
          <w:lang w:val="en-CA"/>
        </w:rPr>
        <w:t xml:space="preserve"> </w:t>
      </w:r>
      <w:r w:rsidR="00AE09AB">
        <w:rPr>
          <w:rFonts w:cs="Times New Roman"/>
          <w:lang w:val="en-CA"/>
        </w:rPr>
        <w:fldChar w:fldCharType="begin"/>
      </w:r>
      <w:r w:rsidR="00AE09AB">
        <w:rPr>
          <w:rFonts w:cs="Times New Roman"/>
          <w:lang w:val="en-CA"/>
        </w:rPr>
        <w:instrText xml:space="preserve"> ADDIN ZOTERO_ITEM CSL_CITATION {"citationID":"a1nte20p27t","properties":{"formattedCitation":"(Institute of Medicine (US) Committee on Lesbian, Gay, Bisexual, and Transgender Health Issues and Research Gaps and Opportunities, 2011)","plainCitation":"(Institute of Medicine (US) Committee on Lesbian, Gay, Bisexual, and Transgender Health Issues and Research Gaps and Opportunities, 2011)"},"citationItems":[{"id":956,"uris":["http://zotero.org/users/2569385/items/58JHIVRA"],"uri":["http://zotero.org/users/2569385/items/58JHIVRA"],"itemData":{"id":956,"type":"book","title":"The Health of Lesbian, Gay, Bisexual, and Transgender People: Building a Foundation for Better Understanding","collection-title":"The National Academies Collection: Reports funded by National Institutes of Health","publisher":"National Academies Press (US)","publisher-place":"Washington (DC)","source":"PubMed","event-place":"Washington (DC)","abstract":"Lesbian, gay, bisexual, and transgender (LGBT) individuals experience unique health disparities. Although the acronym LGBT is used as an umbrella term, and the health needs of this community are often grouped together, each of these letters represents a distinct population with its own health concerns. Furthermore, among lesbians, gay men, bisexual men and women, and transgender people, there are subpopulations based on race, ethnicity, socioeconomic status, geographic location, age, and other factors. Although a modest body of knowledge on LGBT health has been developed, these populations, stigmatized as sexual and gender minorities, have been the subject of relatively little health research. As a result, a number of questions arise: What is currently known about the health status of LGBT populations? Where do gaps in the research exist? What are the priorities for a research agenda to address these gaps? At the request of the National Institutes of Health (NIH), the Institute of Medicine convened a consensus committee to answer these questions. The 17-member Committee on Lesbian, Gay, Bisexual, and Transgender Health Issues and Research Gaps and Opportunities comprised experts in the fields of mental health, biostatistics, clinical medicine, adolescent health and development, aging, parenting, behavioral sciences, HIV research, demography, racial and ethnic disparities, and health services. The committee was asked to conduct a review and prepare a report assessing the state of the science on the health status of lesbian, gay, bisexual, and transgender populations; identify research gaps and opportunities; and outline a research agenda that will assist NIH in enhancing its research efforts in this area.","URL":"http://www.ncbi.nlm.nih.gov/books/NBK64806/","ISBN":"978-0-309-21061-4","call-number":"NBK64806","note":"PMID: 22013611","shortTitle":"The Health of Lesbian, Gay, Bisexual, and Transgender People","language":"eng","author":[{"literal":"Institute of Medicine (US) Committee on Lesbian, Gay, Bisexual, and Transgender Health Issues and Research Gaps and Opportunities"}],"issued":{"date-parts":[["2011"]]},"accessed":{"date-parts":[["2017",5,9]]}}}],"schema":"https://github.com/citation-style-language/schema/raw/master/csl-citation.json"} </w:instrText>
      </w:r>
      <w:r w:rsidR="00AE09AB">
        <w:rPr>
          <w:rFonts w:cs="Times New Roman"/>
          <w:lang w:val="en-CA"/>
        </w:rPr>
        <w:fldChar w:fldCharType="separate"/>
      </w:r>
      <w:r w:rsidR="00AE09AB" w:rsidRPr="00AE09AB">
        <w:rPr>
          <w:rFonts w:cs="Times New Roman"/>
        </w:rPr>
        <w:t>(Institute of Medicine, 2011)</w:t>
      </w:r>
      <w:r w:rsidR="00AE09AB">
        <w:rPr>
          <w:rFonts w:cs="Times New Roman"/>
          <w:lang w:val="en-CA"/>
        </w:rPr>
        <w:fldChar w:fldCharType="end"/>
      </w:r>
      <w:r w:rsidR="006C0DAB">
        <w:rPr>
          <w:rFonts w:cs="Times New Roman"/>
          <w:lang w:val="en-CA"/>
        </w:rPr>
        <w:t xml:space="preserve"> as they</w:t>
      </w:r>
      <w:r>
        <w:rPr>
          <w:rFonts w:cs="Times New Roman"/>
          <w:lang w:val="en-CA"/>
        </w:rPr>
        <w:t xml:space="preserve"> are known to be at elevated risk for a variety of deleterious health outcomes</w:t>
      </w:r>
      <w:r w:rsidR="00AE09AB">
        <w:rPr>
          <w:rFonts w:cs="Times New Roman"/>
          <w:lang w:val="en-CA"/>
        </w:rPr>
        <w:t xml:space="preserve"> </w:t>
      </w:r>
      <w:r w:rsidR="00AE09AB">
        <w:rPr>
          <w:rFonts w:cs="Times New Roman"/>
          <w:lang w:val="en-CA"/>
        </w:rPr>
        <w:fldChar w:fldCharType="begin"/>
      </w:r>
      <w:r w:rsidR="00AE09AB">
        <w:rPr>
          <w:rFonts w:cs="Times New Roman"/>
          <w:lang w:val="en-CA"/>
        </w:rPr>
        <w:instrText xml:space="preserve"> ADDIN ZOTERO_ITEM CSL_CITATION {"citationID":"a22utcc7645","properties":{"formattedCitation":"(Cochran and Mays, 2007; Coker et al., 2010)","plainCitation":"(Cochran and Mays, 2007; Coker et al., 2010)"},"citationItems":[{"id":894,"uris":["http://zotero.org/users/2569385/items/FF3PB2E6"],"uri":["http://zotero.org/users/2569385/items/FF3PB2E6"],"itemData":{"id":894,"type":"article-journal","title":"Physical Health Complaints Among Lesbians, Gay Men, and Bisexual and Homosexually Experienced Heterosexual Individuals: Results From the California Quality of Life Survey","container-title":"American Journal of Public Health","page":"2048-2055","volume":"97","issue":"11","source":"PubMed Central","abstract":"Objectives. We examined evidence that minority sexual orientation is associated with more-frequent reports of physical health complaints. We also investigated the possible role of HIV infection among gay men and higher rates of psychological distress among lesbians, gay men, and bisexually and homosexually experienced heterosexual individuals in generating these health disparities., Methods. We used data from the California Quality of Life Survey (N=2272 adults) to examine associations between sexual orientation and self-reports about physical health status, common health conditions, disabilities, and psychological distress., Results. Prevalent HIV infection was reported by nearly 18% of gay, bisexual, and homosexually experienced heterosexual men. Gay men and bisexual and homosexually experienced heterosexual individuals had higher levels of psychological distress compared with exclusively heterosexual individuals. Self-reported physical health status varied by gender and by sexual orientation., Conclusions. Lesbians and bisexual and homosexually experienced heterosexual women reported a greater variety of health conditions and limitations compared with exclusively heterosexual women; however, these differences mostly disappeared when distress levels were taken into account. Among men, differences in health complaints appeared to reflect the ongoing burden of HIV and other sexually transmitted diseases in the gay male community.","DOI":"10.2105/AJPH.2006.087254","ISSN":"0090-0036","note":"PMID: 17463371\nPMCID: PMC2040376","shortTitle":"Physical Health Complaints Among Lesbians, Gay Men, and Bisexual and Homosexually Experienced Heterosexual Individuals","journalAbbreviation":"Am J Public Health","author":[{"family":"Cochran","given":"Susan D."},{"family":"Mays","given":"Vickie M."}],"issued":{"date-parts":[["2007",11]]}}},{"id":950,"uris":["http://zotero.org/users/2569385/items/RI7M6AKN"],"uri":["http://zotero.org/users/2569385/items/RI7M6AKN"],"itemData":{"id":950,"type":"article-journal","title":"The health and health care of lesbian, gay, and bisexual adolescents","container-title":"Annual Review of Public Health","page":"457-477","volume":"31","source":"PubMed","abstract":"Adolescents face a variety of challenges in their transition to adulthood; lesbian, gay, and bisexual adolescents face these typical challenges as well as additional challenges that are related to the social stigma of their sexual orientation. For some lesbian, gay, and bisexual adolescents, this stigma may induce psychosocial stress, leading to increased health risk behaviors and poorer health outcomes. In this article, we review data on the health and health care of LGB adolescents. We examine health indicators and health risks for LGB youth, including substance use, eating disorders, suicidality, risky sexual behaviors, violence exposure and victimization, and homelessness. We also examine health care provision and utilization for LGB youth. Lastly, we discuss ways in which researchers and clinicians can improve LGB adolescent health and health care.","DOI":"10.1146/annurev.publhealth.012809.103636","ISSN":"1545-2093","note":"PMID: 20070195","journalAbbreviation":"Annu Rev Public Health","language":"eng","author":[{"family":"Coker","given":"Tumaini R."},{"family":"Austin","given":"S. Bryn"},{"family":"Schuster","given":"Mark A."}],"issued":{"date-parts":[["2010"]]}}}],"schema":"https://github.com/citation-style-language/schema/raw/master/csl-citation.json"} </w:instrText>
      </w:r>
      <w:r w:rsidR="00AE09AB">
        <w:rPr>
          <w:rFonts w:cs="Times New Roman"/>
          <w:lang w:val="en-CA"/>
        </w:rPr>
        <w:fldChar w:fldCharType="separate"/>
      </w:r>
      <w:r w:rsidR="00AE09AB" w:rsidRPr="00AE09AB">
        <w:rPr>
          <w:rFonts w:cs="Times New Roman"/>
        </w:rPr>
        <w:t>(Cochran and Mays, 2007; Coker et al., 2010)</w:t>
      </w:r>
      <w:r w:rsidR="00AE09AB">
        <w:rPr>
          <w:rFonts w:cs="Times New Roman"/>
          <w:lang w:val="en-CA"/>
        </w:rPr>
        <w:fldChar w:fldCharType="end"/>
      </w:r>
      <w:r>
        <w:rPr>
          <w:rFonts w:cs="Times New Roman"/>
          <w:lang w:val="en-CA"/>
        </w:rPr>
        <w:t xml:space="preserve">. Among these, GBM are especially vulnerable to poorer mental and emotional health and </w:t>
      </w:r>
      <w:r w:rsidR="006C0DAB">
        <w:rPr>
          <w:rFonts w:cs="Times New Roman"/>
          <w:lang w:val="en-CA"/>
        </w:rPr>
        <w:t xml:space="preserve">have </w:t>
      </w:r>
      <w:r>
        <w:rPr>
          <w:rFonts w:cs="Times New Roman"/>
          <w:lang w:val="en-CA"/>
        </w:rPr>
        <w:t xml:space="preserve">greater </w:t>
      </w:r>
      <w:r w:rsidR="00AE09AB">
        <w:rPr>
          <w:rFonts w:cs="Times New Roman"/>
          <w:lang w:val="en-CA"/>
        </w:rPr>
        <w:t xml:space="preserve">risk for </w:t>
      </w:r>
      <w:r>
        <w:rPr>
          <w:rFonts w:cs="Times New Roman"/>
          <w:lang w:val="en-CA"/>
        </w:rPr>
        <w:t>sexually transmitted infections</w:t>
      </w:r>
      <w:r w:rsidR="00325FB8">
        <w:rPr>
          <w:rFonts w:cs="Times New Roman"/>
          <w:lang w:val="en-CA"/>
        </w:rPr>
        <w:t xml:space="preserve"> (STIs)</w:t>
      </w:r>
      <w:r w:rsidR="00AE09AB">
        <w:rPr>
          <w:rFonts w:cs="Times New Roman"/>
          <w:lang w:val="en-CA"/>
        </w:rPr>
        <w:t xml:space="preserve">, such as HIV </w:t>
      </w:r>
      <w:r w:rsidR="00AE09AB">
        <w:rPr>
          <w:rFonts w:cs="Times New Roman"/>
          <w:lang w:val="en-CA"/>
        </w:rPr>
        <w:fldChar w:fldCharType="begin"/>
      </w:r>
      <w:r w:rsidR="00AE09AB">
        <w:rPr>
          <w:rFonts w:cs="Times New Roman"/>
          <w:lang w:val="en-CA"/>
        </w:rPr>
        <w:instrText xml:space="preserve"> ADDIN ZOTERO_ITEM CSL_CITATION {"citationID":"a1o4871407c","properties":{"formattedCitation":"{\\rtf (Centers for Disease Control and Prevention, 2015; Pl\\uc0\\u246{}derl and Tremblay, 2015)}","plainCitation":"(Centers for Disease Control and Prevention, 2015; Plöderl and Tremblay, 2015)"},"citationItems":[{"id":1951,"uris":["http://zotero.org/users/2569385/items/BSXDPQIJ"],"uri":["http://zotero.org/users/2569385/items/BSXDPQIJ"],"itemData":{"id":1951,"type":"article","title":"CDC Fact Sheet: HIV Among Gay and Bisexual Men","publisher":"U.S. Department of Health and Human Services, Centers for Disease Control and Prevention","URL":"http://www.cdc.gov/nchhstp/newsroom/docs/CDC-MSM-508.pdf","author":[{"family":"Centers for Disease Control and Prevention","given":""}],"issued":{"date-parts":[["2015",3]]}}},{"id":495,"uris":["http://zotero.org/users/2569385/items/4FI2EFIP"],"uri":["http://zotero.org/users/2569385/items/4FI2EFIP"],"itemData":{"id":495,"type":"article-journal","title":"Mental health of sexual minorities. A systematic review","container-title":"International Review of Psychiatry (Abingdon, England)","page":"1-19","source":"PubMed","abstract":"Many studies, reviews, and meta-analyses have reported elevated mental health problems for sexual minority (SM) individuals. This systematic review provides an update by including numerous recent studies, and explores whether SM individuals are at increased risk across selected mental health problems as per dimensions of sexual orientation (SO), genders, life-stages, geographic regions, and in higher quality studies. A systematic search in PubMed produced 199 studies appropriate for review. A clear majority of studies reported elevated risks for depression, anxiety, suicide attempts or suicides, and substance-related problems for SM men and women, as adolescents or adults from many geographic regions, and with varied SO dimensions (behaviour, attraction, identity), especially in more recent and higher quality studies. One notable exception is alcohol-related problems, where many studies reported zero or reversed effects, especially for SM men. All SM subgroups were at increased risk, but bisexual individuals were at highest risk in the majority of studies. Other subgroup and gender differences are more complex and are discussed. The review supports the long-standing mental health risk proposition for SM individuals, overall and as subgroups.","DOI":"10.3109/09540261.2015.1083949","ISSN":"1369-1627","note":"PMID: 26552495","journalAbbreviation":"Int Rev Psychiatry","language":"ENG","author":[{"family":"Plöderl","given":"Martin"},{"family":"Tremblay","given":"Pierre"}],"issued":{"date-parts":[["2015",11,9]]}}}],"schema":"https://github.com/citation-style-language/schema/raw/master/csl-citation.json"} </w:instrText>
      </w:r>
      <w:r w:rsidR="00AE09AB">
        <w:rPr>
          <w:rFonts w:cs="Times New Roman"/>
          <w:lang w:val="en-CA"/>
        </w:rPr>
        <w:fldChar w:fldCharType="separate"/>
      </w:r>
      <w:r w:rsidR="00AE09AB" w:rsidRPr="00AE09AB">
        <w:rPr>
          <w:rFonts w:cs="Times New Roman"/>
        </w:rPr>
        <w:t>(C</w:t>
      </w:r>
      <w:r w:rsidR="00AE09AB">
        <w:rPr>
          <w:rFonts w:cs="Times New Roman"/>
        </w:rPr>
        <w:t>DC</w:t>
      </w:r>
      <w:r w:rsidR="00AE09AB" w:rsidRPr="00AE09AB">
        <w:rPr>
          <w:rFonts w:cs="Times New Roman"/>
        </w:rPr>
        <w:t>, 2015; Plöderl and Tremblay, 2015)</w:t>
      </w:r>
      <w:r w:rsidR="00AE09AB">
        <w:rPr>
          <w:rFonts w:cs="Times New Roman"/>
          <w:lang w:val="en-CA"/>
        </w:rPr>
        <w:fldChar w:fldCharType="end"/>
      </w:r>
      <w:r w:rsidR="00AE09AB">
        <w:rPr>
          <w:rFonts w:cs="Times New Roman"/>
          <w:lang w:val="en-CA"/>
        </w:rPr>
        <w:t>. C</w:t>
      </w:r>
      <w:r w:rsidR="00AE09AB" w:rsidRPr="00AE09AB">
        <w:rPr>
          <w:rFonts w:cs="Times New Roman"/>
          <w:lang w:val="en-CA"/>
        </w:rPr>
        <w:t>oncomitant</w:t>
      </w:r>
      <w:r w:rsidR="00AE09AB">
        <w:rPr>
          <w:rFonts w:cs="Times New Roman"/>
          <w:lang w:val="en-CA"/>
        </w:rPr>
        <w:t xml:space="preserve"> with these priority health concerns, substance use has been repeatedly identified as a </w:t>
      </w:r>
      <w:proofErr w:type="spellStart"/>
      <w:r w:rsidR="00AE09AB">
        <w:rPr>
          <w:rFonts w:cs="Times New Roman"/>
          <w:lang w:val="en-CA"/>
        </w:rPr>
        <w:t>syndemic</w:t>
      </w:r>
      <w:proofErr w:type="spellEnd"/>
      <w:r w:rsidR="00AE09AB">
        <w:rPr>
          <w:rFonts w:cs="Times New Roman"/>
          <w:lang w:val="en-CA"/>
        </w:rPr>
        <w:t xml:space="preserve"> factor associated with adverse health – making it a priority concern for GBM communities </w:t>
      </w:r>
      <w:r w:rsidR="00AE09AB">
        <w:rPr>
          <w:rFonts w:cs="Times New Roman"/>
          <w:lang w:val="en-CA"/>
        </w:rPr>
        <w:fldChar w:fldCharType="begin"/>
      </w:r>
      <w:r w:rsidR="00AE09AB">
        <w:rPr>
          <w:rFonts w:cs="Times New Roman"/>
          <w:lang w:val="en-CA"/>
        </w:rPr>
        <w:instrText xml:space="preserve"> ADDIN ZOTERO_ITEM CSL_CITATION {"citationID":"a3a25ne56n","properties":{"formattedCitation":"(Halkitis et al., 2015; Lachowsky et al., 2017)","plainCitation":"(Halkitis et al., 2015; Lachowsky et al., 2017)"},"citationItems":[{"id":803,"uris":["http://zotero.org/users/2569385/items/H93TFGS5"],"uri":["http://zotero.org/users/2569385/items/H93TFGS5"],"itemData":{"id":803,"type":"article-journal","title":"A Longitudinal Investigation of Syndemic Conditions Among Young Gay, Bisexual, and Other MSM: The P18 Cohort Study","container-title":"AIDS and behavior","page":"970-980","volume":"19","issue":"6","source":"PubMed","abstract":"The persistence of disparities in STI/HIV risk among a new generation of emerging adult gay, bisexual, and other men who have sex with men (YMSM) warrant holistic frameworks and new methodologies for investigating the behaviors related to STI/HIV in this group. In order to better understand the continued existence of these disparities in STI/HIV risk among YMSM, the present study evaluated the presence and persistence of syndemic conditions among YMSM by examining the co-occurrence of alcohol and drug use, unprotected sexual behavior, and mental health burden over time. Four waves of data, collected over the first 18 months of a 7 wave, 36-month prospective cohort study of YMSM (n=600) were used to examine the extent to which measurement models of drug use, unprotected sexual behavior, and mental health burden remained consistent across time using latent class modeling. Health challenges persisted across time as these YMSM emerged into young adulthood and the measurement models for the latent constructs of drug use and unprotected sexual behavior were essentially consistent across time whereas models for mental health burden varied over time. In addition to confirming the the robustness of our measurement models which capture a more holistic understandings of the health conditions of drug use, unprotected sex, and mental health burden, these findings underscore the ongoing health challenges YMSM face as they mature into young adulthood. These ongoing health challenges, which have been understood as forming a syndemic, persist over time, and add further evidence to support ongoing and vigilant comprehensive health programming for sexual minority men that move beyond a sole focus on HIV.","DOI":"10.1007/s10461-014-0892-y","ISSN":"1573-3254","note":"PMID: 25192900\nPMCID: PMC4362859","shortTitle":"A Longitudinal Investigation of Syndemic Conditions Among Young Gay, Bisexual, and Other MSM","journalAbbreviation":"AIDS Behav","language":"eng","author":[{"family":"Halkitis","given":"Perry N."},{"family":"Kapadia","given":"Farzana"},{"family":"Bub","given":"Kristen L."},{"family":"Barton","given":"Staci"},{"family":"Moreira","given":"Alvaro D."},{"family":"Stults","given":"Christopher B."}],"issued":{"date-parts":[["2015",6]]}}},{"id":2328,"uris":["http://zotero.org/users/2569385/items/PH24NMSE"],"uri":["http://zotero.org/users/2569385/items/PH24NMSE"],"itemData":{"id":2328,"type":"article-journal","title":"Lifetime Doctor-Diagnosed Mental Health Conditions and Current Substance Use Among Gay and Bisexual Men Living in Vancouver, Canada","container-title":"Substance Use &amp; Misuse","page":"785-797","volume":"52","issue":"6","source":"PubMed","abstract":"BACKGROUND: Studies have found that gay, bisexual, and other men who have sex with men (GBM) have higher rates of mental health conditions and substance use than heterosexual men, but are limited by issues of representativeness.\nOBJECTIVES: To determine the prevalence and correlates of mental health disorders among GBM in Metro Vancouver, Canada.\nMETHODS: From 2012 to 2014, the Momentum Health Study recruited GBM (≥16 years) via respondent-driven sampling (RDS) to estimate population parameters. Computer-assisted self-interviews (CASI) collected demographic, psychosocial, and behavioral information, while nurse-administered structured interviews asked about mental health diagnoses and treatment. Multivariate logistic regression using manual backward selection was used to identify covariates for any lifetime doctor diagnosed: (1) alcohol/substance use disorder and (2) any other mental health disorder.\nRESULTS: Of 719 participants, 17.4% reported a substance use disorder and 35.2% reported any other mental health disorder; 24.0% of all GBM were currently receiving treatment. A lifetime substance use disorder diagnosis was negatively associated with being a student (AOR = 0.52, 95% CI [confidence interval]: 0.27-0.99) and an annual income ≥$30,000 CAD (AOR = 0.38, 95% CI: 0.21-0.67) and positively associated with HIV-positive serostatus (AOR = 2.54, 95% CI: 1.63-3.96), recent crystal methamphetamine use (AOR = 2.73, 95% CI: 1.69-4.40) and recent heroin use (AOR = 5.59, 95% CI: 2.39-13.12). Any other lifetime mental health disorder diagnosis was negatively associated with self-identifying as Latin American (AOR = 0.25, 95% CI: 0.08-0.81), being a refugee or visa holder (AOR = 0.18, 95% CI: 0.05-0.65), and living outside Vancouver (AOR = 0.52, 95% CI: 0.33-0.82), and positively associated with abnormal anxiety symptomology scores (AOR = 3.05, 95% CI: 2.06-4.51).\nCONCLUSIONS: Mental health conditions and substance use, which have important implications for clinical and public health practice, were highly prevalent and co-occurring.","DOI":"10.1080/10826084.2016.1264965","ISSN":"1532-2491","note":"PMID: 28379111","journalAbbreviation":"Subst Use Misuse","language":"eng","author":[{"family":"Lachowsky","given":"Nathan J."},{"family":"Dulai","given":"Joshun J. S."},{"family":"Cui","given":"Zishan"},{"family":"Sereda","given":"Paul"},{"family":"Rich","given":"Ashleigh"},{"family":"Patterson","given":"Thomas L."},{"family":"Corneil","given":"Trevor T."},{"family":"Montaner","given":"Julio S. G."},{"family":"Roth","given":"Eric A."},{"family":"Hogg","given":"Robert S."},{"family":"Moore","given":"David M."}],"issued":{"date-parts":[["2017",5,12]]}}}],"schema":"https://github.com/citation-style-language/schema/raw/master/csl-citation.json"} </w:instrText>
      </w:r>
      <w:r w:rsidR="00AE09AB">
        <w:rPr>
          <w:rFonts w:cs="Times New Roman"/>
          <w:lang w:val="en-CA"/>
        </w:rPr>
        <w:fldChar w:fldCharType="separate"/>
      </w:r>
      <w:r w:rsidR="00AE09AB" w:rsidRPr="00AE09AB">
        <w:rPr>
          <w:rFonts w:cs="Times New Roman"/>
        </w:rPr>
        <w:t>(Halkitis et al., 2015; Lachowsky et al., 2017)</w:t>
      </w:r>
      <w:r w:rsidR="00AE09AB">
        <w:rPr>
          <w:rFonts w:cs="Times New Roman"/>
          <w:lang w:val="en-CA"/>
        </w:rPr>
        <w:fldChar w:fldCharType="end"/>
      </w:r>
      <w:r w:rsidR="00AE09AB">
        <w:rPr>
          <w:rFonts w:cs="Times New Roman"/>
          <w:lang w:val="en-CA"/>
        </w:rPr>
        <w:t xml:space="preserve">. </w:t>
      </w:r>
    </w:p>
    <w:p w14:paraId="217E0D36" w14:textId="554A2B14" w:rsidR="008A28C5" w:rsidRPr="00330CE3" w:rsidRDefault="007957E0" w:rsidP="00330CE3">
      <w:pPr>
        <w:ind w:firstLine="720"/>
        <w:rPr>
          <w:rFonts w:cs="Times New Roman"/>
          <w:color w:val="000000" w:themeColor="text1"/>
        </w:rPr>
      </w:pPr>
      <w:bookmarkStart w:id="4" w:name="_Hlk506931191"/>
      <w:bookmarkEnd w:id="2"/>
      <w:r w:rsidRPr="00CA4BCA">
        <w:rPr>
          <w:rFonts w:cs="Times New Roman"/>
          <w:lang w:val="en-CA"/>
        </w:rPr>
        <w:t xml:space="preserve">Recent </w:t>
      </w:r>
      <w:r w:rsidR="00873B83">
        <w:rPr>
          <w:rFonts w:cs="Times New Roman"/>
          <w:lang w:val="en-CA"/>
        </w:rPr>
        <w:t>examinations</w:t>
      </w:r>
      <w:r w:rsidR="00873B83" w:rsidRPr="00CA4BCA">
        <w:rPr>
          <w:rFonts w:cs="Times New Roman"/>
          <w:lang w:val="en-CA"/>
        </w:rPr>
        <w:t xml:space="preserve"> </w:t>
      </w:r>
      <w:r w:rsidR="00873B83">
        <w:rPr>
          <w:rFonts w:cs="Times New Roman"/>
          <w:lang w:val="en-CA"/>
        </w:rPr>
        <w:t>of GBM’s substance use</w:t>
      </w:r>
      <w:r w:rsidRPr="00CA4BCA">
        <w:rPr>
          <w:rFonts w:cs="Times New Roman"/>
          <w:lang w:val="en-CA"/>
        </w:rPr>
        <w:t xml:space="preserve"> have </w:t>
      </w:r>
      <w:r w:rsidR="001854FD" w:rsidRPr="00CA4BCA">
        <w:rPr>
          <w:rFonts w:cs="Times New Roman"/>
          <w:lang w:val="en-CA"/>
        </w:rPr>
        <w:t xml:space="preserve">attempted to characterize </w:t>
      </w:r>
      <w:r w:rsidR="00873B83">
        <w:rPr>
          <w:rFonts w:cs="Times New Roman"/>
          <w:lang w:val="en-CA"/>
        </w:rPr>
        <w:t>heterogenous</w:t>
      </w:r>
      <w:r w:rsidR="00873B83" w:rsidRPr="00CA4BCA">
        <w:rPr>
          <w:rFonts w:cs="Times New Roman"/>
          <w:lang w:val="en-CA"/>
        </w:rPr>
        <w:t xml:space="preserve"> </w:t>
      </w:r>
      <w:r w:rsidR="001854FD" w:rsidRPr="00CA4BCA">
        <w:rPr>
          <w:rFonts w:cs="Times New Roman"/>
          <w:lang w:val="en-CA"/>
        </w:rPr>
        <w:t xml:space="preserve">patterns of </w:t>
      </w:r>
      <w:r w:rsidR="00873B83">
        <w:rPr>
          <w:rFonts w:cs="Times New Roman"/>
          <w:lang w:val="en-CA"/>
        </w:rPr>
        <w:t>use within their communities</w:t>
      </w:r>
      <w:r w:rsidR="00F54229">
        <w:rPr>
          <w:rFonts w:cs="Times New Roman"/>
          <w:lang w:val="en-CA"/>
        </w:rPr>
        <w:t xml:space="preserve"> with the goal of targeting those patterns that are most strongly associated with adverse health outcomes, such as HIV transmission</w:t>
      </w:r>
      <w:r w:rsidR="00680A81">
        <w:rPr>
          <w:rFonts w:cs="Times New Roman"/>
          <w:lang w:val="en-CA"/>
        </w:rPr>
        <w:t>, problematic substance use, and poor mental health</w:t>
      </w:r>
      <w:r w:rsidR="0046495E" w:rsidRPr="00CA4BCA">
        <w:rPr>
          <w:rFonts w:cs="Times New Roman"/>
          <w:lang w:val="en-CA"/>
        </w:rPr>
        <w:t xml:space="preserve">. </w:t>
      </w:r>
      <w:r w:rsidR="001854FD" w:rsidRPr="00CA4BCA">
        <w:rPr>
          <w:rFonts w:cs="Times New Roman"/>
          <w:lang w:val="en-CA"/>
        </w:rPr>
        <w:t xml:space="preserve">In doing so, latent class analysis (LCA; </w:t>
      </w:r>
      <w:r w:rsidR="001854FD" w:rsidRPr="00CA4BCA">
        <w:rPr>
          <w:rFonts w:cs="Times New Roman"/>
          <w:lang w:val="en-CA"/>
        </w:rPr>
        <w:fldChar w:fldCharType="begin"/>
      </w:r>
      <w:r w:rsidR="00D83CF7" w:rsidRPr="00CA4BCA">
        <w:rPr>
          <w:rFonts w:cs="Times New Roman"/>
          <w:lang w:val="en-CA"/>
        </w:rPr>
        <w:instrText xml:space="preserve"> ADDIN ZOTERO_ITEM CSL_CITATION {"citationID":"1m8e91dmsq","properties":{"formattedCitation":"(Lazarsfeld &amp; Henry, 1968)","plainCitation":"(Lazarsfeld &amp; Henry, 1968)","dontUpdate":true},"citationItems":[{"id":2315,"uris":["http://zotero.org/users/2569385/items/EKU6IA63"],"uri":["http://zotero.org/users/2569385/items/EKU6IA63"],"itemData":{"id":2315,"type":"book","title":"Latent structure analysis","publisher":"Houghton, Mifflin","number-of-pages":"314","source":"Google Books","note":"Google-Books-ID: BkQ_AAAAIAAJ","language":"en","author":[{"family":"Lazarsfeld","given":"Paul Felix"},{"family":"Henry","given":"Neil W."}],"issued":{"date-parts":[["1968"]]}}}],"schema":"https://github.com/citation-style-language/schema/raw/master/csl-citation.json"} </w:instrText>
      </w:r>
      <w:r w:rsidR="001854FD" w:rsidRPr="00CA4BCA">
        <w:rPr>
          <w:rFonts w:cs="Times New Roman"/>
          <w:lang w:val="en-CA"/>
        </w:rPr>
        <w:fldChar w:fldCharType="separate"/>
      </w:r>
      <w:r w:rsidR="001854FD" w:rsidRPr="00CA4BCA">
        <w:rPr>
          <w:rFonts w:cs="Times New Roman"/>
          <w:noProof/>
          <w:lang w:val="en-CA"/>
        </w:rPr>
        <w:t>Lazarsfeld &amp; Henry, 1968)</w:t>
      </w:r>
      <w:r w:rsidR="001854FD" w:rsidRPr="00CA4BCA">
        <w:rPr>
          <w:rFonts w:cs="Times New Roman"/>
          <w:lang w:val="en-CA"/>
        </w:rPr>
        <w:fldChar w:fldCharType="end"/>
      </w:r>
      <w:r w:rsidR="001854FD" w:rsidRPr="00CA4BCA">
        <w:rPr>
          <w:rFonts w:cs="Times New Roman"/>
          <w:lang w:val="en-CA"/>
        </w:rPr>
        <w:t xml:space="preserve"> </w:t>
      </w:r>
      <w:r w:rsidR="00024DD2" w:rsidRPr="00CA4BCA">
        <w:rPr>
          <w:rFonts w:cs="Times New Roman"/>
          <w:lang w:val="en-CA"/>
        </w:rPr>
        <w:t xml:space="preserve">has emerged as an </w:t>
      </w:r>
      <w:r w:rsidR="001854FD" w:rsidRPr="00CA4BCA">
        <w:rPr>
          <w:rFonts w:cs="Times New Roman"/>
          <w:lang w:val="en-CA"/>
        </w:rPr>
        <w:t xml:space="preserve">increasingly </w:t>
      </w:r>
      <w:r w:rsidR="00024DD2" w:rsidRPr="00CA4BCA">
        <w:rPr>
          <w:rFonts w:cs="Times New Roman"/>
          <w:lang w:val="en-CA"/>
        </w:rPr>
        <w:t xml:space="preserve">popular method </w:t>
      </w:r>
      <w:r w:rsidR="001854FD" w:rsidRPr="00CA4BCA">
        <w:rPr>
          <w:rFonts w:cs="Times New Roman"/>
          <w:lang w:val="en-CA"/>
        </w:rPr>
        <w:t xml:space="preserve">to </w:t>
      </w:r>
      <w:r w:rsidR="00024DD2" w:rsidRPr="00CA4BCA">
        <w:rPr>
          <w:rFonts w:cs="Times New Roman"/>
          <w:lang w:val="en-CA"/>
        </w:rPr>
        <w:t xml:space="preserve">characterize </w:t>
      </w:r>
      <w:r w:rsidR="0061294E" w:rsidRPr="00CA4BCA">
        <w:rPr>
          <w:rFonts w:cs="Times New Roman"/>
          <w:lang w:val="en-CA"/>
        </w:rPr>
        <w:t xml:space="preserve">GBM’s </w:t>
      </w:r>
      <w:r w:rsidR="00024DD2" w:rsidRPr="00CA4BCA">
        <w:rPr>
          <w:rFonts w:cs="Times New Roman"/>
          <w:lang w:val="en-CA"/>
        </w:rPr>
        <w:t>poly</w:t>
      </w:r>
      <w:r w:rsidR="008A28C5" w:rsidRPr="00CA4BCA">
        <w:rPr>
          <w:rFonts w:cs="Times New Roman"/>
          <w:lang w:val="en-CA"/>
        </w:rPr>
        <w:t xml:space="preserve">substance use behavior </w:t>
      </w:r>
      <w:r w:rsidR="001854FD" w:rsidRPr="00CA4BCA">
        <w:rPr>
          <w:rFonts w:cs="Times New Roman"/>
          <w:lang w:val="en-CA"/>
        </w:rPr>
        <w:fldChar w:fldCharType="begin"/>
      </w:r>
      <w:r w:rsidR="00B35BEE">
        <w:rPr>
          <w:rFonts w:cs="Times New Roman"/>
          <w:lang w:val="en-CA"/>
        </w:rPr>
        <w:instrText xml:space="preserve"> ADDIN ZOTERO_ITEM CSL_CITATION {"citationID":"kmdcl0bso","properties":{"formattedCitation":"(Lim et al., 2015a; McCarty-Caplan et al., 2014; Newcomb et al., 2014a; Tobin et al., 2015; Yu et al., 2015)","plainCitation":"(Lim et al., 2015a; McCarty-Caplan et al., 2014; Newcomb et al., 2014a; Tobin et al., 2015; Yu et al., 2015)"},"citationItems":[{"id":2093,"uris":["http://zotero.org/users/2569385/items/3WNZWPJZ"],"uri":["http://zotero.org/users/2569385/items/3WNZWPJZ"],"itemData":{"id":2093,"type":"article-journal","title":"Latent class analysis of substance use among men who have sex with men in Malaysia: Findings from the Asian Internet MSM Sex Survey","container-title":"Drug and Alcohol Dependence","page":"31-37","volume":"151","source":"PubMed","abstract":"BACKGROUND: High prevalence of substance use among men who have sex with men (MSM) may drive the HIV epidemic in Malaysia but patterns of substance use among Malaysian MSM have not been examined. Our study investigated specific Malaysian MSM risk groups to determine the association between their substance use and sexual risk behaviors.\nMETHODS: Data from Malaysian respondents (n=1235) in a large, multinational online survey of Asian MSM in 2010 were used to identify latent classes of substance use. Subsequent covariates were included in a joint model to predict class membership.\nRESULTS: The 3-class model was identified as the best fitting model, which included: (1) 'negligible substance use' for those reporting none or using any substance sparingly; (2) 'soft substance use' for those using poppers, ecstasy and drinking before sex; and (3) 'amphetamine-type stimulant (ATS) use' for those using stimulants (methamphetamine, ecstasy), erectile dysfunction drugs and recreational drug use before sex. Men in the 'ATS use' category were significantly less likely to not know their HIV status (AOR: 0.30, 95%CI: 0.14,0.66), more likely to have had more than 6 male sex partners (AOR: 4.83, 95% CI: 1.92-12.2), to have group sex (AOR:4.07, 95% CI: 2.31-7.15), to report inconsistent condom use (AOR:2.01, 95% CI: 1.12-3.60), to be HIV-infected (AOR:3.92, 95% CI: 1.63-8.42) and to have had any sexually transmitted infections (AOR:3.92, 95% CI:1.70, 9.08), compared to men in the 'negligible substance use' category.\nCONCLUSIONS: Our study identified subgroups of Malaysian MSM with distinct substance use patterns and HIV-related risk profiles, which provides implication for targeting HIV prevention in this subpopulation.","DOI":"10.1016/j.drugalcdep.2015.02.040","ISSN":"1879-0046","note":"PMID: 25865907","shortTitle":"Latent class analysis of substance use among men who have sex with men in Malaysia","journalAbbreviation":"Drug Alcohol Depend","language":"eng","author":[{"family":"Lim","given":"Sin How"},{"family":"Cheung","given":"Doug H."},{"family":"Guadamuz","given":"Thomas E."},{"family":"Wei","given":"Chongyi"},{"family":"Koe","given":"Stuart"},{"family":"Altice","given":"Frederick L."}],"issued":{"date-parts":[["2015",6,1]]}}},{"id":723,"uris":["http://zotero.org/users/2569385/items/MKGCXEWE"],"uri":["http://zotero.org/users/2569385/items/MKGCXEWE"],"itemData":{"id":723,"type":"article-journal","title":"Complex drug use patterns and associated HIV transmission risk behaviors in an Internet sample of U.S. men who have sex with men","container-title":"Archives of Sexual Behavior","page":"421-428","volume":"44","issue":"2","source":"PubMed","abstract":"Although the relationship between drug use and HIV risk among men who have sex with men (MSM) is well described, relatively few studies have employed empirical methods to assess underlying classes of drug use that may better predict the risk of HIV or sexually transmitted infections (STIs) among MSM. The aim of this study was to determine whether latent class analysis (LCA) would identify underlying drug classes reported prior to sex, as well as predict unprotected anal intercourse (UAI) in the last sexual encounter among MSM. From 2004 to 2005, an anonymous online survey was conducted among 8,717 sexually active MSM recruited from gay-affiliated U.S. websites. LCA clustered participants into six distinct drug use classes based on the specific types and number of drugs used: (1) low/no drug use, (2) recreational drug use, (3) poppers with prescription erectile dysfunction (ED) drug use, (4) poppers with both prescription and non-prescription ED drug use, (5) recreational, club, and ED drug use, and (6) high polydrug use. Compared with men in Class 1, men in the highest drug use class were 4.84 times more likely to report UAI in their last sexual encounter and 3.78 times more likely to report an STI in the past year (both ps &lt; .001). Younger MSM aged 18-29 were significantly more likely to report an STI than men aged 50 and above (p &lt; .001). There is a need to better understand the complex relationship between a diverse set of drugs used among MSM and how polydrug use impacts sexual negotiation over time.","DOI":"10.1007/s10508-014-0337-8","ISSN":"1573-2800","note":"PMID: 25104104\nPMCID: PMC4381804","journalAbbreviation":"Arch Sex Behav","language":"eng","author":[{"family":"Yu","given":"Gary"},{"family":"Wall","given":"Melanie M."},{"family":"Chiasson","given":"Mary Ann"},{"family":"Hirshfield","given":"Sabina"}],"issued":{"date-parts":[["2015",2]]}}},{"id":712,"uris":["http://zotero.org/users/2569385/items/CBWAGVGA"],"uri":["http://zotero.org/users/2569385/items/CBWAGVGA"],"itemData":{"id":712,"type":"article-journal","title":"MSM and drug use: A latent class analysis of drug use and related sexual risk behaviors","container-title":"AIDS and behavior","page":"1339-1351","volume":"18","issue":"7","source":"PubMed","abstract":"This study examined patterns of drug use among gay men and other men who have sex with men (MSM) to identify sub-categories of men whose drug use and sexual behavior place them at especially high risk for HIV. A latent class analysis of a sample of MSM yielded a four-class model with two distinct high drug use sub-groups: one whose drug use concentrated on \"sex-drugs\" (SDU); and a distinct polydrug use class that showed higher probabilities of using all other drugs assessed. Comparative follow-up analyses indicated the SDU group was also more likely to engage in particular potentially high-risk sexual behaviors, be older, and to be HIV positive. Implications of distinguishing between patterns of drug use for HIV-risk prevention efforts with MSM are discussed.","DOI":"10.1007/s10461-013-0622-x","ISSN":"1573-3254","note":"PMID: 24065437","shortTitle":"MSM and drug use","journalAbbreviation":"AIDS Behav","language":"eng","author":[{"family":"McCarty-Caplan","given":"David"},{"family":"Jantz","given":"Ian"},{"family":"Swartz","given":"James"}],"issued":{"date-parts":[["2014",7]]}}},{"id":737,"uris":["http://zotero.org/users/2569385/items/ZNSMXKG4"],"uri":["http://zotero.org/users/2569385/items/ZNSMXKG4"],"itemData":{"id":737,"type":"article-journal","title":"Associations Between Drug and Alcohol Use Patterns and Sexual Risk in a Sample of African American Men Who Have Sex with Men","container-title":"AIDS and behavior","source":"PubMed","abstract":"Men who have sex with men (MSM) are the largest risk group in the US HIV epidemic and African American MSM (AA MSM) are disproportionately affected. Substance-abusing sexual minorities warrant attention as they are at elevated risk for HIV, yet are not a homogeneous risk group. The purpose of this study was to use latent class analysis to identify patterns of drug and alcohol use in a sample of 359 AA MSM and examine associations with sexual risk. Three classes were identified: Individuals who used multiple substances (poly-users) (18 %), alcohol/marijuana users (33 %) and individuals who had low probability of reporting drug or problematic alcohol use (50 %). Results from multivariate analysis indicate that poly-users were older and more likely to report sex exchange and recent sexually transmitted infection compared to the other classes. Alcohol and poly-users were more likely to report sex under the influence. Identifying and defining substance use patterns can improve specification of risk groups and allocation of prevention resources.","DOI":"10.1007/s10461-015-1214-8","ISSN":"1573-3254","note":"PMID: 26558629","journalAbbreviation":"AIDS Behav","language":"ENG","author":[{"family":"Tobin","given":"Karin E."},{"family":"Yang","given":"Cui"},{"family":"King","given":"Kelly"},{"family":"Latkin","given":"Carl A."},{"family":"Curriero","given":"Frank C."}],"issued":{"date-parts":[["2015",11,11]]}}},{"id":2089,"uris":["http://zotero.org/users/2569385/items/BCWM6JDQ"],"uri":["http://zotero.org/users/2569385/items/BCWM6JDQ"],"itemData":{"id":2089,"type":"article-journal","title":"Prevalence and patterns of smoking, alcohol use, and illicit drug use in young men who have sex with men","container-title":"Drug and Alcohol Dependence","page":"65-71","volume":"141","source":"PubMed","abstract":"BACKGROUND: Young men who have sex with men (YMSM) are substantially more likely to use illicit drugs and other substances compared to their heterosexual peers. Substance use during adolescence has critical implications for long-term physical and mental health, and among YMSM may lead to HIV infection. The goal of the current study was to describe lifetime and past six month prevalence and patterns of substance use across multiple substances in a community sample of racially-diverse YMSM.\nMETHODS: Participants were 450 YMSM aged 16-20 living in Chicago and surrounding areas who were recruited beginning December, 2009 using a modified form of respondent driven sampling. Analyses were conducted with multivariate logistic regression and latent class analysis (LCA).\nRESULTS: Prevalence of substance use was high in this sample of majority racial minority YMSM, and only 17.6% reported no substance use during the past six months. Black YMSM had lower prevalence of use of all substances except marijuana compared to White YMSM, while Latino YMSM had lower prevalence of alcohol, marijuana, and club drug use. Bisexual YMSM reported higher prevalence of cigarette smoking, stimulant use, and club drug use compared to gay/mostly gay YMSM but lower numbers of bisexual participants limited the ability to detect statistically significant differences. LCA found that YMSM fell into three general categories of substance users: alcohol and marijuana users, polysubstance users, and low marijuana users.\nCONCLUSIONS: Analyses reveal important group differences in prevalence and patterns of substance use in YMSM that have important implications for intervention.","DOI":"10.1016/j.drugalcdep.2014.05.005","ISSN":"1879-0046","note":"PMID: 24907774\nPMCID: PMC4158827","journalAbbreviation":"Drug Alcohol Depend","language":"eng","author":[{"family":"Newcomb","given":"Michael E."},{"family":"Ryan","given":"Daniel T."},{"family":"Greene","given":"George J."},{"family":"Garofalo","given":"Robert"},{"family":"Mustanski","given":"Brian"}],"issued":{"date-parts":[["2014",8,1]]}}}],"schema":"https://github.com/citation-style-language/schema/raw/master/csl-citation.json"} </w:instrText>
      </w:r>
      <w:r w:rsidR="001854FD" w:rsidRPr="00CA4BCA">
        <w:rPr>
          <w:rFonts w:cs="Times New Roman"/>
          <w:lang w:val="en-CA"/>
        </w:rPr>
        <w:fldChar w:fldCharType="separate"/>
      </w:r>
      <w:r w:rsidR="00B35BEE" w:rsidRPr="00B35BEE">
        <w:rPr>
          <w:rFonts w:cs="Times New Roman"/>
        </w:rPr>
        <w:t>(Lim et al., 2015a; McCarty-Caplan et al., 2014; Newcomb et al., 2014a; Tobin et al., 2015; Yu et al., 2015)</w:t>
      </w:r>
      <w:r w:rsidR="001854FD" w:rsidRPr="00CA4BCA">
        <w:rPr>
          <w:rFonts w:cs="Times New Roman"/>
          <w:lang w:val="en-CA"/>
        </w:rPr>
        <w:fldChar w:fldCharType="end"/>
      </w:r>
      <w:r w:rsidR="001854FD" w:rsidRPr="00CA4BCA">
        <w:rPr>
          <w:rFonts w:cs="Times New Roman"/>
          <w:lang w:val="en-CA"/>
        </w:rPr>
        <w:t>.</w:t>
      </w:r>
      <w:r w:rsidRPr="00CA4BCA">
        <w:rPr>
          <w:rFonts w:cs="Times New Roman"/>
          <w:lang w:val="en-CA"/>
        </w:rPr>
        <w:t xml:space="preserve"> </w:t>
      </w:r>
      <w:bookmarkEnd w:id="4"/>
      <w:r w:rsidR="00B35BEE">
        <w:rPr>
          <w:rFonts w:cs="Times New Roman"/>
          <w:lang w:val="en-CA"/>
        </w:rPr>
        <w:t xml:space="preserve">These studies have shown that patterns of substance use are highly context and population dependent. Indeed, </w:t>
      </w:r>
      <w:r w:rsidR="00873B83">
        <w:rPr>
          <w:rFonts w:cs="Times New Roman"/>
          <w:lang w:val="en-CA"/>
        </w:rPr>
        <w:t xml:space="preserve">among various samples of GBM, </w:t>
      </w:r>
      <w:r w:rsidR="00B35BEE">
        <w:rPr>
          <w:rFonts w:cs="Times New Roman"/>
          <w:color w:val="000000" w:themeColor="text1"/>
        </w:rPr>
        <w:t xml:space="preserve">three-class </w:t>
      </w:r>
      <w:r w:rsidR="00B35BEE">
        <w:rPr>
          <w:rFonts w:cs="Times New Roman"/>
          <w:color w:val="000000" w:themeColor="text1"/>
        </w:rPr>
        <w:fldChar w:fldCharType="begin"/>
      </w:r>
      <w:r w:rsidR="00B35BEE">
        <w:rPr>
          <w:rFonts w:cs="Times New Roman"/>
          <w:color w:val="000000" w:themeColor="text1"/>
        </w:rPr>
        <w:instrText xml:space="preserve"> ADDIN ZOTERO_ITEM CSL_CITATION {"citationID":"P5NQEygz","properties":{"formattedCitation":"(Lim et al., 2015b; Newcomb et al., 2014b; Tobin et al., 2015)","plainCitation":"(Lim et al., 2015b; Newcomb et al., 2014b; Tobin et al., 2015)"},"citationItems":[{"id":730,"uris":["http://zotero.org/users/2569385/items/3QV53I6C"],"uri":["http://zotero.org/users/2569385/items/3QV53I6C"],"itemData":{"id":730,"type":"article-journal","title":"Latent class analysis of substance use among men who have sex with men in Malaysia: Findings from the Asian Internet MSM Sex Survey","container-title":"Drug and Alcohol Dependence","page":"31-37","volume":"151","source":"PubMed","abstract":"BACKGROUND: High prevalence of substance use among men who have sex with men (MSM) may drive the HIV epidemic in Malaysia but patterns of substance use among Malaysian MSM have not been examined. Our study investigated specific Malaysian MSM risk groups to determine the association between their substance use and sexual risk behaviors.\nMETHODS: Data from Malaysian respondents (n=1235) in a large, multinational online survey of Asian MSM in 2010 were used to identify latent classes of substance use. Subsequent covariates were included in a joint model to predict class membership.\nRESULTS: The 3-class model was identified as the best fitting model, which included: (1) 'negligible substance use' for those reporting none or using any substance sparingly; (2) 'soft substance use' for those using poppers, ecstasy and drinking before sex; and (3) 'amphetamine-type stimulant (ATS) use' for those using stimulants (methamphetamine, ecstasy), erectile dysfunction drugs and recreational drug use before sex. Men in the 'ATS use' category were significantly less likely to not know their HIV status (AOR: 0.30, 95%CI: 0.14,0.66), more likely to have had more than 6 male sex partners (AOR: 4.83, 95% CI: 1.92-12.2), to have group sex (AOR:4.07, 95% CI: 2.31-7.15), to report inconsistent condom use (AOR:2.01, 95% CI: 1.12-3.60), to be HIV-infected (AOR:3.92, 95% CI: 1.63-8.42) and to have had any sexually transmitted infections (AOR:3.92, 95% CI:1.70, 9.08), compared to men in the 'negligible substance use' category.\nCONCLUSIONS: Our study identified subgroups of Malaysian MSM with distinct substance use patterns and HIV-related risk profiles, which provides implication for targeting HIV prevention in this subpopulation.","DOI":"10.1016/j.drugalcdep.2015.02.040","ISSN":"1879-0046","note":"PMID: 25865907","shortTitle":"Latent class analysis of substance use among men who have sex with men in Malaysia","journalAbbreviation":"Drug Alcohol Depend","language":"eng","author":[{"family":"Lim","given":"Sin How"},{"family":"Cheung","given":"Doug H."},{"family":"Guadamuz","given":"Thomas E."},{"family":"Wei","given":"Chongyi"},{"family":"Koe","given":"Stuart"},{"family":"Altice","given":"Frederick L."}],"issued":{"date-parts":[["2015",6,1]]}}},{"id":721,"uris":["http://zotero.org/users/2569385/items/8CV6T4E7"],"uri":["http://zotero.org/users/2569385/items/8CV6T4E7"],"itemData":{"id":721,"type":"article-journal","title":"Prevalence and patterns of smoking, alcohol use, and illicit drug use in young men who have sex with men","container-title":"Drug and Alcohol Dependence","page":"65-71","volume":"141","source":"PubMed","abstract":"BACKGROUND: Young men who have sex with men (YMSM) are substantially more likely to use illicit drugs and other substances compared to their heterosexual peers. Substance use during adolescence has critical implications for long-term physical and mental health, and among YMSM may lead to HIV infection. The goal of the current study was to describe lifetime and past six month prevalence and patterns of substance use across multiple substances in a community sample of racially-diverse YMSM.\nMETHODS: Participants were 450 YMSM aged 16-20 living in Chicago and surrounding areas who were recruited beginning December, 2009 using a modified form of respondent driven sampling. Analyses were conducted with multivariate logistic regression and latent class analysis (LCA).\nRESULTS: Prevalence of substance use was high in this sample of majority racial minority YMSM, and only 17.6% reported no substance use during the past six months. Black YMSM had lower prevalence of use of all substances except marijuana compared to White YMSM, while Latino YMSM had lower prevalence of alcohol, marijuana, and club drug use. Bisexual YMSM reported higher prevalence of cigarette smoking, stimulant use, and club drug use compared to gay/mostly gay YMSM but lower numbers of bisexual participants limited the ability to detect statistically significant differences. LCA found that YMSM fell into three general categories of substance users: alcohol and marijuana users, polysubstance users, and low marijuana users.\nCONCLUSIONS: Analyses reveal important group differences in prevalence and patterns of substance use in YMSM that have important implications for intervention.","DOI":"10.1016/j.drugalcdep.2014.05.005","ISSN":"1879-0046","note":"PMID: 24907774\nPMCID: PMC4158827","journalAbbreviation":"Drug Alcohol Depend","language":"eng","author":[{"family":"Newcomb","given":"Michael E."},{"family":"Ryan","given":"Daniel T."},{"family":"Greene","given":"George J."},{"family":"Garofalo","given":"Robert"},{"family":"Mustanski","given":"Brian"}],"issued":{"date-parts":[["2014",8,1]]}}},{"id":737,"uris":["http://zotero.org/users/2569385/items/ZNSMXKG4"],"uri":["http://zotero.org/users/2569385/items/ZNSMXKG4"],"itemData":{"id":737,"type":"article-journal","title":"Associations Between Drug and Alcohol Use Patterns and Sexual Risk in a Sample of African American Men Who Have Sex with Men","container-title":"AIDS and behavior","source":"PubMed","abstract":"Men who have sex with men (MSM) are the largest risk group in the US HIV epidemic and African American MSM (AA MSM) are disproportionately affected. Substance-abusing sexual minorities warrant attention as they are at elevated risk for HIV, yet are not a homogeneous risk group. The purpose of this study was to use latent class analysis to identify patterns of drug and alcohol use in a sample of 359 AA MSM and examine associations with sexual risk. Three classes were identified: Individuals who used multiple substances (poly-users) (18 %), alcohol/marijuana users (33 %) and individuals who had low probability of reporting drug or problematic alcohol use (50 %). Results from multivariate analysis indicate that poly-users were older and more likely to report sex exchange and recent sexually transmitted infection compared to the other classes. Alcohol and poly-users were more likely to report sex under the influence. Identifying and defining substance use patterns can improve specification of risk groups and allocation of prevention resources.","DOI":"10.1007/s10461-015-1214-8","ISSN":"1573-3254","note":"PMID: 26558629","journalAbbreviation":"AIDS Behav","language":"ENG","author":[{"family":"Tobin","given":"Karin E."},{"family":"Yang","given":"Cui"},{"family":"King","given":"Kelly"},{"family":"Latkin","given":"Carl A."},{"family":"Curriero","given":"Frank C."}],"issued":{"date-parts":[["2015",11,11]]}}}],"schema":"https://github.com/citation-style-language/schema/raw/master/csl-citation.json"} </w:instrText>
      </w:r>
      <w:r w:rsidR="00B35BEE">
        <w:rPr>
          <w:rFonts w:cs="Times New Roman"/>
          <w:color w:val="000000" w:themeColor="text1"/>
        </w:rPr>
        <w:fldChar w:fldCharType="separate"/>
      </w:r>
      <w:r w:rsidR="00B35BEE" w:rsidRPr="00B35BEE">
        <w:rPr>
          <w:rFonts w:cs="Times New Roman"/>
        </w:rPr>
        <w:t>(Lim et al., 2015b; Newcomb et al., 2014b; Tobin et al., 2015)</w:t>
      </w:r>
      <w:r w:rsidR="00B35BEE">
        <w:rPr>
          <w:rFonts w:cs="Times New Roman"/>
          <w:color w:val="000000" w:themeColor="text1"/>
        </w:rPr>
        <w:fldChar w:fldCharType="end"/>
      </w:r>
      <w:r w:rsidR="00B35BEE">
        <w:rPr>
          <w:rFonts w:cs="Times New Roman"/>
          <w:color w:val="000000" w:themeColor="text1"/>
        </w:rPr>
        <w:t>, four-class (</w:t>
      </w:r>
      <w:r w:rsidR="00B35BEE">
        <w:rPr>
          <w:rFonts w:cs="Times New Roman"/>
          <w:color w:val="000000" w:themeColor="text1"/>
        </w:rPr>
        <w:fldChar w:fldCharType="begin"/>
      </w:r>
      <w:r w:rsidR="00B35BEE">
        <w:rPr>
          <w:rFonts w:cs="Times New Roman"/>
          <w:color w:val="000000" w:themeColor="text1"/>
        </w:rPr>
        <w:instrText xml:space="preserve"> ADDIN ZOTERO_ITEM CSL_CITATION {"citationID":"vIlRObbb","properties":{"formattedCitation":"(McCarty-Caplan, Jantz, and Swartz 2014)","plainCitation":"(McCarty-Caplan, Jantz, and Swartz 2014)","dontUpdate":true},"citationItems":[{"id":712,"uris":["http://zotero.org/users/2569385/items/CBWAGVGA"],"uri":["http://zotero.org/users/2569385/items/CBWAGVGA"],"itemData":{"id":712,"type":"article-journal","title":"MSM and drug use: A latent class analysis of drug use and related sexual risk behaviors","container-title":"AIDS and behavior","page":"1339-1351","volume":"18","issue":"7","source":"PubMed","abstract":"This study examined patterns of drug use among gay men and other men who have sex with men (MSM) to identify sub-categories of men whose drug use and sexual behavior place them at especially high risk for HIV. A latent class analysis of a sample of MSM yielded a four-class model with two distinct high drug use sub-groups: one whose drug use concentrated on \"sex-drugs\" (SDU); and a distinct polydrug use class that showed higher probabilities of using all other drugs assessed. Comparative follow-up analyses indicated the SDU group was also more likely to engage in particular potentially high-risk sexual behaviors, be older, and to be HIV positive. Implications of distinguishing between patterns of drug use for HIV-risk prevention efforts with MSM are discussed.","DOI":"10.1007/s10461-013-0622-x","ISSN":"1573-3254","note":"PMID: 24065437","shortTitle":"MSM and drug use","journalAbbreviation":"AIDS Behav","language":"eng","author":[{"family":"McCarty-Caplan","given":"David"},{"family":"Jantz","given":"Ian"},{"family":"Swartz","given":"James"}],"issued":{"date-parts":[["2014",7]]}}}],"schema":"https://github.com/citation-style-language/schema/raw/master/csl-citation.json"} </w:instrText>
      </w:r>
      <w:r w:rsidR="00B35BEE">
        <w:rPr>
          <w:rFonts w:cs="Times New Roman"/>
          <w:color w:val="000000" w:themeColor="text1"/>
        </w:rPr>
        <w:fldChar w:fldCharType="separate"/>
      </w:r>
      <w:r w:rsidR="00B35BEE" w:rsidRPr="00DD4356">
        <w:rPr>
          <w:rFonts w:cs="Times New Roman"/>
        </w:rPr>
        <w:t>McCarty-Caplan, Jantz, and Swartz 2014)</w:t>
      </w:r>
      <w:r w:rsidR="00B35BEE">
        <w:rPr>
          <w:rFonts w:cs="Times New Roman"/>
          <w:color w:val="000000" w:themeColor="text1"/>
        </w:rPr>
        <w:fldChar w:fldCharType="end"/>
      </w:r>
      <w:r w:rsidR="00B35BEE">
        <w:rPr>
          <w:rFonts w:cs="Times New Roman"/>
          <w:color w:val="000000" w:themeColor="text1"/>
        </w:rPr>
        <w:t xml:space="preserve">, and six-class </w:t>
      </w:r>
      <w:r w:rsidR="00B35BEE">
        <w:rPr>
          <w:rFonts w:cs="Times New Roman"/>
          <w:color w:val="000000" w:themeColor="text1"/>
        </w:rPr>
        <w:fldChar w:fldCharType="begin"/>
      </w:r>
      <w:r w:rsidR="00B35BEE">
        <w:rPr>
          <w:rFonts w:cs="Times New Roman"/>
          <w:color w:val="000000" w:themeColor="text1"/>
        </w:rPr>
        <w:instrText xml:space="preserve"> ADDIN ZOTERO_ITEM CSL_CITATION {"citationID":"a18fflmg9dv","properties":{"formattedCitation":"(Yu et al., 2015)","plainCitation":"(Yu et al., 2015)"},"citationItems":[{"id":723,"uris":["http://zotero.org/users/2569385/items/MKGCXEWE"],"uri":["http://zotero.org/users/2569385/items/MKGCXEWE"],"itemData":{"id":723,"type":"article-journal","title":"Complex drug use patterns and associated HIV transmission risk behaviors in an Internet sample of U.S. men who have sex with men","container-title":"Archives of Sexual Behavior","page":"421-428","volume":"44","issue":"2","source":"PubMed","abstract":"Although the relationship between drug use and HIV risk among men who have sex with men (MSM) is well described, relatively few studies have employed empirical methods to assess underlying classes of drug use that may better predict the risk of HIV or sexually transmitted infections (STIs) among MSM. The aim of this study was to determine whether latent class analysis (LCA) would identify underlying drug classes reported prior to sex, as well as predict unprotected anal intercourse (UAI) in the last sexual encounter among MSM. From 2004 to 2005, an anonymous online survey was conducted among 8,717 sexually active MSM recruited from gay-affiliated U.S. websites. LCA clustered participants into six distinct drug use classes based on the specific types and number of drugs used: (1) low/no drug use, (2) recreational drug use, (3) poppers with prescription erectile dysfunction (ED) drug use, (4) poppers with both prescription and non-prescription ED drug use, (5) recreational, club, and ED drug use, and (6) high polydrug use. Compared with men in Class 1, men in the highest drug use class were 4.84 times more likely to report UAI in their last sexual encounter and 3.78 times more likely to report an STI in the past year (both ps &lt; .001). Younger MSM aged 18-29 were significantly more likely to report an STI than men aged 50 and above (p &lt; .001). There is a need to better understand the complex relationship between a diverse set of drugs used among MSM and how polydrug use impacts sexual negotiation over time.","DOI":"10.1007/s10508-014-0337-8","ISSN":"1573-2800","note":"PMID: 25104104\nPMCID: PMC4381804","journalAbbreviation":"Arch Sex Behav","language":"eng","author":[{"family":"Yu","given":"Gary"},{"family":"Wall","given":"Melanie M."},{"family":"Chiasson","given":"Mary Ann"},{"family":"Hirshfield","given":"Sabina"}],"issued":{"date-parts":[["2015",2]]}}}],"schema":"https://github.com/citation-style-language/schema/raw/master/csl-citation.json"} </w:instrText>
      </w:r>
      <w:r w:rsidR="00B35BEE">
        <w:rPr>
          <w:rFonts w:cs="Times New Roman"/>
          <w:color w:val="000000" w:themeColor="text1"/>
        </w:rPr>
        <w:fldChar w:fldCharType="separate"/>
      </w:r>
      <w:r w:rsidR="00B35BEE" w:rsidRPr="00B35BEE">
        <w:rPr>
          <w:rFonts w:cs="Times New Roman"/>
        </w:rPr>
        <w:t>(Yu et al., 2015)</w:t>
      </w:r>
      <w:r w:rsidR="00B35BEE">
        <w:rPr>
          <w:rFonts w:cs="Times New Roman"/>
          <w:color w:val="000000" w:themeColor="text1"/>
        </w:rPr>
        <w:fldChar w:fldCharType="end"/>
      </w:r>
      <w:r w:rsidR="00B35BEE">
        <w:rPr>
          <w:rFonts w:cs="Times New Roman"/>
          <w:color w:val="000000" w:themeColor="text1"/>
        </w:rPr>
        <w:t xml:space="preserve"> latent models of substance use have been previously identified</w:t>
      </w:r>
      <w:r w:rsidR="00873B83">
        <w:rPr>
          <w:rFonts w:cs="Times New Roman"/>
          <w:color w:val="000000" w:themeColor="text1"/>
        </w:rPr>
        <w:t>. These studies highlight not only a gradient in the number of substances used, but also distinct categories of substance use, such as sex drug use (</w:t>
      </w:r>
      <w:r w:rsidR="00873B83">
        <w:rPr>
          <w:rFonts w:cs="Times New Roman"/>
          <w:color w:val="000000" w:themeColor="text1"/>
        </w:rPr>
        <w:fldChar w:fldCharType="begin"/>
      </w:r>
      <w:r w:rsidR="00873B83">
        <w:rPr>
          <w:rFonts w:cs="Times New Roman"/>
          <w:color w:val="000000" w:themeColor="text1"/>
        </w:rPr>
        <w:instrText xml:space="preserve"> ADDIN ZOTERO_ITEM CSL_CITATION {"citationID":"PgHiElKV","properties":{"formattedCitation":"(McCarty-Caplan, Jantz, and Swartz 2014)","plainCitation":"(McCarty-Caplan, Jantz, and Swartz 2014)","dontUpdate":true},"citationItems":[{"id":712,"uris":["http://zotero.org/users/2569385/items/CBWAGVGA"],"uri":["http://zotero.org/users/2569385/items/CBWAGVGA"],"itemData":{"id":712,"type":"article-journal","title":"MSM and drug use: A latent class analysis of drug use and related sexual risk behaviors","container-title":"AIDS and behavior","page":"1339-1351","volume":"18","issue":"7","source":"PubMed","abstract":"This study examined patterns of drug use among gay men and other men who have sex with men (MSM) to identify sub-categories of men whose drug use and sexual behavior place them at especially high risk for HIV. A latent class analysis of a sample of MSM yielded a four-class model with two distinct high drug use sub-groups: one whose drug use concentrated on \"sex-drugs\" (SDU); and a distinct polydrug use class that showed higher probabilities of using all other drugs assessed. Comparative follow-up analyses indicated the SDU group was also more likely to engage in particular potentially high-risk sexual behaviors, be older, and to be HIV positive. Implications of distinguishing between patterns of drug use for HIV-risk prevention efforts with MSM are discussed.","DOI":"10.1007/s10461-013-0622-x","ISSN":"1573-3254","note":"PMID: 24065437","shortTitle":"MSM and drug use","journalAbbreviation":"AIDS Behav","language":"eng","author":[{"family":"McCarty-Caplan","given":"David"},{"family":"Jantz","given":"Ian"},{"family":"Swartz","given":"James"}],"issued":{"date-parts":[["2014",7]]}}}],"schema":"https://github.com/citation-style-language/schema/raw/master/csl-citation.json"} </w:instrText>
      </w:r>
      <w:r w:rsidR="00873B83">
        <w:rPr>
          <w:rFonts w:cs="Times New Roman"/>
          <w:color w:val="000000" w:themeColor="text1"/>
        </w:rPr>
        <w:fldChar w:fldCharType="separate"/>
      </w:r>
      <w:r w:rsidR="00873B83" w:rsidRPr="00DD4356">
        <w:rPr>
          <w:rFonts w:cs="Times New Roman"/>
        </w:rPr>
        <w:t>McCarty-Caplan, Jantz, and Swartz 2014)</w:t>
      </w:r>
      <w:r w:rsidR="00873B83">
        <w:rPr>
          <w:rFonts w:cs="Times New Roman"/>
          <w:color w:val="000000" w:themeColor="text1"/>
        </w:rPr>
        <w:fldChar w:fldCharType="end"/>
      </w:r>
      <w:r w:rsidR="00873B83">
        <w:rPr>
          <w:rFonts w:cs="Times New Roman"/>
          <w:color w:val="000000" w:themeColor="text1"/>
        </w:rPr>
        <w:t xml:space="preserve"> and recreational drug use </w:t>
      </w:r>
      <w:r w:rsidR="00873B83">
        <w:rPr>
          <w:rFonts w:cs="Times New Roman"/>
          <w:color w:val="000000" w:themeColor="text1"/>
        </w:rPr>
        <w:fldChar w:fldCharType="begin"/>
      </w:r>
      <w:r w:rsidR="00873B83">
        <w:rPr>
          <w:rFonts w:cs="Times New Roman"/>
          <w:color w:val="000000" w:themeColor="text1"/>
        </w:rPr>
        <w:instrText xml:space="preserve"> ADDIN ZOTERO_ITEM CSL_CITATION {"citationID":"a2cn2nu0lqv","properties":{"formattedCitation":"(Yu et al., 2015)","plainCitation":"(Yu et al., 2015)"},"citationItems":[{"id":723,"uris":["http://zotero.org/users/2569385/items/MKGCXEWE"],"uri":["http://zotero.org/users/2569385/items/MKGCXEWE"],"itemData":{"id":723,"type":"article-journal","title":"Complex drug use patterns and associated HIV transmission risk behaviors in an Internet sample of U.S. men who have sex with men","container-title":"Archives of Sexual Behavior","page":"421-428","volume":"44","issue":"2","source":"PubMed","abstract":"Although the relationship between drug use and HIV risk among men who have sex with men (MSM) is well described, relatively few studies have employed empirical methods to assess underlying classes of drug use that may better predict the risk of HIV or sexually transmitted infections (STIs) among MSM. The aim of this study was to determine whether latent class analysis (LCA) would identify underlying drug classes reported prior to sex, as well as predict unprotected anal intercourse (UAI) in the last sexual encounter among MSM. From 2004 to 2005, an anonymous online survey was conducted among 8,717 sexually active MSM recruited from gay-affiliated U.S. websites. LCA clustered participants into six distinct drug use classes based on the specific types and number of drugs used: (1) low/no drug use, (2) recreational drug use, (3) poppers with prescription erectile dysfunction (ED) drug use, (4) poppers with both prescription and non-prescription ED drug use, (5) recreational, club, and ED drug use, and (6) high polydrug use. Compared with men in Class 1, men in the highest drug use class were 4.84 times more likely to report UAI in their last sexual encounter and 3.78 times more likely to report an STI in the past year (both ps &lt; .001). Younger MSM aged 18-29 were significantly more likely to report an STI than men aged 50 and above (p &lt; .001). There is a need to better understand the complex relationship between a diverse set of drugs used among MSM and how polydrug use impacts sexual negotiation over time.","DOI":"10.1007/s10508-014-0337-8","ISSN":"1573-2800","note":"PMID: 25104104\nPMCID: PMC4381804","journalAbbreviation":"Arch Sex Behav","language":"eng","author":[{"family":"Yu","given":"Gary"},{"family":"Wall","given":"Melanie M."},{"family":"Chiasson","given":"Mary Ann"},{"family":"Hirshfield","given":"Sabina"}],"issued":{"date-parts":[["2015",2]]}}}],"schema":"https://github.com/citation-style-language/schema/raw/master/csl-citation.json"} </w:instrText>
      </w:r>
      <w:r w:rsidR="00873B83">
        <w:rPr>
          <w:rFonts w:cs="Times New Roman"/>
          <w:color w:val="000000" w:themeColor="text1"/>
        </w:rPr>
        <w:fldChar w:fldCharType="separate"/>
      </w:r>
      <w:r w:rsidR="00873B83" w:rsidRPr="00873B83">
        <w:rPr>
          <w:rFonts w:cs="Times New Roman"/>
        </w:rPr>
        <w:t>(Yu et al., 2015)</w:t>
      </w:r>
      <w:r w:rsidR="00873B83">
        <w:rPr>
          <w:rFonts w:cs="Times New Roman"/>
          <w:color w:val="000000" w:themeColor="text1"/>
        </w:rPr>
        <w:fldChar w:fldCharType="end"/>
      </w:r>
      <w:r w:rsidR="00873B83">
        <w:rPr>
          <w:rFonts w:cs="Times New Roman"/>
          <w:color w:val="000000" w:themeColor="text1"/>
        </w:rPr>
        <w:t xml:space="preserve">. </w:t>
      </w:r>
      <w:r w:rsidR="008A28C5" w:rsidRPr="00CA4BCA">
        <w:rPr>
          <w:rFonts w:cs="Times New Roman"/>
          <w:lang w:val="en-CA"/>
        </w:rPr>
        <w:t>However, w</w:t>
      </w:r>
      <w:r w:rsidRPr="00CA4BCA">
        <w:rPr>
          <w:rFonts w:cs="Times New Roman"/>
          <w:lang w:val="en-CA"/>
        </w:rPr>
        <w:t xml:space="preserve">hile </w:t>
      </w:r>
      <w:r w:rsidR="00873B83">
        <w:rPr>
          <w:rFonts w:cs="Times New Roman"/>
          <w:lang w:val="en-CA"/>
        </w:rPr>
        <w:t>these</w:t>
      </w:r>
      <w:r w:rsidR="00873B83" w:rsidRPr="00CA4BCA">
        <w:rPr>
          <w:rFonts w:cs="Times New Roman"/>
          <w:lang w:val="en-CA"/>
        </w:rPr>
        <w:t xml:space="preserve"> </w:t>
      </w:r>
      <w:r w:rsidR="0046495E" w:rsidRPr="00CA4BCA">
        <w:rPr>
          <w:rFonts w:cs="Times New Roman"/>
          <w:lang w:val="en-CA"/>
        </w:rPr>
        <w:t xml:space="preserve">studies </w:t>
      </w:r>
      <w:r w:rsidR="008944ED" w:rsidRPr="00CA4BCA">
        <w:rPr>
          <w:rFonts w:cs="Times New Roman"/>
          <w:lang w:val="en-CA"/>
        </w:rPr>
        <w:t>can empower</w:t>
      </w:r>
      <w:r w:rsidR="001854FD" w:rsidRPr="00CA4BCA">
        <w:rPr>
          <w:rFonts w:cs="Times New Roman"/>
          <w:lang w:val="en-CA"/>
        </w:rPr>
        <w:t xml:space="preserve"> researchers to </w:t>
      </w:r>
      <w:r w:rsidR="001854FD" w:rsidRPr="00CA4BCA">
        <w:rPr>
          <w:rFonts w:cs="Times New Roman"/>
          <w:lang w:val="en-CA"/>
        </w:rPr>
        <w:lastRenderedPageBreak/>
        <w:t xml:space="preserve">understand the </w:t>
      </w:r>
      <w:r w:rsidRPr="00CA4BCA">
        <w:rPr>
          <w:rFonts w:cs="Times New Roman"/>
          <w:lang w:val="en-CA"/>
        </w:rPr>
        <w:t xml:space="preserve">complex </w:t>
      </w:r>
      <w:r w:rsidR="001854FD" w:rsidRPr="00CA4BCA">
        <w:rPr>
          <w:rFonts w:cs="Times New Roman"/>
          <w:lang w:val="en-CA"/>
        </w:rPr>
        <w:t>substance use patterns of GBM</w:t>
      </w:r>
      <w:r w:rsidRPr="00CA4BCA">
        <w:rPr>
          <w:rFonts w:cs="Times New Roman"/>
          <w:lang w:val="en-CA"/>
        </w:rPr>
        <w:t xml:space="preserve">, </w:t>
      </w:r>
      <w:r w:rsidR="003B1DF9" w:rsidRPr="00CA4BCA">
        <w:rPr>
          <w:rFonts w:cs="Times New Roman"/>
          <w:lang w:val="en-CA"/>
        </w:rPr>
        <w:t>no</w:t>
      </w:r>
      <w:r w:rsidR="00873B83">
        <w:rPr>
          <w:rFonts w:cs="Times New Roman"/>
          <w:lang w:val="en-CA"/>
        </w:rPr>
        <w:t xml:space="preserve">ne </w:t>
      </w:r>
      <w:r w:rsidR="003B1DF9" w:rsidRPr="00CA4BCA">
        <w:rPr>
          <w:rFonts w:cs="Times New Roman"/>
          <w:lang w:val="en-CA"/>
        </w:rPr>
        <w:t>have</w:t>
      </w:r>
      <w:r w:rsidR="00873B83">
        <w:rPr>
          <w:rFonts w:cs="Times New Roman"/>
          <w:lang w:val="en-CA"/>
        </w:rPr>
        <w:t xml:space="preserve"> yet</w:t>
      </w:r>
      <w:r w:rsidR="003B1DF9" w:rsidRPr="00CA4BCA">
        <w:rPr>
          <w:rFonts w:cs="Times New Roman"/>
          <w:lang w:val="en-CA"/>
        </w:rPr>
        <w:t xml:space="preserve"> assessed the longitudinal stability of LCA classes among GBM</w:t>
      </w:r>
      <w:r w:rsidRPr="00CA4BCA">
        <w:rPr>
          <w:rFonts w:cs="Times New Roman"/>
          <w:lang w:val="en-CA"/>
        </w:rPr>
        <w:t>.</w:t>
      </w:r>
      <w:r w:rsidR="001C713F" w:rsidRPr="00CA4BCA">
        <w:rPr>
          <w:rFonts w:cs="Times New Roman"/>
          <w:lang w:val="en-CA"/>
        </w:rPr>
        <w:t xml:space="preserve"> </w:t>
      </w:r>
    </w:p>
    <w:bookmarkEnd w:id="3"/>
    <w:p w14:paraId="43C31831" w14:textId="7F106639" w:rsidR="007957E0" w:rsidRPr="00CA4BCA" w:rsidRDefault="001C713F" w:rsidP="008A28C5">
      <w:pPr>
        <w:ind w:firstLine="720"/>
        <w:rPr>
          <w:rFonts w:cs="Times New Roman"/>
          <w:lang w:val="en-CA"/>
        </w:rPr>
      </w:pPr>
      <w:r w:rsidRPr="00CA4BCA">
        <w:rPr>
          <w:rFonts w:cs="Times New Roman"/>
          <w:lang w:val="en-CA"/>
        </w:rPr>
        <w:t>Addressing this limitation</w:t>
      </w:r>
      <w:r w:rsidR="007957E0" w:rsidRPr="00CA4BCA">
        <w:rPr>
          <w:rFonts w:cs="Times New Roman"/>
          <w:lang w:val="en-CA"/>
        </w:rPr>
        <w:t xml:space="preserve">, a closely related procedure </w:t>
      </w:r>
      <w:r w:rsidRPr="00CA4BCA">
        <w:rPr>
          <w:rFonts w:cs="Times New Roman"/>
          <w:lang w:val="en-CA"/>
        </w:rPr>
        <w:t xml:space="preserve">called </w:t>
      </w:r>
      <w:r w:rsidR="007957E0" w:rsidRPr="00CA4BCA">
        <w:rPr>
          <w:rFonts w:cs="Times New Roman"/>
          <w:lang w:val="en-CA"/>
        </w:rPr>
        <w:t xml:space="preserve">Latent Transition Analysis (LTA) has been developed to assess the stability of longitudinal class membership by </w:t>
      </w:r>
      <w:r w:rsidR="008A28C5" w:rsidRPr="00CA4BCA">
        <w:rPr>
          <w:rFonts w:cs="Times New Roman"/>
          <w:lang w:val="en-CA"/>
        </w:rPr>
        <w:t>examining</w:t>
      </w:r>
      <w:r w:rsidR="007957E0" w:rsidRPr="00CA4BCA">
        <w:rPr>
          <w:rFonts w:cs="Times New Roman"/>
          <w:lang w:val="en-CA"/>
        </w:rPr>
        <w:t xml:space="preserve"> whether individuals transition between classes over time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{"citationID":"i852965gv","properties":{"formattedCitation":"(Collins and Lanza, 2013)","plainCitation":"(Collins and Lanza, 2013)"},"citationItems":[{"id":2212,"uris":["http://zotero.org/users/2569385/items/QUT26C8C"],"uri":["http://zotero.org/users/2569385/items/QUT26C8C"],"itemData":{"id":2212,"type":"book","title":"Latent Class and Latent Transition Analysis: With Applications in the Social, Behavioral, and Health Sciences","publisher":"John Wiley &amp; Sons","number-of-pages":"321","source":"Google Books","abstract":"A modern, comprehensive treatment of latent class and latent transition analysis for categorical data On a daily basis, researchers in the social, behavioral, and health sciences collect information and fit statistical models to the gathered empirical data with the goal of making significant advances in these fields. In many cases, it can be useful to identify latent, or unobserved, subgroups in a population, where individuals' subgroup membership is inferred from their responses on a set of observed variables. Latent Class and Latent Transition Analysis provides a comprehensive and unified introduction to this topic through one-of-a-kind, step-by-step presentations and coverage of theoretical, technical, and practical issues in categorical latent variable modeling for both cross-sectional and longitudinal data. The book begins with an introduction to latent class and latent transition analysis for categorical data. Subsequent chapters delve into more in-depth material, featuring:   A complete treatment of longitudinal latent class models   Focused coverage of the conceptual underpinnings of interpretation and evaluationof a latent class solution   Use of parameter restrictions and detection of identification problems   Advanced topics such as multi-group analysis and the modeling and interpretation of interactions between covariates   The authors present the topic in a style that is accessible yet rigorous. Each method is presented with both a theoretical background and the practical information that is useful for any data analyst. Empirical examples showcase the real-world applications of the discussed concepts and models, and each chapter concludes with a \"Points to Remember\" section that contains a brief summary of key ideas. All of the analyses in the book are performed using Proc LCA and Proc LTA, the authors' own software packages that can be run within the SAS® environment. A related Web site houses information on these freely available programs and the book's data sets, encouraging readers to reproduce the analyses and also try their own variations. Latent Class and Latent Transition Analysis is an excellent book for courses on categorical data analysis and latent variable models at the upper-undergraduate and graduate levels. It is also a valuable resource for researchers and practitioners in the social, behavioral, and health sciences who conduct latent class and latent transition analysis in their everyday work.","ISBN":"978-1-118-21076-5","note":"Google-Books-ID: gPJQWKsgh3YC","shortTitle":"Latent Class and Latent Transition Analysis","language":"en","author":[{"family":"Collins","given":"Linda M."},{"family":"Lanza","given":"Stephanie T."}],"issued":{"date-parts":[["2013",5,20]]}}}],"schema":"https://github.com/citation-style-language/schema/raw/master/csl-citation.json"}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(Collins and Lanza, 2013)</w:t>
      </w:r>
      <w:r w:rsidR="007957E0" w:rsidRPr="00CA4BCA">
        <w:rPr>
          <w:rFonts w:cs="Times New Roman"/>
          <w:lang w:val="en-CA"/>
        </w:rPr>
        <w:fldChar w:fldCharType="end"/>
      </w:r>
      <w:r w:rsidR="007957E0" w:rsidRPr="00CA4BCA">
        <w:rPr>
          <w:rFonts w:cs="Times New Roman"/>
          <w:lang w:val="en-CA"/>
        </w:rPr>
        <w:t>. While LTA is difficult to implement due to the</w:t>
      </w:r>
      <w:r w:rsidR="00E74802" w:rsidRPr="00CA4BCA">
        <w:rPr>
          <w:rFonts w:cs="Times New Roman"/>
          <w:lang w:val="en-CA"/>
        </w:rPr>
        <w:t xml:space="preserve"> relative</w:t>
      </w:r>
      <w:r w:rsidR="007957E0" w:rsidRPr="00CA4BCA">
        <w:rPr>
          <w:rFonts w:cs="Times New Roman"/>
          <w:lang w:val="en-CA"/>
        </w:rPr>
        <w:t xml:space="preserve"> scarcity of longitudinal data, previous studies have leveraged LTA to examine </w:t>
      </w:r>
      <w:r w:rsidR="00771A74" w:rsidRPr="00CA4BCA">
        <w:rPr>
          <w:rFonts w:cs="Times New Roman"/>
          <w:lang w:val="en-CA"/>
        </w:rPr>
        <w:t>trends</w:t>
      </w:r>
      <w:r w:rsidR="007957E0" w:rsidRPr="00CA4BCA">
        <w:rPr>
          <w:rFonts w:cs="Times New Roman"/>
          <w:lang w:val="en-CA"/>
        </w:rPr>
        <w:t xml:space="preserve"> in GBM’s sexual behavior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{"citationID":"5mn50emgd","properties":{"formattedCitation":"(Wilkinson et al., 2017)","plainCitation":"(Wilkinson et al., 2017)"},"citationItems":[{"id":2318,"uris":["http://zotero.org/users/2569385/items/IGNTKJPJ"],"uri":["http://zotero.org/users/2569385/items/IGNTKJPJ"],"itemData":{"id":2318,"type":"article-journal","title":"Measuring Transitions in Sexual Risk Among Men Who Have Sex With Men: The Novel Use of Latent Class and Latent Transition Analysis in HIV Sentinel Surveillance","container-title":"American Journal of Epidemiology","page":"627-635","volume":"185","issue":"8","source":"academic.oup.com","DOI":"10.1093/aje/kww239","ISSN":"0002-9262","shortTitle":"Measuring Transitions in Sexual Risk Among Men Who Have Sex With Men","journalAbbreviation":"Am J Epidemiol","author":[{"family":"Wilkinson","given":"Anna L."},{"family":"El-Hayek","given":"Carol"},{"family":"Fairley","given":"Christopher K."},{"family":"Roth","given":"Norm"},{"family":"Tee","given":"B. K."},{"family":"McBryde","given":"Emma"},{"family":"Hellard","given":"Margaret"},{"family":"Stoové","given":"Mark"}],"issued":{"date-parts":[["2017",4,15]]}}}],"schema":"https://github.com/citation-style-language/schema/raw/master/csl-citation.json"}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(Wilkinson et al., 2017)</w:t>
      </w:r>
      <w:r w:rsidR="007957E0" w:rsidRPr="00CA4BCA">
        <w:rPr>
          <w:rFonts w:cs="Times New Roman"/>
          <w:lang w:val="en-CA"/>
        </w:rPr>
        <w:fldChar w:fldCharType="end"/>
      </w:r>
      <w:r w:rsidR="007957E0" w:rsidRPr="00CA4BCA">
        <w:rPr>
          <w:rFonts w:cs="Times New Roman"/>
          <w:lang w:val="en-CA"/>
        </w:rPr>
        <w:t xml:space="preserve">, smoking habits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{"citationID":"27opbum24l","properties":{"formattedCitation":"(Gamarel et al., 2017)","plainCitation":"(Gamarel et al., 2017)"},"citationItems":[{"id":2317,"uris":["http://zotero.org/users/2569385/items/AI2PUD7Q"],"uri":["http://zotero.org/users/2569385/items/AI2PUD7Q"],"itemData":{"id":2317,"type":"article-journal","title":"A longitudinal study of persistent smoking among HIV-positive gay and bisexual men in primary relationships","container-title":"Addictive Behaviors","page":"118-124","volume":"66","source":"ScienceDirect","abstract":"Introduction\nWe examined the stability of smoking behaviors, and factors associated with persistent smoking in a longitudinal study of HIV-positive gay and bisexual men in primary relationships.\nMethods\nA sample of 377 HIV-positive men on antiretroviral therapy and their same-sex partners completed five assessments over two years. Participants completed semi-structured interviews which assessed smoking status, sociodemographic factors, relationship dynamics, and HIV-related disease characteristics. Latent transition analysis estimated the amount of transition in smoking over time. Latent class analysis examined factors associated with smoking status across the study period.\nResults\nAt baseline, 28.1% (n = 106) of participants reported current smoking. Over 90% of the HIV-positive men remained in the same smoking category over time (68.4% persistent non-smokers; 24.1% persistent smokers). Men whose partners smoked and men with lower income had higher odds of being persistent smokers, whereas older men and men who identified as Latino race/ethnicity had lower odds of being persistent smokers compared to non-smokers.\nConclusions\nDespite efforts to reduce smoking among people living with HIV (PLWH), a substantial subset of men continued to smoke during their two years in the study. Findings suggest that primary partners who also smoke and low income were the strongest predictors of sustained smoking behaviors among HIV-positive men. Additional research is needed to better understand how to increase motivation and support for smoking cessation among PLWH and their primary partners, while attending to how socioeconomic status may inhibit access to and the sustained impact of existing smoking cessation programs.","DOI":"10.1016/j.addbeh.2016.11.019","ISSN":"0306-4603","journalAbbreviation":"Addictive Behaviors","author":[{"family":"Gamarel","given":"Kristi E."},{"family":"Neilands","given":"Torsten B."},{"family":"Conroy","given":"Amy A."},{"family":"Dilworth","given":"Samantha E."},{"family":"Lisha","given":"Nadra"},{"family":"Taylor","given":"Jonelle M."},{"family":"Darbes","given":"Lynae A."},{"family":"Johnson","given":"Mallory O."}],"issued":{"date-parts":[["2017",3]]}}}],"schema":"https://github.com/citation-style-language/schema/raw/master/csl-citation.json"}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(Gamarel et al., 2017)</w:t>
      </w:r>
      <w:r w:rsidR="007957E0" w:rsidRPr="00CA4BCA">
        <w:rPr>
          <w:rFonts w:cs="Times New Roman"/>
          <w:lang w:val="en-CA"/>
        </w:rPr>
        <w:fldChar w:fldCharType="end"/>
      </w:r>
      <w:r w:rsidR="007957E0" w:rsidRPr="00CA4BCA">
        <w:rPr>
          <w:rFonts w:cs="Times New Roman"/>
          <w:lang w:val="en-CA"/>
        </w:rPr>
        <w:t xml:space="preserve">, and sexual orientation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{"citationID":"2fsi58i74u","properties":{"formattedCitation":"(Fish and Pasley, 2015)","plainCitation":"(Fish and Pasley, 2015)"},"citationItems":[{"id":732,"uris":["http://zotero.org/users/2569385/items/RZ6CX5T5"],"uri":["http://zotero.org/users/2569385/items/RZ6CX5T5"],"itemData":{"id":732,"type":"article-journal","title":"Sexual (Minority) Trajectories, Mental Health, and Alcohol Use: A Longitudinal Study of Youth as They Transition to Adulthood","container-title":"Journal of Youth and Adolescence","page":"1508-1527","volume":"44","issue":"8","source":"PubMed","abstract":"Lesbian, gay, bisexual, and queer/questioning youth health disparities are well documented; however, study limitations restrict our understanding of how the temporal interplay among domains of sexuality (attraction, behavior, and identity) situate individuals to be more or less at risk for poor mental health and alcohol use across the transition to adulthood. Four waves of data from the National Longitudinal Study of Adolescent to Adult Health (n = 12,679; 51.29 % female) were used with repeated measures latent class analysis to estimate sexual trajectory groups designated by prospective reports of romantic attraction, sexual/romantic behavior, and sexual identity from adolescence to adulthood. Five unique trajectories emerged: two heterosexual groups (heterosexual early daters [58.37 %] and heterosexual later daters [29.83 %]) and three sexual minority groups (heteroflexible [6.44 %], later bisexually identified [3.32 %], and LG[B] identified [2.03 %]). These sexual trajectories differentiate risk for depressive symptomology, suicidal thoughts and behaviors, and alcohol use during adolescence and early adulthood. Groups where individuals first reported same-sex attraction and sexual minority identities in adulthood (heteroflexible and later bisexually identified) had similar levels of depression, suicidality, and greater substance use than those who largely reported same-sex attraction and behavior during adolescence (the LG[B] identified group). These later recognition groups showed greater risk for poor outcomes in waves where they also first reported these changes in attraction, behaviors, and identities. The emergence of three sexual minority groups reveal within-group differences in sexuality and sexual trajectories and how these experiences relate to risk and timing of risk across the transition to adulthood.","DOI":"10.1007/s10964-015-0280-6","ISSN":"1573-6601","note":"PMID: 25956289","shortTitle":"Sexual (Minority) Trajectories, Mental Health, and Alcohol Use","journalAbbreviation":"J Youth Adolesc","language":"eng","author":[{"family":"Fish","given":"Jessica N."},{"family":"Pasley","given":"Kay"}],"issued":{"date-parts":[["2015",8]]}}}],"schema":"https://github.com/citation-style-language/schema/raw/master/csl-citation.json"}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(Fish and Pasley, 2015)</w:t>
      </w:r>
      <w:r w:rsidR="007957E0" w:rsidRPr="00CA4BCA">
        <w:rPr>
          <w:rFonts w:cs="Times New Roman"/>
          <w:lang w:val="en-CA"/>
        </w:rPr>
        <w:fldChar w:fldCharType="end"/>
      </w:r>
      <w:r w:rsidR="007957E0" w:rsidRPr="00CA4BCA">
        <w:rPr>
          <w:rFonts w:cs="Times New Roman"/>
          <w:lang w:val="en-CA"/>
        </w:rPr>
        <w:t xml:space="preserve">. Among other populations, LTA studies have found that while substance use classes are relatively stable, transition </w:t>
      </w:r>
      <w:r w:rsidR="00332D77" w:rsidRPr="00CA4BCA">
        <w:rPr>
          <w:rFonts w:cs="Times New Roman"/>
          <w:lang w:val="en-CA"/>
        </w:rPr>
        <w:t xml:space="preserve">does </w:t>
      </w:r>
      <w:r w:rsidR="00771A74" w:rsidRPr="00CA4BCA">
        <w:rPr>
          <w:rFonts w:cs="Times New Roman"/>
          <w:lang w:val="en-CA"/>
        </w:rPr>
        <w:t xml:space="preserve">in fact </w:t>
      </w:r>
      <w:r w:rsidR="00332D77" w:rsidRPr="00CA4BCA">
        <w:rPr>
          <w:rFonts w:cs="Times New Roman"/>
          <w:lang w:val="en-CA"/>
        </w:rPr>
        <w:t xml:space="preserve">occur </w:t>
      </w:r>
      <w:r w:rsidR="007957E0" w:rsidRPr="00CA4BCA">
        <w:rPr>
          <w:rFonts w:cs="Times New Roman"/>
          <w:lang w:val="en-CA"/>
        </w:rPr>
        <w:t>even across relatively short study periods. For example, one study found that over the course of 18 months</w:t>
      </w:r>
      <w:r w:rsidR="006F40A7" w:rsidRPr="00CA4BCA">
        <w:rPr>
          <w:rFonts w:cs="Times New Roman"/>
          <w:lang w:val="en-CA"/>
        </w:rPr>
        <w:t>,</w:t>
      </w:r>
      <w:r w:rsidR="007957E0" w:rsidRPr="00CA4BCA">
        <w:rPr>
          <w:rFonts w:cs="Times New Roman"/>
          <w:lang w:val="en-CA"/>
        </w:rPr>
        <w:t xml:space="preserve"> 10% of German vocational students transitioned </w:t>
      </w:r>
      <w:r w:rsidRPr="00CA4BCA">
        <w:rPr>
          <w:rFonts w:cs="Times New Roman"/>
          <w:lang w:val="en-CA"/>
        </w:rPr>
        <w:t>from</w:t>
      </w:r>
      <w:r w:rsidR="007957E0" w:rsidRPr="00CA4BCA">
        <w:rPr>
          <w:rFonts w:cs="Times New Roman"/>
          <w:lang w:val="en-CA"/>
        </w:rPr>
        <w:t xml:space="preserve"> “alcohol use” to “polysubstance use”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{"citationID":"267flvsq1g","properties":{"formattedCitation":"(Tomczyk et al., 2016)","plainCitation":"(Tomczyk et al., 2016)"},"citationItems":[{"id":2283,"uris":["http://zotero.org/users/2569385/items/BA9F68EM"],"uri":["http://zotero.org/users/2569385/items/BA9F68EM"],"itemData":{"id":2283,"type":"article-journal","title":"Polysubstance use patterns and trajectories in vocational students--a latent transition analysis","container-title":"Addictive Behaviors","page":"136-141","volume":"58","source":"PubMed","abstract":"BACKGROUND: The transition from late adolescence to early adulthood (16-20 years) represents a time of exploration and self-discovery for many young people. As such, it is often associated with experimentation in substance use. Vocational students in particular report high substance use. Thus, the aim of this study is to examine patterns and trajectories of their substance use behavior.\nMETHODS: On two occasions (interval 18 months), we investigated 5214 students (M=19.39 years; 54% male) from 49 vocational schools in seven German federal states. We identified classes of substance use and trajectories via latent transition analysis, controlling for gender, age, and socio-economic status. Additionally, we investigated work-related (job demands/stress/satisfaction) and psychopathological (depressive symptoms) predictors of substance use via multinomial regressions.\nRESULTS: We found three latent stages of substance use: low use (baseline: 43%/follow-up: 44%), mainly alcohol use (50%/45%), and polysubstance use (7%/11%). Over time, 10% of alcohol users at baseline transitioned to polysubstance use at follow-up, while there were smaller transition rates (2-9%) between the other stages. Compared to low use, polysubstance use at follow-up was predicted by high job stress (aOR=1.45, 1.07-1.96) at baseline.\nCONCLUSIONS: High alcohol use is associated with bidirectional transitions in young adults. Hence, future research needs to identify mechanisms of change to identify protective factors. Regarding vocational practice, early stress management seems to be a viable path to prevent polysubstance use in vocational students.","DOI":"10.1016/j.addbeh.2016.02.027","ISSN":"1873-6327","note":"PMID: 26943488","journalAbbreviation":"Addict Behav","language":"eng","author":[{"family":"Tomczyk","given":"Samuel"},{"family":"Pedersen","given":"Anya"},{"family":"Hanewinkel","given":"Reiner"},{"family":"Isensee","given":"Barbara"},{"family":"Morgenstern","given":"Matthis"}],"issued":{"date-parts":[["2016",7]]}}}],"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(Tomczyk et al., 2016)</w:t>
      </w:r>
      <w:r w:rsidR="007957E0" w:rsidRPr="00CA4BCA">
        <w:rPr>
          <w:rFonts w:cs="Times New Roman"/>
          <w:lang w:val="en-CA"/>
        </w:rPr>
        <w:fldChar w:fldCharType="end"/>
      </w:r>
      <w:r w:rsidR="00771A74" w:rsidRPr="00CA4BCA">
        <w:rPr>
          <w:rFonts w:cs="Times New Roman"/>
          <w:lang w:val="en-CA"/>
        </w:rPr>
        <w:t>.</w:t>
      </w:r>
      <w:r w:rsidR="00332D77" w:rsidRPr="00CA4BCA">
        <w:rPr>
          <w:rFonts w:cs="Times New Roman"/>
          <w:lang w:val="en-CA"/>
        </w:rPr>
        <w:t xml:space="preserve"> </w:t>
      </w:r>
      <w:r w:rsidR="007957E0" w:rsidRPr="00CA4BCA">
        <w:rPr>
          <w:rFonts w:cs="Times New Roman"/>
          <w:lang w:val="en-CA"/>
        </w:rPr>
        <w:t xml:space="preserve">Similarly, </w:t>
      </w:r>
      <w:r w:rsidR="00A92239" w:rsidRPr="00CA4BCA">
        <w:rPr>
          <w:rFonts w:cs="Times New Roman"/>
          <w:lang w:val="en-CA"/>
        </w:rPr>
        <w:t xml:space="preserve">another study among women </w:t>
      </w:r>
      <w:r w:rsidR="00771A74" w:rsidRPr="00CA4BCA">
        <w:rPr>
          <w:rFonts w:cs="Times New Roman"/>
          <w:lang w:val="en-CA"/>
        </w:rPr>
        <w:t xml:space="preserve">at risk for HIV </w:t>
      </w:r>
      <w:r w:rsidR="007957E0" w:rsidRPr="00CA4BCA">
        <w:rPr>
          <w:rFonts w:cs="Times New Roman"/>
          <w:lang w:val="en-CA"/>
        </w:rPr>
        <w:t xml:space="preserve">reported that 10% of those </w:t>
      </w:r>
      <w:r w:rsidR="00771A74" w:rsidRPr="00CA4BCA">
        <w:rPr>
          <w:rFonts w:cs="Times New Roman"/>
          <w:lang w:val="en-CA"/>
        </w:rPr>
        <w:t xml:space="preserve">initially </w:t>
      </w:r>
      <w:r w:rsidR="007957E0" w:rsidRPr="00CA4BCA">
        <w:rPr>
          <w:rFonts w:cs="Times New Roman"/>
          <w:lang w:val="en-CA"/>
        </w:rPr>
        <w:t xml:space="preserve">classified as “smokers” transitioned to </w:t>
      </w:r>
      <w:r w:rsidRPr="00CA4BCA">
        <w:rPr>
          <w:rFonts w:cs="Times New Roman"/>
          <w:lang w:val="en-CA"/>
        </w:rPr>
        <w:t xml:space="preserve">“crack, cocaine, and </w:t>
      </w:r>
      <w:r w:rsidR="008A28C5" w:rsidRPr="00CA4BCA">
        <w:rPr>
          <w:rFonts w:cs="Times New Roman"/>
          <w:lang w:val="en-CA"/>
        </w:rPr>
        <w:t>heroin</w:t>
      </w:r>
      <w:r w:rsidRPr="00CA4BCA">
        <w:rPr>
          <w:rFonts w:cs="Times New Roman"/>
          <w:lang w:val="en-CA"/>
        </w:rPr>
        <w:t xml:space="preserve"> use”</w:t>
      </w:r>
      <w:r w:rsidR="007957E0" w:rsidRPr="00CA4BCA">
        <w:rPr>
          <w:rFonts w:cs="Times New Roman"/>
          <w:lang w:val="en-CA"/>
        </w:rPr>
        <w:t xml:space="preserve"> after six months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{"citationID":"1oscpha4ks","properties":{"formattedCitation":"(Lanza and Bray, 2010)","plainCitation":"(Lanza and Bray, 2010)"},"citationItems":[{"id":2281,"uris":["http://zotero.org/users/2569385/items/G4I97BI5"],"uri":["http://zotero.org/users/2569385/items/G4I97BI5"],"itemData":{"id":2281,"type":"article-journal","title":"Transitions in drug use among high-risk women: an application of latent class and latent transition analysis","container-title":"Advances and applications in statistical sciences","page":"203-235","volume":"3","issue":"2","source":"PubMed Central","abstract":"Latent class analysis (LCA) is a statistical approach to identifying underlying subgroups (i.e. latent classes) of individuals based on their responses to a set of observed categorical variables. Latent transition analysis (LTA) extends this framework to longitudinal data in order to estimate the incidence of transitions over time in latent class membership. This study provides an introduction to LCA and LTA, including the use of grouping variables and covariates, and demonstrates the use of two SAS ® procedures (PROC LCA and PROC LTA) to fit these models. The empirical demonstration involved data from 457 women who participated in the Women's Interagency HIV Study (WIHS). First, LCA was used to identify drug use latent classes based on reported use of tobacco, alcohol, marijuana, crack/cocaine/heroin and other drugs. Second, LTA was used to estimate the incidence of transitions in drug use latent classes over a one-year period. Third, racial differences in initial drug use and transitions over time were examined using multiple-groups LTA. Fourth, the effect of participation in an alcohol or drug treatment program on initial latent class membership and transitions over time were examined using LTA with covariates. Measurement invariance across time and groups is examined.","ISSN":"0974-6811","note":"PMID: 21921977\nPMCID: PMC3171700","shortTitle":"TRANSITIONS IN DRUG USE AMONG HIGH-RISK WOMEN","journalAbbreviation":"Adv Appl Stat Sci","author":[{"family":"Lanza","given":"Stephanie T."},{"family":"Bray","given":"Bethany C."}],"issued":{"date-parts":[["2010",10]]}}}],"schema":"https://github.com/citation-style-language/schema/raw/master/csl-citation.json"}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(Lanza and Bray, 2010)</w:t>
      </w:r>
      <w:r w:rsidR="007957E0" w:rsidRPr="00CA4BCA">
        <w:rPr>
          <w:rFonts w:cs="Times New Roman"/>
          <w:lang w:val="en-CA"/>
        </w:rPr>
        <w:fldChar w:fldCharType="end"/>
      </w:r>
      <w:r w:rsidR="007957E0" w:rsidRPr="00CA4BCA">
        <w:rPr>
          <w:rFonts w:cs="Times New Roman"/>
          <w:lang w:val="en-CA"/>
        </w:rPr>
        <w:t xml:space="preserve">. Other epidemiological studies have </w:t>
      </w:r>
      <w:r w:rsidR="008944ED" w:rsidRPr="00CA4BCA">
        <w:rPr>
          <w:rFonts w:cs="Times New Roman"/>
          <w:lang w:val="en-CA"/>
        </w:rPr>
        <w:t>likewise</w:t>
      </w:r>
      <w:r w:rsidR="007957E0" w:rsidRPr="00CA4BCA">
        <w:rPr>
          <w:rFonts w:cs="Times New Roman"/>
          <w:lang w:val="en-CA"/>
        </w:rPr>
        <w:t xml:space="preserve"> shown that </w:t>
      </w:r>
      <w:r w:rsidR="00771A74" w:rsidRPr="00CA4BCA">
        <w:rPr>
          <w:rFonts w:cs="Times New Roman"/>
          <w:lang w:val="en-CA"/>
        </w:rPr>
        <w:t xml:space="preserve">among </w:t>
      </w:r>
      <w:r w:rsidRPr="00CA4BCA">
        <w:rPr>
          <w:rFonts w:cs="Times New Roman"/>
          <w:lang w:val="en-CA"/>
        </w:rPr>
        <w:t xml:space="preserve">a </w:t>
      </w:r>
      <w:r w:rsidR="007759DD" w:rsidRPr="00CA4BCA">
        <w:rPr>
          <w:rFonts w:cs="Times New Roman"/>
          <w:lang w:val="en-CA"/>
        </w:rPr>
        <w:t>subset</w:t>
      </w:r>
      <w:r w:rsidR="00771A74" w:rsidRPr="00CA4BCA">
        <w:rPr>
          <w:rFonts w:cs="Times New Roman"/>
          <w:lang w:val="en-CA"/>
        </w:rPr>
        <w:t xml:space="preserve"> of </w:t>
      </w:r>
      <w:r w:rsidR="000F23AE" w:rsidRPr="00CA4BCA">
        <w:rPr>
          <w:rFonts w:cs="Times New Roman"/>
          <w:lang w:val="en-CA"/>
        </w:rPr>
        <w:t>people who use drugs</w:t>
      </w:r>
      <w:r w:rsidR="00771A74" w:rsidRPr="00CA4BCA">
        <w:rPr>
          <w:rFonts w:cs="Times New Roman"/>
          <w:lang w:val="en-CA"/>
        </w:rPr>
        <w:t>,</w:t>
      </w:r>
      <w:r w:rsidR="00A92239" w:rsidRPr="00CA4BCA">
        <w:rPr>
          <w:rFonts w:cs="Times New Roman"/>
          <w:lang w:val="en-CA"/>
        </w:rPr>
        <w:t xml:space="preserve"> individuals progress </w:t>
      </w:r>
      <w:r w:rsidR="007957E0" w:rsidRPr="00CA4BCA">
        <w:rPr>
          <w:rFonts w:cs="Times New Roman"/>
          <w:lang w:val="en-CA"/>
        </w:rPr>
        <w:t xml:space="preserve">from relatively less harmful and more </w:t>
      </w:r>
      <w:r w:rsidR="007E69C5" w:rsidRPr="00CA4BCA">
        <w:rPr>
          <w:rFonts w:cs="Times New Roman"/>
          <w:lang w:val="en-CA"/>
        </w:rPr>
        <w:t>socially</w:t>
      </w:r>
      <w:r w:rsidR="00F0467F" w:rsidRPr="00CA4BCA">
        <w:rPr>
          <w:rFonts w:cs="Times New Roman"/>
          <w:lang w:val="en-CA"/>
        </w:rPr>
        <w:t xml:space="preserve"> </w:t>
      </w:r>
      <w:r w:rsidR="007E69C5" w:rsidRPr="00CA4BCA">
        <w:rPr>
          <w:rFonts w:cs="Times New Roman"/>
          <w:lang w:val="en-CA"/>
        </w:rPr>
        <w:t>acceptable</w:t>
      </w:r>
      <w:r w:rsidR="00F0467F" w:rsidRPr="00CA4BCA">
        <w:rPr>
          <w:rFonts w:cs="Times New Roman"/>
          <w:lang w:val="en-CA"/>
        </w:rPr>
        <w:t xml:space="preserve"> </w:t>
      </w:r>
      <w:r w:rsidR="007957E0" w:rsidRPr="00CA4BCA">
        <w:rPr>
          <w:rFonts w:cs="Times New Roman"/>
          <w:lang w:val="en-CA"/>
        </w:rPr>
        <w:t xml:space="preserve">substances (e.g., alcohol, tobacco, and marijuana) </w:t>
      </w:r>
      <w:r w:rsidR="00F0467F" w:rsidRPr="00CA4BCA">
        <w:rPr>
          <w:rFonts w:cs="Times New Roman"/>
          <w:lang w:val="en-CA"/>
        </w:rPr>
        <w:t xml:space="preserve">to those which are less widely available and </w:t>
      </w:r>
      <w:r w:rsidR="007E69C5" w:rsidRPr="00CA4BCA">
        <w:rPr>
          <w:rFonts w:cs="Times New Roman"/>
          <w:lang w:val="en-CA"/>
        </w:rPr>
        <w:t xml:space="preserve">potentially </w:t>
      </w:r>
      <w:r w:rsidR="00F0467F" w:rsidRPr="00CA4BCA">
        <w:rPr>
          <w:rFonts w:cs="Times New Roman"/>
          <w:lang w:val="en-CA"/>
        </w:rPr>
        <w:t xml:space="preserve">more harmful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{"citationID":"fZ8ybsIB","properties":{"formattedCitation":"{\\rtf (Cougle et al., 2016; Fl\\uc0\\u243{}rez-Salamanca et al., 2013; Kirby and Barry, 2012; Nkansah-Amankra and Minelli, 2016; Otten et al., 2017; Secades-Villa et al., 2015; Weinberger et al., 2016)}","plainCitation":"(Cougle et al., 2016; Flórez-Salamanca et al., 2013; Kirby and Barry, 2012; Nkansah-Amankra and Minelli, 2016; Otten et al., 2017; Secades-Villa et al., 2015; Weinberger et al., 2016)"},"citationItems":[{"id":2299,"uris":["http://zotero.org/users/2569385/items/TS3UEV4J"],"uri":["http://zotero.org/users/2569385/items/TS3UEV4J"],"itemData":{"id":2299,"type":"article-journal","title":"Probability and correlates of dependence among regular users of alcohol, nicotine, cannabis, and cocaine: concurrent and prospective analyses of the National Epidemiologic Survey on Alcohol and Related Conditions","container-title":"The Journal of Clinical Psychiatry","page":"e444-450","volume":"77","issue":"4","source":"PubMed","abstract":"OBJECTIVE: Research on the progression from substance use to dependence typically relies on lifetime retrospective reports of dependence among ever users. We sought to evaluate probability and correlates of dependence among recent (past-year) weekly users of alcohol, nicotine, cannabis, and cocaine through cross-sectional and prospective analyses.\nMETHODS: Data on substance use (assessed by the Alcohol Use Disorder and Associated Disabilities Interview Schedule-IV) and DSM-IV psychiatric disorders were assessed in 2 waves (Wave 1, N = 43,093; Wave 2, N = 34,653) through the National Epidemiologic Survey on Alcohol and Related Conditions.\nRESULTS: Conditional risk of dependence varied by frequency of substance use, although it was relatively stable for nicotine use. Among weekly past-year substance users at Wave 1, rates of dependence when rates of past-year dependence at Wave 1 were combined with new cases of dependence reported at Wave 2 were 15.6% for alcohol, 25.0% for cannabis, and 67.3% for nicotine. For past-year weekly users of cocaine at Wave 1, 49.9% met criteria for past-year dependence. Multiple demographic characteristics and past-year psychiatric disorders were correlated with past-year dependence, even among daily users. Men were generally more likely than women to be dependent on alcohol, cannabis, and cocaine, although women were more likely to be dependent on nicotine. Prospective analyses indicated that depressive disorders at Wave 1 predicted subsequent development of alcohol dependence (odds ratio [OR] = 1.40; 95% CI, 1.19-1.65; P &lt; .05). Further, 33.5% of weekly tobacco smokers who were nondependent at Wave 1 developed dependence later on.\nCONCLUSIONS: The present findings highlight the importance of frequency of use when determining the addictiveness of substances and suggest that certain demographic variables and psychiatric disorders are associated with substance dependence even among regular substance users.","DOI":"10.4088/JCP.14m09469","ISSN":"1555-2101","note":"PMID: 27137428","shortTitle":"Probability and correlates of dependence among regular users of alcohol, nicotine, cannabis, and cocaine","journalAbbreviation":"J Clin Psychiatry","language":"eng","author":[{"family":"Cougle","given":"Jesse R."},{"family":"Hakes","given":"Jahn K."},{"family":"Macatee","given":"Richard J."},{"family":"Zvolensky","given":"Michael J."},{"family":"Chavarria","given":"Jesus"}],"issued":{"date-parts":[["2016",4]]}}},{"id":2300,"uris":["http://zotero.org/users/2569385/items/NSDJVPCU"],"uri":["http://zotero.org/users/2569385/items/NSDJVPCU"],"itemData":{"id":2300,"type":"article-journal","title":"Probability and predictors of transition from abuse to dependence on alcohol, cannabis, and cocaine: results from the National Epidemiologic Survey on Alcohol and Related Conditions","container-title":"The American Journal of Drug and Alcohol Abuse","page":"168-179","volume":"39","issue":"3","source":"PubMed","abstract":"BACKGROUND: Little is known about the transition from substance abuse to substance dependence.\nOBJECTIVES: This study aims to estimate the cumulative probability of developing dependence and to identify predictors of transition to dependence among individuals with lifetime alcohol, cannabis, or cocaine abuse.\nMETHODS: Analyses were done for the subsample of individuals with lifetime alcohol abuse (n = 7802), cannabis abuse (n = 2832), or cocaine abuse (n = 815) of the National Epidemiologic Survey on Alcohol and Related Conditions (NESARC). Estimated projections of the cumulative probability of transitioning from abuse to dependence were obtained by the standard actuarial method. Discrete-time survival analyses with time-varying covariates were implemented to identify predictors of transition to dependence.\nRESULTS: Lifetime cumulative probability estimates indicated that 26.6% of individuals with alcohol abuse, 9.4% of individuals with cannabis abuse, and 15.6% of individuals with cocaine abuse transition from abuse to dependence at some point in their lives. Half of the transitions of alcohol, cannabis, and cocaine dependence occurred approximately 3.16, 1.83, and 1.42 years after abuse onset, respectively. Several sociodemographic, psychopathological, and substance use-related variables predicted transition from abuse to dependence for all of the substances assessed.\nCONCLUSION: The majority of individuals with abuse do not transition to dependence. Lifetime cumulative probability of transition from abuse to dependence was highest for alcohol, followed by cocaine and lastly cannabis. Time from onset of abuse to dependence was shorter for cocaine, followed by cannabis and alcohol. Although some predictors of transition were common across substances, other predictors were specific for certain substances.","DOI":"10.3109/00952990.2013.772618","ISSN":"1097-9891","note":"PMID: 23721532\nPMCID: PMC3755735","shortTitle":"Probability and predictors of transition from abuse to dependence on alcohol, cannabis, and cocaine","journalAbbreviation":"Am J Drug Alcohol Abuse","language":"eng","author":[{"family":"Flórez-Salamanca","given":"Ludwing"},{"family":"Secades-Villa","given":"Roberto"},{"family":"Hasin","given":"Deborah S."},{"family":"Cottler","given":"Linda"},{"family":"Wang","given":"Shuai"},{"family":"Grant","given":"Bridget F."},{"family":"Blanco","given":"Carlos"}],"issued":{"date-parts":[["2013",5]]}}},{"id":2307,"uris":["http://zotero.org/users/2569385/items/CIIA6AZP"],"uri":["http://zotero.org/users/2569385/items/CIIA6AZP"],"itemData":{"id":2307,"type":"article-journal","title":"Alcohol as a Gateway Drug: A Study of US 12th Graders","container-title":"Journal of School Health","page":"371-379","volume":"82","issue":"8","source":"Wiley Online Library","abstract":"BACKGROUND: The Gateway Drug Theory suggests that licit drugs, such as tobacco and alcohol, serve as a “gateway” toward the use of other, illicit drugs. However, there remains some discrepancy regarding which drug—alcohol, tobacco, or even marijuana—serves as the initial “gateway” drug subsequently leading to the use of illicit drugs such as cocaine and heroin. The purpose of this investigation was to determine which drug (alcohol, tobacco, or marijuana) was the actual “gateway” drug leading to additional substance use among a nationally representative sample of high school seniors. METHODS: This investigation conducted a secondary analysis of the 2008 Monitoring the Future 12th-grade data. Initiation into alcohol, tobacco, and other drug use was analyzed using a Guttman scale. Coefficients of reliability and scalability were calculated to evaluate scale fit. Subsequent cross tabulations and chi-square test for independence were conducted to better understand the relationship between the identified gateway drug and other substances' use. RESULTS: Results from the Guttman scale indicated that alcohol represented the “gateway” drug, leading to the use of tobacco, marijuana, and other illicit substances. Moreover, students who used alcohol exhibited a significantly greater likelihood of using both licit and illicit drugs. CONCLUSION: The findings from this investigation support that alcohol should receive primary attention in school-based substance abuse prevention programming, as the use of other substances could be impacted by delaying or preventing alcohol use. Therefore, it seems prudent for school and public health officials to focus prevention efforts, policies, and monies, on addressing adolescent alcohol use.","DOI":"10.1111/j.1746-1561.2012.00712.x","ISSN":"1746-1561","shortTitle":"Alcohol as a Gateway Drug","language":"en","author":[{"family":"Kirby","given":"Tristan"},{"family":"Barry","given":"Adam E."}],"issued":{"date-parts":[["2012",8,1]]}}},{"id":2306,"uris":["http://zotero.org/users/2569385/items/MEHHJCA5"],"uri":["http://zotero.org/users/2569385/items/MEHHJCA5"],"itemData":{"id":2306,"type":"article-journal","title":"“Gateway hypothesis” and early drug use: Additional findings from tracking a population-based sample of adolescents to adulthood","container-title":"Preventive Medicine Reports","page":"134-141","volume":"4","source":"PubMed Central","abstract":"To evaluate the consistency of the relationship between early drug use in adolescence and illegal drug use in adulthood as proposed in the “gateway theory” and to determine whether pre-existing depressive symptoms modifies this relationship. We used contractual data from the National Longitudinal Study of Adolescent to Adult health data spanning a 14 year period. We assessed the relationship between gateway drugs at baseline (age 11–20 years) and drug use in adulthood using generalized estimating equation (GEE) regression models. Gateways drugs used in early adolescence were significantly associated with marijuana use, illegal drugs and cocaine in older adolescence, but over time these relationships were not consistent in adulthood. Changes in the pattern of psychoactive drug use were important predictors of drug use in adulthood. A history of higher depressive symptoms was associated with higher frequencies of psychoactive drug use over time. Users of mental health services in adolescence were less likely to use drugs in older adolescence and in adulthood. Relationships between early drug use and later drug use in adulthood cannot be solely explained by the gateway hypothesis. Collectively, adolescent drug prevention and treatment programs should apply theory-based and evidence-proven multisectoral intervention strategies rather than providing a brief counseling on individual's behaviors. This evidence should include understanding that changes in behavior should involve broader analyses of the underlying social context for drug use and in particular the role of the community social norms in driving a group's behaviors., \n          \n            \n              •\n              Evidence shows early use of legal drugs increase risks of illicit drug progression.\n            \n            \n              •\n              It is unclear if adolescents at different stages, experience drug use in adulthood.\n            \n            \n              •\n              We used a nationally-based longitudinal data to evaluate these relationships.\n            \n            \n              •\n              Early drug initiation increased risks of drug progression but not in adulthood.\n            \n            \n              •\n              GH might be inadequate to explain drug use over time.","DOI":"10.1016/j.pmedr.2016.05.003","ISSN":"2211-3355","note":"PMID: 27413674\nPMCID: PMC4929049","shortTitle":"“Gateway hypothesis” and early drug use","journalAbbreviation":"Prev Med Rep","author":[{"family":"Nkansah-Amankra","given":"Stephen"},{"family":"Minelli","given":"Mark"}],"issued":{"date-parts":[["2016",5,28]]}}},{"id":2312,"uris":["http://zotero.org/users/2569385/items/5UHWPVCS"],"uri":["http://zotero.org/users/2569385/items/5UHWPVCS"],"itemData":{"id":2312,"type":"article-journal","title":"The social exigencies of the gateway progression to the use of illicit drugs from adolescence into adulthood","container-title":"Addictive Behaviors","page":"144-150","volume":"73","source":"PubMed","abstract":"BACKGROUND: There is limited empirical integration between peer clustering theory and the Gateway framework. The goal of the present study was to test the hypothesis that friendship associations partly predict gateway escalations in the use of drugs from adolescence to adulthood.\nMETHOD: This longitudinal study analyzed 3 waves of data from a community sample of 711 male and female participants without a history of illicit drug use reporting drug use at age 17, 22, and 27. Substance use assessments including tobacco, alcohol, cannabis, onset and abuse/dependence tendency of illicit drugs other than cannabis (i.e., cocaine, methamphetamine, and opiates), and friends' reported use of illicit drugs. Structural equation modeling was used to test the hypothesized model.\nRESULTS: Participants' cannabis use level at age 17 was positively associated with perceived friends' drug use at age 22, which in turn predicted participants' onset of illicit drug use between ages 22 and 27. Moreover, progression of tobacco use throughout age 17 to 22 was associated with an increased onset of illicit drug use between ages 22 and 27. Apart for an effect of cannabis use at age 22 on abuse and dependence tendency to various drugs at age 28, results were similar.\nCONCLUSIONS: During this period of development, the availability and selection of drug-using friends contributes to the progression to potentially more rewarding and damaging illicit drugs. These findings suggest the need to attend to the peer ecology in prevention and support the common practice of using abstaining peers in treatment for drug dependence.","DOI":"10.1016/j.addbeh.2017.05.011","ISSN":"1873-6327","note":"PMID: 28511099","journalAbbreviation":"Addict Behav","language":"eng","author":[{"family":"Otten","given":"Roy"},{"family":"Mun","given":"Chung Jung"},{"family":"Dishion","given":"Thomas J."}],"issued":{"date-parts":[["2017",10]]}}},{"id":2303,"uris":["http://zotero.org/users/2569385/items/AMTTU2JA"],"uri":["http://zotero.org/users/2569385/items/AMTTU2JA"],"itemData":{"id":2303,"type":"article-journal","title":"Probability and predictors of the cannabis gateway effect: a national study","container-title":"The International Journal on Drug Policy","page":"135-142","volume":"26","issue":"2","source":"PubMed","abstract":"BACKGROUND: While several studies have shown a high association between cannabis use and use of other illicit drugs, the predictors of progression from cannabis to other illicit drugs remain largely unknown. This study aims to estimate the cumulative probability of progression to illicit drug use among individuals with lifetime history of cannabis use, and to identify predictors of progression from cannabis use to other illicit drugs use.\nMETHODS: Analyses were conducted on the sub-sample of participants in Wave 1 of the National Epidemiological Survey on Alcohol and Related Conditions (NESARC) who started cannabis use before using any other drug (n=6624). Estimated projections of the cumulative probability of progression from cannabis use to use of any other illegal drug use in the general population were obtained by the standard actuarial method. Univariate and multivariable survival analyses with time-varying covariates were implemented to identify predictors of progression to any drug use.\nRESULTS: Lifetime cumulative probability estimates indicated that 44.7% of individuals with lifetime cannabis use progressed to other illicit drug use at some time in their lives. Several sociodemographic characteristics, internalizing and externalizing psychiatric disorders and indicators of substance use severity predicted progression from cannabis use to other illicit drugs use.\nCONCLUSION: A large proportion of individuals who use cannabis go on to use other illegal drugs. The increased risk of progression from cannabis use to other illicit drugs use among individuals with mental disorders underscores the importance of considering the benefits and adverse effects of changes in cannabis regulations and of developing prevention and treatment strategies directed at curtailing cannabis use in these populations.","DOI":"10.1016/j.drugpo.2014.07.011","ISSN":"1873-4758","note":"PMID: 25168081\nPMCID: PMC4291295","shortTitle":"Probability and predictors of the cannabis gateway effect","journalAbbreviation":"Int. J. Drug Policy","language":"eng","author":[{"family":"Secades-Villa","given":"Roberto"},{"family":"Garcia-Rodríguez","given":"Olaya"},{"family":"Jin","given":"Chelsea J."},{"family":"Wang","given":"Shuai"},{"family":"Blanco","given":"Carlos"}],"issued":{"date-parts":[["2015",2]]}}},{"id":2302,"uris":["http://zotero.org/users/2569385/items/JTAIBPQ8"],"uri":["http://zotero.org/users/2569385/items/JTAIBPQ8"],"itemData":{"id":2302,"type":"article-journal","title":"Is cannabis use associated with an increased risk of onset and persistence of alcohol use disorders? A three-year prospective study among adults in the United States","container-title":"Drug &amp; Alcohol Dependence","page":"363-367","volume":"161","source":"www.drugandalcoholdependence.com","abstract":"Background\nThe relationship between cannabis use and alcohol use disorders (AUDs) over time remains unclear. The current study used longitudinal data from adults in the United States (U.S.) to investigate the association between cannabis use and risk of onset and persistence of AUDs three years later.\nMethods\nThe study used data from respondents who completed both waves of the National Epidemiological Study of Alcohol Use and Related Disorders (NESARC; Wave 1, 2001–2001; Wave 2, 2004–2005) and for whom the age of first cannabis use preceded the age of any AUD. Incident AUDs were examined among respondents with no lifetime AUD diagnosis at Wave 1 (n = 27,461). Persistent AUDs were examined among respondents with a lifetime AUD diagnosis at Wave 1 (n = 2,121).\nResults\nAmong adults with no history of AUD, cannabis use at Wave 1 was associated with increased incidence of an AUD three years later relative to no cannabis use (Odds Ratio (OR) = 5.43; 95% Confidence Interval (CI) = 4.54–6.49). Among adults with a history of AUD, cannabis use at Wave 1 was associated with increased likelihood of AUD persistence three years later relative to no cannabis use (OR = 1.74; 95% CI = 1.56–1.95). These relationships remained significant after controlling for demographics, psychiatric disorders, and other substance use disorders.\nConclusions\nCannabis use is associated with increased risk of AUD onset and persistence over the course of three years among U.S. adults. Community-based and clinical programs aimed at preventing or treating problematic alcohol use may benefit from integrating information about cannabis use in order to improve outcomes.","DOI":"10.1016/j.drugalcdep.2016.01.014","ISSN":"0376-8716, 1879-0046","note":"PMID: 26875671","shortTitle":"Is cannabis use associated with an increased risk of onset and persistence of alcohol use disorders?","journalAbbreviation":"Drug &amp; Alcohol Dependence","language":"English","author":[{"family":"Weinberger","given":"Andrea H."},{"family":"Platt","given":"Jonathan"},{"family":"Goodwin","given":"Renee D."}],"issued":{"date-parts":[["2016",4,1]]}}}],"schema":"https://github.com/citation-style-language/schema/raw/master/csl-citation.json"}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(Cougle et al., 2016; Flórez-Salamanca et al., 2013; Kirby and Barry, 2012; Nkansah-Amankra and Minelli, 2016; Otten et al., 2017; Secades-Villa et al., 2015; Weinberger et al., 2016)</w:t>
      </w:r>
      <w:r w:rsidR="007957E0" w:rsidRPr="00CA4BCA">
        <w:rPr>
          <w:rFonts w:cs="Times New Roman"/>
          <w:lang w:val="en-CA"/>
        </w:rPr>
        <w:fldChar w:fldCharType="end"/>
      </w:r>
      <w:r w:rsidR="007957E0" w:rsidRPr="00CA4BCA">
        <w:rPr>
          <w:rFonts w:cs="Times New Roman"/>
          <w:lang w:val="en-CA"/>
        </w:rPr>
        <w:t xml:space="preserve">. Considering these </w:t>
      </w:r>
      <w:r w:rsidR="001E3778" w:rsidRPr="00CA4BCA">
        <w:rPr>
          <w:rFonts w:cs="Times New Roman"/>
          <w:lang w:val="en-CA"/>
        </w:rPr>
        <w:t>findings</w:t>
      </w:r>
      <w:r w:rsidR="007957E0" w:rsidRPr="00CA4BCA">
        <w:rPr>
          <w:rFonts w:cs="Times New Roman"/>
          <w:lang w:val="en-CA"/>
        </w:rPr>
        <w:t>, it is likely that</w:t>
      </w:r>
      <w:r w:rsidR="001642BD" w:rsidRPr="00CA4BCA">
        <w:rPr>
          <w:rFonts w:cs="Times New Roman"/>
          <w:lang w:val="en-CA"/>
        </w:rPr>
        <w:t xml:space="preserve"> </w:t>
      </w:r>
      <w:r w:rsidR="003A4776" w:rsidRPr="00CA4BCA">
        <w:rPr>
          <w:rFonts w:cs="Times New Roman"/>
          <w:lang w:val="en-CA"/>
        </w:rPr>
        <w:t>some</w:t>
      </w:r>
      <w:r w:rsidR="001642BD" w:rsidRPr="00CA4BCA">
        <w:rPr>
          <w:rFonts w:cs="Times New Roman"/>
          <w:lang w:val="en-CA"/>
        </w:rPr>
        <w:t xml:space="preserve"> GBM also</w:t>
      </w:r>
      <w:r w:rsidR="007957E0" w:rsidRPr="00CA4BCA">
        <w:rPr>
          <w:rFonts w:cs="Times New Roman"/>
          <w:lang w:val="en-CA"/>
        </w:rPr>
        <w:t xml:space="preserve"> transition between latent substance use classes</w:t>
      </w:r>
      <w:r w:rsidR="001642BD" w:rsidRPr="00CA4BCA">
        <w:rPr>
          <w:rFonts w:cs="Times New Roman"/>
          <w:lang w:val="en-CA"/>
        </w:rPr>
        <w:t xml:space="preserve"> over time</w:t>
      </w:r>
      <w:r w:rsidR="007957E0" w:rsidRPr="00CA4BCA">
        <w:rPr>
          <w:rFonts w:cs="Times New Roman"/>
          <w:lang w:val="en-CA"/>
        </w:rPr>
        <w:t>.</w:t>
      </w:r>
    </w:p>
    <w:p w14:paraId="1A94D995" w14:textId="7D0D23E6" w:rsidR="00EA15EB" w:rsidRPr="00CA4BCA" w:rsidRDefault="00EA15EB" w:rsidP="00EA15EB">
      <w:pPr>
        <w:pStyle w:val="Heading2"/>
        <w:rPr>
          <w:rFonts w:ascii="Times New Roman" w:hAnsi="Times New Roman" w:cs="Times New Roman"/>
        </w:rPr>
      </w:pPr>
      <w:r w:rsidRPr="00CA4BCA">
        <w:rPr>
          <w:rFonts w:ascii="Times New Roman" w:hAnsi="Times New Roman" w:cs="Times New Roman"/>
        </w:rPr>
        <w:t>1.2. Theoretical Framework</w:t>
      </w:r>
    </w:p>
    <w:p w14:paraId="384581DB" w14:textId="7A464B07" w:rsidR="0001794A" w:rsidRPr="00CA4BCA" w:rsidRDefault="001642BD" w:rsidP="00EA15EB">
      <w:pPr>
        <w:rPr>
          <w:rFonts w:cs="Times New Roman"/>
          <w:lang w:val="en-CA"/>
        </w:rPr>
      </w:pPr>
      <w:r w:rsidRPr="00CA4BCA">
        <w:rPr>
          <w:rFonts w:cs="Times New Roman"/>
          <w:lang w:val="en-CA"/>
        </w:rPr>
        <w:t xml:space="preserve">While substance use classes are believed to be largely stable due to </w:t>
      </w:r>
      <w:r w:rsidR="00D51D6B" w:rsidRPr="00CA4BCA">
        <w:rPr>
          <w:rFonts w:cs="Times New Roman"/>
          <w:lang w:val="en-CA"/>
        </w:rPr>
        <w:t xml:space="preserve">personal and cultural attitudes and preferences towards substance use (e.g., drug of choice, social norms; </w:t>
      </w:r>
      <w:r w:rsidR="00D51D6B" w:rsidRPr="00CA4BCA">
        <w:rPr>
          <w:rFonts w:cs="Times New Roman"/>
          <w:lang w:val="en-CA"/>
        </w:rPr>
        <w:fldChar w:fldCharType="begin"/>
      </w:r>
      <w:r w:rsidR="00D52C79" w:rsidRPr="00CA4BCA">
        <w:rPr>
          <w:rFonts w:cs="Times New Roman"/>
          <w:lang w:val="en-CA"/>
        </w:rPr>
        <w:instrText xml:space="preserve"> ADDIN ZOTERO_ITEM CSL_CITATION {"citationID":"LtzAeCE3","properties":{"formattedCitation":"(Fast et al., 2009; Golub et al., 2005)","plainCitation":"(Fast et al., 2009; Golub et al., 2005)"},"citationItems":[{"id":6263,"uris":["http://zotero.org/users/2569385/items/RBB32WNI"],"uri":["http://zotero.org/users/2569385/items/RBB32WNI"],"itemData":{"id":6263,"type":"article-journal","title":"Coming 'down here': young people's reflections on becoming entrenched in a local drug scene","container-title":"Social Science &amp; Medicine (1982)","page":"1204-1210","volume":"69","issue":"8","source":"PubMed","abstract":"Recent research has highlighted the ways in which social structural processes and physical environments operate to push young drug users towards risk. We undertook this study in order to explore how young people who were currently street-entrenched characterized and understood their initiation into the local drug scene in downtown Vancouver, Canada. Semi-structured qualitative interviews were conducted with 38 individuals recruited from a cohort of young drug users known as the At-Risk Youth Study (ARYS). Participant narratives reflected an understanding among young people that they are simultaneously pulled and pushed towards the local scene. Push factors were understood as circumstances that propelled young people towards this setting, in some cases because of proximity to it from a very early age, and in other cases because of adverse situations experienced elsewhere and the need to find a new place to live that was both affordable and safe. Interwoven with accounts of how youth were pushed towards the local scene were stories that emphasized a high degree of autonomy and the factors that initially attracted them to this scene, including a desire for excitement, independence and belonging. Once young people were more permanently based in downtown Vancouver, participants identified several factors that accelerated their entrenchment in this locale, including increasingly 'problematic' drug use, an intensified need to generate income, experiences of chronic homelessness, and unstable social relationships. Our findings stress the need for early intervention with youth, before they are initiated into the social networks and processes that rapidly propel young people towards risk within these contexts. Once initiation has occurred, the boundary between safety and risk quickly becomes difficult to navigate, and young people become highly vulnerable to numerous harms.","DOI":"10.1016/j.socscimed.2009.07.024","ISSN":"1873-5347","note":"PMID: 19700232\nPMCID: PMC2898373","shortTitle":"Coming 'down here'","journalAbbreviation":"Soc Sci Med","language":"eng","author":[{"family":"Fast","given":"Danya"},{"family":"Small","given":"Will"},{"family":"Wood","given":"Evan"},{"family":"Kerr","given":"Thomas"}],"issued":{"date-parts":[["2009",10]]}}},{"id":5214,"uris":["http://zotero.org/users/2569385/items/744AQPFH"],"uri":["http://zotero.org/users/2569385/items/744AQPFH"],"itemData":{"id":5214,"type":"article-journal","title":"Subcultural evolution and illicit drug use","container-title":"Addiction Research &amp; Theory","page":"217-229","volume":"13","issue":"3","source":"Taylor and Francis+NEJM","abstract":"This article articulates a subcultural basis to the evolving popularity for different illicit drugs primarily based on empirical research in the United States, especially among inner-city populations. From this perspective, drug use emerges from a dialectic between drug subcultures with individual identity development. The prevailing culture and subcultures affect drugs' popularity by imparting significance to their use. Innovations, historical events, and individual choices can cause subcultures to emerge and change over time. This subcultural view provides insight into the widespread use of licit drug, the dynamics of drug eras (or epidemics), the formation of drug generations, and the apparent “gateway” phenomenon.","DOI":"10.1080/16066350500053497","ISSN":"1606-6359","note":"PMID: 23805068","author":[{"family":"Golub","given":"Andrew"},{"family":"Johnson","given":"Bruce D."},{"family":"Dunlap","given":"Eloise"}],"issued":{"date-parts":[["2005",6,1]]}}}],"schema":"https://github.com/citation-style-language/schema/raw/master/csl-citation.json"} </w:instrText>
      </w:r>
      <w:r w:rsidR="00D51D6B" w:rsidRPr="00CA4BCA">
        <w:rPr>
          <w:rFonts w:cs="Times New Roman"/>
          <w:lang w:val="en-CA"/>
        </w:rPr>
        <w:fldChar w:fldCharType="separate"/>
      </w:r>
      <w:r w:rsidR="00585BBD" w:rsidRPr="00585BBD">
        <w:rPr>
          <w:rFonts w:cs="Times New Roman"/>
        </w:rPr>
        <w:t xml:space="preserve">Fast et al., 2009; Golub </w:t>
      </w:r>
      <w:r w:rsidR="00585BBD" w:rsidRPr="00585BBD">
        <w:rPr>
          <w:rFonts w:cs="Times New Roman"/>
        </w:rPr>
        <w:lastRenderedPageBreak/>
        <w:t>et al., 2005)</w:t>
      </w:r>
      <w:r w:rsidR="00D51D6B" w:rsidRPr="00CA4BCA">
        <w:rPr>
          <w:rFonts w:cs="Times New Roman"/>
          <w:lang w:val="en-CA"/>
        </w:rPr>
        <w:fldChar w:fldCharType="end"/>
      </w:r>
      <w:r w:rsidR="00D51D6B" w:rsidRPr="00CA4BCA">
        <w:rPr>
          <w:rFonts w:cs="Times New Roman"/>
          <w:lang w:val="en-CA"/>
        </w:rPr>
        <w:t>, t</w:t>
      </w:r>
      <w:r w:rsidR="007957E0" w:rsidRPr="00CA4BCA">
        <w:rPr>
          <w:rFonts w:cs="Times New Roman"/>
          <w:lang w:val="en-CA"/>
        </w:rPr>
        <w:t>wo primary mechanisms have been proposed to explain</w:t>
      </w:r>
      <w:r w:rsidR="006D6005" w:rsidRPr="00CA4BCA">
        <w:rPr>
          <w:rFonts w:cs="Times New Roman"/>
          <w:lang w:val="en-CA"/>
        </w:rPr>
        <w:t xml:space="preserve"> </w:t>
      </w:r>
      <w:r w:rsidR="007957E0" w:rsidRPr="00CA4BCA">
        <w:rPr>
          <w:rFonts w:cs="Times New Roman"/>
          <w:lang w:val="en-CA"/>
        </w:rPr>
        <w:t>transition</w:t>
      </w:r>
      <w:r w:rsidR="006D6005" w:rsidRPr="00CA4BCA">
        <w:rPr>
          <w:rFonts w:cs="Times New Roman"/>
          <w:lang w:val="en-CA"/>
        </w:rPr>
        <w:t>s</w:t>
      </w:r>
      <w:r w:rsidR="007957E0" w:rsidRPr="00CA4BCA">
        <w:rPr>
          <w:rFonts w:cs="Times New Roman"/>
          <w:lang w:val="en-CA"/>
        </w:rPr>
        <w:t xml:space="preserve"> from less severe to more severe substance use. The first posits that </w:t>
      </w:r>
      <w:r w:rsidR="008A28C5" w:rsidRPr="00CA4BCA">
        <w:rPr>
          <w:rFonts w:cs="Times New Roman"/>
          <w:lang w:val="en-CA"/>
        </w:rPr>
        <w:t xml:space="preserve">commonly available drugs, </w:t>
      </w:r>
      <w:r w:rsidR="007957E0" w:rsidRPr="00CA4BCA">
        <w:rPr>
          <w:rFonts w:cs="Times New Roman"/>
          <w:lang w:val="en-CA"/>
        </w:rPr>
        <w:t xml:space="preserve">such as alcohol, </w:t>
      </w:r>
      <w:r w:rsidR="006D6005" w:rsidRPr="00CA4BCA">
        <w:rPr>
          <w:rFonts w:cs="Times New Roman"/>
          <w:lang w:val="en-CA"/>
        </w:rPr>
        <w:t xml:space="preserve">tobacco, </w:t>
      </w:r>
      <w:r w:rsidR="007957E0" w:rsidRPr="00CA4BCA">
        <w:rPr>
          <w:rFonts w:cs="Times New Roman"/>
          <w:lang w:val="en-CA"/>
        </w:rPr>
        <w:t xml:space="preserve">and </w:t>
      </w:r>
      <w:r w:rsidR="006D6005" w:rsidRPr="00CA4BCA">
        <w:rPr>
          <w:rFonts w:cs="Times New Roman"/>
          <w:lang w:val="en-CA"/>
        </w:rPr>
        <w:t>marijuana</w:t>
      </w:r>
      <w:r w:rsidR="00C025B0" w:rsidRPr="00CA4BCA">
        <w:rPr>
          <w:rFonts w:cs="Times New Roman"/>
          <w:lang w:val="en-CA"/>
        </w:rPr>
        <w:t>,</w:t>
      </w:r>
      <w:r w:rsidR="006D6005" w:rsidRPr="00CA4BCA">
        <w:rPr>
          <w:rFonts w:cs="Times New Roman"/>
          <w:lang w:val="en-CA"/>
        </w:rPr>
        <w:t xml:space="preserve"> </w:t>
      </w:r>
      <w:r w:rsidR="007957E0" w:rsidRPr="00CA4BCA">
        <w:rPr>
          <w:rFonts w:cs="Times New Roman"/>
          <w:lang w:val="en-CA"/>
        </w:rPr>
        <w:t xml:space="preserve">act as neurobiological primers that predispose individuals to subsequent use </w:t>
      </w:r>
      <w:r w:rsidR="001547F2" w:rsidRPr="00CA4BCA">
        <w:rPr>
          <w:rFonts w:cs="Times New Roman"/>
          <w:lang w:val="en-CA"/>
        </w:rPr>
        <w:t xml:space="preserve">of </w:t>
      </w:r>
      <w:r w:rsidR="007957E0" w:rsidRPr="00CA4BCA">
        <w:rPr>
          <w:rFonts w:cs="Times New Roman"/>
          <w:lang w:val="en-CA"/>
        </w:rPr>
        <w:t xml:space="preserve">other drugs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{"citationID":"0ZYQFk8I","properties":{"formattedCitation":"(Kandel, 2002; Kandel and Kandel, 2015; Kandel and Yamaguchi, 1993; Kirby and Barry, 2012; Secades-Villa et al., 2015; Weinberger et al., 2016)","plainCitation":"(Kandel, 2002; Kandel and Kandel, 2015; Kandel and Yamaguchi, 1993; Kirby and Barry, 2012; Secades-Villa et al., 2015; Weinberger et al., 2016)"},"citationItems":[{"id":2295,"uris":["http://zotero.org/users/2569385/items/KHQNA94Z"],"uri":["http://zotero.org/users/2569385/items/KHQNA94Z"],"itemData":{"id":2295,"type":"book","title":"Stages and Pathways of Drug Involvement: Examining the Gateway Hypothesis","publisher":"Cambridge University Press","publisher-place":"Cambridge, UK ; New York","number-of-pages":"402","edition":"1 edition","source":"Amazon","event-place":"Cambridge, UK ; New York","abstract":"This book represents a systematic and broadly based discussion and evaluation of the Gateway Hypothesis, according to which young people who progress in the use of drugs follow a specific sequence from the use of tobacco or alcohol to the use of illicit drugs to the use of illicit drugs other than marijuana. This volume evaluates the strengths and weaknesses of the hypothesis from multiple disciplinary perspectives representing sociology, psychology, epidemiology, statistics, animal behavior, molecular biology and prevention.","ISBN":"978-0-521-78969-1","shortTitle":"Stages and Pathways of Drug Involvement","language":"English","editor":[{"family":"Kandel","given":"DB"}],"issued":{"date-parts":[["2002",3,4]]}}},{"id":2294,"uris":["http://zotero.org/users/2569385/items/PCP3TFZX"],"uri":["http://zotero.org/users/2569385/items/PCP3TFZX"],"itemData":{"id":2294,"type":"article-journal","title":"From beer to crack: developmental patterns of drug involvement.","container-title":"American Journal of Public Health","page":"851-855","volume":"83","issue":"6","source":"PubMed Central","abstract":"OBJECTIVES. Prior research has identified developmental stages in drug use in adolescence, from substances that are legal for adults to illicit drugs. The position of crack in patterns of drug involvement remains to be established. METHODS. The analyses are based on a sample (n = 1108) representative of 12th graders attending New York State public and private schools. From reported ages of first use of five classes of drugs (alcoholic beverages, cigarettes, marijuana, cocaine but not crack, crack), alternate models of progression were tested for their goodness of fit through log-linear models. RESULTS. The sequence involves at the earliest stage the use of at least one licit drug, alcohol or cigarettes. Subsequent stages involve marijuana and cocaine; crack is the last drug in the sequence. The results confirm the more important role of alcohol among males and cigarettes among females in the progression into various drug classes. Age of first drug use at a lower stage is a strong predictor of further progression. CONCLUSIONS. The developmental pattern of drug involvement identified in the early 1970s still characterizes adolescent pathways of drug involvement in the late 1980s.","ISSN":"0090-0036","note":"PMID: 8498623\nPMCID: PMC1694748","shortTitle":"From beer to crack","journalAbbreviation":"Am J Public Health","author":[{"family":"Kandel","given":"DB"},{"family":"Yamaguchi","given":"K"}],"issued":{"date-parts":[["1993",6]]}}},{"id":2293,"uris":["http://zotero.org/users/2569385/items/6X7HJ2QU"],"uri":["http://zotero.org/users/2569385/items/6X7HJ2QU"],"itemData":{"id":2293,"type":"article-journal","title":"The Gateway Hypothesis of substance abuse: developmental, biological and societal perspectives","container-title":"Acta Paediatrica (Oslo, Norway: 1992)","page":"130-137","volume":"104","issue":"2","source":"PubMed","abstract":"The Gateway Hypothesis describes how tobacco or alcohol use precedes marijuana and other illicit drug use. We review the epidemiological data, explore the underlying molecular mechanisms in mice and discuss the societal implications of the hypothesis, including the use of e-cigarettes by young people.\nCONCLUSION: Our mouse model identifies biological processes underlying the hypothesis, showing that nicotine is a gateway drug that exerts a priming effect on cocaine through increased global acetylation in the striatum.","DOI":"10.1111/apa.12851","ISSN":"1651-2227","note":"PMID: 25377988","shortTitle":"The Gateway Hypothesis of substance abuse","journalAbbreviation":"Acta Paediatr.","language":"eng","author":[{"family":"Kandel","given":"DB"},{"family":"Kandel","given":"Eric"}],"issued":{"date-parts":[["2015",2]]}}},{"id":2307,"uris":["http://zotero.org/users/2569385/items/CIIA6AZP"],"uri":["http://zotero.org/users/2569385/items/CIIA6AZP"],"itemData":{"id":2307,"type":"article-journal","title":"Alcohol as a Gateway Drug: A Study of US 12th Graders","container-title":"Journal of School Health","page":"371-379","volume":"82","issue":"8","source":"Wiley Online Library","abstract":"BACKGROUND: The Gateway Drug Theory suggests that licit drugs, such as tobacco and alcohol, serve as a “gateway” toward the use of other, illicit drugs. However, there remains some discrepancy regarding which drug—alcohol, tobacco, or even marijuana—serves as the initial “gateway” drug subsequently leading to the use of illicit drugs such as cocaine and heroin. The purpose of this investigation was to determine which drug (alcohol, tobacco, or marijuana) was the actual “gateway” drug leading to additional substance use among a nationally representative sample of high school seniors. METHODS: This investigation conducted a secondary analysis of the 2008 Monitoring the Future 12th-grade data. Initiation into alcohol, tobacco, and other drug use was analyzed using a Guttman scale. Coefficients of reliability and scalability were calculated to evaluate scale fit. Subsequent cross tabulations and chi-square test for independence were conducted to better understand the relationship between the identified gateway drug and other substances' use. RESULTS: Results from the Guttman scale indicated that alcohol represented the “gateway” drug, leading to the use of tobacco, marijuana, and other illicit substances. Moreover, students who used alcohol exhibited a significantly greater likelihood of using both licit and illicit drugs. CONCLUSION: The findings from this investigation support that alcohol should receive primary attention in school-based substance abuse prevention programming, as the use of other substances could be impacted by delaying or preventing alcohol use. Therefore, it seems prudent for school and public health officials to focus prevention efforts, policies, and monies, on addressing adolescent alcohol use.","DOI":"10.1111/j.1746-1561.2012.00712.x","ISSN":"1746-1561","shortTitle":"Alcohol as a Gateway Drug","language":"en","author":[{"family":"Kirby","given":"Tristan"},{"family":"Barry","given":"Adam E."}],"issued":{"date-parts":[["2012",8,1]]}}},{"id":2302,"uris":["http://zotero.org/users/2569385/items/JTAIBPQ8"],"uri":["http://zotero.org/users/2569385/items/JTAIBPQ8"],"itemData":{"id":2302,"type":"article-journal","title":"Is cannabis use associated with an increased risk of onset and persistence of alcohol use disorders? A three-year prospective study among adults in the United States","container-title":"Drug &amp; Alcohol Dependence","page":"363-367","volume":"161","source":"www.drugandalcoholdependence.com","abstract":"Background\nThe relationship between cannabis use and alcohol use disorders (AUDs) over time remains unclear. The current study used longitudinal data from adults in the United States (U.S.) to investigate the association between cannabis use and risk of onset and persistence of AUDs three years later.\nMethods\nThe study used data from respondents who completed both waves of the National Epidemiological Study of Alcohol Use and Related Disorders (NESARC; Wave 1, 2001–2001; Wave 2, 2004–2005) and for whom the age of first cannabis use preceded the age of any AUD. Incident AUDs were examined among respondents with no lifetime AUD diagnosis at Wave 1 (n = 27,461). Persistent AUDs were examined among respondents with a lifetime AUD diagnosis at Wave 1 (n = 2,121).\nResults\nAmong adults with no history of AUD, cannabis use at Wave 1 was associated with increased incidence of an AUD three years later relative to no cannabis use (Odds Ratio (OR) = 5.43; 95% Confidence Interval (CI) = 4.54–6.49). Among adults with a history of AUD, cannabis use at Wave 1 was associated with increased likelihood of AUD persistence three years later relative to no cannabis use (OR = 1.74; 95% CI = 1.56–1.95). These relationships remained significant after controlling for demographics, psychiatric disorders, and other substance use disorders.\nConclusions\nCannabis use is associated with increased risk of AUD onset and persistence over the course of three years among U.S. adults. Community-based and clinical programs aimed at preventing or treating problematic alcohol use may benefit from integrating information about cannabis use in order to improve outcomes.","DOI":"10.1016/j.drugalcdep.2016.01.014","ISSN":"0376-8716, 1879-0046","note":"PMID: 26875671","shortTitle":"Is cannabis use associated with an increased risk of onset and persistence of alcohol use disorders?","journalAbbreviation":"Drug &amp; Alcohol Dependence","language":"English","author":[{"family":"Weinberger","given":"Andrea H."},{"family":"Platt","given":"Jonathan"},{"family":"Goodwin","given":"Renee D."}],"issued":{"date-parts":[["2016",4,1]]}}},{"id":2303,"uris":["http://zotero.org/users/2569385/items/AMTTU2JA"],"uri":["http://zotero.org/users/2569385/items/AMTTU2JA"],"itemData":{"id":2303,"type":"article-journal","title":"Probability and predictors of the cannabis gateway effect: a national study","container-title":"The International Journal on Drug Policy","page":"135-142","volume":"26","issue":"2","source":"PubMed","abstract":"BACKGROUND: While several studies have shown a high association between cannabis use and use of other illicit drugs, the predictors of progression from cannabis to other illicit drugs remain largely unknown. This study aims to estimate the cumulative probability of progression to illicit drug use among individuals with lifetime history of cannabis use, and to identify predictors of progression from cannabis use to other illicit drugs use.\nMETHODS: Analyses were conducted on the sub-sample of participants in Wave 1 of the National Epidemiological Survey on Alcohol and Related Conditions (NESARC) who started cannabis use before using any other drug (n=6624). Estimated projections of the cumulative probability of progression from cannabis use to use of any other illegal drug use in the general population were obtained by the standard actuarial method. Univariate and multivariable survival analyses with time-varying covariates were implemented to identify predictors of progression to any drug use.\nRESULTS: Lifetime cumulative probability estimates indicated that 44.7% of individuals with lifetime cannabis use progressed to other illicit drug use at some time in their lives. Several sociodemographic characteristics, internalizing and externalizing psychiatric disorders and indicators of substance use severity predicted progression from cannabis use to other illicit drugs use.\nCONCLUSION: A large proportion of individuals who use cannabis go on to use other illegal drugs. The increased risk of progression from cannabis use to other illicit drugs use among individuals with mental disorders underscores the importance of considering the benefits and adverse effects of changes in cannabis regulations and of developing prevention and treatment strategies directed at curtailing cannabis use in these populations.","DOI":"10.1016/j.drugpo.2014.07.011","ISSN":"1873-4758","note":"PMID: 25168081\nPMCID: PMC4291295","shortTitle":"Probability and predictors of the cannabis gateway effect","journalAbbreviation":"Int. J. Drug Policy","language":"eng","author":[{"family":"Secades-Villa","given":"Roberto"},{"family":"Garcia-Rodríguez","given":"Olaya"},{"family":"Jin","given":"Chelsea J."},{"family":"Wang","given":"Shuai"},{"family":"Blanco","given":"Carlos"}],"issued":{"date-parts":[["2015",2]]}}}],"schema":"https://github.com/citation-style-language/schema/raw/master/csl-citation.json"}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(Kandel, 2002; Kandel and Kandel, 2015; Kandel and Yamaguchi, 1993; Kirby and Barry, 2012; Secades-Villa et al., 2015; Weinberger et al., 2016)</w:t>
      </w:r>
      <w:r w:rsidR="007957E0" w:rsidRPr="00CA4BCA">
        <w:rPr>
          <w:rFonts w:cs="Times New Roman"/>
          <w:lang w:val="en-CA"/>
        </w:rPr>
        <w:fldChar w:fldCharType="end"/>
      </w:r>
      <w:r w:rsidR="007957E0" w:rsidRPr="00CA4BCA">
        <w:rPr>
          <w:rFonts w:cs="Times New Roman"/>
          <w:lang w:val="en-CA"/>
        </w:rPr>
        <w:t xml:space="preserve">. For example, Kandel </w:t>
      </w:r>
      <w:r w:rsidR="00C025B0" w:rsidRPr="00CA4BCA">
        <w:rPr>
          <w:rFonts w:cs="Times New Roman"/>
          <w:lang w:val="en-CA"/>
        </w:rPr>
        <w:t>and</w:t>
      </w:r>
      <w:r w:rsidR="007957E0" w:rsidRPr="00CA4BCA">
        <w:rPr>
          <w:rFonts w:cs="Times New Roman"/>
          <w:lang w:val="en-CA"/>
        </w:rPr>
        <w:t xml:space="preserve"> Kandel report that</w:t>
      </w:r>
      <w:r w:rsidR="008A28C5" w:rsidRPr="00CA4BCA">
        <w:rPr>
          <w:rFonts w:cs="Times New Roman"/>
          <w:lang w:val="en-CA"/>
        </w:rPr>
        <w:t>,</w:t>
      </w:r>
      <w:r w:rsidR="007957E0" w:rsidRPr="00CA4BCA">
        <w:rPr>
          <w:rFonts w:cs="Times New Roman"/>
          <w:lang w:val="en-CA"/>
        </w:rPr>
        <w:t xml:space="preserve"> </w:t>
      </w:r>
      <w:r w:rsidR="001C713F" w:rsidRPr="00CA4BCA">
        <w:rPr>
          <w:rFonts w:cs="Times New Roman"/>
          <w:lang w:val="en-CA"/>
        </w:rPr>
        <w:t>in mice</w:t>
      </w:r>
      <w:r w:rsidR="008A28C5" w:rsidRPr="00CA4BCA">
        <w:rPr>
          <w:rFonts w:cs="Times New Roman"/>
          <w:lang w:val="en-CA"/>
        </w:rPr>
        <w:t>,</w:t>
      </w:r>
      <w:r w:rsidR="001C713F" w:rsidRPr="00CA4BCA">
        <w:rPr>
          <w:rFonts w:cs="Times New Roman"/>
          <w:lang w:val="en-CA"/>
        </w:rPr>
        <w:t xml:space="preserve"> </w:t>
      </w:r>
      <w:r w:rsidR="007957E0" w:rsidRPr="00CA4BCA">
        <w:rPr>
          <w:rFonts w:cs="Times New Roman"/>
          <w:lang w:val="en-CA"/>
        </w:rPr>
        <w:t xml:space="preserve">nicotine </w:t>
      </w:r>
      <w:r w:rsidR="001C713F" w:rsidRPr="00CA4BCA">
        <w:rPr>
          <w:rFonts w:cs="Times New Roman"/>
          <w:lang w:val="en-CA"/>
        </w:rPr>
        <w:t>exerts</w:t>
      </w:r>
      <w:r w:rsidR="007957E0" w:rsidRPr="00CA4BCA">
        <w:rPr>
          <w:rFonts w:cs="Times New Roman"/>
          <w:lang w:val="en-CA"/>
        </w:rPr>
        <w:t xml:space="preserve"> a non-reciprocal priming </w:t>
      </w:r>
      <w:r w:rsidR="001E3778" w:rsidRPr="00CA4BCA">
        <w:rPr>
          <w:rFonts w:cs="Times New Roman"/>
          <w:lang w:val="en-CA"/>
        </w:rPr>
        <w:t>effect</w:t>
      </w:r>
      <w:r w:rsidR="007957E0" w:rsidRPr="00CA4BCA">
        <w:rPr>
          <w:rFonts w:cs="Times New Roman"/>
          <w:lang w:val="en-CA"/>
        </w:rPr>
        <w:t xml:space="preserve"> </w:t>
      </w:r>
      <w:r w:rsidR="001C713F" w:rsidRPr="00CA4BCA">
        <w:rPr>
          <w:rFonts w:cs="Times New Roman"/>
          <w:lang w:val="en-CA"/>
        </w:rPr>
        <w:t>on</w:t>
      </w:r>
      <w:r w:rsidR="007957E0" w:rsidRPr="00CA4BCA">
        <w:rPr>
          <w:rFonts w:cs="Times New Roman"/>
          <w:lang w:val="en-CA"/>
        </w:rPr>
        <w:t xml:space="preserve"> cocaine-induced neurobiological addiction</w:t>
      </w:r>
      <w:r w:rsidR="008A28C5" w:rsidRPr="00CA4BCA">
        <w:rPr>
          <w:rFonts w:cs="Times New Roman"/>
          <w:lang w:val="en-CA"/>
        </w:rPr>
        <w:t xml:space="preserve">. </w:t>
      </w:r>
      <w:r w:rsidR="008A7C4B" w:rsidRPr="00CA4BCA">
        <w:rPr>
          <w:rFonts w:cs="Times New Roman"/>
          <w:lang w:val="en-CA"/>
        </w:rPr>
        <w:t xml:space="preserve">Similar studies have shown priming effects of alcohol in both human and animal studies </w:t>
      </w:r>
      <w:r w:rsidR="008A7C4B" w:rsidRPr="00CA4BCA">
        <w:rPr>
          <w:rFonts w:cs="Times New Roman"/>
          <w:lang w:val="en-CA"/>
        </w:rPr>
        <w:fldChar w:fldCharType="begin"/>
      </w:r>
      <w:r w:rsidR="008A7C4B" w:rsidRPr="00CA4BCA">
        <w:rPr>
          <w:rFonts w:cs="Times New Roman"/>
          <w:lang w:val="en-CA"/>
        </w:rPr>
        <w:instrText xml:space="preserve"> ADDIN ZOTERO_ITEM CSL_CITATION {"citationID":"a252ib3c9m0","properties":{"formattedCitation":"(Kirby and Barry, 2012)","plainCitation":"(Kirby and Barry, 2012)"},"citationItems":[{"id":2307,"uris":["http://zotero.org/users/2569385/items/CIIA6AZP"],"uri":["http://zotero.org/users/2569385/items/CIIA6AZP"],"itemData":{"id":2307,"type":"article-journal","title":"Alcohol as a Gateway Drug: A Study of US 12th Graders","container-title":"Journal of School Health","page":"371-379","volume":"82","issue":"8","source":"Wiley Online Library","abstract":"BACKGROUND: The Gateway Drug Theory suggests that licit drugs, such as tobacco and alcohol, serve as a “gateway” toward the use of other, illicit drugs. However, there remains some discrepancy regarding which drug—alcohol, tobacco, or even marijuana—serves as the initial “gateway” drug subsequently leading to the use of illicit drugs such as cocaine and heroin. The purpose of this investigation was to determine which drug (alcohol, tobacco, or marijuana) was the actual “gateway” drug leading to additional substance use among a nationally representative sample of high school seniors. METHODS: This investigation conducted a secondary analysis of the 2008 Monitoring the Future 12th-grade data. Initiation into alcohol, tobacco, and other drug use was analyzed using a Guttman scale. Coefficients of reliability and scalability were calculated to evaluate scale fit. Subsequent cross tabulations and chi-square test for independence were conducted to better understand the relationship between the identified gateway drug and other substances' use. RESULTS: Results from the Guttman scale indicated that alcohol represented the “gateway” drug, leading to the use of tobacco, marijuana, and other illicit substances. Moreover, students who used alcohol exhibited a significantly greater likelihood of using both licit and illicit drugs. CONCLUSION: The findings from this investigation support that alcohol should receive primary attention in school-based substance abuse prevention programming, as the use of other substances could be impacted by delaying or preventing alcohol use. Therefore, it seems prudent for school and public health officials to focus prevention efforts, policies, and monies, on addressing adolescent alcohol use.","DOI":"10.1111/j.1746-1561.2012.00712.x","ISSN":"1746-1561","shortTitle":"Alcohol as a Gateway Drug","language":"en","author":[{"family":"Kirby","given":"Tristan"},{"family":"Barry","given":"Adam E."}],"issued":{"date-parts":[["2012",8,1]]}}}],"schema":"https://github.com/citation-style-language/schema/raw/master/csl-citation.json"} </w:instrText>
      </w:r>
      <w:r w:rsidR="008A7C4B" w:rsidRPr="00CA4BCA">
        <w:rPr>
          <w:rFonts w:cs="Times New Roman"/>
          <w:lang w:val="en-CA"/>
        </w:rPr>
        <w:fldChar w:fldCharType="separate"/>
      </w:r>
      <w:r w:rsidR="00585BBD" w:rsidRPr="00585BBD">
        <w:rPr>
          <w:rFonts w:cs="Times New Roman"/>
        </w:rPr>
        <w:t>(Kirby and Barry, 2012)</w:t>
      </w:r>
      <w:r w:rsidR="008A7C4B" w:rsidRPr="00CA4BCA">
        <w:rPr>
          <w:rFonts w:cs="Times New Roman"/>
          <w:lang w:val="en-CA"/>
        </w:rPr>
        <w:fldChar w:fldCharType="end"/>
      </w:r>
      <w:r w:rsidR="008A7C4B" w:rsidRPr="00CA4BCA">
        <w:rPr>
          <w:rFonts w:cs="Times New Roman"/>
          <w:lang w:val="en-CA"/>
        </w:rPr>
        <w:t xml:space="preserve">. </w:t>
      </w:r>
      <w:r w:rsidR="0007647A" w:rsidRPr="00CA4BCA">
        <w:rPr>
          <w:rFonts w:cs="Times New Roman"/>
          <w:lang w:val="en-CA"/>
        </w:rPr>
        <w:t xml:space="preserve">While by no means universal, these </w:t>
      </w:r>
      <w:r w:rsidR="008A7C4B" w:rsidRPr="00CA4BCA">
        <w:rPr>
          <w:rFonts w:cs="Times New Roman"/>
          <w:lang w:val="en-CA"/>
        </w:rPr>
        <w:t>findings</w:t>
      </w:r>
      <w:r w:rsidR="008A28C5" w:rsidRPr="00CA4BCA">
        <w:rPr>
          <w:rFonts w:cs="Times New Roman"/>
          <w:lang w:val="en-CA"/>
        </w:rPr>
        <w:t xml:space="preserve"> suggest that neurological primers </w:t>
      </w:r>
      <w:r w:rsidR="0007647A" w:rsidRPr="00CA4BCA">
        <w:rPr>
          <w:rFonts w:cs="Times New Roman"/>
          <w:lang w:val="en-CA"/>
        </w:rPr>
        <w:t xml:space="preserve">can </w:t>
      </w:r>
      <w:r w:rsidR="008A28C5" w:rsidRPr="00CA4BCA">
        <w:rPr>
          <w:rFonts w:cs="Times New Roman"/>
          <w:lang w:val="en-CA"/>
        </w:rPr>
        <w:t xml:space="preserve">contribute to a gateway-like effect where exposure to less severe drugs (e.g., nicotine) predisposes one to increased risk for more severe drug use (e.g., cocaine). </w:t>
      </w:r>
      <w:r w:rsidR="007957E0" w:rsidRPr="00CA4BCA">
        <w:rPr>
          <w:rFonts w:cs="Times New Roman"/>
          <w:lang w:val="en-CA"/>
        </w:rPr>
        <w:t>The second mechanism</w:t>
      </w:r>
      <w:r w:rsidR="00985A5A" w:rsidRPr="00CA4BCA">
        <w:rPr>
          <w:rFonts w:cs="Times New Roman"/>
          <w:lang w:val="en-CA"/>
        </w:rPr>
        <w:t>, known as the common liability hypothesis,</w:t>
      </w:r>
      <w:r w:rsidR="007957E0" w:rsidRPr="00CA4BCA">
        <w:rPr>
          <w:rFonts w:cs="Times New Roman"/>
          <w:lang w:val="en-CA"/>
        </w:rPr>
        <w:t xml:space="preserve"> disregards the temporal sequencing of </w:t>
      </w:r>
      <w:r w:rsidR="0084230E" w:rsidRPr="00CA4BCA">
        <w:rPr>
          <w:rFonts w:cs="Times New Roman"/>
          <w:lang w:val="en-CA"/>
        </w:rPr>
        <w:t xml:space="preserve">using different </w:t>
      </w:r>
      <w:r w:rsidR="007957E0" w:rsidRPr="00CA4BCA">
        <w:rPr>
          <w:rFonts w:cs="Times New Roman"/>
          <w:lang w:val="en-CA"/>
        </w:rPr>
        <w:t xml:space="preserve">substances and posits that </w:t>
      </w:r>
      <w:r w:rsidR="0072052A" w:rsidRPr="00CA4BCA">
        <w:rPr>
          <w:rFonts w:cs="Times New Roman"/>
          <w:lang w:val="en-CA"/>
        </w:rPr>
        <w:t>shared</w:t>
      </w:r>
      <w:r w:rsidR="007957E0" w:rsidRPr="00CA4BCA">
        <w:rPr>
          <w:rFonts w:cs="Times New Roman"/>
          <w:lang w:val="en-CA"/>
        </w:rPr>
        <w:t xml:space="preserve"> risk-factors</w:t>
      </w:r>
      <w:r w:rsidR="00B50415" w:rsidRPr="00CA4BCA">
        <w:rPr>
          <w:rFonts w:cs="Times New Roman"/>
          <w:lang w:val="en-CA"/>
        </w:rPr>
        <w:t xml:space="preserve"> (</w:t>
      </w:r>
      <w:r w:rsidR="00092BFA" w:rsidRPr="00CA4BCA">
        <w:rPr>
          <w:rFonts w:cs="Times New Roman"/>
          <w:lang w:val="en-CA"/>
        </w:rPr>
        <w:t>referred to as</w:t>
      </w:r>
      <w:r w:rsidR="00B50415" w:rsidRPr="00CA4BCA">
        <w:rPr>
          <w:rFonts w:cs="Times New Roman"/>
          <w:lang w:val="en-CA"/>
        </w:rPr>
        <w:t xml:space="preserve"> liabilities)</w:t>
      </w:r>
      <w:r w:rsidR="007957E0" w:rsidRPr="00CA4BCA">
        <w:rPr>
          <w:rFonts w:cs="Times New Roman"/>
          <w:lang w:val="en-CA"/>
        </w:rPr>
        <w:t xml:space="preserve"> </w:t>
      </w:r>
      <w:r w:rsidR="00092BFA" w:rsidRPr="00CA4BCA">
        <w:rPr>
          <w:rFonts w:cs="Times New Roman"/>
          <w:lang w:val="en-CA"/>
        </w:rPr>
        <w:t>predispo</w:t>
      </w:r>
      <w:r w:rsidR="00985A5A" w:rsidRPr="00CA4BCA">
        <w:rPr>
          <w:rFonts w:cs="Times New Roman"/>
          <w:lang w:val="en-CA"/>
        </w:rPr>
        <w:t xml:space="preserve">se individuals to substance use </w:t>
      </w:r>
      <w:r w:rsidR="00985A5A" w:rsidRPr="00CA4BCA">
        <w:rPr>
          <w:rFonts w:cs="Times New Roman"/>
          <w:lang w:val="en-CA"/>
        </w:rPr>
        <w:fldChar w:fldCharType="begin"/>
      </w:r>
      <w:r w:rsidR="00D63A9C" w:rsidRPr="00CA4BCA">
        <w:rPr>
          <w:rFonts w:cs="Times New Roman"/>
          <w:lang w:val="en-CA"/>
        </w:rPr>
        <w:instrText xml:space="preserve"> ADDIN ZOTERO_ITEM CSL_CITATION {"citationID":"Rs7QTCL3","properties":{"formattedCitation":"(Vanyukov et al., 2017)","plainCitation":"(Vanyukov et al., 2017)"},"citationItems":[{"id":2288,"uris":["http://zotero.org/users/2569385/items/P65PCAI8"],"uri":["http://zotero.org/users/2569385/items/P65PCAI8"],"itemData":{"id":2288,"type":"article-journal","title":"Measurement of Liability to Addiction: Dimensional Approaches","container-title":"International Journal of Person Centered Medicine","volume":"6","issue":"4","source":"www.ijpcm.org","abstract":"Background:   Biomedical research and its applications, particularly in complex disorders, have historically been guided by the group-defined disease-oriented perspective rather than a person-centered health-oriented approach. This has been an obstacle to the development of prevention and treatment methods. There is thus a need to redirect studies to augment diagnostic systems with individualized phenotypic measurement.  Objectives:   The goal of this paper is to develop a pragmatic dimensional perspective on the complex traits underlying probabilities of disorder development.  Method: Selective literature review of the foundation and methods for measuring liabilities to complex disorders and its aspects, and consultation on practical approaches.  Results:  The paper presents novel applications of the person-centered principle in psychiatric research, particularly addiction science, which can be used in any translation-oriented etiological health studies. These applications focus on the quantitative measurement of the individual phenotype along the full scale of the latent trait of liability and its understudied aspect, resistance to the disorder. Conclusions:  The novel perspective and methodology we introduce facilitate a shift from the group-defined “disease” to the person-centered individual liability phenotype, and from the factors that lead to and determine risk for disease to the mechanisms that result in health and determine resistance to a disorder.","URL":"http://www.ijpcm.org/index.php/IJPCM/article/view/250-259","DOI":"10.5750/ijpcm.v6i4.612","ISSN":"2043 7749","shortTitle":"Measurement of Liability to Addiction","language":"en","author":[{"family":"Vanyukov","given":"MM"},{"family":"Cornelius","given":"Marie"},{"family":"Genna","given":"Natacha De"},{"family":"Reynolds","given":"Maureen"},{"family":"Kirillova","given":"Galina"},{"family":"Maher","given":"Brion"},{"family":"Kirisci","given":"Levent"}],"issued":{"date-parts":[["2017",2,2]]},"accessed":{"date-parts":[["2017",7,3]]}}}],"schema":"https://github.com/citation-style-language/schema/raw/master/csl-citation.json"} </w:instrText>
      </w:r>
      <w:r w:rsidR="00985A5A" w:rsidRPr="00CA4BCA">
        <w:rPr>
          <w:rFonts w:cs="Times New Roman"/>
          <w:lang w:val="en-CA"/>
        </w:rPr>
        <w:fldChar w:fldCharType="separate"/>
      </w:r>
      <w:r w:rsidR="00585BBD" w:rsidRPr="00585BBD">
        <w:rPr>
          <w:rFonts w:cs="Times New Roman"/>
        </w:rPr>
        <w:t>(Vanyukov et al., 2017)</w:t>
      </w:r>
      <w:r w:rsidR="00985A5A" w:rsidRPr="00CA4BCA">
        <w:rPr>
          <w:rFonts w:cs="Times New Roman"/>
          <w:lang w:val="en-CA"/>
        </w:rPr>
        <w:fldChar w:fldCharType="end"/>
      </w:r>
      <w:r w:rsidR="00985A5A" w:rsidRPr="00CA4BCA">
        <w:rPr>
          <w:rFonts w:cs="Times New Roman"/>
          <w:lang w:val="en-CA"/>
        </w:rPr>
        <w:t>. Proponents of this hypothesis argue that these common liabilities better explain</w:t>
      </w:r>
      <w:r w:rsidR="001C713F" w:rsidRPr="00CA4BCA">
        <w:rPr>
          <w:rFonts w:cs="Times New Roman"/>
          <w:lang w:val="en-CA"/>
        </w:rPr>
        <w:t xml:space="preserve"> </w:t>
      </w:r>
      <w:r w:rsidR="00985A5A" w:rsidRPr="00CA4BCA">
        <w:rPr>
          <w:rFonts w:cs="Times New Roman"/>
          <w:lang w:val="en-CA"/>
        </w:rPr>
        <w:t xml:space="preserve">the </w:t>
      </w:r>
      <w:r w:rsidR="007957E0" w:rsidRPr="00CA4BCA">
        <w:rPr>
          <w:rFonts w:cs="Times New Roman"/>
          <w:lang w:val="en-CA"/>
        </w:rPr>
        <w:t xml:space="preserve">observed co-occurrence </w:t>
      </w:r>
      <w:r w:rsidR="00092BFA" w:rsidRPr="00CA4BCA">
        <w:rPr>
          <w:rFonts w:cs="Times New Roman"/>
          <w:lang w:val="en-CA"/>
        </w:rPr>
        <w:t>and</w:t>
      </w:r>
      <w:r w:rsidR="007957E0" w:rsidRPr="00CA4BCA">
        <w:rPr>
          <w:rFonts w:cs="Times New Roman"/>
          <w:lang w:val="en-CA"/>
        </w:rPr>
        <w:t xml:space="preserve"> temporal </w:t>
      </w:r>
      <w:r w:rsidR="00985A5A" w:rsidRPr="00CA4BCA">
        <w:rPr>
          <w:rFonts w:cs="Times New Roman"/>
          <w:lang w:val="en-CA"/>
        </w:rPr>
        <w:t>patterns</w:t>
      </w:r>
      <w:r w:rsidR="007957E0" w:rsidRPr="00CA4BCA">
        <w:rPr>
          <w:rFonts w:cs="Times New Roman"/>
          <w:lang w:val="en-CA"/>
        </w:rPr>
        <w:t xml:space="preserve"> of </w:t>
      </w:r>
      <w:r w:rsidR="00B50415" w:rsidRPr="00CA4BCA">
        <w:rPr>
          <w:rFonts w:cs="Times New Roman"/>
          <w:lang w:val="en-CA"/>
        </w:rPr>
        <w:t>substance use</w:t>
      </w:r>
      <w:r w:rsidR="007957E0" w:rsidRPr="00CA4BCA">
        <w:rPr>
          <w:rFonts w:cs="Times New Roman"/>
          <w:lang w:val="en-CA"/>
        </w:rPr>
        <w:t xml:space="preserve"> </w:t>
      </w:r>
      <w:r w:rsidR="001C713F" w:rsidRPr="00CA4BCA">
        <w:rPr>
          <w:rFonts w:cs="Times New Roman"/>
          <w:lang w:val="en-CA"/>
        </w:rPr>
        <w:t>behavior</w:t>
      </w:r>
      <w:r w:rsidR="0072052A" w:rsidRPr="00CA4BCA">
        <w:rPr>
          <w:rFonts w:cs="Times New Roman"/>
          <w:lang w:val="en-CA"/>
        </w:rPr>
        <w:t xml:space="preserve">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{"citationID":"eYLvEKFL","properties":{"formattedCitation":"(Vanyukov et al., 2012; Vanyukov and Ridenour, 2012)","plainCitation":"(Vanyukov et al., 2012; Vanyukov and Ridenour, 2012)"},"citationItems":[{"id":2290,"uris":["http://zotero.org/users/2569385/items/QNGZ5ZKC"],"uri":["http://zotero.org/users/2569385/items/QNGZ5ZKC"],"itemData":{"id":2290,"type":"article-journal","title":"Common liability to addiction and “gateway hypothesis”: Theoretical, empirical and evolutionary perspective","container-title":"Drug &amp; Alcohol Dependence","page":"S3-S17","volume":"123","source":"www.drugandalcoholdependence.com","abstract":"&lt;h2&gt;Abstract&lt;/h2&gt;&lt;h3&gt;Background&lt;/h3&gt;&lt;p&gt;Two competing concepts address the development of involvement with psychoactive substances: the \"gateway hypothesis\" (GH) and common liability to addiction (CLA).&lt;/p&gt;&lt;h3&gt;Method&lt;/h3&gt;&lt;p&gt;The literature on theoretical foundations and empirical findings related to both concepts is reviewed.&lt;/p&gt;&lt;h3&gt;Results&lt;/h3&gt;&lt;p&gt;The data suggest that drug use initiation sequencing, the core GH element, is variable and opportunistic rather than uniform and developmentally deterministic. The association between risks for use of different substances, if any, can be more readily explained by common underpinnings than by specific staging. In contrast, the CLA concept is grounded in genetic theory and supported by data identifying common sources of variation in the risk for specific addictions. This commonality has identifiable neurobiological substrate and plausible evolutionary explanations.&lt;/p&gt;&lt;h3&gt;Conclusions&lt;/h3&gt;&lt;p&gt;Whereas the \"gateway\" hypothesis does not specify mechanistic connections between \"stages\", and does not extend to the risks for &lt;i&gt;addictions&lt;/i&gt;, the concept of common liability to addictions incorporates sequencing of drug use initiation as well as extends to related addictions and their severity, provides a parsimonious explanation of substance use and addiction co-occurrence, and establishes a theoretical and empirical foundation to research in etiology, quantitative risk and severity measurement, as well as targeted non-drug-specific prevention and early intervention.&lt;/p&gt;","DOI":"10.1016/j.drugalcdep.2011.12.018","ISSN":"0376-8716, 1879-0046","note":"PMID: 22261179, 22261179","shortTitle":"Common liability to addiction and “gateway hypothesis”","journalAbbreviation":"Drug &amp; Alcohol Dependence","language":"English","author":[{"family":"Vanyukov","given":"MM"},{"family":"Tarter","given":"Ralph E."},{"family":"Kirillova","given":"Galina P."},{"family":"Kirisci","given":"Levent"},{"family":"Reynolds","given":"Maureen D."},{"family":"Kreek","given":"Mary Jeanne"},{"family":"Conway","given":"Kevin P."},{"family":"Maher","given":"Brion S."},{"family":"Iacono","given":"William G."},{"family":"Bierut","given":"Laura"},{"family":"Neale","given":"Michael C."},{"family":"Clark","given":"Duncan B."},{"family":"Ridenour","given":"Ty A."}],"issued":{"date-parts":[["2012",6,1]]}}},{"id":2286,"uris":["http://zotero.org/users/2569385/items/MT3MVX8S"],"uri":["http://zotero.org/users/2569385/items/MT3MVX8S"],"itemData":{"id":2286,"type":"article-journal","title":"Common liability to drug addictions: Theory, research, practice","container-title":"Drug and alcohol dependence","page":"S1-S2","volume":"123","issue":"0 1","source":"PubMed Central","DOI":"10.1016/j.drugalcdep.2012.01.005","ISSN":"0376-8716","note":"PMID: 22310010\nPMCID: PMC3982606","shortTitle":"Common liability to drug addictions","journalAbbreviation":"Drug Alcohol Depend","author":[{"family":"Vanyukov","given":"MM"},{"family":"Ridenour","given":"Ty A."}],"issued":{"date-parts":[["2012",6]]}}}],"schema":"https://github.com/citation-style-language/schema/raw/master/csl-citation.json"}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(Vanyukov et al., 2012; Vanyukov and Ridenour, 2012)</w:t>
      </w:r>
      <w:r w:rsidR="007957E0" w:rsidRPr="00CA4BCA">
        <w:rPr>
          <w:rFonts w:cs="Times New Roman"/>
          <w:lang w:val="en-CA"/>
        </w:rPr>
        <w:fldChar w:fldCharType="end"/>
      </w:r>
      <w:r w:rsidR="007957E0" w:rsidRPr="00CA4BCA">
        <w:rPr>
          <w:rFonts w:cs="Times New Roman"/>
          <w:lang w:val="en-CA"/>
        </w:rPr>
        <w:t xml:space="preserve">. </w:t>
      </w:r>
      <w:r w:rsidR="00964233" w:rsidRPr="00CA4BCA">
        <w:rPr>
          <w:rFonts w:cs="Times New Roman"/>
          <w:lang w:val="en-CA"/>
        </w:rPr>
        <w:t>These liabilities include genetic and biological propensities, as well as factors related to the social environment of individuals</w:t>
      </w:r>
      <w:r w:rsidR="00E70382" w:rsidRPr="00CA4BCA">
        <w:rPr>
          <w:rFonts w:cs="Times New Roman"/>
          <w:lang w:val="en-CA"/>
        </w:rPr>
        <w:t xml:space="preserve"> (e.g., </w:t>
      </w:r>
      <w:r w:rsidR="00964233" w:rsidRPr="00CA4BCA">
        <w:rPr>
          <w:rFonts w:cs="Times New Roman"/>
          <w:lang w:val="en-CA"/>
        </w:rPr>
        <w:t>access to healthcare, mental well</w:t>
      </w:r>
      <w:r w:rsidR="00907C94">
        <w:rPr>
          <w:rFonts w:cs="Times New Roman"/>
          <w:lang w:val="en-CA"/>
        </w:rPr>
        <w:t>-</w:t>
      </w:r>
      <w:r w:rsidR="00964233" w:rsidRPr="00CA4BCA">
        <w:rPr>
          <w:rFonts w:cs="Times New Roman"/>
          <w:lang w:val="en-CA"/>
        </w:rPr>
        <w:t>being, community connectedness, and social support</w:t>
      </w:r>
      <w:r w:rsidR="00E70382" w:rsidRPr="00CA4BCA">
        <w:rPr>
          <w:rFonts w:cs="Times New Roman"/>
          <w:lang w:val="en-CA"/>
        </w:rPr>
        <w:t>)</w:t>
      </w:r>
      <w:r w:rsidR="00964233" w:rsidRPr="00CA4BCA">
        <w:rPr>
          <w:rFonts w:cs="Times New Roman"/>
          <w:lang w:val="en-CA"/>
        </w:rPr>
        <w:t xml:space="preserve">. </w:t>
      </w:r>
      <w:r w:rsidR="00092BFA" w:rsidRPr="00CA4BCA">
        <w:rPr>
          <w:rFonts w:cs="Times New Roman"/>
          <w:lang w:val="en-CA"/>
        </w:rPr>
        <w:t xml:space="preserve">Of course, as is </w:t>
      </w:r>
      <w:r w:rsidR="00E70382" w:rsidRPr="00CA4BCA">
        <w:rPr>
          <w:rFonts w:cs="Times New Roman"/>
          <w:lang w:val="en-CA"/>
        </w:rPr>
        <w:t>often</w:t>
      </w:r>
      <w:r w:rsidR="00092BFA" w:rsidRPr="00CA4BCA">
        <w:rPr>
          <w:rFonts w:cs="Times New Roman"/>
          <w:lang w:val="en-CA"/>
        </w:rPr>
        <w:t xml:space="preserve"> the case with competing hypotheses, e</w:t>
      </w:r>
      <w:r w:rsidR="007957E0" w:rsidRPr="00CA4BCA">
        <w:rPr>
          <w:rFonts w:cs="Times New Roman"/>
          <w:lang w:val="en-CA"/>
        </w:rPr>
        <w:t xml:space="preserve">mpirical investigations comparing these </w:t>
      </w:r>
      <w:r w:rsidR="00964233" w:rsidRPr="00CA4BCA">
        <w:rPr>
          <w:rFonts w:cs="Times New Roman"/>
          <w:lang w:val="en-CA"/>
        </w:rPr>
        <w:t>mechanisms</w:t>
      </w:r>
      <w:r w:rsidR="00B50415" w:rsidRPr="00CA4BCA">
        <w:rPr>
          <w:rFonts w:cs="Times New Roman"/>
          <w:lang w:val="en-CA"/>
        </w:rPr>
        <w:t xml:space="preserve"> </w:t>
      </w:r>
      <w:r w:rsidR="00092BFA" w:rsidRPr="00CA4BCA">
        <w:rPr>
          <w:rFonts w:cs="Times New Roman"/>
          <w:lang w:val="en-CA"/>
        </w:rPr>
        <w:t>show</w:t>
      </w:r>
      <w:r w:rsidR="007957E0" w:rsidRPr="00CA4BCA">
        <w:rPr>
          <w:rFonts w:cs="Times New Roman"/>
          <w:lang w:val="en-CA"/>
        </w:rPr>
        <w:t xml:space="preserve"> that both primer and liability effects </w:t>
      </w:r>
      <w:r w:rsidR="00092BFA" w:rsidRPr="00CA4BCA">
        <w:rPr>
          <w:rFonts w:cs="Times New Roman"/>
          <w:lang w:val="en-CA"/>
        </w:rPr>
        <w:t xml:space="preserve">likely </w:t>
      </w:r>
      <w:r w:rsidR="001C713F" w:rsidRPr="00CA4BCA">
        <w:rPr>
          <w:rFonts w:cs="Times New Roman"/>
          <w:lang w:val="en-CA"/>
        </w:rPr>
        <w:t>contribute to</w:t>
      </w:r>
      <w:r w:rsidR="007957E0" w:rsidRPr="00CA4BCA">
        <w:rPr>
          <w:rFonts w:cs="Times New Roman"/>
          <w:lang w:val="en-CA"/>
        </w:rPr>
        <w:t xml:space="preserve"> substance use transition </w:t>
      </w:r>
      <w:r w:rsidR="007957E0" w:rsidRPr="00CA4BCA">
        <w:rPr>
          <w:rFonts w:cs="Times New Roman"/>
          <w:lang w:val="en-CA"/>
        </w:rPr>
        <w:fldChar w:fldCharType="begin"/>
      </w:r>
      <w:r w:rsidR="00D63A9C" w:rsidRPr="00CA4BCA">
        <w:rPr>
          <w:rFonts w:cs="Times New Roman"/>
          <w:lang w:val="en-CA"/>
        </w:rPr>
        <w:instrText xml:space="preserve"> ADDIN ZOTERO_ITEM CSL_CITATION {"citationID":"c0ov69pbc","properties":{"formattedCitation":"(Mayet et al., 2016)","plainCitation":"(Mayet et al., 2016)"},"citationItems":[{"id":2297,"uris":["http://zotero.org/users/2569385/items/JX3PIBGS"],"uri":["http://zotero.org/users/2569385/items/JX3PIBGS"],"itemData":{"id":2297,"type":"article-journal","title":"The Gateway Hypothesis, Common Liability to Addictions or the Route of Administration Model? A Modelling Process Linking the Three Theories","container-title":"European Addiction Research","page":"107-117","volume":"22","issue":"2","source":"www.karger.com","abstract":"&lt;b&gt;&lt;i&gt;Background:&lt;/i&gt;&lt;/b&gt; The aim of this study was to describe the transitions between tobacco (T), cannabis (C) and other illicit drugs (OIDs) initiations, to simultaneously","DOI":"10.1159/000439564","ISSN":"1022-6877, 1421-9891","note":"PMID: 26431216","shortTitle":"The Gateway Hypothesis, Common Liability to Addictions or the Route of Administration Model?","journalAbbreviation":"EAR","language":"english","author":[{"family":"Mayet","given":"Aurélie"},{"family":"Legleye","given":"Stéphane"},{"family":"Beck","given":"François"},{"family":"Falissard","given":"Bruno"},{"family":"Chau","given":"Nearkasen"}],"issued":{"date-parts":[["2016"]]}}}],"schema":"https://github.com/citation-style-language/schema/raw/master/csl-citation.json"} </w:instrText>
      </w:r>
      <w:r w:rsidR="007957E0" w:rsidRPr="00CA4BCA">
        <w:rPr>
          <w:rFonts w:cs="Times New Roman"/>
          <w:lang w:val="en-CA"/>
        </w:rPr>
        <w:fldChar w:fldCharType="separate"/>
      </w:r>
      <w:r w:rsidR="00585BBD" w:rsidRPr="00585BBD">
        <w:rPr>
          <w:rFonts w:cs="Times New Roman"/>
        </w:rPr>
        <w:t>(Mayet et al., 2016)</w:t>
      </w:r>
      <w:r w:rsidR="007957E0" w:rsidRPr="00CA4BCA">
        <w:rPr>
          <w:rFonts w:cs="Times New Roman"/>
          <w:lang w:val="en-CA"/>
        </w:rPr>
        <w:fldChar w:fldCharType="end"/>
      </w:r>
      <w:r w:rsidR="001E3778" w:rsidRPr="00CA4BCA">
        <w:rPr>
          <w:rFonts w:cs="Times New Roman"/>
          <w:lang w:val="en-CA"/>
        </w:rPr>
        <w:t>.</w:t>
      </w:r>
      <w:r w:rsidR="00D51D6B" w:rsidRPr="00CA4BCA">
        <w:rPr>
          <w:rFonts w:cs="Times New Roman"/>
          <w:lang w:val="en-CA"/>
        </w:rPr>
        <w:t xml:space="preserve"> </w:t>
      </w:r>
    </w:p>
    <w:p w14:paraId="2B43F304" w14:textId="479F29D9" w:rsidR="004158E2" w:rsidRPr="00CA4BCA" w:rsidRDefault="00D51D6B" w:rsidP="004158E2">
      <w:pPr>
        <w:ind w:firstLine="720"/>
        <w:rPr>
          <w:rFonts w:cs="Times New Roman"/>
          <w:lang w:val="en-CA"/>
        </w:rPr>
      </w:pPr>
      <w:r w:rsidRPr="00CA4BCA">
        <w:rPr>
          <w:rFonts w:cs="Times New Roman"/>
          <w:lang w:val="en-CA"/>
        </w:rPr>
        <w:t xml:space="preserve">Conversely, </w:t>
      </w:r>
      <w:r w:rsidR="007A0109" w:rsidRPr="00CA4BCA">
        <w:rPr>
          <w:rFonts w:cs="Times New Roman"/>
          <w:lang w:val="en-CA"/>
        </w:rPr>
        <w:t>access to social and economic capital, access to care and</w:t>
      </w:r>
      <w:r w:rsidRPr="00CA4BCA">
        <w:rPr>
          <w:rFonts w:cs="Times New Roman"/>
          <w:lang w:val="en-CA"/>
        </w:rPr>
        <w:t xml:space="preserve"> social services</w:t>
      </w:r>
      <w:r w:rsidR="007A0109" w:rsidRPr="00CA4BCA">
        <w:rPr>
          <w:rFonts w:cs="Times New Roman"/>
          <w:lang w:val="en-CA"/>
        </w:rPr>
        <w:t>, and better mental well</w:t>
      </w:r>
      <w:r w:rsidR="00183048" w:rsidRPr="00CA4BCA">
        <w:rPr>
          <w:rFonts w:cs="Times New Roman"/>
          <w:lang w:val="en-CA"/>
        </w:rPr>
        <w:t>-</w:t>
      </w:r>
      <w:r w:rsidR="007A0109" w:rsidRPr="00CA4BCA">
        <w:rPr>
          <w:rFonts w:cs="Times New Roman"/>
          <w:lang w:val="en-CA"/>
        </w:rPr>
        <w:t>being</w:t>
      </w:r>
      <w:r w:rsidRPr="00CA4BCA">
        <w:rPr>
          <w:rFonts w:cs="Times New Roman"/>
          <w:lang w:val="en-CA"/>
        </w:rPr>
        <w:t xml:space="preserve"> might contribute to at least temporary transitions towards less severe substance use </w:t>
      </w:r>
      <w:r w:rsidRPr="00CA4BCA">
        <w:rPr>
          <w:rFonts w:cs="Times New Roman"/>
          <w:lang w:val="en-CA"/>
        </w:rPr>
        <w:fldChar w:fldCharType="begin"/>
      </w:r>
      <w:r w:rsidR="00D63A9C" w:rsidRPr="00CA4BCA">
        <w:rPr>
          <w:rFonts w:cs="Times New Roman"/>
          <w:lang w:val="en-CA"/>
        </w:rPr>
        <w:instrText xml:space="preserve"> ADDIN ZOTERO_ITEM CSL_CITATION {"citationID":"MqCuinNf","properties":{"formattedCitation":"(Savic et al., 2017)","plainCitation":"(Savic et al., 2017)"},"citationItems":[{"id":5216,"uris":["http://zotero.org/users/2569385/items/8MJLIXMZ"],"uri":["http://zotero.org/users/2569385/items/8MJLIXMZ"],"itemData":{"id":5216,"type":"article-journal","title":"Strategies to facilitate integrated care for people with alcohol and other drug problems: a systematic review","container-title":"Substance Abuse Treatment, Prevention, and Policy","page":"19","volume":"12","issue":"1","source":"PubMed","abstract":"BACKGROUND: There is a growing body of research highlighting the potential benefits of integrated care as a way of addressing the needs of people with alcohol and other drug (AOD) problems, given the broad range of other issues clients often experience. However, there has been little academic attention on the strategies that treatment systems, agencies and clinicians could implement to facilitate integrated care.\nMETHODS: We synthesised the existing evidence on strategies to improve integrated care in an AOD treatment context by conducting a systematic review of the literature. We searched major academic databases for peer-reviewed articles that evaluated strategies that contribute to integrated care in an AOD context between 1990 and 2014. Over 2600 articles were identified, of which 14 met the study inclusion criteria of reporting on an empirical study to evaluate the implementation of integrated care strategies. The types of strategies utilised in included articles were then synthesised.\nRESULTS: We identified a number of interconnected strategies at the funding, organisational, service delivery and clinical levels. Ensuring that integrated care is included within service specifications of commissioning bodies and is adequately funded was found to be critical in effective integration. Cultivating positive inter-agency relationships underpinned and enabled the implementation of most strategies identified. Staff training in identifying and responding to needs beyond clinicians' primary area of expertise was considered important at a service level. However, some studies highlight the need to move beyond discrete training events and towards longer term coaching-type activities focussed on implementation and capacity building. Sharing of client information (subject to informed consent) was critical for most integrated care strategies. Case-management was found to be a particularly good approach to responding to the needs of clients with multiple and complex needs. At the clinical level, screening in areas beyond a clinician's primary area of practice was a common strategy for facilitating referral and integrated care, as was joint care planning.\nCONCLUSION: Despite considerable limitations and gaps in the literature in terms of the evaluation of integrated care strategies, particularly between AOD services, our review highlights several strategies that could be useful at multiple levels. Given the interconnectedness of integrated care strategies identified, implementation of multi-level strategies rather than single strategies is likely to be preferable.","DOI":"10.1186/s13011-017-0104-7","ISSN":"1747-597X","note":"PMID: 28388954\nPMCID: PMC5384147","shortTitle":"Strategies to facilitate integrated care for people with alcohol and other drug problems","journalAbbreviation":"Subst Abuse Treat Prev Policy","language":"eng","author":[{"family":"Savic","given":"Michael"},{"family":"Best","given":"David"},{"family":"Manning","given":"Victoria"},{"family":"Lubman","given":"Dan I."}],"issued":{"date-parts":[["2017",4,7]]}}}],"schema":"https://github.com/citation-style-language/schema/raw/master/csl-citation.json"} </w:instrText>
      </w:r>
      <w:r w:rsidRPr="00CA4BCA">
        <w:rPr>
          <w:rFonts w:cs="Times New Roman"/>
          <w:lang w:val="en-CA"/>
        </w:rPr>
        <w:fldChar w:fldCharType="separate"/>
      </w:r>
      <w:r w:rsidR="00585BBD" w:rsidRPr="00585BBD">
        <w:rPr>
          <w:rFonts w:cs="Times New Roman"/>
        </w:rPr>
        <w:t>(Savic et al., 2017)</w:t>
      </w:r>
      <w:r w:rsidRPr="00CA4BCA">
        <w:rPr>
          <w:rFonts w:cs="Times New Roman"/>
          <w:lang w:val="en-CA"/>
        </w:rPr>
        <w:fldChar w:fldCharType="end"/>
      </w:r>
      <w:r w:rsidRPr="00CA4BCA">
        <w:rPr>
          <w:rFonts w:cs="Times New Roman"/>
          <w:lang w:val="en-CA"/>
        </w:rPr>
        <w:t xml:space="preserve">. </w:t>
      </w:r>
      <w:r w:rsidR="003207C1" w:rsidRPr="00CA4BCA">
        <w:rPr>
          <w:rFonts w:cs="Times New Roman"/>
          <w:lang w:val="en-CA"/>
        </w:rPr>
        <w:t xml:space="preserve">Indeed, </w:t>
      </w:r>
      <w:r w:rsidR="00F0467F" w:rsidRPr="00CA4BCA">
        <w:rPr>
          <w:rFonts w:cs="Times New Roman"/>
          <w:lang w:val="en-CA"/>
        </w:rPr>
        <w:t xml:space="preserve">previous </w:t>
      </w:r>
      <w:r w:rsidR="007E69C5" w:rsidRPr="00CA4BCA">
        <w:rPr>
          <w:rFonts w:cs="Times New Roman"/>
          <w:lang w:val="en-CA"/>
        </w:rPr>
        <w:t>analyses of Momentum data</w:t>
      </w:r>
      <w:r w:rsidR="00F0467F" w:rsidRPr="00CA4BCA">
        <w:rPr>
          <w:rFonts w:cs="Times New Roman"/>
          <w:lang w:val="en-CA"/>
        </w:rPr>
        <w:t xml:space="preserve"> </w:t>
      </w:r>
      <w:r w:rsidR="007E69C5" w:rsidRPr="00CA4BCA">
        <w:rPr>
          <w:rFonts w:cs="Times New Roman"/>
          <w:lang w:val="en-CA"/>
        </w:rPr>
        <w:t>have</w:t>
      </w:r>
      <w:r w:rsidR="003207C1" w:rsidRPr="00CA4BCA">
        <w:rPr>
          <w:rFonts w:cs="Times New Roman"/>
          <w:lang w:val="en-CA"/>
        </w:rPr>
        <w:t xml:space="preserve"> shown that </w:t>
      </w:r>
      <w:r w:rsidR="007E69C5" w:rsidRPr="00CA4BCA">
        <w:rPr>
          <w:rFonts w:cs="Times New Roman"/>
          <w:lang w:val="en-CA"/>
        </w:rPr>
        <w:lastRenderedPageBreak/>
        <w:t xml:space="preserve">GBM’s </w:t>
      </w:r>
      <w:r w:rsidR="003207C1" w:rsidRPr="00CA4BCA">
        <w:rPr>
          <w:rFonts w:cs="Times New Roman"/>
          <w:lang w:val="en-CA"/>
        </w:rPr>
        <w:t>substance use is strongly associated with socioeconom</w:t>
      </w:r>
      <w:r w:rsidR="008A7C4B" w:rsidRPr="00CA4BCA">
        <w:rPr>
          <w:rFonts w:cs="Times New Roman"/>
          <w:lang w:val="en-CA"/>
        </w:rPr>
        <w:t xml:space="preserve">ic and mental health conditions </w:t>
      </w:r>
      <w:r w:rsidR="008A7C4B" w:rsidRPr="00CA4BCA">
        <w:rPr>
          <w:rFonts w:cs="Times New Roman"/>
          <w:lang w:val="en-CA"/>
        </w:rPr>
        <w:fldChar w:fldCharType="begin"/>
      </w:r>
      <w:r w:rsidR="008A7C4B" w:rsidRPr="00CA4BCA">
        <w:rPr>
          <w:rFonts w:cs="Times New Roman"/>
          <w:lang w:val="en-CA"/>
        </w:rPr>
        <w:instrText xml:space="preserve"> ADDIN ZOTERO_ITEM CSL_CITATION {"citationID":"a18t91g0l7p","properties":{"formattedCitation":"(Card et al., 2017; Lachowsky et al., 2017)","plainCitation":"(Card et al., 2017; Lachowsky et al., 2017)"},"citationItems":[{"id":6248,"uris":["http://zotero.org/users/2569385/items/VM6MA3P7"],"uri":["http://zotero.org/users/2569385/items/VM6MA3P7"],"itemData":{"id":6248,"type":"article-journal","title":"A Latent Class Analysis of Substance Use and Culture among Gay, Bisexual, and Other Men Who Have Sex with Men","container-title":"Culture, Health &amp; Sexuality","author":[{"family":"Card","given":"Kiffer G."},{"family":"Armstrong","given":"Heather"},{"family":"Cui","given":"Zishan"},{"family":"Zhu","given":"Julia"},{"family":"Lachowsky","given":"Nathan J."},{"family":"Moore","given":"David M."},{"family":"Rother","given":"Eric A."}],"issued":{"date-parts":[["2017"]],"season":"Under Review"}}},{"id":2328,"uris":["http://zotero.org/users/2569385/items/PH24NMSE"],"uri":["http://zotero.org/users/2569385/items/PH24NMSE"],"itemData":{"id":2328,"type":"article-journal","title":"Lifetime Doctor-Diagnosed Mental Health Conditions and Current Substance Use Among Gay and Bisexual Men Living in Vancouver, Canada","container-title":"Substance Use &amp; Misuse","page":"785-797","volume":"52","issue":"6","source":"PubMed","abstract":"BACKGROUND: Studies have found that gay, bisexual, and other men who have sex with men (GBM) have higher rates of mental health conditions and substance use than heterosexual men, but are limited by issues of representativeness.\nOBJECTIVES: To determine the prevalence and correlates of mental health disorders among GBM in Metro Vancouver, Canada.\nMETHODS: From 2012 to 2014, the Momentum Health Study recruited GBM (≥16 years) via respondent-driven sampling (RDS) to estimate population parameters. Computer-assisted self-interviews (CASI) collected demographic, psychosocial, and behavioral information, while nurse-administered structured interviews asked about mental health diagnoses and treatment. Multivariate logistic regression using manual backward selection was used to identify covariates for any lifetime doctor diagnosed: (1) alcohol/substance use disorder and (2) any other mental health disorder.\nRESULTS: Of 719 participants, 17.4% reported a substance use disorder and 35.2% reported any other mental health disorder; 24.0% of all GBM were currently receiving treatment. A lifetime substance use disorder diagnosis was negatively associated with being a student (AOR = 0.52, 95% CI [confidence interval]: 0.27-0.99) and an annual income ≥$30,000 CAD (AOR = 0.38, 95% CI: 0.21-0.67) and positively associated with HIV-positive serostatus (AOR = 2.54, 95% CI: 1.63-3.96), recent crystal methamphetamine use (AOR = 2.73, 95% CI: 1.69-4.40) and recent heroin use (AOR = 5.59, 95% CI: 2.39-13.12). Any other lifetime mental health disorder diagnosis was negatively associated with self-identifying as Latin American (AOR = 0.25, 95% CI: 0.08-0.81), being a refugee or visa holder (AOR = 0.18, 95% CI: 0.05-0.65), and living outside Vancouver (AOR = 0.52, 95% CI: 0.33-0.82), and positively associated with abnormal anxiety symptomology scores (AOR = 3.05, 95% CI: 2.06-4.51).\nCONCLUSIONS: Mental health conditions and substance use, which have important implications for clinical and public health practice, were highly prevalent and co-occurring.","DOI":"10.1080/10826084.2016.1264965","ISSN":"1532-2491","note":"PMID: 28379111","journalAbbreviation":"Subst Use Misuse","language":"eng","author":[{"family":"Lachowsky","given":"Nathan J."},{"family":"Dulai","given":"Joshun J. S."},{"family":"Cui","given":"Zishan"},{"family":"Sereda","given":"Paul"},{"family":"Rich","given":"Ashleigh"},{"family":"Patterson","given":"Thomas L."},{"family":"Corneil","given":"Trevor T."},{"family":"Montaner","given":"Julio S. G."},{"family":"Roth","given":"Eric A."},{"family":"Hogg","given":"Robert S."},{"family":"Moore","given":"David M."}],"issued":{"date-parts":[["2017",5,12]]}}}],"schema":"https://github.com/citation-style-language/schema/raw/master/csl-citation.json"} </w:instrText>
      </w:r>
      <w:r w:rsidR="008A7C4B" w:rsidRPr="00CA4BCA">
        <w:rPr>
          <w:rFonts w:cs="Times New Roman"/>
          <w:lang w:val="en-CA"/>
        </w:rPr>
        <w:fldChar w:fldCharType="separate"/>
      </w:r>
      <w:r w:rsidR="00585BBD" w:rsidRPr="00585BBD">
        <w:rPr>
          <w:rFonts w:cs="Times New Roman"/>
        </w:rPr>
        <w:t>(Card et al., 2017; Lachowsky et al., 2017)</w:t>
      </w:r>
      <w:r w:rsidR="008A7C4B" w:rsidRPr="00CA4BCA">
        <w:rPr>
          <w:rFonts w:cs="Times New Roman"/>
          <w:lang w:val="en-CA"/>
        </w:rPr>
        <w:fldChar w:fldCharType="end"/>
      </w:r>
      <w:r w:rsidR="008A7C4B" w:rsidRPr="00CA4BCA">
        <w:rPr>
          <w:rFonts w:cs="Times New Roman"/>
          <w:lang w:val="en-CA"/>
        </w:rPr>
        <w:t xml:space="preserve">. </w:t>
      </w:r>
      <w:r w:rsidR="007E69C5" w:rsidRPr="00CA4BCA">
        <w:rPr>
          <w:rFonts w:cs="Times New Roman"/>
          <w:lang w:val="en-CA"/>
        </w:rPr>
        <w:t>Therefore,</w:t>
      </w:r>
      <w:r w:rsidR="003207C1" w:rsidRPr="00CA4BCA">
        <w:rPr>
          <w:rFonts w:cs="Times New Roman"/>
          <w:lang w:val="en-CA"/>
        </w:rPr>
        <w:t xml:space="preserve"> increased access to health care and social services has the potential to reduce substance use by addressing these </w:t>
      </w:r>
      <w:r w:rsidR="008A7C4B" w:rsidRPr="00CA4BCA">
        <w:rPr>
          <w:rFonts w:cs="Times New Roman"/>
          <w:lang w:val="en-CA"/>
        </w:rPr>
        <w:t xml:space="preserve">contributing factors. </w:t>
      </w:r>
      <w:r w:rsidR="003207C1" w:rsidRPr="00CA4BCA">
        <w:rPr>
          <w:rFonts w:cs="Times New Roman"/>
          <w:lang w:val="en-CA"/>
        </w:rPr>
        <w:t xml:space="preserve">Further, </w:t>
      </w:r>
      <w:r w:rsidR="00F820DF" w:rsidRPr="00CA4BCA">
        <w:rPr>
          <w:rFonts w:cs="Times New Roman"/>
          <w:lang w:val="en-CA"/>
        </w:rPr>
        <w:t>several behavior change models</w:t>
      </w:r>
      <w:r w:rsidR="003207C1" w:rsidRPr="00CA4BCA">
        <w:rPr>
          <w:rFonts w:cs="Times New Roman"/>
          <w:lang w:val="en-CA"/>
        </w:rPr>
        <w:t xml:space="preserve"> highlight the role that communities and health care providers play in helping individuals recognize the potentially harmful effects of their substance use – thus providing motivations for these individuals to reduce their substance use </w:t>
      </w:r>
      <w:r w:rsidR="003207C1" w:rsidRPr="00CA4BCA">
        <w:rPr>
          <w:rFonts w:cs="Times New Roman"/>
          <w:lang w:val="en-CA"/>
        </w:rPr>
        <w:fldChar w:fldCharType="begin"/>
      </w:r>
      <w:r w:rsidR="00F820DF" w:rsidRPr="00CA4BCA">
        <w:rPr>
          <w:rFonts w:cs="Times New Roman"/>
          <w:lang w:val="en-CA"/>
        </w:rPr>
        <w:instrText xml:space="preserve"> ADDIN ZOTERO_ITEM CSL_CITATION {"citationID":"U8tpi7mf","properties":{"formattedCitation":"(Chang et al., 2014; Prochaska and Velicer, 1997)","plainCitation":"(Chang et al., 2014; Prochaska and Velicer, 1997)"},"citationItems":[{"id":844,"uris":["http://zotero.org/users/2569385/items/I98K6N8T"],"uri":["http://zotero.org/users/2569385/items/I98K6N8T"],"itemData":{"id":844,"type":"article-journal","title":"Intervention Strategies Based on Information-Motivation-Behavioral Skills Model for Health Behavior Change: A Systematic Review","container-title":"Asian Nursing Research","page":"172-181","volume":"8","issue":"3","source":"ScienceDirect","abstract":"SummaryPurpose\nThis study systematically reviewed research on behavioral interventions based on the information-motivation-behavioral skills (IMB) model to investigate specific intervention strategies that focus on information, motivation, and behavioral skills and to evaluate their effectiveness for people with chronic diseases.\nMethods\nA systematic review was conducted in accordance with the guidelines of both the National Evidence-based Healthcare Collaborating Agency and Im and Chang. A literature search was conducted using electronic databases. Randomized controlled trials that tested behavioral interventions based on the IMB model for promoting health behaviors among people with chronic diseases were included. Four investigators independently reviewed the studies and assessed the quality of each study. A narrative synthesis was used.\nResults\nA total of 12 studies were included in the review. Nine studies investigated patients with HIV/AIDS. The most frequently used intervention strategies were instructional pamphlets for the information construct, motivational interviewing techniques for the motivation construct, and instruction or role playing for the behavioral skills construct. Ten studies reported significant behavior changes at the first post-intervention assessment.\nConclusion\nThis review indicates the potential strength of the IMB model as a theoretical framework to develop behavioral interventions. The specific integration strategies delineated for each construct of the model can be utilized to design model-based interventions.","DOI":"10.1016/j.anr.2014.08.002","ISSN":"1976-1317","shortTitle":"Intervention Strategies Based on Information-Motivation-Behavioral Skills Model for Health Behavior Change","journalAbbreviation":"Asian Nursing Research","author":[{"family":"Chang","given":"Sun Ju"},{"family":"Choi","given":"Suyoung"},{"family":"Kim","given":"Se-An"},{"family":"Song","given":"Misoon"}],"issued":{"date-parts":[["2014",9]]}}},{"id":2241,"uris":["http://zotero.org/users/2569385/items/ZWVSE4RG"],"uri":["http://zotero.org/users/2569385/items/ZWVSE4RG"],"itemData":{"id":2241,"type":"article-journal","title":"The transtheoretical model of health behavior change","container-title":"American journal of health promotion: AJHP","page":"38-48","volume":"12","issue":"1","source":"PubMed","abstract":"The transtheoretical model posits that health behavior change involves progress through six stages of change: precontemplation, contemplation, preparation, action, maintenance, and termination. Ten processes of change have been identified for producing progress along with decisional balance, self-efficacy, and temptations. Basic research has generated a rule of thumb for at-risk populations: 40% in precontemplation, 40% in contemplation, and 20% in preparation. Across 12 health behaviors, consistent patterns have been found between the pros and cons of changing and the stages of change. Applied research has demonstrated dramatic improvements in recruitment, retention, and progress using stage-matched interventions and proactive recruitment procedures. The most promising outcomes to data have been found with computer-based individualized and interactive interventions. The most promising enhancement to the computer-based programs are personalized counselors. One of the most striking results to date for stage-matched programs is the similarity between participants reactively recruited who reached us for help and those proactively recruited who we reached out to help. If results with stage-matched interventions continue to be replicated, health promotion programs will be able to produce unprecedented impacts on entire at-risk populations.","ISSN":"0890-1171","note":"PMID: 10170434","journalAbbreviation":"Am J Health Promot","language":"eng","author":[{"family":"Prochaska","given":"J. O."},{"family":"Velicer","given":"W. F."}],"issued":{"date-parts":[["1997",10]]}}}],"schema":"https://github.com/citation-style-language/schema/raw/master/csl-citation.json"} </w:instrText>
      </w:r>
      <w:r w:rsidR="003207C1" w:rsidRPr="00CA4BCA">
        <w:rPr>
          <w:rFonts w:cs="Times New Roman"/>
          <w:lang w:val="en-CA"/>
        </w:rPr>
        <w:fldChar w:fldCharType="separate"/>
      </w:r>
      <w:r w:rsidR="00585BBD" w:rsidRPr="00585BBD">
        <w:rPr>
          <w:rFonts w:cs="Times New Roman"/>
        </w:rPr>
        <w:t>(Chang et al., 2014; Prochaska and Velicer, 1997)</w:t>
      </w:r>
      <w:r w:rsidR="003207C1" w:rsidRPr="00CA4BCA">
        <w:rPr>
          <w:rFonts w:cs="Times New Roman"/>
          <w:lang w:val="en-CA"/>
        </w:rPr>
        <w:fldChar w:fldCharType="end"/>
      </w:r>
      <w:r w:rsidR="003207C1" w:rsidRPr="00CA4BCA">
        <w:rPr>
          <w:rFonts w:cs="Times New Roman"/>
          <w:lang w:val="en-CA"/>
        </w:rPr>
        <w:t>.</w:t>
      </w:r>
      <w:r w:rsidR="004158E2" w:rsidRPr="00CA4BCA">
        <w:rPr>
          <w:rFonts w:cs="Times New Roman"/>
          <w:lang w:val="en-CA"/>
        </w:rPr>
        <w:t xml:space="preserve"> </w:t>
      </w:r>
    </w:p>
    <w:p w14:paraId="4E88B9D8" w14:textId="44E84C45" w:rsidR="00EA15EB" w:rsidRPr="00CA4BCA" w:rsidRDefault="00EA15EB" w:rsidP="00EA15EB">
      <w:pPr>
        <w:pStyle w:val="Heading2"/>
        <w:rPr>
          <w:rFonts w:ascii="Times New Roman" w:hAnsi="Times New Roman" w:cs="Times New Roman"/>
        </w:rPr>
      </w:pPr>
      <w:r w:rsidRPr="00CA4BCA">
        <w:rPr>
          <w:rFonts w:ascii="Times New Roman" w:hAnsi="Times New Roman" w:cs="Times New Roman"/>
        </w:rPr>
        <w:t>1.2. Objective</w:t>
      </w:r>
    </w:p>
    <w:p w14:paraId="33B2AECB" w14:textId="2F7A2DA3" w:rsidR="007957E0" w:rsidRPr="00CA4BCA" w:rsidRDefault="007957E0" w:rsidP="00F77668">
      <w:pPr>
        <w:rPr>
          <w:rFonts w:cs="Times New Roman"/>
          <w:lang w:val="en-CA"/>
        </w:rPr>
      </w:pPr>
      <w:r w:rsidRPr="00CA4BCA">
        <w:rPr>
          <w:rFonts w:cs="Times New Roman"/>
          <w:lang w:val="en-CA"/>
        </w:rPr>
        <w:t xml:space="preserve">Recognizing </w:t>
      </w:r>
      <w:r w:rsidR="000B3DFF" w:rsidRPr="00CA4BCA">
        <w:rPr>
          <w:rFonts w:cs="Times New Roman"/>
          <w:lang w:val="en-CA"/>
        </w:rPr>
        <w:t>(</w:t>
      </w:r>
      <w:proofErr w:type="spellStart"/>
      <w:r w:rsidR="000B3DFF" w:rsidRPr="00CA4BCA">
        <w:rPr>
          <w:rFonts w:cs="Times New Roman"/>
          <w:lang w:val="en-CA"/>
        </w:rPr>
        <w:t>i</w:t>
      </w:r>
      <w:proofErr w:type="spellEnd"/>
      <w:r w:rsidR="000B3DFF" w:rsidRPr="00CA4BCA">
        <w:rPr>
          <w:rFonts w:cs="Times New Roman"/>
          <w:lang w:val="en-CA"/>
        </w:rPr>
        <w:t xml:space="preserve">) </w:t>
      </w:r>
      <w:r w:rsidRPr="00CA4BCA">
        <w:rPr>
          <w:rFonts w:cs="Times New Roman"/>
          <w:lang w:val="en-CA"/>
        </w:rPr>
        <w:t>the limited research on subs</w:t>
      </w:r>
      <w:r w:rsidR="00150725" w:rsidRPr="00CA4BCA">
        <w:rPr>
          <w:rFonts w:cs="Times New Roman"/>
          <w:lang w:val="en-CA"/>
        </w:rPr>
        <w:t xml:space="preserve">tance use transitions among GBM, </w:t>
      </w:r>
      <w:r w:rsidR="000B3DFF" w:rsidRPr="00CA4BCA">
        <w:rPr>
          <w:rFonts w:cs="Times New Roman"/>
          <w:lang w:val="en-CA"/>
        </w:rPr>
        <w:t xml:space="preserve">(ii) </w:t>
      </w:r>
      <w:r w:rsidR="00150725" w:rsidRPr="00CA4BCA">
        <w:rPr>
          <w:rFonts w:cs="Times New Roman"/>
          <w:lang w:val="en-CA"/>
        </w:rPr>
        <w:t>the strong theoretical and empirical support for shifting patterns of substance use, and</w:t>
      </w:r>
      <w:r w:rsidR="000B3DFF" w:rsidRPr="00CA4BCA">
        <w:rPr>
          <w:rFonts w:cs="Times New Roman"/>
          <w:lang w:val="en-CA"/>
        </w:rPr>
        <w:t xml:space="preserve"> (iii)</w:t>
      </w:r>
      <w:r w:rsidR="00150725" w:rsidRPr="00CA4BCA">
        <w:rPr>
          <w:rFonts w:cs="Times New Roman"/>
          <w:lang w:val="en-CA"/>
        </w:rPr>
        <w:t xml:space="preserve"> </w:t>
      </w:r>
      <w:r w:rsidRPr="00CA4BCA">
        <w:rPr>
          <w:rFonts w:cs="Times New Roman"/>
          <w:lang w:val="en-CA"/>
        </w:rPr>
        <w:t xml:space="preserve">the evidence that transition </w:t>
      </w:r>
      <w:r w:rsidR="00D51D6B" w:rsidRPr="00CA4BCA">
        <w:rPr>
          <w:rFonts w:cs="Times New Roman"/>
          <w:lang w:val="en-CA"/>
        </w:rPr>
        <w:t>occurs between</w:t>
      </w:r>
      <w:r w:rsidRPr="00CA4BCA">
        <w:rPr>
          <w:rFonts w:cs="Times New Roman"/>
          <w:lang w:val="en-CA"/>
        </w:rPr>
        <w:t xml:space="preserve"> latent substance use classes</w:t>
      </w:r>
      <w:r w:rsidR="00092BFA" w:rsidRPr="00CA4BCA">
        <w:rPr>
          <w:rFonts w:cs="Times New Roman"/>
          <w:lang w:val="en-CA"/>
        </w:rPr>
        <w:t xml:space="preserve"> </w:t>
      </w:r>
      <w:r w:rsidR="000716AE" w:rsidRPr="00CA4BCA">
        <w:rPr>
          <w:rFonts w:cs="Times New Roman"/>
          <w:lang w:val="en-CA"/>
        </w:rPr>
        <w:t>in</w:t>
      </w:r>
      <w:r w:rsidR="00092BFA" w:rsidRPr="00CA4BCA">
        <w:rPr>
          <w:rFonts w:cs="Times New Roman"/>
          <w:lang w:val="en-CA"/>
        </w:rPr>
        <w:t xml:space="preserve"> other populations</w:t>
      </w:r>
      <w:r w:rsidRPr="00CA4BCA">
        <w:rPr>
          <w:rFonts w:cs="Times New Roman"/>
          <w:lang w:val="en-CA"/>
        </w:rPr>
        <w:t>, the present study examine</w:t>
      </w:r>
      <w:r w:rsidR="001547F2" w:rsidRPr="00CA4BCA">
        <w:rPr>
          <w:rFonts w:cs="Times New Roman"/>
          <w:lang w:val="en-CA"/>
        </w:rPr>
        <w:t>d</w:t>
      </w:r>
      <w:r w:rsidRPr="00CA4BCA">
        <w:rPr>
          <w:rFonts w:cs="Times New Roman"/>
          <w:lang w:val="en-CA"/>
        </w:rPr>
        <w:t xml:space="preserve"> the longitudinal stability of substance use classes </w:t>
      </w:r>
      <w:r w:rsidR="00ED7390" w:rsidRPr="00CA4BCA">
        <w:rPr>
          <w:rFonts w:cs="Times New Roman"/>
          <w:lang w:val="en-CA"/>
        </w:rPr>
        <w:t>among GBM</w:t>
      </w:r>
      <w:r w:rsidR="00F77668" w:rsidRPr="00CA4BCA">
        <w:rPr>
          <w:rFonts w:cs="Times New Roman"/>
          <w:lang w:val="en-CA"/>
        </w:rPr>
        <w:t xml:space="preserve"> to assess the utility of latent substance use analyses. We hypothesized that while the overall latent class structure would remain stable, a sizeable proportion of individuals would transition </w:t>
      </w:r>
      <w:r w:rsidR="008A7C4B" w:rsidRPr="00CA4BCA">
        <w:rPr>
          <w:rFonts w:cs="Times New Roman"/>
          <w:lang w:val="en-CA"/>
        </w:rPr>
        <w:t>towards more frequent and severe substance use</w:t>
      </w:r>
      <w:r w:rsidR="00F77668" w:rsidRPr="00CA4BCA">
        <w:rPr>
          <w:rFonts w:cs="Times New Roman"/>
          <w:lang w:val="en-CA"/>
        </w:rPr>
        <w:t>.</w:t>
      </w:r>
      <w:r w:rsidR="001547F2" w:rsidRPr="00CA4BCA">
        <w:rPr>
          <w:rFonts w:cs="Times New Roman"/>
          <w:lang w:val="en-CA"/>
        </w:rPr>
        <w:t xml:space="preserve"> </w:t>
      </w:r>
    </w:p>
    <w:p w14:paraId="30EC07C0" w14:textId="23D4567E" w:rsidR="00FA4A16" w:rsidRPr="00CA4BCA" w:rsidRDefault="00D63A9C" w:rsidP="0047548F">
      <w:pPr>
        <w:pStyle w:val="Heading1"/>
        <w:rPr>
          <w:rFonts w:ascii="Times New Roman" w:hAnsi="Times New Roman" w:cs="Times New Roman"/>
        </w:rPr>
      </w:pPr>
      <w:r w:rsidRPr="00CA4BCA">
        <w:rPr>
          <w:rFonts w:ascii="Times New Roman" w:hAnsi="Times New Roman" w:cs="Times New Roman"/>
        </w:rPr>
        <w:t xml:space="preserve">2. </w:t>
      </w:r>
      <w:r w:rsidR="00FA4A16" w:rsidRPr="00CA4BCA">
        <w:rPr>
          <w:rFonts w:ascii="Times New Roman" w:hAnsi="Times New Roman" w:cs="Times New Roman"/>
        </w:rPr>
        <w:t>METHODS</w:t>
      </w:r>
    </w:p>
    <w:p w14:paraId="69F22006" w14:textId="3EA2CCB1" w:rsidR="00FA4A16" w:rsidRPr="00CA4BCA" w:rsidRDefault="00D63A9C" w:rsidP="0047548F">
      <w:pPr>
        <w:pStyle w:val="Heading2"/>
        <w:rPr>
          <w:rFonts w:ascii="Times New Roman" w:hAnsi="Times New Roman" w:cs="Times New Roman"/>
        </w:rPr>
      </w:pPr>
      <w:r w:rsidRPr="00CA4BCA">
        <w:rPr>
          <w:rFonts w:ascii="Times New Roman" w:hAnsi="Times New Roman" w:cs="Times New Roman"/>
        </w:rPr>
        <w:t xml:space="preserve">2.1. </w:t>
      </w:r>
      <w:r w:rsidR="00855D28" w:rsidRPr="00CA4BCA">
        <w:rPr>
          <w:rFonts w:ascii="Times New Roman" w:hAnsi="Times New Roman" w:cs="Times New Roman"/>
        </w:rPr>
        <w:t xml:space="preserve">Study </w:t>
      </w:r>
      <w:r w:rsidR="006424DE" w:rsidRPr="00CA4BCA">
        <w:rPr>
          <w:rFonts w:ascii="Times New Roman" w:hAnsi="Times New Roman" w:cs="Times New Roman"/>
        </w:rPr>
        <w:t>Protocol</w:t>
      </w:r>
    </w:p>
    <w:p w14:paraId="4B4A25D9" w14:textId="7456E75C" w:rsidR="00FA4A16" w:rsidRPr="00CA4BCA" w:rsidRDefault="00985A5A" w:rsidP="006424DE">
      <w:pPr>
        <w:rPr>
          <w:rFonts w:cs="Times New Roman"/>
          <w:lang w:val="en-CA"/>
        </w:rPr>
      </w:pPr>
      <w:r w:rsidRPr="00CA4BCA">
        <w:rPr>
          <w:rFonts w:cs="Times New Roman"/>
          <w:lang w:val="en-CA"/>
        </w:rPr>
        <w:t xml:space="preserve">Data for this study were collected as part of the Momentum Health Study, </w:t>
      </w:r>
      <w:r w:rsidR="007957E0" w:rsidRPr="00CA4BCA">
        <w:rPr>
          <w:rFonts w:cs="Times New Roman"/>
          <w:lang w:val="en-CA"/>
        </w:rPr>
        <w:t xml:space="preserve">a longitudinal cohort of sexually active GBM, aged </w:t>
      </w:r>
      <w:r w:rsidR="007957E0" w:rsidRPr="00CA4BCA">
        <w:rPr>
          <w:rFonts w:cs="Times New Roman"/>
          <w:u w:val="single"/>
          <w:lang w:val="en-CA"/>
        </w:rPr>
        <w:t>&gt;</w:t>
      </w:r>
      <w:r w:rsidR="007957E0" w:rsidRPr="00CA4BCA">
        <w:rPr>
          <w:rFonts w:cs="Times New Roman"/>
          <w:lang w:val="en-CA"/>
        </w:rPr>
        <w:t>16 years, in Metro Vancouver, British Columbia</w:t>
      </w:r>
      <w:r w:rsidRPr="00CA4BCA">
        <w:rPr>
          <w:rFonts w:cs="Times New Roman"/>
          <w:lang w:val="en-CA"/>
        </w:rPr>
        <w:t xml:space="preserve">. </w:t>
      </w:r>
      <w:r w:rsidR="006424DE" w:rsidRPr="00CA4BCA">
        <w:rPr>
          <w:rFonts w:cs="Times New Roman"/>
          <w:lang w:val="en-CA"/>
        </w:rPr>
        <w:t xml:space="preserve">Additional information about </w:t>
      </w:r>
      <w:r w:rsidR="00964233" w:rsidRPr="00CA4BCA">
        <w:rPr>
          <w:rFonts w:cs="Times New Roman"/>
          <w:lang w:val="en-CA"/>
        </w:rPr>
        <w:t>this cohort</w:t>
      </w:r>
      <w:r w:rsidR="006424DE" w:rsidRPr="00CA4BCA">
        <w:rPr>
          <w:rFonts w:cs="Times New Roman"/>
          <w:lang w:val="en-CA"/>
        </w:rPr>
        <w:t xml:space="preserve"> has been previously </w:t>
      </w:r>
      <w:r w:rsidR="008944ED" w:rsidRPr="00CA4BCA">
        <w:rPr>
          <w:rFonts w:cs="Times New Roman"/>
          <w:lang w:val="en-CA"/>
        </w:rPr>
        <w:t xml:space="preserve">reported </w:t>
      </w:r>
      <w:r w:rsidR="00FA4A16" w:rsidRPr="00CA4BCA">
        <w:rPr>
          <w:rFonts w:cs="Times New Roman"/>
        </w:rPr>
        <w:fldChar w:fldCharType="begin"/>
      </w:r>
      <w:r w:rsidR="00B35BEE">
        <w:rPr>
          <w:rFonts w:cs="Times New Roman"/>
        </w:rPr>
        <w:instrText xml:space="preserve"> ADDIN ZOTERO_ITEM CSL_CITATION {"citationID":"1h9836ascv","properties":{"formattedCitation":"(Forrest et al., 2014, 2016; Lachowsky et al., 2016; Moore et al., 2016)","plainCitation":"(Forrest et al., 2014, 2016; Lachowsky et al., 2016; Moore et al., 2016)"},"citationItems":[{"id":372,"uris":["http://zotero.org/users/2569385/items/AS4IWKVZ"],"uri":["http://zotero.org/users/2569385/items/AS4IWKVZ"],"itemData":{"id":372,"type":"article-journal","title":"Community mapping and respondent-driven sampling of gay and bisexual men's communities in Vancouver, Canada","container-title":"Culture, Health &amp; Sexuality","source":"PubMed","abstract":"Literature suggests formative research is vital for those using respondent-driven sampling (RDS) to study hidden populations of interest. However, few authors have described in detail how different qualitative methodologies can address the objectives of formative research for understanding the social network properties of the study population, selecting seeds and adapting survey logistics to best fit the population. In this paper we describe the use of community mapping exercises as a tool within focus groups to collect data on social and sexual network characteristics of gay and bisexual men in the metropolitan area of Vancouver, Canada. Three key themes emerged from analysing community maps along with other formative research data: (1) connections between physical spaces and social networks of gay and bisexual men, (2) diversity in communities and (3) substance use linked to formation of sub-communities. We discuss how these themes informed the planning and operations of a longitudinal epidemiological cohort study recruited by RDS. We argue that using community mapping within formative research is a valuable qualitative tool for characterising network structures of a diverse and differentiated population of gay and bisexual men in a highly developed urban setting.","DOI":"10.1080/13691058.2014.881551","ISSN":"1464-5351","note":"PMID: 24512070\nPMCID: PMC4127385","journalAbbreviation":"Cult Health Sex","language":"ENG","author":[{"family":"Forrest","given":"Jamie I."},{"family":"Stevenson","given":"Benjamin"},{"family":"Rich","given":"Ashleigh"},{"family":"Michelow","given":"Warren"},{"family":"Pai","given":"Jayaram"},{"family":"Jollimore","given":"Jody"},{"family":"Raymond","given":"H. Fisher"},{"family":"Moore","given":"David"},{"family":"Hogg","given":"Robert S."},{"family":"Roth","given":"Eric A."}],"issued":{"date-parts":[["2014",2,10]]}}},{"id":964,"uris":["http://zotero.org/users/2569385/items/KA37J4UA"],"uri":["http://zotero.org/users/2569385/items/KA37J4UA"],"itemData":{"id":964,"type":"article-journal","title":"Factors Associated with Productive Recruiting in a Respondent-Driven Sample of Men who Have Sex with Men in Vancouver, Canada","container-title":"Journal of Urban Health: Bulletin of the New York Academy of Medicine","page":"379-387","volume":"93","issue":"2","source":"PubMed","abstract":"Respondent-driven sampling (RDS) has become a preferred sampling strategy for HIV research and surveillance in many global settings. Methodological investigation into the validity of RDS-generated samples has helped improve theoretical components of design. However, the operational challenges of implementing RDS remain underreported. We sought to identify factors independently associated with productive recruiting in an urban RDS-generated sample of gay, bisexual, and other men who have sex with men (MSM). Data were collected from the Momentum Health Study, a cohort of MSM recruited by RDS in Vancouver, Canada. Eligible men were given up to six RDS coupons to recruit their peers. The primary outcome was a count variable of each participant's number of eligible recruits. Multivariable Poisson regression identified independent predictors of productive recruitment. In total, 719 individuals comprised this analysis, of which 119 were seeds. The distribution of eligible recruits was right skewed, with 391 (54.4 %) having never recruited another participant and only eight participants (1.1 %) having recruited five. Significant, independent predictors of recruiting one additional participant included network size per ten unit increase (adjusted risk ratio [aRR] 1.03), being of Aboriginal race/ethnicity compared with White (aRR 1.51), being HIV-positive (aRR 1.31), being sexually active with only males (aRR 2.48), being single compared with common law/married (aRR 1.37), having recently read gay newspapers (aRR 1.58), having recently sought sex partners online (aRR 1.33) and being out to a male parent (aRR 1.30). This analysis demonstrates the importance of social network size in RDS adjustment, but also identifies other socio-demographic and behavioral variables that increased RDS coupon return, which may help researchers better operationalize the implementation of RDS.","DOI":"10.1007/s11524-016-0032-2","ISSN":"1468-2869","note":"PMID: 26960428\nPMCID: PMC4835350","journalAbbreviation":"J Urban Health","language":"eng","author":[{"family":"Forrest","given":"Jamie I."},{"family":"Lachowsky","given":"Nathan J."},{"family":"Lal","given":"Allan"},{"family":"Cui","given":"Zishan"},{"family":"Sereda","given":"Paul"},{"family":"Raymond","given":"Henry F."},{"family":"Ogilvie","given":"Gina"},{"family":"Roth","given":"Eric A."},{"family":"Moore","given":"David"},{"family":"Hogg","given":"R. S."}],"issued":{"date-parts":[["2016",4]]}}},{"id":2330,"uris":["http://zotero.org/users/2569385/items/AB5CP6I2"],"uri":["http://zotero.org/users/2569385/items/AB5CP6I2"],"itemData":{"id":2330,"type":"article-journal","title":"Including Online-Recruited Seeds: A Respondent-Driven Sample of Men Who Have Sex With Men","container-title":"Journal of Medical Internet Research","page":"e51","volume":"18","issue":"3","source":"www.jmir.org","abstract":"Background: Technology has changed the way men who have sex with men (MSM) seek sex and socialize, which may impact the implementation of respondent-driven sampling (RDS) among this population. Initial participants (also known as seeds) are a critical consideration in RDS because they begin the recruitment chains. However, little information is available on how the online-recruited seeds may effect RDS implementation. Objective: The objectives of this study were to compare (1) online-recruited versus offline-recruited seeds and (2) subsequent recruitment chains of online-recruited versus offline-recruited seeds. Methods: Between 2012 and 2014, we recruited MSM using RDS in Vancouver, Canada. RDS weights were used with logistic regression to address each objective. Results: A total of 119 seeds were used, 85 of whom were online-recruited seeds, to recruit an additional 600 MSM. Compared with offline-recruited seeds, online-recruited seeds were less likely to be HIV-positive (OR 0.34, 95% CI 0.13-0.88), to have attended a gay community group (AOR 0.33, 95% CI 0.12-0.90), and to feel gay community involvement was &amp;#8220;very important&amp;#8221; (AOR 0.16, 95% CI 0.03-0.93). Online-recruited seeds were more likely to ask a sexual partner&amp;#8217;s HIV status always versus &amp;#60;50% of the time (AOR 5.21, 95% CI 1.17-23.23), to have watched the Pride parade (AOR 6.30, 95% CI 1.69-23.45), and to have sought sex online (AOR 4.29, 95% CI 1.53-12-12.05). Further, compared with recruitment chains started by offline-recruited seeds, recruits from chains started by online-recruited seeds (283/600, 47.2%) were less likely to be HIV-positive (AOR 0.25, 95% CI 0.16-0.40), to report &amp;#8220;versatile&amp;#8221; versus &amp;#8220;bottom&amp;#8221; sexual position preference (AOR 0.56, 95% CI 0.35-0.88), and to be in a relationship lasting &amp;#62;1 year (AOR 1.65, 95% CI 1.06-2.56). Recruits of online seeds were more likely to be out as gay for longer (eg, 11-21 vs 1-4 years, AOR 2.22, 95% CI 1.27-3.88) and have fewer Facebook friends (eg, 201-500 vs &amp;#62;500, AOR 1.69, 95% CI 1.02-2.80). Conclusions: Online-recruited seeds were more prevalent, recruited fewer participants, but were different from those recruited offline. This may therefore help create a more diverse overall sample. Our work has shown the value of geosocial networking apps for aiding RDS recruitment efforts, especially when faced with slow participation uptake by other means. Understanding the degree to which networks interact will be an important next step in confirming the efficacy of online RDS recruitment strategies.  [J Med Internet Res 2016;18(3):e51]","DOI":"10.2196/jmir.5258","shortTitle":"Including Online-Recruited Seeds","language":"en","author":[{"family":"Lachowsky","given":"Nathan J."},{"family":"Lal","given":"Allan"},{"family":"Forrest","given":"Jamie I."},{"family":"Card","given":"Kiffer George"},{"family":"Cui","given":"Zishan"},{"family":"Sereda","given":"Paul"},{"family":"Rich","given":"Ashleigh"},{"family":"Raymond","given":"Henry Fisher"},{"family":"Roth","given":"Eric A."},{"family":"Moore","given":"David M."},{"family":"Hogg","given":"Robert S."}],"issued":{"date-parts":[["2016"]]}}},{"id":1451,"uris":["http://zotero.org/users/2569385/items/KPKEFTE5"],"uri":["http://zotero.org/users/2569385/items/KPKEFTE5"],"itemData":{"id":1451,"type":"article-journal","title":"HIV Community Viral Load and Factors Associated With Elevated Viremia Among a Community-Based Sample of Men Who Have Sex With Men in Vancouver, Canada:","container-title":"JAIDS Journal of Acquired Immune Deficiency Syndromes","page":"87-95","volume":"72","issue":"1","source":"CrossRef","DOI":"10.1097/QAI.0000000000000934","ISSN":"1525-4135","shortTitle":"HIV Community Viral Load and Factors Associated With Elevated Viremia Among a Community-Based Sample of Men Who Have Sex With Men in Vancouver, Canada","language":"en","author":[{"family":"Moore","given":"David M."},{"family":"Cui","given":"Zishan"},{"family":"Lachowsky","given":"Nathan J."},{"family":"Raymond","given":"Henry F."},{"family":"Roth","given":"Eric"},{"family":"Rich","given":"Ashleigh"},{"family":"Sereda","given":"Paul"},{"family":"Howard","given":"Terry"},{"family":"McFarland","given":"Willi"},{"family":"Lal","given":"Allan"},{"family":"Montaner","given":"Julio"},{"family":"Corneil","given":"Trevor"},{"family":"Hogg","given":"Robert S."}],"issued":{"date-parts":[["2016",5]]}}}],"schema":"https://github.com/citation-style-language/schema/raw/master/csl-citation.json"} </w:instrText>
      </w:r>
      <w:r w:rsidR="00FA4A16" w:rsidRPr="00CA4BCA">
        <w:rPr>
          <w:rFonts w:cs="Times New Roman"/>
        </w:rPr>
        <w:fldChar w:fldCharType="separate"/>
      </w:r>
      <w:r w:rsidR="00B35BEE" w:rsidRPr="00873B83">
        <w:rPr>
          <w:rFonts w:cs="Times New Roman"/>
        </w:rPr>
        <w:t>(Forrest et al., 2014, 2016; Lachowsky et al., 2016; Moore et al., 2016)</w:t>
      </w:r>
      <w:r w:rsidR="00FA4A16" w:rsidRPr="00CA4BCA">
        <w:rPr>
          <w:rFonts w:cs="Times New Roman"/>
        </w:rPr>
        <w:fldChar w:fldCharType="end"/>
      </w:r>
      <w:r w:rsidR="00FA4A16" w:rsidRPr="00CA4BCA">
        <w:rPr>
          <w:rFonts w:cs="Times New Roman"/>
        </w:rPr>
        <w:t xml:space="preserve">. </w:t>
      </w:r>
      <w:r w:rsidR="006424DE" w:rsidRPr="00CA4BCA">
        <w:rPr>
          <w:rFonts w:cs="Times New Roman"/>
        </w:rPr>
        <w:t xml:space="preserve">In short, </w:t>
      </w:r>
      <w:r w:rsidRPr="00CA4BCA">
        <w:rPr>
          <w:rFonts w:cs="Times New Roman"/>
          <w:lang w:val="en-CA"/>
        </w:rPr>
        <w:t xml:space="preserve">participants were recruited using respondent-driven sampling </w:t>
      </w:r>
      <w:r w:rsidRPr="00CA4BCA">
        <w:rPr>
          <w:rFonts w:cs="Times New Roman"/>
          <w:lang w:val="en-CA"/>
        </w:rPr>
        <w:fldChar w:fldCharType="begin"/>
      </w:r>
      <w:r w:rsidR="00D63A9C" w:rsidRPr="00CA4BCA">
        <w:rPr>
          <w:rFonts w:cs="Times New Roman"/>
          <w:lang w:val="en-CA"/>
        </w:rPr>
        <w:instrText xml:space="preserve"> ADDIN ZOTERO_ITEM CSL_CITATION {"citationID":"7r7vnht0v","properties":{"formattedCitation":"(Heckathorn, 1997)","plainCitation":"(Heckathorn, 1997)"},"citationItems":[{"id":522,"uris":["http://zotero.org/users/2569385/items/XGUBENAV"],"uri":["http://zotero.org/users/2569385/items/XGUBENAV"],"itemData":{"id":522,"type":"article-journal","title":"Respondent-Driven Sampling: A New Approach to the Study of Hidden Populations*","container-title":"Society for the Study of Social Problems","volume":"44","issue":"2","abstract":"A population is \"hidden \" when no sampling frame exists and public acknowledgment of membership in\nthe population is potentially threatening. Accessing such populations is difficult because standard probability\nsampling methods produce low response rates and responses that lack candor. Existing procedures for sampling\nthese populations, including snowball and other chain-referral samples, the key-informant approach, and\ntargeted sampling, introduce well-documented biases into their samples. This paper introduces a new variant\nof chain-referral sampling, respondent-driven sampling, that employs a dual system of structured incentives to\novercome some of the deficiencies of such samples. A theoretic analysis, drawing on both Markov-chain theory\nand the theory of biased networks, shows that this procedure can reduce the biases generally associated with\nchain-referral methods. The analysis includes a proof showing that even though sampling begins with an\narbitrarily chosen set of initial subjects, as do most chain-referral samples, the composition of the ultimate\nsample is wholly independent of those initial subjects. The analysis also includes a theoretic specification of the\nconditions under which the procedure yields unbiased samples. Empirical results, based on surveys of 277\nactive drug injectors in Connecticut, support these conclusions. Finally, the conclusion discusses how respondent-driven\nsampling can improve both network sampling and ethnographic 44investigation","author":[{"family":"Heckathorn","given":"Douglas"}],"issued":{"date-parts":[["1997",5]]}}}],"schema":"https://github.com/citation-style-language/schema/raw/master/csl-citation.json"} </w:instrText>
      </w:r>
      <w:r w:rsidRPr="00CA4BCA">
        <w:rPr>
          <w:rFonts w:cs="Times New Roman"/>
          <w:lang w:val="en-CA"/>
        </w:rPr>
        <w:fldChar w:fldCharType="separate"/>
      </w:r>
      <w:r w:rsidR="00585BBD" w:rsidRPr="00585BBD">
        <w:rPr>
          <w:rFonts w:cs="Times New Roman"/>
        </w:rPr>
        <w:t>(</w:t>
      </w:r>
      <w:r w:rsidR="00AE449E">
        <w:rPr>
          <w:rFonts w:cs="Times New Roman"/>
        </w:rPr>
        <w:t xml:space="preserve">RDS; </w:t>
      </w:r>
      <w:r w:rsidR="00585BBD" w:rsidRPr="00585BBD">
        <w:rPr>
          <w:rFonts w:cs="Times New Roman"/>
        </w:rPr>
        <w:t>Heckathorn, 1997)</w:t>
      </w:r>
      <w:r w:rsidRPr="00CA4BCA">
        <w:rPr>
          <w:rFonts w:cs="Times New Roman"/>
          <w:lang w:val="en-CA"/>
        </w:rPr>
        <w:fldChar w:fldCharType="end"/>
      </w:r>
      <w:r w:rsidRPr="00CA4BCA">
        <w:rPr>
          <w:rFonts w:cs="Times New Roman"/>
          <w:lang w:val="en-CA"/>
        </w:rPr>
        <w:t xml:space="preserve">. Eligible GBM presenting an RDS-voucher </w:t>
      </w:r>
      <w:r w:rsidR="006424DE" w:rsidRPr="00CA4BCA">
        <w:rPr>
          <w:rFonts w:cs="Times New Roman"/>
        </w:rPr>
        <w:t xml:space="preserve">were screened for </w:t>
      </w:r>
      <w:r w:rsidRPr="00CA4BCA">
        <w:rPr>
          <w:rFonts w:cs="Times New Roman"/>
        </w:rPr>
        <w:lastRenderedPageBreak/>
        <w:t>enrollment</w:t>
      </w:r>
      <w:r w:rsidR="006424DE" w:rsidRPr="00CA4BCA">
        <w:rPr>
          <w:rFonts w:cs="Times New Roman"/>
        </w:rPr>
        <w:t xml:space="preserve">, provided informed consent, completed a 45-minute computer-administered questionnaire, and underwent STI screenings administered by a study nurse. Participants completed follow-up visits </w:t>
      </w:r>
      <w:r w:rsidRPr="00CA4BCA">
        <w:rPr>
          <w:rFonts w:cs="Times New Roman"/>
        </w:rPr>
        <w:t>every</w:t>
      </w:r>
      <w:r w:rsidR="006424DE" w:rsidRPr="00CA4BCA">
        <w:rPr>
          <w:rFonts w:cs="Times New Roman"/>
        </w:rPr>
        <w:t xml:space="preserve"> six month</w:t>
      </w:r>
      <w:r w:rsidR="008944ED" w:rsidRPr="00CA4BCA">
        <w:rPr>
          <w:rFonts w:cs="Times New Roman"/>
        </w:rPr>
        <w:t>s</w:t>
      </w:r>
      <w:r w:rsidR="006424DE" w:rsidRPr="00CA4BCA">
        <w:rPr>
          <w:rFonts w:cs="Times New Roman"/>
        </w:rPr>
        <w:t xml:space="preserve">. </w:t>
      </w:r>
      <w:r w:rsidR="00F0467F" w:rsidRPr="00CA4BCA">
        <w:rPr>
          <w:rFonts w:cs="Times New Roman"/>
          <w:lang w:val="en-CA"/>
        </w:rPr>
        <w:t xml:space="preserve">At </w:t>
      </w:r>
      <w:r w:rsidR="00964233" w:rsidRPr="00CA4BCA">
        <w:rPr>
          <w:rFonts w:cs="Times New Roman"/>
          <w:lang w:val="en-CA"/>
        </w:rPr>
        <w:t xml:space="preserve">the completion of </w:t>
      </w:r>
      <w:r w:rsidR="006424DE" w:rsidRPr="00CA4BCA">
        <w:rPr>
          <w:rFonts w:cs="Times New Roman"/>
          <w:lang w:val="en-CA"/>
        </w:rPr>
        <w:t>each visit</w:t>
      </w:r>
      <w:r w:rsidR="00964233" w:rsidRPr="00CA4BCA">
        <w:rPr>
          <w:rFonts w:cs="Times New Roman"/>
          <w:lang w:val="en-CA"/>
        </w:rPr>
        <w:t>,</w:t>
      </w:r>
      <w:r w:rsidR="006424DE" w:rsidRPr="00CA4BCA">
        <w:rPr>
          <w:rFonts w:cs="Times New Roman"/>
          <w:lang w:val="en-CA"/>
        </w:rPr>
        <w:t xml:space="preserve"> participants were provided a $50 honorarium and received an additional $10 for each eligible </w:t>
      </w:r>
      <w:r w:rsidR="007828DC" w:rsidRPr="00CA4BCA">
        <w:rPr>
          <w:rFonts w:cs="Times New Roman"/>
          <w:lang w:val="en-CA"/>
        </w:rPr>
        <w:t>referee</w:t>
      </w:r>
      <w:r w:rsidR="006424DE" w:rsidRPr="00CA4BCA">
        <w:rPr>
          <w:rFonts w:cs="Times New Roman"/>
          <w:lang w:val="en-CA"/>
        </w:rPr>
        <w:t xml:space="preserve"> </w:t>
      </w:r>
      <w:r w:rsidR="007828DC" w:rsidRPr="00CA4BCA">
        <w:rPr>
          <w:rFonts w:cs="Times New Roman"/>
          <w:lang w:val="en-CA"/>
        </w:rPr>
        <w:t>recruited in</w:t>
      </w:r>
      <w:r w:rsidR="006424DE" w:rsidRPr="00CA4BCA">
        <w:rPr>
          <w:rFonts w:cs="Times New Roman"/>
          <w:lang w:val="en-CA"/>
        </w:rPr>
        <w:t xml:space="preserve">to the study. </w:t>
      </w:r>
      <w:r w:rsidR="004562FE" w:rsidRPr="00CA4BCA">
        <w:rPr>
          <w:rFonts w:cs="Times New Roman"/>
        </w:rPr>
        <w:t>Inclusion criteria for this analysis further restricted responses to those which were not lost to follow-up before the 5</w:t>
      </w:r>
      <w:r w:rsidR="004562FE" w:rsidRPr="00CA4BCA">
        <w:rPr>
          <w:rFonts w:cs="Times New Roman"/>
          <w:vertAlign w:val="superscript"/>
        </w:rPr>
        <w:t>th</w:t>
      </w:r>
      <w:r w:rsidR="004562FE" w:rsidRPr="00CA4BCA">
        <w:rPr>
          <w:rFonts w:cs="Times New Roman"/>
        </w:rPr>
        <w:t xml:space="preserve"> study visit and who provided responses for outcome factors. </w:t>
      </w:r>
      <w:r w:rsidR="007957E0" w:rsidRPr="00CA4BCA">
        <w:rPr>
          <w:rFonts w:cs="Times New Roman"/>
        </w:rPr>
        <w:t>Ethical</w:t>
      </w:r>
      <w:r w:rsidR="00855D28" w:rsidRPr="00CA4BCA">
        <w:rPr>
          <w:rFonts w:cs="Times New Roman"/>
        </w:rPr>
        <w:t xml:space="preserve"> approval was </w:t>
      </w:r>
      <w:r w:rsidR="006424DE" w:rsidRPr="00CA4BCA">
        <w:rPr>
          <w:rFonts w:cs="Times New Roman"/>
        </w:rPr>
        <w:t>granted</w:t>
      </w:r>
      <w:r w:rsidR="00855D28" w:rsidRPr="00CA4BCA">
        <w:rPr>
          <w:rFonts w:cs="Times New Roman"/>
        </w:rPr>
        <w:t xml:space="preserve"> by </w:t>
      </w:r>
      <w:r w:rsidR="008944ED" w:rsidRPr="00CA4BCA">
        <w:rPr>
          <w:rFonts w:cs="Times New Roman"/>
        </w:rPr>
        <w:t xml:space="preserve">the </w:t>
      </w:r>
      <w:r w:rsidR="00855D28" w:rsidRPr="00CA4BCA">
        <w:rPr>
          <w:rFonts w:cs="Times New Roman"/>
        </w:rPr>
        <w:t xml:space="preserve">research ethics boards at </w:t>
      </w:r>
      <w:r w:rsidR="007957E0" w:rsidRPr="00CA4BCA">
        <w:rPr>
          <w:rFonts w:cs="Times New Roman"/>
        </w:rPr>
        <w:t>the University of British Columbia, the University of Victoria, and Simon Fraser University.</w:t>
      </w:r>
    </w:p>
    <w:p w14:paraId="769ADBF5" w14:textId="001D1198" w:rsidR="00FA4A16" w:rsidRPr="00CA4BCA" w:rsidRDefault="00D63A9C" w:rsidP="0047548F">
      <w:pPr>
        <w:pStyle w:val="Heading2"/>
        <w:rPr>
          <w:rFonts w:ascii="Times New Roman" w:hAnsi="Times New Roman" w:cs="Times New Roman"/>
        </w:rPr>
      </w:pPr>
      <w:r w:rsidRPr="00CA4BCA">
        <w:rPr>
          <w:rFonts w:ascii="Times New Roman" w:hAnsi="Times New Roman" w:cs="Times New Roman"/>
        </w:rPr>
        <w:t xml:space="preserve">2.2. </w:t>
      </w:r>
      <w:r w:rsidR="00FA4A16" w:rsidRPr="00CA4BCA">
        <w:rPr>
          <w:rFonts w:ascii="Times New Roman" w:hAnsi="Times New Roman" w:cs="Times New Roman"/>
        </w:rPr>
        <w:t>Variables</w:t>
      </w:r>
    </w:p>
    <w:p w14:paraId="7638945C" w14:textId="1822B699" w:rsidR="00EA15EB" w:rsidRPr="00CA4BCA" w:rsidRDefault="00EA15EB" w:rsidP="00EA15EB">
      <w:pPr>
        <w:pStyle w:val="Heading3"/>
        <w:rPr>
          <w:rFonts w:ascii="Times New Roman" w:hAnsi="Times New Roman" w:cs="Times New Roman"/>
        </w:rPr>
      </w:pPr>
      <w:r w:rsidRPr="00CA4BCA">
        <w:rPr>
          <w:rFonts w:ascii="Times New Roman" w:hAnsi="Times New Roman" w:cs="Times New Roman"/>
        </w:rPr>
        <w:t xml:space="preserve">2.2.1. Substance Use </w:t>
      </w:r>
    </w:p>
    <w:p w14:paraId="33236D24" w14:textId="5E9E4721" w:rsidR="00FA4A16" w:rsidRPr="00CA4BCA" w:rsidRDefault="00DA101A" w:rsidP="004321EE">
      <w:pPr>
        <w:rPr>
          <w:rFonts w:cs="Times New Roman"/>
        </w:rPr>
      </w:pPr>
      <w:r w:rsidRPr="00CA4BCA">
        <w:rPr>
          <w:rFonts w:cs="Times New Roman"/>
        </w:rPr>
        <w:t xml:space="preserve">Participants </w:t>
      </w:r>
      <w:r w:rsidR="007759DD" w:rsidRPr="00CA4BCA">
        <w:rPr>
          <w:rFonts w:cs="Times New Roman"/>
        </w:rPr>
        <w:t>reported their</w:t>
      </w:r>
      <w:r w:rsidRPr="00CA4BCA">
        <w:rPr>
          <w:rFonts w:cs="Times New Roman"/>
        </w:rPr>
        <w:t xml:space="preserve"> use</w:t>
      </w:r>
      <w:r w:rsidR="007759DD" w:rsidRPr="00CA4BCA">
        <w:rPr>
          <w:rFonts w:cs="Times New Roman"/>
        </w:rPr>
        <w:t xml:space="preserve"> (any vs. none)</w:t>
      </w:r>
      <w:r w:rsidRPr="00CA4BCA">
        <w:rPr>
          <w:rFonts w:cs="Times New Roman"/>
        </w:rPr>
        <w:t xml:space="preserve"> </w:t>
      </w:r>
      <w:r w:rsidR="007759DD" w:rsidRPr="00CA4BCA">
        <w:rPr>
          <w:rFonts w:cs="Times New Roman"/>
        </w:rPr>
        <w:t>of</w:t>
      </w:r>
      <w:r w:rsidR="00FA4A16" w:rsidRPr="00CA4BCA">
        <w:rPr>
          <w:rFonts w:cs="Times New Roman"/>
        </w:rPr>
        <w:t xml:space="preserve"> alcohol, </w:t>
      </w:r>
      <w:r w:rsidR="00F90F4E" w:rsidRPr="00CA4BCA">
        <w:rPr>
          <w:rFonts w:cs="Times New Roman"/>
        </w:rPr>
        <w:t xml:space="preserve">cannabis, tobacco, </w:t>
      </w:r>
      <w:r w:rsidRPr="00CA4BCA">
        <w:rPr>
          <w:rFonts w:cs="Times New Roman"/>
        </w:rPr>
        <w:t xml:space="preserve">crystal meth, crack, cocaine, speed, heroin, </w:t>
      </w:r>
      <w:r w:rsidR="007957E0" w:rsidRPr="00CA4BCA">
        <w:rPr>
          <w:rFonts w:cs="Times New Roman"/>
        </w:rPr>
        <w:t xml:space="preserve">poppers, </w:t>
      </w:r>
      <w:r w:rsidR="00FA4A16" w:rsidRPr="00CA4BCA">
        <w:rPr>
          <w:rFonts w:cs="Times New Roman"/>
        </w:rPr>
        <w:t xml:space="preserve">erectile dysfunction drugs, </w:t>
      </w:r>
      <w:r w:rsidR="00F820DF" w:rsidRPr="00CA4BCA">
        <w:rPr>
          <w:rFonts w:cs="Times New Roman"/>
        </w:rPr>
        <w:t>gamma-Hydroxybutyric acid (</w:t>
      </w:r>
      <w:r w:rsidR="007957E0" w:rsidRPr="00CA4BCA">
        <w:rPr>
          <w:rFonts w:cs="Times New Roman"/>
        </w:rPr>
        <w:t>GHB</w:t>
      </w:r>
      <w:r w:rsidR="00F820DF" w:rsidRPr="00CA4BCA">
        <w:rPr>
          <w:rFonts w:cs="Times New Roman"/>
        </w:rPr>
        <w:t>)</w:t>
      </w:r>
      <w:r w:rsidR="007957E0" w:rsidRPr="00CA4BCA">
        <w:rPr>
          <w:rFonts w:cs="Times New Roman"/>
        </w:rPr>
        <w:t xml:space="preserve">, ecstasy, ketamine, mushrooms, </w:t>
      </w:r>
      <w:r w:rsidR="00F820DF" w:rsidRPr="00CA4BCA">
        <w:rPr>
          <w:rFonts w:cs="Times New Roman"/>
        </w:rPr>
        <w:t>Lysergic acid diethylamide (LSD)</w:t>
      </w:r>
      <w:r w:rsidR="007957E0" w:rsidRPr="00CA4BCA">
        <w:rPr>
          <w:rFonts w:cs="Times New Roman"/>
        </w:rPr>
        <w:t>, benzodiazepine</w:t>
      </w:r>
      <w:r w:rsidRPr="00CA4BCA">
        <w:rPr>
          <w:rFonts w:cs="Times New Roman"/>
        </w:rPr>
        <w:t>s</w:t>
      </w:r>
      <w:r w:rsidR="00BA7143" w:rsidRPr="00CA4BCA">
        <w:rPr>
          <w:rFonts w:cs="Times New Roman"/>
        </w:rPr>
        <w:t>,</w:t>
      </w:r>
      <w:r w:rsidR="007957E0" w:rsidRPr="00CA4BCA">
        <w:rPr>
          <w:rFonts w:cs="Times New Roman"/>
        </w:rPr>
        <w:t xml:space="preserve"> codeine, oxycodone, and</w:t>
      </w:r>
      <w:r w:rsidR="0030317F" w:rsidRPr="00CA4BCA">
        <w:rPr>
          <w:rFonts w:cs="Times New Roman"/>
        </w:rPr>
        <w:t xml:space="preserve"> prescription</w:t>
      </w:r>
      <w:r w:rsidR="007759DD" w:rsidRPr="00CA4BCA">
        <w:rPr>
          <w:rFonts w:cs="Times New Roman"/>
        </w:rPr>
        <w:t xml:space="preserve"> steroids over the past six months (P6M). </w:t>
      </w:r>
      <w:r w:rsidR="003B2BE9" w:rsidRPr="00CA4BCA">
        <w:rPr>
          <w:rFonts w:cs="Times New Roman"/>
        </w:rPr>
        <w:t>For each substance, reported frequency of use (</w:t>
      </w:r>
      <w:r w:rsidR="00F90F4E" w:rsidRPr="00CA4BCA">
        <w:rPr>
          <w:rFonts w:cs="Times New Roman"/>
        </w:rPr>
        <w:t xml:space="preserve">more than weekly </w:t>
      </w:r>
      <w:r w:rsidR="003B2BE9" w:rsidRPr="00CA4BCA">
        <w:rPr>
          <w:rFonts w:cs="Times New Roman"/>
        </w:rPr>
        <w:t xml:space="preserve">vs. </w:t>
      </w:r>
      <w:r w:rsidR="00F90F4E" w:rsidRPr="00CA4BCA">
        <w:rPr>
          <w:rFonts w:cs="Times New Roman"/>
        </w:rPr>
        <w:t xml:space="preserve">weekly or </w:t>
      </w:r>
      <w:r w:rsidR="003B2BE9" w:rsidRPr="00CA4BCA">
        <w:rPr>
          <w:rFonts w:cs="Times New Roman"/>
        </w:rPr>
        <w:t>less) was also assessed.</w:t>
      </w:r>
      <w:r w:rsidR="00F90F4E" w:rsidRPr="00CA4BCA">
        <w:rPr>
          <w:rFonts w:cs="Times New Roman"/>
        </w:rPr>
        <w:t xml:space="preserve"> Tobacco use (daily vs. less frequently) was assessed over the past six months; and cannabis use (more than weekly vs. weekly or less) was also assessed over the past three months.</w:t>
      </w:r>
    </w:p>
    <w:p w14:paraId="0E09D10D" w14:textId="12EF1E5B" w:rsidR="00477EE8" w:rsidRPr="00CA4BCA" w:rsidRDefault="003B2BE9" w:rsidP="00477EE8">
      <w:pPr>
        <w:pStyle w:val="Heading3"/>
        <w:rPr>
          <w:rFonts w:ascii="Times New Roman" w:hAnsi="Times New Roman" w:cs="Times New Roman"/>
        </w:rPr>
      </w:pPr>
      <w:r w:rsidRPr="00CA4BCA">
        <w:rPr>
          <w:rFonts w:ascii="Times New Roman" w:hAnsi="Times New Roman" w:cs="Times New Roman"/>
        </w:rPr>
        <w:t xml:space="preserve">2.2.2. </w:t>
      </w:r>
      <w:r w:rsidR="00DC2FA0" w:rsidRPr="00CA4BCA">
        <w:rPr>
          <w:rFonts w:ascii="Times New Roman" w:hAnsi="Times New Roman" w:cs="Times New Roman"/>
        </w:rPr>
        <w:t>Descriptive Characteristics</w:t>
      </w:r>
      <w:r w:rsidRPr="00CA4BCA">
        <w:rPr>
          <w:rFonts w:ascii="Times New Roman" w:hAnsi="Times New Roman" w:cs="Times New Roman"/>
        </w:rPr>
        <w:t xml:space="preserve"> </w:t>
      </w:r>
    </w:p>
    <w:p w14:paraId="46F1CADA" w14:textId="53B94C24" w:rsidR="003B2BE9" w:rsidRPr="00CA4BCA" w:rsidRDefault="00477EE8" w:rsidP="00477EE8">
      <w:pPr>
        <w:rPr>
          <w:rFonts w:cs="Times New Roman"/>
          <w:lang w:val="en-CA"/>
        </w:rPr>
      </w:pPr>
      <w:r w:rsidRPr="00CA4BCA">
        <w:rPr>
          <w:rFonts w:cs="Times New Roman"/>
          <w:lang w:val="en-CA"/>
        </w:rPr>
        <w:t xml:space="preserve">Descriptive characteristics were collected to assess the representativeness of sociodemographic and community connectedness variables in the study sample. </w:t>
      </w:r>
      <w:r w:rsidR="003B2BE9" w:rsidRPr="00CA4BCA">
        <w:rPr>
          <w:rFonts w:cs="Times New Roman"/>
          <w:lang w:val="en-CA"/>
        </w:rPr>
        <w:t xml:space="preserve">Sociodemographic variables included age, race/ethnicity, sexual orientation, annual income, employment status, other income sources (i.e., welfare, disability, sex work, drug sales), current housing situation, level of </w:t>
      </w:r>
      <w:r w:rsidR="003B2BE9" w:rsidRPr="00CA4BCA">
        <w:rPr>
          <w:rFonts w:cs="Times New Roman"/>
          <w:lang w:val="en-CA"/>
        </w:rPr>
        <w:lastRenderedPageBreak/>
        <w:t xml:space="preserve">educational attainment, relationship status, and HIV status. </w:t>
      </w:r>
      <w:r w:rsidR="003B2BE9" w:rsidRPr="00CA4BCA">
        <w:rPr>
          <w:rFonts w:cs="Times New Roman"/>
          <w:color w:val="000000" w:themeColor="text1"/>
        </w:rPr>
        <w:t xml:space="preserve">Community connectedness variables included attendance over the past six months at </w:t>
      </w:r>
      <w:r w:rsidR="00F51851" w:rsidRPr="00CA4BCA">
        <w:rPr>
          <w:rFonts w:cs="Times New Roman"/>
          <w:color w:val="000000" w:themeColor="text1"/>
        </w:rPr>
        <w:t xml:space="preserve">gay </w:t>
      </w:r>
      <w:r w:rsidR="003B2BE9" w:rsidRPr="00CA4BCA">
        <w:rPr>
          <w:rFonts w:cs="Times New Roman"/>
          <w:color w:val="000000" w:themeColor="text1"/>
        </w:rPr>
        <w:t>bars or clubs, group sex events, and the most recent annual pride parade. Participants also reported whether they read gay newspapers, used gay apps and websites to find sexual partners</w:t>
      </w:r>
      <w:r w:rsidR="00F51851" w:rsidRPr="00CA4BCA">
        <w:rPr>
          <w:rFonts w:cs="Times New Roman"/>
          <w:color w:val="000000" w:themeColor="text1"/>
        </w:rPr>
        <w:t>,</w:t>
      </w:r>
      <w:r w:rsidR="003B2BE9" w:rsidRPr="00CA4BCA">
        <w:rPr>
          <w:rFonts w:cs="Times New Roman"/>
          <w:color w:val="000000" w:themeColor="text1"/>
        </w:rPr>
        <w:t xml:space="preserve"> and how much of their social time they spent with other GBM. </w:t>
      </w:r>
    </w:p>
    <w:p w14:paraId="546FAAF5" w14:textId="77FD47BA" w:rsidR="00FA4A16" w:rsidRPr="00CA4BCA" w:rsidRDefault="00D63A9C" w:rsidP="0047548F">
      <w:pPr>
        <w:pStyle w:val="Heading2"/>
        <w:rPr>
          <w:rFonts w:ascii="Times New Roman" w:hAnsi="Times New Roman" w:cs="Times New Roman"/>
        </w:rPr>
      </w:pPr>
      <w:r w:rsidRPr="00CA4BCA">
        <w:rPr>
          <w:rFonts w:ascii="Times New Roman" w:hAnsi="Times New Roman" w:cs="Times New Roman"/>
        </w:rPr>
        <w:t xml:space="preserve">2.3. </w:t>
      </w:r>
      <w:r w:rsidR="00FA4A16" w:rsidRPr="00CA4BCA">
        <w:rPr>
          <w:rFonts w:ascii="Times New Roman" w:hAnsi="Times New Roman" w:cs="Times New Roman"/>
        </w:rPr>
        <w:t>Statistical Analysis</w:t>
      </w:r>
    </w:p>
    <w:p w14:paraId="4719D312" w14:textId="2FEF030D" w:rsidR="00511514" w:rsidRPr="00CA4BCA" w:rsidRDefault="008F6649" w:rsidP="0024110D">
      <w:pPr>
        <w:rPr>
          <w:rFonts w:cs="Times New Roman"/>
          <w:lang w:val="en-CA"/>
        </w:rPr>
      </w:pPr>
      <w:r w:rsidRPr="00CA4BCA">
        <w:rPr>
          <w:rFonts w:cs="Times New Roman"/>
          <w:lang w:val="en-CA"/>
        </w:rPr>
        <w:t>All statistical analyses were conducted in SAS</w:t>
      </w:r>
      <w:r w:rsidR="0030317F" w:rsidRPr="00CA4BCA">
        <w:rPr>
          <w:rFonts w:cs="Times New Roman"/>
          <w:lang w:val="en-CA"/>
        </w:rPr>
        <w:t xml:space="preserve"> </w:t>
      </w:r>
      <w:r w:rsidR="00270336" w:rsidRPr="00CA4BCA">
        <w:rPr>
          <w:rFonts w:cs="Times New Roman"/>
          <w:lang w:val="en-CA"/>
        </w:rPr>
        <w:fldChar w:fldCharType="begin"/>
      </w:r>
      <w:r w:rsidR="00D63A9C" w:rsidRPr="00CA4BCA">
        <w:rPr>
          <w:rFonts w:cs="Times New Roman"/>
          <w:lang w:val="en-CA"/>
        </w:rPr>
        <w:instrText xml:space="preserve"> ADDIN ZOTERO_ITEM CSL_CITATION {"citationID":"KYwz2yLv","properties":{"formattedCitation":"{\\rtf ({\\i{}SAS}, n.d.)}","plainCitation":"(SAS, n.d.)"},"citationItems":[{"id":681,"uris":["http://zotero.org/users/2569385/items/E8M5HBEP"],"uri":["http://zotero.org/users/2569385/items/E8M5HBEP"],"itemData":{"id":681,"type":"book","title":"SAS","publisher":"SAS Institute Inc.","publisher-place":"Cary, NC, USA","version":"9.4","event-place":"Cary, NC, USA"}}],"schema":"https://github.com/citation-style-language/schema/raw/master/csl-citation.json"} </w:instrText>
      </w:r>
      <w:r w:rsidR="00270336" w:rsidRPr="00CA4BCA">
        <w:rPr>
          <w:rFonts w:cs="Times New Roman"/>
          <w:lang w:val="en-CA"/>
        </w:rPr>
        <w:fldChar w:fldCharType="separate"/>
      </w:r>
      <w:r w:rsidR="00585BBD" w:rsidRPr="00585BBD">
        <w:rPr>
          <w:rFonts w:cs="Times New Roman"/>
        </w:rPr>
        <w:t>(</w:t>
      </w:r>
      <w:r w:rsidR="00585BBD" w:rsidRPr="00585BBD">
        <w:rPr>
          <w:rFonts w:cs="Times New Roman"/>
          <w:i/>
          <w:iCs/>
        </w:rPr>
        <w:t>SAS</w:t>
      </w:r>
      <w:r w:rsidR="00585BBD" w:rsidRPr="00585BBD">
        <w:rPr>
          <w:rFonts w:cs="Times New Roman"/>
        </w:rPr>
        <w:t>, n.d.)</w:t>
      </w:r>
      <w:r w:rsidR="00270336" w:rsidRPr="00CA4BCA">
        <w:rPr>
          <w:rFonts w:cs="Times New Roman"/>
          <w:lang w:val="en-CA"/>
        </w:rPr>
        <w:fldChar w:fldCharType="end"/>
      </w:r>
      <w:r w:rsidR="00270336" w:rsidRPr="00CA4BCA">
        <w:rPr>
          <w:rFonts w:cs="Times New Roman"/>
          <w:lang w:val="en-CA"/>
        </w:rPr>
        <w:t xml:space="preserve">. </w:t>
      </w:r>
      <w:r w:rsidR="00513058" w:rsidRPr="00CA4BCA">
        <w:rPr>
          <w:rFonts w:cs="Times New Roman"/>
          <w:lang w:val="en-CA"/>
        </w:rPr>
        <w:t xml:space="preserve">Class membership, </w:t>
      </w:r>
      <w:r w:rsidR="0024110D" w:rsidRPr="00CA4BCA">
        <w:rPr>
          <w:rFonts w:cs="Times New Roman"/>
          <w:lang w:val="en-CA"/>
        </w:rPr>
        <w:t>i</w:t>
      </w:r>
      <w:r w:rsidRPr="00CA4BCA">
        <w:rPr>
          <w:rFonts w:cs="Times New Roman"/>
          <w:lang w:val="en-CA"/>
        </w:rPr>
        <w:t>tem response</w:t>
      </w:r>
      <w:r w:rsidR="00513058" w:rsidRPr="00CA4BCA">
        <w:rPr>
          <w:rFonts w:cs="Times New Roman"/>
          <w:lang w:val="en-CA"/>
        </w:rPr>
        <w:t xml:space="preserve">, and transition </w:t>
      </w:r>
      <w:r w:rsidRPr="00CA4BCA">
        <w:rPr>
          <w:rFonts w:cs="Times New Roman"/>
          <w:lang w:val="en-CA"/>
        </w:rPr>
        <w:t xml:space="preserve">probabilities were calculated using the PROC LTA </w:t>
      </w:r>
      <w:r w:rsidR="000716AE" w:rsidRPr="00CA4BCA">
        <w:rPr>
          <w:rFonts w:cs="Times New Roman"/>
          <w:lang w:val="en-CA"/>
        </w:rPr>
        <w:t xml:space="preserve">procedure </w:t>
      </w:r>
      <w:r w:rsidRPr="00CA4BCA">
        <w:rPr>
          <w:rFonts w:cs="Times New Roman"/>
          <w:lang w:val="en-CA"/>
        </w:rPr>
        <w:fldChar w:fldCharType="begin"/>
      </w:r>
      <w:r w:rsidR="00D63A9C" w:rsidRPr="00CA4BCA">
        <w:rPr>
          <w:rFonts w:cs="Times New Roman"/>
          <w:lang w:val="en-CA"/>
        </w:rPr>
        <w:instrText xml:space="preserve"> ADDIN ZOTERO_ITEM CSL_CITATION {"citationID":"IBIdjNxM","properties":{"formattedCitation":"{\\rtf ({\\i{}PROC LCA &amp; PROC LTA}, 2015)}","plainCitation":"(PROC LCA &amp; PROC LTA, 2015)"},"citationItems":[{"id":2280,"uris":["http://zotero.org/users/2569385/items/6H3Z4Z2K"],"uri":["http://zotero.org/users/2569385/items/6H3Z4Z2K"],"itemData":{"id":2280,"type":"book","title":"PROC LCA &amp; PROC LTA","publisher":"The Methodology Center, Penn State.","publisher-place":"University Park","version":"1.3.2","event-place":"University Park","URL":"http://methodology.psu.edu","issued":{"date-parts":[["2015"]]}}}],"schema":"https://github.com/citation-style-language/schema/raw/master/csl-citation.json"} </w:instrText>
      </w:r>
      <w:r w:rsidRPr="00CA4BCA">
        <w:rPr>
          <w:rFonts w:cs="Times New Roman"/>
          <w:lang w:val="en-CA"/>
        </w:rPr>
        <w:fldChar w:fldCharType="separate"/>
      </w:r>
      <w:r w:rsidR="00585BBD" w:rsidRPr="00585BBD">
        <w:rPr>
          <w:rFonts w:cs="Times New Roman"/>
        </w:rPr>
        <w:t>(</w:t>
      </w:r>
      <w:r w:rsidR="00585BBD" w:rsidRPr="00585BBD">
        <w:rPr>
          <w:rFonts w:cs="Times New Roman"/>
          <w:i/>
          <w:iCs/>
        </w:rPr>
        <w:t>PROC LCA &amp; PROC LTA</w:t>
      </w:r>
      <w:r w:rsidR="00585BBD" w:rsidRPr="00585BBD">
        <w:rPr>
          <w:rFonts w:cs="Times New Roman"/>
        </w:rPr>
        <w:t>, 2015)</w:t>
      </w:r>
      <w:r w:rsidRPr="00CA4BCA">
        <w:rPr>
          <w:rFonts w:cs="Times New Roman"/>
          <w:lang w:val="en-CA"/>
        </w:rPr>
        <w:fldChar w:fldCharType="end"/>
      </w:r>
      <w:r w:rsidRPr="00CA4BCA">
        <w:rPr>
          <w:rFonts w:cs="Times New Roman"/>
          <w:lang w:val="en-CA"/>
        </w:rPr>
        <w:t xml:space="preserve">. </w:t>
      </w:r>
      <w:bookmarkStart w:id="5" w:name="_Hlk506933107"/>
      <w:r w:rsidR="0010283F" w:rsidRPr="00CA4BCA">
        <w:rPr>
          <w:rFonts w:cs="Times New Roman"/>
          <w:lang w:val="en-CA"/>
        </w:rPr>
        <w:t>Indicator variables included all substances reported</w:t>
      </w:r>
      <w:r w:rsidR="00C14406">
        <w:rPr>
          <w:rFonts w:cs="Times New Roman"/>
          <w:lang w:val="en-CA"/>
        </w:rPr>
        <w:t xml:space="preserve"> at any frequency</w:t>
      </w:r>
      <w:r w:rsidR="0010283F" w:rsidRPr="00CA4BCA">
        <w:rPr>
          <w:rFonts w:cs="Times New Roman"/>
          <w:lang w:val="en-CA"/>
        </w:rPr>
        <w:t xml:space="preserve"> by </w:t>
      </w:r>
      <w:r w:rsidR="0010283F" w:rsidRPr="00CA4BCA">
        <w:rPr>
          <w:rFonts w:cs="Times New Roman"/>
          <w:u w:val="single"/>
          <w:lang w:val="en-CA"/>
        </w:rPr>
        <w:t>&gt;</w:t>
      </w:r>
      <w:r w:rsidR="0010283F" w:rsidRPr="00CA4BCA">
        <w:rPr>
          <w:rFonts w:cs="Times New Roman"/>
          <w:lang w:val="en-CA"/>
        </w:rPr>
        <w:t xml:space="preserve">30 participants. </w:t>
      </w:r>
      <w:bookmarkStart w:id="6" w:name="_Hlk508013152"/>
      <w:bookmarkStart w:id="7" w:name="_Hlk506932163"/>
      <w:bookmarkEnd w:id="5"/>
      <w:r w:rsidR="00680A81">
        <w:rPr>
          <w:rFonts w:cs="Times New Roman"/>
          <w:lang w:val="en-CA"/>
        </w:rPr>
        <w:t xml:space="preserve">As few missing observations were observed (n = 115/2245), </w:t>
      </w:r>
      <w:bookmarkEnd w:id="6"/>
      <w:r w:rsidR="00680A81">
        <w:rPr>
          <w:rFonts w:cs="Times New Roman"/>
          <w:lang w:val="en-CA"/>
        </w:rPr>
        <w:t>m</w:t>
      </w:r>
      <w:r w:rsidR="00F0467F" w:rsidRPr="00CA4BCA">
        <w:rPr>
          <w:rFonts w:cs="Times New Roman"/>
          <w:lang w:val="en-CA"/>
        </w:rPr>
        <w:t xml:space="preserve">issing indicators due to a missing study visit were carried over from the previous visit to allow LCA models to include individuals who skipped only 1 study visit. </w:t>
      </w:r>
      <w:r w:rsidR="002418AE">
        <w:rPr>
          <w:rFonts w:cs="Times New Roman"/>
          <w:lang w:val="en-CA"/>
        </w:rPr>
        <w:t xml:space="preserve">This was necessary in order to ensure that our analysis was sufficiently powered to identify the correct number of latent classes. To assess whether this procedure impacted our results, we estimated the number of expected transitions based on the prevalence of observed transitions and number of missing events. </w:t>
      </w:r>
      <w:bookmarkEnd w:id="7"/>
      <w:r w:rsidR="00F0467F" w:rsidRPr="00CA4BCA">
        <w:rPr>
          <w:rFonts w:cs="Times New Roman"/>
          <w:lang w:val="en-CA"/>
        </w:rPr>
        <w:t xml:space="preserve">Measurement </w:t>
      </w:r>
      <w:r w:rsidR="006E7B9F" w:rsidRPr="00CA4BCA">
        <w:rPr>
          <w:rFonts w:cs="Times New Roman"/>
          <w:lang w:val="en-CA"/>
        </w:rPr>
        <w:t>invariance over time was</w:t>
      </w:r>
      <w:r w:rsidR="00F0467F" w:rsidRPr="00CA4BCA">
        <w:rPr>
          <w:rFonts w:cs="Times New Roman"/>
          <w:lang w:val="en-CA"/>
        </w:rPr>
        <w:t xml:space="preserve"> </w:t>
      </w:r>
      <w:r w:rsidR="006E7B9F" w:rsidRPr="00CA4BCA">
        <w:rPr>
          <w:rFonts w:cs="Times New Roman"/>
          <w:lang w:val="en-CA"/>
        </w:rPr>
        <w:t xml:space="preserve">confirmed by comparing </w:t>
      </w:r>
      <w:r w:rsidR="0010283F" w:rsidRPr="00CA4BCA">
        <w:rPr>
          <w:rFonts w:cs="Times New Roman"/>
          <w:lang w:val="en-CA"/>
        </w:rPr>
        <w:t>class structure and item response probabilities at two separate visits</w:t>
      </w:r>
      <w:r w:rsidR="006E7B9F" w:rsidRPr="00CA4BCA">
        <w:rPr>
          <w:rFonts w:cs="Times New Roman"/>
          <w:lang w:val="en-CA"/>
        </w:rPr>
        <w:t>.</w:t>
      </w:r>
      <w:r w:rsidR="0010283F" w:rsidRPr="00CA4BCA">
        <w:rPr>
          <w:rFonts w:cs="Times New Roman"/>
          <w:lang w:val="en-CA"/>
        </w:rPr>
        <w:t xml:space="preserve"> Final models were built using data from participant’s 1</w:t>
      </w:r>
      <w:r w:rsidR="0010283F" w:rsidRPr="00CA4BCA">
        <w:rPr>
          <w:rFonts w:cs="Times New Roman"/>
          <w:vertAlign w:val="superscript"/>
          <w:lang w:val="en-CA"/>
        </w:rPr>
        <w:t>st</w:t>
      </w:r>
      <w:r w:rsidR="0010283F" w:rsidRPr="00CA4BCA">
        <w:rPr>
          <w:rFonts w:cs="Times New Roman"/>
          <w:lang w:val="en-CA"/>
        </w:rPr>
        <w:t xml:space="preserve"> (February 2012-February 2015) through 5</w:t>
      </w:r>
      <w:r w:rsidR="0010283F" w:rsidRPr="00CA4BCA">
        <w:rPr>
          <w:rFonts w:cs="Times New Roman"/>
          <w:vertAlign w:val="superscript"/>
          <w:lang w:val="en-CA"/>
        </w:rPr>
        <w:t>th</w:t>
      </w:r>
      <w:r w:rsidR="0010283F" w:rsidRPr="00CA4BCA">
        <w:rPr>
          <w:rFonts w:cs="Times New Roman"/>
          <w:lang w:val="en-CA"/>
        </w:rPr>
        <w:t xml:space="preserve"> (</w:t>
      </w:r>
      <w:r w:rsidR="00422147" w:rsidRPr="00CA4BCA">
        <w:rPr>
          <w:rFonts w:cs="Times New Roman"/>
          <w:lang w:val="en-CA"/>
        </w:rPr>
        <w:t>March 2014</w:t>
      </w:r>
      <w:r w:rsidR="0010283F" w:rsidRPr="00CA4BCA">
        <w:rPr>
          <w:rFonts w:cs="Times New Roman"/>
          <w:lang w:val="en-CA"/>
        </w:rPr>
        <w:t xml:space="preserve"> – </w:t>
      </w:r>
      <w:r w:rsidR="004562FE" w:rsidRPr="00CA4BCA">
        <w:rPr>
          <w:rFonts w:cs="Times New Roman"/>
          <w:lang w:val="en-CA"/>
        </w:rPr>
        <w:t>February</w:t>
      </w:r>
      <w:r w:rsidR="000B3DFF" w:rsidRPr="00CA4BCA">
        <w:rPr>
          <w:rFonts w:cs="Times New Roman"/>
          <w:lang w:val="en-CA"/>
        </w:rPr>
        <w:t xml:space="preserve"> 2017</w:t>
      </w:r>
      <w:r w:rsidR="0010283F" w:rsidRPr="00CA4BCA">
        <w:rPr>
          <w:rFonts w:cs="Times New Roman"/>
          <w:lang w:val="en-CA"/>
        </w:rPr>
        <w:t xml:space="preserve">) visits. </w:t>
      </w:r>
      <w:r w:rsidR="0024110D" w:rsidRPr="00CA4BCA">
        <w:rPr>
          <w:rFonts w:cs="Times New Roman"/>
          <w:lang w:val="en-CA"/>
        </w:rPr>
        <w:t xml:space="preserve">The number of latent classes was identified based on </w:t>
      </w:r>
      <w:r w:rsidR="00CD775D" w:rsidRPr="00CA4BCA">
        <w:rPr>
          <w:rFonts w:cs="Times New Roman"/>
          <w:lang w:val="en-CA"/>
        </w:rPr>
        <w:t xml:space="preserve">model parsimony, </w:t>
      </w:r>
      <w:r w:rsidR="004D4DE9" w:rsidRPr="00CA4BCA">
        <w:rPr>
          <w:rFonts w:cs="Times New Roman"/>
          <w:lang w:val="en-CA"/>
        </w:rPr>
        <w:t xml:space="preserve">class distinguishability, theoretical </w:t>
      </w:r>
      <w:r w:rsidR="00CD775D" w:rsidRPr="00CA4BCA">
        <w:rPr>
          <w:rFonts w:cs="Times New Roman"/>
          <w:lang w:val="en-CA"/>
        </w:rPr>
        <w:t xml:space="preserve">interpretability, </w:t>
      </w:r>
      <w:r w:rsidR="004D4DE9" w:rsidRPr="00CA4BCA">
        <w:rPr>
          <w:rFonts w:cs="Times New Roman"/>
          <w:lang w:val="en-CA"/>
        </w:rPr>
        <w:t xml:space="preserve">and </w:t>
      </w:r>
      <w:r w:rsidR="000062FB" w:rsidRPr="00CA4BCA">
        <w:rPr>
          <w:rFonts w:cs="Times New Roman"/>
          <w:lang w:val="en-CA"/>
        </w:rPr>
        <w:t>optimization</w:t>
      </w:r>
      <w:r w:rsidR="00CD775D" w:rsidRPr="00CA4BCA">
        <w:rPr>
          <w:rFonts w:cs="Times New Roman"/>
          <w:lang w:val="en-CA"/>
        </w:rPr>
        <w:t xml:space="preserve"> of </w:t>
      </w:r>
      <w:r w:rsidR="007A0109" w:rsidRPr="00CA4BCA">
        <w:rPr>
          <w:rFonts w:cs="Times New Roman"/>
          <w:lang w:val="en-CA"/>
        </w:rPr>
        <w:t xml:space="preserve">the Bayesian Information Criterion (BIC; </w:t>
      </w:r>
      <w:r w:rsidR="000062FB" w:rsidRPr="00CA4BCA">
        <w:rPr>
          <w:rFonts w:cs="Times New Roman"/>
          <w:lang w:val="en-CA"/>
        </w:rPr>
        <w:fldChar w:fldCharType="begin"/>
      </w:r>
      <w:r w:rsidR="00585BBD">
        <w:rPr>
          <w:rFonts w:cs="Times New Roman"/>
          <w:lang w:val="en-CA"/>
        </w:rPr>
        <w:instrText xml:space="preserve"> ADDIN ZOTERO_ITEM CSL_CITATION {"citationID":"roq1lFFD","properties":{"formattedCitation":"(Dziak and Donna, 2012; Nylund et al., 2007)","plainCitation":"(Dziak and Donna, 2012; Nylund et al., 2007)"},"citationItems":[{"id":708,"uris":["http://zotero.org/users/2569385/items/5J837KQF"],"uri":["http://zotero.org/users/2569385/items/5J837KQF"],"itemData":{"id":708,"type":"report","title":"Sensitivity and specificity of information criteria","collection-title":"Technical Report Series","publisher":"The Methodology Center, The Pennsylvania State University","publisher-place":"Pennsylvania","genre":"Technical Report","event-place":"Pennsylvania","URL":"https://methodology.psu.edu/media/techreports/12-119.pdf","number":"#12-119","author":[{"family":"Dziak","given":"JJ"},{"family":"Donna","given":"LC"}],"issued":{"date-parts":[["2012"]]}}},{"id":709,"uris":["http://zotero.org/users/2569385/items/K84TU6XZ"],"uri":["http://zotero.org/users/2569385/items/K84TU6XZ"],"itemData":{"id":709,"type":"article-journal","title":"Deciding on the Number of Classes in Latent Class Analysis and Growth Mixture Modeling: A Monte Carlo Simulation Study","container-title":"Structural Equation Modeling: A Multidisciplinary Journal","page":"535-569","volume":"14","issue":"4","source":"Taylor and Francis+NEJM","abstract":"Mixture modeling is a widely applied data analysis technique used to identify unobserved heterogeneity in a population. Despite mixture models' usefulness in practice, one unresolved issue in the application of mixture models is that there is not one commonly accepted statistical indicator for deciding on the number of classes in a study population. This article presents the results of a simulation study that examines the performance of likelihood-based tests and the traditionally used Information Criterion (ICs) used for determining the number of classes in mixture modeling. We look at the performance of these tests and indexes for 3 types of mixture models: latent class analysis (LCA), a factor mixture model (FMA), and a growth mixture models (GMM). We evaluate the ability of the tests and indexes to correctly identify the number of classes at three different sample sizes (n = 200, 500, 1,000). Whereas the Bayesian Information Criterion performed the best of the ICs, the bootstrap likelihood ratio test proved to be a very consistent indicator of classes across all of the models considered.","DOI":"10.1080/10705510701575396","ISSN":"1070-5511","shortTitle":"Deciding on the Number of Classes in Latent Class Analysis and Growth Mixture Modeling","author":[{"family":"Nylund","given":"Karen L."},{"family":"Asparouhov","given":"Tihomir"},{"family":"Muthén","given":"Bengt O."}],"issued":{"date-parts":[["2007",10,23]]}}}],"schema":"https://github.com/citation-style-language/schema/raw/master/csl-citation.json"} </w:instrText>
      </w:r>
      <w:r w:rsidR="000062FB" w:rsidRPr="00CA4BCA">
        <w:rPr>
          <w:rFonts w:cs="Times New Roman"/>
          <w:lang w:val="en-CA"/>
        </w:rPr>
        <w:fldChar w:fldCharType="separate"/>
      </w:r>
      <w:r w:rsidR="00585BBD" w:rsidRPr="00585BBD">
        <w:rPr>
          <w:rFonts w:cs="Times New Roman"/>
        </w:rPr>
        <w:t>(Dziak and Donna, 2012; Nylund et al., 2007)</w:t>
      </w:r>
      <w:r w:rsidR="000062FB" w:rsidRPr="00CA4BCA">
        <w:rPr>
          <w:rFonts w:cs="Times New Roman"/>
          <w:lang w:val="en-CA"/>
        </w:rPr>
        <w:fldChar w:fldCharType="end"/>
      </w:r>
      <w:r w:rsidR="000062FB" w:rsidRPr="00CA4BCA">
        <w:rPr>
          <w:rFonts w:cs="Times New Roman"/>
          <w:lang w:val="en-CA"/>
        </w:rPr>
        <w:t>.</w:t>
      </w:r>
      <w:r w:rsidR="00B35909" w:rsidRPr="00CA4BCA">
        <w:rPr>
          <w:rFonts w:cs="Times New Roman"/>
          <w:lang w:val="en-CA"/>
        </w:rPr>
        <w:t xml:space="preserve"> </w:t>
      </w:r>
      <w:r w:rsidR="004E0CF5">
        <w:rPr>
          <w:rFonts w:cs="Times New Roman"/>
          <w:lang w:val="en-CA"/>
        </w:rPr>
        <w:t>Supplemental Figure S1 provides the fit criterio</w:t>
      </w:r>
      <w:r w:rsidR="008C0184">
        <w:rPr>
          <w:rFonts w:cs="Times New Roman"/>
          <w:lang w:val="en-CA"/>
        </w:rPr>
        <w:t xml:space="preserve">n used in selecting the number of classes. </w:t>
      </w:r>
      <w:r w:rsidR="003B2BE9" w:rsidRPr="00CA4BCA">
        <w:rPr>
          <w:rFonts w:cs="Times New Roman"/>
          <w:lang w:val="en-CA"/>
        </w:rPr>
        <w:t>For each substance, i</w:t>
      </w:r>
      <w:r w:rsidR="00B35909" w:rsidRPr="00CA4BCA">
        <w:rPr>
          <w:rFonts w:cs="Times New Roman"/>
          <w:lang w:val="en-CA"/>
        </w:rPr>
        <w:t xml:space="preserve">ntraclass correlation coefficients </w:t>
      </w:r>
      <w:r w:rsidR="00E3655C" w:rsidRPr="00CA4BCA">
        <w:rPr>
          <w:rFonts w:cs="Times New Roman"/>
          <w:lang w:val="en-CA"/>
        </w:rPr>
        <w:fldChar w:fldCharType="begin"/>
      </w:r>
      <w:r w:rsidR="00E3655C" w:rsidRPr="00CA4BCA">
        <w:rPr>
          <w:rFonts w:cs="Times New Roman"/>
          <w:lang w:val="en-CA"/>
        </w:rPr>
        <w:instrText xml:space="preserve"> ADDIN ZOTERO_ITEM CSL_CITATION {"citationID":"a26mp1qrhfs","properties":{"formattedCitation":"(Koo and Li, 2016)","plainCitation":"(Koo and Li, 2016)"},"citationItems":[{"id":6422,"uris":["http://zotero.org/users/2569385/items/QG5RH8ZJ"],"uri":["http://zotero.org/users/2569385/items/QG5RH8ZJ"],"itemData":{"id":6422,"type":"article-journal","title":"A Guideline of Selecting and Reporting Intraclass Correlation Coefficients for Reliability Research","container-title":"Journal of Chiropractic Medicine","page":"155-163","volume":"15","issue":"2","source":"PubMed Central","abstract":"Objective\nIntraclass correlation coefficient (ICC) is a widely used reliability index in test-retest, intrarater, and interrater reliability analyses. This article introduces the basic concept of ICC in the content of reliability analysis.\n\nDiscussion for Researchers\nThere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selections.\n\nDiscussion for Readers\nWhen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respectively.\n\nConclusion\nThis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article.","DOI":"10.1016/j.jcm.2016.02.012","ISSN":"1556-3707","note":"PMID: 27330520\nPMCID: PMC4913118","journalAbbreviation":"J Chiropr Med","author":[{"family":"Koo","given":"Terry K."},{"family":"Li","given":"Mae Y."}],"issued":{"date-parts":[["2016",6]]}}}],"schema":"https://github.com/citation-style-language/schema/raw/master/csl-citation.json"} </w:instrText>
      </w:r>
      <w:r w:rsidR="00E3655C" w:rsidRPr="00CA4BCA">
        <w:rPr>
          <w:rFonts w:cs="Times New Roman"/>
          <w:lang w:val="en-CA"/>
        </w:rPr>
        <w:fldChar w:fldCharType="separate"/>
      </w:r>
      <w:r w:rsidR="00585BBD" w:rsidRPr="00585BBD">
        <w:rPr>
          <w:rFonts w:cs="Times New Roman"/>
        </w:rPr>
        <w:t>(</w:t>
      </w:r>
      <w:r w:rsidR="002260F3">
        <w:rPr>
          <w:rFonts w:cs="Times New Roman"/>
        </w:rPr>
        <w:t xml:space="preserve">ICC; </w:t>
      </w:r>
      <w:r w:rsidR="00585BBD" w:rsidRPr="00585BBD">
        <w:rPr>
          <w:rFonts w:cs="Times New Roman"/>
        </w:rPr>
        <w:t>Koo and Li, 2016)</w:t>
      </w:r>
      <w:r w:rsidR="00E3655C" w:rsidRPr="00CA4BCA">
        <w:rPr>
          <w:rFonts w:cs="Times New Roman"/>
          <w:lang w:val="en-CA"/>
        </w:rPr>
        <w:fldChar w:fldCharType="end"/>
      </w:r>
      <w:r w:rsidR="00E3655C" w:rsidRPr="00CA4BCA">
        <w:rPr>
          <w:rFonts w:cs="Times New Roman"/>
          <w:lang w:val="en-CA"/>
        </w:rPr>
        <w:t xml:space="preserve"> </w:t>
      </w:r>
      <w:r w:rsidR="003B2BE9" w:rsidRPr="00CA4BCA">
        <w:rPr>
          <w:rFonts w:cs="Times New Roman"/>
          <w:lang w:val="en-CA"/>
        </w:rPr>
        <w:t xml:space="preserve">were also calculated to test </w:t>
      </w:r>
      <w:r w:rsidR="00B35909" w:rsidRPr="00CA4BCA">
        <w:rPr>
          <w:rFonts w:cs="Times New Roman"/>
          <w:lang w:val="en-CA"/>
        </w:rPr>
        <w:t xml:space="preserve">the longitudinal stability </w:t>
      </w:r>
      <w:r w:rsidR="003B2BE9" w:rsidRPr="00CA4BCA">
        <w:rPr>
          <w:rFonts w:cs="Times New Roman"/>
          <w:lang w:val="en-CA"/>
        </w:rPr>
        <w:t xml:space="preserve">of regular use (i.e., </w:t>
      </w:r>
      <w:r w:rsidR="00F46DDB" w:rsidRPr="00CA4BCA">
        <w:rPr>
          <w:rFonts w:cs="Times New Roman"/>
          <w:lang w:val="en-CA"/>
        </w:rPr>
        <w:t>more than weekly use</w:t>
      </w:r>
      <w:r w:rsidR="003B2BE9" w:rsidRPr="00CA4BCA">
        <w:rPr>
          <w:rFonts w:cs="Times New Roman"/>
          <w:lang w:val="en-CA"/>
        </w:rPr>
        <w:t>)</w:t>
      </w:r>
      <w:r w:rsidR="00E3655C" w:rsidRPr="00CA4BCA">
        <w:rPr>
          <w:rFonts w:cs="Times New Roman"/>
          <w:lang w:val="en-CA"/>
        </w:rPr>
        <w:t xml:space="preserve"> with scores greater than 0.9 </w:t>
      </w:r>
      <w:r w:rsidR="00E3655C" w:rsidRPr="00CA4BCA">
        <w:rPr>
          <w:rFonts w:cs="Times New Roman"/>
          <w:lang w:val="en-CA"/>
        </w:rPr>
        <w:lastRenderedPageBreak/>
        <w:t>indicating excellent longitudinal stability</w:t>
      </w:r>
      <w:r w:rsidR="003B2BE9" w:rsidRPr="00CA4BCA">
        <w:rPr>
          <w:rFonts w:cs="Times New Roman"/>
          <w:lang w:val="en-CA"/>
        </w:rPr>
        <w:t>.</w:t>
      </w:r>
      <w:r w:rsidR="004562FE" w:rsidRPr="00CA4BCA">
        <w:rPr>
          <w:rFonts w:cs="Times New Roman"/>
          <w:lang w:val="en-CA"/>
        </w:rPr>
        <w:t xml:space="preserve"> To assess statistical significance of trends, regression models were constructed with visit number as an explanatory factor. </w:t>
      </w:r>
    </w:p>
    <w:p w14:paraId="271E347E" w14:textId="4C110948" w:rsidR="00FA4A16" w:rsidRPr="00CA4BCA" w:rsidRDefault="00D63A9C" w:rsidP="0047548F">
      <w:pPr>
        <w:pStyle w:val="Heading1"/>
        <w:rPr>
          <w:rFonts w:ascii="Times New Roman" w:hAnsi="Times New Roman" w:cs="Times New Roman"/>
        </w:rPr>
      </w:pPr>
      <w:r w:rsidRPr="00CA4BCA">
        <w:rPr>
          <w:rFonts w:ascii="Times New Roman" w:hAnsi="Times New Roman" w:cs="Times New Roman"/>
        </w:rPr>
        <w:t xml:space="preserve">3. </w:t>
      </w:r>
      <w:r w:rsidR="00FA4A16" w:rsidRPr="00CA4BCA">
        <w:rPr>
          <w:rFonts w:ascii="Times New Roman" w:hAnsi="Times New Roman" w:cs="Times New Roman"/>
        </w:rPr>
        <w:t>RESULTS</w:t>
      </w:r>
    </w:p>
    <w:p w14:paraId="51C262AF" w14:textId="7EE6B459" w:rsidR="00430DC8" w:rsidRPr="00CA4BCA" w:rsidRDefault="00280DFD" w:rsidP="00430DC8">
      <w:pPr>
        <w:rPr>
          <w:rFonts w:cs="Times New Roman"/>
        </w:rPr>
      </w:pPr>
      <w:bookmarkStart w:id="8" w:name="_Hlk506931785"/>
      <w:r w:rsidRPr="00CA4BCA">
        <w:rPr>
          <w:rFonts w:cs="Times New Roman"/>
        </w:rPr>
        <w:t xml:space="preserve">Among 774 GBM recruited, </w:t>
      </w:r>
      <w:r w:rsidR="00CC390F" w:rsidRPr="00CA4BCA">
        <w:rPr>
          <w:rFonts w:cs="Times New Roman"/>
        </w:rPr>
        <w:t xml:space="preserve">698 enrolled in the longitudinal cohort. Of these, 519 completed second visits, 485 completed third visits, 452 completed fourth visits, and </w:t>
      </w:r>
      <w:r w:rsidR="00F0467F" w:rsidRPr="00CA4BCA">
        <w:rPr>
          <w:rFonts w:cs="Times New Roman"/>
        </w:rPr>
        <w:t xml:space="preserve">451 completed fifth visits. </w:t>
      </w:r>
      <w:r w:rsidR="00430DC8" w:rsidRPr="00CA4BCA">
        <w:rPr>
          <w:rFonts w:cs="Times New Roman"/>
        </w:rPr>
        <w:t>In total</w:t>
      </w:r>
      <w:r w:rsidR="00F0467F" w:rsidRPr="00CA4BCA">
        <w:rPr>
          <w:rFonts w:cs="Times New Roman"/>
        </w:rPr>
        <w:t xml:space="preserve">, 449 </w:t>
      </w:r>
      <w:r w:rsidR="00330CE3">
        <w:rPr>
          <w:rFonts w:cs="Times New Roman"/>
        </w:rPr>
        <w:t xml:space="preserve">participants </w:t>
      </w:r>
      <w:r w:rsidR="00CC390F" w:rsidRPr="00CA4BCA">
        <w:rPr>
          <w:rFonts w:cs="Times New Roman"/>
        </w:rPr>
        <w:t>provided all the data necessary to be included in the LTA</w:t>
      </w:r>
      <w:r w:rsidR="003F5425" w:rsidRPr="00CA4BCA">
        <w:rPr>
          <w:rFonts w:cs="Times New Roman"/>
        </w:rPr>
        <w:t xml:space="preserve"> (i.e., provided a response for each indicator variable)</w:t>
      </w:r>
      <w:r w:rsidR="00CC390F" w:rsidRPr="00CA4BCA">
        <w:rPr>
          <w:rFonts w:cs="Times New Roman"/>
        </w:rPr>
        <w:t xml:space="preserve">. </w:t>
      </w:r>
      <w:r w:rsidR="00330CE3">
        <w:rPr>
          <w:rFonts w:cs="Times New Roman"/>
        </w:rPr>
        <w:t>From these</w:t>
      </w:r>
      <w:r w:rsidR="00F54229">
        <w:rPr>
          <w:rFonts w:cs="Times New Roman"/>
        </w:rPr>
        <w:t xml:space="preserve">, </w:t>
      </w:r>
      <w:r w:rsidR="00330CE3">
        <w:rPr>
          <w:rFonts w:cs="Times New Roman"/>
        </w:rPr>
        <w:t>2130</w:t>
      </w:r>
      <w:r w:rsidR="00F54229">
        <w:rPr>
          <w:rFonts w:cs="Times New Roman"/>
        </w:rPr>
        <w:t xml:space="preserve"> observed visits were provided (with 115 visits missing, for which previous observations were carried forward). </w:t>
      </w:r>
      <w:r w:rsidR="002418AE">
        <w:rPr>
          <w:rFonts w:cs="Times New Roman"/>
        </w:rPr>
        <w:t xml:space="preserve">Supplemental </w:t>
      </w:r>
      <w:r w:rsidR="00F54229">
        <w:rPr>
          <w:rFonts w:cs="Times New Roman"/>
        </w:rPr>
        <w:t xml:space="preserve">Table </w:t>
      </w:r>
      <w:r w:rsidR="002418AE">
        <w:rPr>
          <w:rFonts w:cs="Times New Roman"/>
        </w:rPr>
        <w:t xml:space="preserve">S1 provides the distribution of missing visits by visit number and by latent class. </w:t>
      </w:r>
      <w:bookmarkEnd w:id="8"/>
      <w:r w:rsidR="0030317F" w:rsidRPr="00CA4BCA">
        <w:rPr>
          <w:rFonts w:cs="Times New Roman"/>
        </w:rPr>
        <w:t>At enrollment, t</w:t>
      </w:r>
      <w:r w:rsidR="00CC390F" w:rsidRPr="00CA4BCA">
        <w:rPr>
          <w:rFonts w:cs="Times New Roman"/>
        </w:rPr>
        <w:t>he median age for this restricted sample was 35 years (Q1, Q3: 27, 48), 88.6% identified as gay (vs. 11.4% as bisexual/other)</w:t>
      </w:r>
      <w:r w:rsidR="003C5057" w:rsidRPr="00CA4BCA">
        <w:rPr>
          <w:rFonts w:cs="Times New Roman"/>
        </w:rPr>
        <w:t>,</w:t>
      </w:r>
      <w:r w:rsidR="00CC390F" w:rsidRPr="00CA4BCA">
        <w:rPr>
          <w:rFonts w:cs="Times New Roman"/>
        </w:rPr>
        <w:t xml:space="preserve"> 76.8% were white</w:t>
      </w:r>
      <w:r w:rsidR="003C5057" w:rsidRPr="00CA4BCA">
        <w:rPr>
          <w:rFonts w:cs="Times New Roman"/>
        </w:rPr>
        <w:t xml:space="preserve">, </w:t>
      </w:r>
      <w:r w:rsidR="00CC390F" w:rsidRPr="00CA4BCA">
        <w:rPr>
          <w:rFonts w:cs="Times New Roman"/>
        </w:rPr>
        <w:t>40.8</w:t>
      </w:r>
      <w:r w:rsidR="003C5057" w:rsidRPr="00CA4BCA">
        <w:rPr>
          <w:rFonts w:cs="Times New Roman"/>
        </w:rPr>
        <w:t>%</w:t>
      </w:r>
      <w:r w:rsidR="00CC390F" w:rsidRPr="00CA4BCA">
        <w:rPr>
          <w:rFonts w:cs="Times New Roman"/>
        </w:rPr>
        <w:t xml:space="preserve"> had a current</w:t>
      </w:r>
      <w:r w:rsidR="003C5057" w:rsidRPr="00CA4BCA">
        <w:rPr>
          <w:rFonts w:cs="Times New Roman"/>
        </w:rPr>
        <w:t xml:space="preserve"> regular partner,</w:t>
      </w:r>
      <w:r w:rsidR="00CC390F" w:rsidRPr="00CA4BCA">
        <w:rPr>
          <w:rFonts w:cs="Times New Roman"/>
        </w:rPr>
        <w:t xml:space="preserve"> </w:t>
      </w:r>
      <w:r w:rsidR="00430DC8" w:rsidRPr="00CA4BCA">
        <w:rPr>
          <w:rFonts w:cs="Times New Roman"/>
        </w:rPr>
        <w:t xml:space="preserve">28.7% were HIV-positive, </w:t>
      </w:r>
      <w:r w:rsidR="003C5057" w:rsidRPr="00CA4BCA">
        <w:rPr>
          <w:rFonts w:cs="Times New Roman"/>
        </w:rPr>
        <w:t>84.4</w:t>
      </w:r>
      <w:r w:rsidR="00CC390F" w:rsidRPr="00CA4BCA">
        <w:rPr>
          <w:rFonts w:cs="Times New Roman"/>
        </w:rPr>
        <w:t xml:space="preserve">% had some post-secondary education, </w:t>
      </w:r>
      <w:r w:rsidR="003C5057" w:rsidRPr="00CA4BCA">
        <w:rPr>
          <w:rFonts w:cs="Times New Roman"/>
        </w:rPr>
        <w:t>66.6</w:t>
      </w:r>
      <w:r w:rsidR="00CC390F" w:rsidRPr="00CA4BCA">
        <w:rPr>
          <w:rFonts w:cs="Times New Roman"/>
        </w:rPr>
        <w:t xml:space="preserve">% were employed, </w:t>
      </w:r>
      <w:r w:rsidR="003C5057" w:rsidRPr="00CA4BCA">
        <w:rPr>
          <w:rFonts w:cs="Times New Roman"/>
        </w:rPr>
        <w:t>92.1</w:t>
      </w:r>
      <w:r w:rsidR="00CC390F" w:rsidRPr="00CA4BCA">
        <w:rPr>
          <w:rFonts w:cs="Times New Roman"/>
        </w:rPr>
        <w:t>% were stably housed</w:t>
      </w:r>
      <w:r w:rsidR="003C5057" w:rsidRPr="00CA4BCA">
        <w:rPr>
          <w:rFonts w:cs="Times New Roman"/>
        </w:rPr>
        <w:t>, and 42.8% had incomes above $30,000 CAD</w:t>
      </w:r>
      <w:r w:rsidR="00CC390F" w:rsidRPr="00CA4BCA">
        <w:rPr>
          <w:rFonts w:cs="Times New Roman"/>
        </w:rPr>
        <w:t>. Other income sources included welfare (</w:t>
      </w:r>
      <w:r w:rsidR="003C5057" w:rsidRPr="00CA4BCA">
        <w:rPr>
          <w:rFonts w:cs="Times New Roman"/>
        </w:rPr>
        <w:t>22</w:t>
      </w:r>
      <w:r w:rsidR="00CC390F" w:rsidRPr="00CA4BCA">
        <w:rPr>
          <w:rFonts w:cs="Times New Roman"/>
        </w:rPr>
        <w:t>.1%), disabilit</w:t>
      </w:r>
      <w:r w:rsidR="003C5057" w:rsidRPr="00CA4BCA">
        <w:rPr>
          <w:rFonts w:cs="Times New Roman"/>
        </w:rPr>
        <w:t>y (6.5</w:t>
      </w:r>
      <w:r w:rsidR="00CC390F" w:rsidRPr="00CA4BCA">
        <w:rPr>
          <w:rFonts w:cs="Times New Roman"/>
        </w:rPr>
        <w:t>%), sex work (</w:t>
      </w:r>
      <w:r w:rsidR="003C5057" w:rsidRPr="00CA4BCA">
        <w:rPr>
          <w:rFonts w:cs="Times New Roman"/>
        </w:rPr>
        <w:t>4.2</w:t>
      </w:r>
      <w:r w:rsidR="00CC390F" w:rsidRPr="00CA4BCA">
        <w:rPr>
          <w:rFonts w:cs="Times New Roman"/>
        </w:rPr>
        <w:t>%), and drug sales (</w:t>
      </w:r>
      <w:r w:rsidR="003C5057" w:rsidRPr="00CA4BCA">
        <w:rPr>
          <w:rFonts w:cs="Times New Roman"/>
        </w:rPr>
        <w:t>2.2</w:t>
      </w:r>
      <w:r w:rsidR="00CC390F" w:rsidRPr="00CA4BCA">
        <w:rPr>
          <w:rFonts w:cs="Times New Roman"/>
        </w:rPr>
        <w:t xml:space="preserve">%). </w:t>
      </w:r>
      <w:r w:rsidR="003C5057" w:rsidRPr="00CA4BCA">
        <w:rPr>
          <w:rFonts w:cs="Times New Roman"/>
        </w:rPr>
        <w:t>Most participants read</w:t>
      </w:r>
      <w:r w:rsidR="00CC390F" w:rsidRPr="00CA4BCA">
        <w:rPr>
          <w:rFonts w:cs="Times New Roman"/>
        </w:rPr>
        <w:t xml:space="preserve"> gay newspapers (8</w:t>
      </w:r>
      <w:r w:rsidR="003C5057" w:rsidRPr="00CA4BCA">
        <w:rPr>
          <w:rFonts w:cs="Times New Roman"/>
        </w:rPr>
        <w:t>4.2</w:t>
      </w:r>
      <w:r w:rsidR="00CC390F" w:rsidRPr="00CA4BCA">
        <w:rPr>
          <w:rFonts w:cs="Times New Roman"/>
        </w:rPr>
        <w:t xml:space="preserve">%), </w:t>
      </w:r>
      <w:r w:rsidR="003C5057" w:rsidRPr="00CA4BCA">
        <w:rPr>
          <w:rFonts w:cs="Times New Roman"/>
        </w:rPr>
        <w:t>attended</w:t>
      </w:r>
      <w:r w:rsidR="00CC390F" w:rsidRPr="00CA4BCA">
        <w:rPr>
          <w:rFonts w:cs="Times New Roman"/>
        </w:rPr>
        <w:t xml:space="preserve"> gay bars/clubs (</w:t>
      </w:r>
      <w:r w:rsidR="003C5057" w:rsidRPr="00CA4BCA">
        <w:rPr>
          <w:rFonts w:cs="Times New Roman"/>
        </w:rPr>
        <w:t>80.2</w:t>
      </w:r>
      <w:r w:rsidR="00CC390F" w:rsidRPr="00CA4BCA">
        <w:rPr>
          <w:rFonts w:cs="Times New Roman"/>
        </w:rPr>
        <w:t>%),</w:t>
      </w:r>
      <w:r w:rsidR="003C5057" w:rsidRPr="00CA4BCA">
        <w:rPr>
          <w:rFonts w:cs="Times New Roman"/>
        </w:rPr>
        <w:t xml:space="preserve"> attended or participated in</w:t>
      </w:r>
      <w:r w:rsidR="00CC390F" w:rsidRPr="00CA4BCA">
        <w:rPr>
          <w:rFonts w:cs="Times New Roman"/>
        </w:rPr>
        <w:t xml:space="preserve"> the most recent annual gay pride event (6</w:t>
      </w:r>
      <w:r w:rsidR="003C5057" w:rsidRPr="00CA4BCA">
        <w:rPr>
          <w:rFonts w:cs="Times New Roman"/>
        </w:rPr>
        <w:t>5.5</w:t>
      </w:r>
      <w:r w:rsidR="00CC390F" w:rsidRPr="00CA4BCA">
        <w:rPr>
          <w:rFonts w:cs="Times New Roman"/>
        </w:rPr>
        <w:t>%)</w:t>
      </w:r>
      <w:r w:rsidR="003C5057" w:rsidRPr="00CA4BCA">
        <w:rPr>
          <w:rFonts w:cs="Times New Roman"/>
        </w:rPr>
        <w:t>, and spent &gt;50% of their social time with other GBM (53.5 %). Further, 55.2% sought partners on gay apps and 25.4% attended</w:t>
      </w:r>
      <w:r w:rsidR="00AD591C" w:rsidRPr="00CA4BCA">
        <w:rPr>
          <w:rFonts w:cs="Times New Roman"/>
        </w:rPr>
        <w:t xml:space="preserve"> at least one</w:t>
      </w:r>
      <w:r w:rsidR="003C5057" w:rsidRPr="00CA4BCA">
        <w:rPr>
          <w:rFonts w:cs="Times New Roman"/>
        </w:rPr>
        <w:t xml:space="preserve"> group sex event in the past six months. </w:t>
      </w:r>
    </w:p>
    <w:p w14:paraId="14753F14" w14:textId="1F95F04F" w:rsidR="0002280D" w:rsidRPr="00CA4BCA" w:rsidRDefault="007A0109" w:rsidP="00511514">
      <w:pPr>
        <w:ind w:firstLine="720"/>
        <w:rPr>
          <w:rFonts w:cs="Times New Roman"/>
          <w:lang w:val="en-CA"/>
        </w:rPr>
      </w:pPr>
      <w:bookmarkStart w:id="9" w:name="OLE_LINK1"/>
      <w:r w:rsidRPr="00CA4BCA">
        <w:rPr>
          <w:rFonts w:cs="Times New Roman"/>
          <w:lang w:val="en-CA"/>
        </w:rPr>
        <w:t xml:space="preserve">The BIC </w:t>
      </w:r>
      <w:r w:rsidR="003F5425" w:rsidRPr="00CA4BCA">
        <w:rPr>
          <w:rFonts w:cs="Times New Roman"/>
          <w:lang w:val="en-CA"/>
        </w:rPr>
        <w:t>value, which has been shown to be one of the best performing fit statistics for LCA models,</w:t>
      </w:r>
      <w:r w:rsidRPr="00CA4BCA">
        <w:rPr>
          <w:rFonts w:cs="Times New Roman"/>
          <w:lang w:val="en-CA"/>
        </w:rPr>
        <w:t xml:space="preserve"> was minimized at a six-class solution</w:t>
      </w:r>
      <w:r w:rsidR="003F5425" w:rsidRPr="00CA4BCA">
        <w:rPr>
          <w:rFonts w:cs="Times New Roman"/>
          <w:lang w:val="en-CA"/>
        </w:rPr>
        <w:t xml:space="preserve"> </w:t>
      </w:r>
      <w:r w:rsidR="003F5425" w:rsidRPr="00CA4BCA">
        <w:rPr>
          <w:rFonts w:cs="Times New Roman"/>
          <w:lang w:val="en-CA"/>
        </w:rPr>
        <w:fldChar w:fldCharType="begin"/>
      </w:r>
      <w:r w:rsidR="00585BBD">
        <w:rPr>
          <w:rFonts w:cs="Times New Roman"/>
          <w:lang w:val="en-CA"/>
        </w:rPr>
        <w:instrText xml:space="preserve"> ADDIN ZOTERO_ITEM CSL_CITATION {"citationID":"Pso021f0","properties":{"formattedCitation":"(Dziak and Donna, 2012; Nylund et al., 2007)","plainCitation":"(Dziak and Donna, 2012; Nylund et al., 2007)"},"citationItems":[{"id":708,"uris":["http://zotero.org/users/2569385/items/5J837KQF"],"uri":["http://zotero.org/users/2569385/items/5J837KQF"],"itemData":{"id":708,"type":"report","title":"Sensitivity and specificity of information criteria","collection-title":"Technical Report Series","publisher":"The Methodology Center, The Pennsylvania State University","publisher-place":"Pennsylvania","genre":"Technical Report","event-place":"Pennsylvania","URL":"https://methodology.psu.edu/media/techreports/12-119.pdf","number":"#12-119","author":[{"family":"Dziak","given":"JJ"},{"family":"Donna","given":"LC"}],"issued":{"date-parts":[["2012"]]}}},{"id":709,"uris":["http://zotero.org/users/2569385/items/K84TU6XZ"],"uri":["http://zotero.org/users/2569385/items/K84TU6XZ"],"itemData":{"id":709,"type":"article-journal","title":"Deciding on the Number of Classes in Latent Class Analysis and Growth Mixture Modeling: A Monte Carlo Simulation Study","container-title":"Structural Equation Modeling: A Multidisciplinary Journal","page":"535-569","volume":"14","issue":"4","source":"Taylor and Francis+NEJM","abstract":"Mixture modeling is a widely applied data analysis technique used to identify unobserved heterogeneity in a population. Despite mixture models' usefulness in practice, one unresolved issue in the application of mixture models is that there is not one commonly accepted statistical indicator for deciding on the number of classes in a study population. This article presents the results of a simulation study that examines the performance of likelihood-based tests and the traditionally used Information Criterion (ICs) used for determining the number of classes in mixture modeling. We look at the performance of these tests and indexes for 3 types of mixture models: latent class analysis (LCA), a factor mixture model (FMA), and a growth mixture models (GMM). We evaluate the ability of the tests and indexes to correctly identify the number of classes at three different sample sizes (n = 200, 500, 1,000). Whereas the Bayesian Information Criterion performed the best of the ICs, the bootstrap likelihood ratio test proved to be a very consistent indicator of classes across all of the models considered.","DOI":"10.1080/10705510701575396","ISSN":"1070-5511","shortTitle":"Deciding on the Number of Classes in Latent Class Analysis and Growth Mixture Modeling","author":[{"family":"Nylund","given":"Karen L."},{"family":"Asparouhov","given":"Tihomir"},{"family":"Muthén","given":"Bengt O."}],"issued":{"date-parts":[["2007",10,23]]}}}],"schema":"https://github.com/citation-style-language/schema/raw/master/csl-citation.json"} </w:instrText>
      </w:r>
      <w:r w:rsidR="003F5425" w:rsidRPr="00CA4BCA">
        <w:rPr>
          <w:rFonts w:cs="Times New Roman"/>
          <w:lang w:val="en-CA"/>
        </w:rPr>
        <w:fldChar w:fldCharType="separate"/>
      </w:r>
      <w:r w:rsidR="00585BBD" w:rsidRPr="00585BBD">
        <w:rPr>
          <w:rFonts w:cs="Times New Roman"/>
        </w:rPr>
        <w:t>(Dziak and Donna, 2012; Nylund et al., 2007)</w:t>
      </w:r>
      <w:r w:rsidR="003F5425" w:rsidRPr="00CA4BCA">
        <w:rPr>
          <w:rFonts w:cs="Times New Roman"/>
          <w:lang w:val="en-CA"/>
        </w:rPr>
        <w:fldChar w:fldCharType="end"/>
      </w:r>
      <w:r w:rsidR="003F5425" w:rsidRPr="00CA4BCA">
        <w:rPr>
          <w:rFonts w:cs="Times New Roman"/>
          <w:lang w:val="en-CA"/>
        </w:rPr>
        <w:t xml:space="preserve">. </w:t>
      </w:r>
      <w:r w:rsidR="00F0467F" w:rsidRPr="00CA4BCA">
        <w:rPr>
          <w:rFonts w:cs="Times New Roman"/>
          <w:lang w:val="en-CA"/>
        </w:rPr>
        <w:t>Further, as the six-class model provided the best interpretability and distinguishability compared to other models, the six-class solution was selected</w:t>
      </w:r>
      <w:r w:rsidRPr="00CA4BCA">
        <w:rPr>
          <w:rFonts w:cs="Times New Roman"/>
          <w:lang w:val="en-CA"/>
        </w:rPr>
        <w:t xml:space="preserve">. </w:t>
      </w:r>
      <w:bookmarkStart w:id="10" w:name="_Hlk506933723"/>
      <w:r w:rsidR="003448D3" w:rsidRPr="00CA4BCA">
        <w:rPr>
          <w:rFonts w:cs="Times New Roman"/>
          <w:lang w:val="en-CA"/>
        </w:rPr>
        <w:t xml:space="preserve">Table 1 shows the class-structure for each of </w:t>
      </w:r>
      <w:r w:rsidR="003448D3" w:rsidRPr="00CA4BCA">
        <w:rPr>
          <w:rFonts w:cs="Times New Roman"/>
          <w:lang w:val="en-CA"/>
        </w:rPr>
        <w:lastRenderedPageBreak/>
        <w:t>the six substance use classes</w:t>
      </w:r>
      <w:r w:rsidR="00926143">
        <w:rPr>
          <w:rFonts w:cs="Times New Roman"/>
          <w:lang w:val="en-CA"/>
        </w:rPr>
        <w:t xml:space="preserve"> </w:t>
      </w:r>
      <w:bookmarkStart w:id="11" w:name="_Hlk506933901"/>
      <w:r w:rsidR="00926143">
        <w:rPr>
          <w:rFonts w:cs="Times New Roman"/>
          <w:lang w:val="en-CA"/>
        </w:rPr>
        <w:t xml:space="preserve">with the </w:t>
      </w:r>
      <w:r w:rsidR="00926143" w:rsidRPr="00926143">
        <w:rPr>
          <w:rFonts w:cs="Times New Roman"/>
          <w:lang w:val="en-CA"/>
        </w:rPr>
        <w:t xml:space="preserve">reported percentages </w:t>
      </w:r>
      <w:r w:rsidR="00926143">
        <w:rPr>
          <w:rFonts w:cs="Times New Roman"/>
          <w:lang w:val="en-CA"/>
        </w:rPr>
        <w:t>representing the conditional response probability of individuals assigned to each class reporting use of each substance</w:t>
      </w:r>
      <w:bookmarkEnd w:id="11"/>
      <w:r w:rsidR="003448D3" w:rsidRPr="00CA4BCA">
        <w:rPr>
          <w:rFonts w:cs="Times New Roman"/>
          <w:lang w:val="en-CA"/>
        </w:rPr>
        <w:t xml:space="preserve">. </w:t>
      </w:r>
      <w:bookmarkEnd w:id="10"/>
      <w:r w:rsidR="00926143">
        <w:rPr>
          <w:rFonts w:cs="Times New Roman"/>
          <w:lang w:val="en-CA"/>
        </w:rPr>
        <w:t xml:space="preserve">Membership in </w:t>
      </w:r>
      <w:r w:rsidR="00CF2E5B" w:rsidRPr="00CA4BCA">
        <w:rPr>
          <w:rFonts w:cs="Times New Roman"/>
          <w:lang w:val="en-CA"/>
        </w:rPr>
        <w:t>Class 1</w:t>
      </w:r>
      <w:r w:rsidR="0007647A" w:rsidRPr="00CA4BCA">
        <w:rPr>
          <w:rFonts w:cs="Times New Roman"/>
          <w:lang w:val="en-CA"/>
        </w:rPr>
        <w:t xml:space="preserve"> </w:t>
      </w:r>
      <w:r w:rsidR="00CF2E5B" w:rsidRPr="00CA4BCA">
        <w:rPr>
          <w:rFonts w:cs="Times New Roman"/>
          <w:lang w:val="en-CA"/>
        </w:rPr>
        <w:t xml:space="preserve">was characterized by limited use </w:t>
      </w:r>
      <w:r w:rsidR="0007647A" w:rsidRPr="00CA4BCA">
        <w:rPr>
          <w:rFonts w:cs="Times New Roman"/>
          <w:lang w:val="en-CA"/>
        </w:rPr>
        <w:t>of all substances</w:t>
      </w:r>
      <w:r w:rsidR="0062284D" w:rsidRPr="00CA4BCA">
        <w:rPr>
          <w:rFonts w:cs="Times New Roman"/>
          <w:lang w:val="en-CA"/>
        </w:rPr>
        <w:t xml:space="preserve">, </w:t>
      </w:r>
      <w:r w:rsidR="00F0467F" w:rsidRPr="00CA4BCA">
        <w:rPr>
          <w:rFonts w:cs="Times New Roman"/>
          <w:lang w:val="en-CA"/>
        </w:rPr>
        <w:t xml:space="preserve">except </w:t>
      </w:r>
      <w:r w:rsidR="00632F1F">
        <w:rPr>
          <w:rFonts w:cs="Times New Roman"/>
          <w:lang w:val="en-CA"/>
        </w:rPr>
        <w:t>a</w:t>
      </w:r>
      <w:r w:rsidR="00F0467F" w:rsidRPr="00CA4BCA">
        <w:rPr>
          <w:rFonts w:cs="Times New Roman"/>
          <w:lang w:val="en-CA"/>
        </w:rPr>
        <w:t>lcohol (65.9%</w:t>
      </w:r>
      <w:r w:rsidR="004562FE" w:rsidRPr="00CA4BCA">
        <w:rPr>
          <w:rFonts w:cs="Times New Roman"/>
          <w:lang w:val="en-CA"/>
        </w:rPr>
        <w:t xml:space="preserve"> reported use in past six months</w:t>
      </w:r>
      <w:r w:rsidR="00F0467F" w:rsidRPr="00CA4BCA">
        <w:rPr>
          <w:rFonts w:cs="Times New Roman"/>
          <w:lang w:val="en-CA"/>
        </w:rPr>
        <w:t xml:space="preserve">), </w:t>
      </w:r>
      <w:r w:rsidR="00CF2E5B" w:rsidRPr="00CA4BCA">
        <w:rPr>
          <w:rFonts w:cs="Times New Roman"/>
          <w:lang w:val="en-CA"/>
        </w:rPr>
        <w:t xml:space="preserve">compared to other classes. </w:t>
      </w:r>
      <w:r w:rsidR="005D194F">
        <w:rPr>
          <w:rFonts w:cs="Times New Roman"/>
          <w:lang w:val="en-CA"/>
        </w:rPr>
        <w:t xml:space="preserve">Membership in </w:t>
      </w:r>
      <w:r w:rsidR="00CF2E5B" w:rsidRPr="00CA4BCA">
        <w:rPr>
          <w:rFonts w:cs="Times New Roman"/>
          <w:lang w:val="en-CA"/>
        </w:rPr>
        <w:t xml:space="preserve">Class 2 was characterized by </w:t>
      </w:r>
      <w:r w:rsidR="00926143">
        <w:rPr>
          <w:rFonts w:cs="Times New Roman"/>
          <w:lang w:val="en-CA"/>
        </w:rPr>
        <w:t>past six month</w:t>
      </w:r>
      <w:r w:rsidR="00926143" w:rsidRPr="00CA4BCA">
        <w:rPr>
          <w:rFonts w:cs="Times New Roman"/>
          <w:lang w:val="en-CA"/>
        </w:rPr>
        <w:t xml:space="preserve"> </w:t>
      </w:r>
      <w:r w:rsidR="00CF2E5B" w:rsidRPr="00CA4BCA">
        <w:rPr>
          <w:rFonts w:cs="Times New Roman"/>
          <w:lang w:val="en-CA"/>
        </w:rPr>
        <w:t xml:space="preserve">use of alcohol, tobacco, and marijuana. </w:t>
      </w:r>
      <w:r w:rsidR="005D194F">
        <w:rPr>
          <w:rFonts w:cs="Times New Roman"/>
          <w:lang w:val="en-CA"/>
        </w:rPr>
        <w:t xml:space="preserve">Membership in </w:t>
      </w:r>
      <w:r w:rsidR="00CF2E5B" w:rsidRPr="00CA4BCA">
        <w:rPr>
          <w:rFonts w:cs="Times New Roman"/>
          <w:lang w:val="en-CA"/>
        </w:rPr>
        <w:t xml:space="preserve">Class </w:t>
      </w:r>
      <w:r w:rsidR="00470809" w:rsidRPr="00CA4BCA">
        <w:rPr>
          <w:rFonts w:cs="Times New Roman"/>
          <w:lang w:val="en-CA"/>
        </w:rPr>
        <w:t>3</w:t>
      </w:r>
      <w:r w:rsidR="00CF2E5B" w:rsidRPr="00CA4BCA">
        <w:rPr>
          <w:rFonts w:cs="Times New Roman"/>
          <w:lang w:val="en-CA"/>
        </w:rPr>
        <w:t xml:space="preserve"> was characterized by </w:t>
      </w:r>
      <w:r w:rsidR="00400D6D" w:rsidRPr="00CA4BCA">
        <w:rPr>
          <w:rFonts w:cs="Times New Roman"/>
          <w:lang w:val="en-CA"/>
        </w:rPr>
        <w:t xml:space="preserve">use of </w:t>
      </w:r>
      <w:r w:rsidR="001906ED" w:rsidRPr="00CA4BCA">
        <w:rPr>
          <w:rFonts w:cs="Times New Roman"/>
          <w:lang w:val="en-CA"/>
        </w:rPr>
        <w:t>alcohol (100%), tobacco (</w:t>
      </w:r>
      <w:r w:rsidR="00356A53" w:rsidRPr="00CA4BCA">
        <w:rPr>
          <w:rFonts w:cs="Times New Roman"/>
          <w:lang w:val="en-CA"/>
        </w:rPr>
        <w:t>63.6%</w:t>
      </w:r>
      <w:r w:rsidR="001906ED" w:rsidRPr="00CA4BCA">
        <w:rPr>
          <w:rFonts w:cs="Times New Roman"/>
          <w:lang w:val="en-CA"/>
        </w:rPr>
        <w:t>),</w:t>
      </w:r>
      <w:r w:rsidR="00356A53" w:rsidRPr="00CA4BCA">
        <w:rPr>
          <w:rFonts w:cs="Times New Roman"/>
          <w:lang w:val="en-CA"/>
        </w:rPr>
        <w:t xml:space="preserve"> </w:t>
      </w:r>
      <w:r w:rsidR="001906ED" w:rsidRPr="00CA4BCA">
        <w:rPr>
          <w:rFonts w:cs="Times New Roman"/>
          <w:lang w:val="en-CA"/>
        </w:rPr>
        <w:t>marijuana</w:t>
      </w:r>
      <w:r w:rsidR="00CF2E5B" w:rsidRPr="00CA4BCA">
        <w:rPr>
          <w:rFonts w:cs="Times New Roman"/>
          <w:lang w:val="en-CA"/>
        </w:rPr>
        <w:t xml:space="preserve"> </w:t>
      </w:r>
      <w:r w:rsidR="001906ED" w:rsidRPr="00CA4BCA">
        <w:rPr>
          <w:rFonts w:cs="Times New Roman"/>
          <w:lang w:val="en-CA"/>
        </w:rPr>
        <w:t>(</w:t>
      </w:r>
      <w:r w:rsidR="00CF2E5B" w:rsidRPr="00CA4BCA">
        <w:rPr>
          <w:rFonts w:cs="Times New Roman"/>
          <w:lang w:val="en-CA"/>
        </w:rPr>
        <w:t>85.3%</w:t>
      </w:r>
      <w:r w:rsidR="001906ED" w:rsidRPr="00CA4BCA">
        <w:rPr>
          <w:rFonts w:cs="Times New Roman"/>
          <w:lang w:val="en-CA"/>
        </w:rPr>
        <w:t>)</w:t>
      </w:r>
      <w:r w:rsidR="00CF2E5B" w:rsidRPr="00CA4BCA">
        <w:rPr>
          <w:rFonts w:cs="Times New Roman"/>
          <w:lang w:val="en-CA"/>
        </w:rPr>
        <w:t>,</w:t>
      </w:r>
      <w:r w:rsidR="001906ED" w:rsidRPr="00CA4BCA">
        <w:rPr>
          <w:rFonts w:cs="Times New Roman"/>
          <w:lang w:val="en-CA"/>
        </w:rPr>
        <w:t xml:space="preserve"> </w:t>
      </w:r>
      <w:r w:rsidR="00CF2E5B" w:rsidRPr="00CA4BCA">
        <w:rPr>
          <w:rFonts w:cs="Times New Roman"/>
          <w:lang w:val="en-CA"/>
        </w:rPr>
        <w:t xml:space="preserve">cocaine </w:t>
      </w:r>
      <w:r w:rsidR="001906ED" w:rsidRPr="00CA4BCA">
        <w:rPr>
          <w:rFonts w:cs="Times New Roman"/>
          <w:lang w:val="en-CA"/>
        </w:rPr>
        <w:t>(63.5%)</w:t>
      </w:r>
      <w:r w:rsidR="00CF2E5B" w:rsidRPr="00CA4BCA">
        <w:rPr>
          <w:rFonts w:cs="Times New Roman"/>
          <w:lang w:val="en-CA"/>
        </w:rPr>
        <w:t xml:space="preserve">, ecstasy </w:t>
      </w:r>
      <w:r w:rsidR="001906ED" w:rsidRPr="00CA4BCA">
        <w:rPr>
          <w:rFonts w:cs="Times New Roman"/>
          <w:lang w:val="en-CA"/>
        </w:rPr>
        <w:t>(</w:t>
      </w:r>
      <w:r w:rsidR="001C71A6" w:rsidRPr="00CA4BCA">
        <w:rPr>
          <w:rFonts w:cs="Times New Roman"/>
          <w:lang w:val="en-CA"/>
        </w:rPr>
        <w:t>86.2%</w:t>
      </w:r>
      <w:r w:rsidR="001906ED" w:rsidRPr="00CA4BCA">
        <w:rPr>
          <w:rFonts w:cs="Times New Roman"/>
          <w:lang w:val="en-CA"/>
        </w:rPr>
        <w:t>)</w:t>
      </w:r>
      <w:r w:rsidR="00CF2E5B" w:rsidRPr="00CA4BCA">
        <w:rPr>
          <w:rFonts w:cs="Times New Roman"/>
          <w:lang w:val="en-CA"/>
        </w:rPr>
        <w:t>, mushrooms</w:t>
      </w:r>
      <w:r w:rsidR="001C71A6" w:rsidRPr="00CA4BCA">
        <w:rPr>
          <w:rFonts w:cs="Times New Roman"/>
          <w:lang w:val="en-CA"/>
        </w:rPr>
        <w:t xml:space="preserve"> (34.3%)</w:t>
      </w:r>
      <w:r w:rsidR="00CF2E5B" w:rsidRPr="00CA4BCA">
        <w:rPr>
          <w:rFonts w:cs="Times New Roman"/>
          <w:lang w:val="en-CA"/>
        </w:rPr>
        <w:t>, and LSD</w:t>
      </w:r>
      <w:r w:rsidR="001C71A6" w:rsidRPr="00CA4BCA">
        <w:rPr>
          <w:rFonts w:cs="Times New Roman"/>
          <w:lang w:val="en-CA"/>
        </w:rPr>
        <w:t xml:space="preserve"> (15.7%)</w:t>
      </w:r>
      <w:r w:rsidR="00CF2E5B" w:rsidRPr="00CA4BCA">
        <w:rPr>
          <w:rFonts w:cs="Times New Roman"/>
          <w:lang w:val="en-CA"/>
        </w:rPr>
        <w:t xml:space="preserve">. </w:t>
      </w:r>
      <w:r w:rsidR="005D194F">
        <w:rPr>
          <w:rFonts w:cs="Times New Roman"/>
          <w:lang w:val="en-CA"/>
        </w:rPr>
        <w:t xml:space="preserve">Membership in </w:t>
      </w:r>
      <w:r w:rsidR="00470809" w:rsidRPr="00CA4BCA">
        <w:rPr>
          <w:rFonts w:cs="Times New Roman"/>
          <w:lang w:val="en-CA"/>
        </w:rPr>
        <w:t xml:space="preserve">Class 4 was characterized by </w:t>
      </w:r>
      <w:r w:rsidR="00926143">
        <w:rPr>
          <w:rFonts w:cs="Times New Roman"/>
          <w:lang w:val="en-CA"/>
        </w:rPr>
        <w:t>past six month</w:t>
      </w:r>
      <w:r w:rsidR="00926143" w:rsidRPr="00CA4BCA">
        <w:rPr>
          <w:rFonts w:cs="Times New Roman"/>
          <w:lang w:val="en-CA"/>
        </w:rPr>
        <w:t xml:space="preserve"> </w:t>
      </w:r>
      <w:r w:rsidR="00400D6D" w:rsidRPr="00CA4BCA">
        <w:rPr>
          <w:rFonts w:cs="Times New Roman"/>
          <w:lang w:val="en-CA"/>
        </w:rPr>
        <w:t xml:space="preserve">use of </w:t>
      </w:r>
      <w:r w:rsidR="00470809" w:rsidRPr="00CA4BCA">
        <w:rPr>
          <w:rFonts w:cs="Times New Roman"/>
          <w:lang w:val="en-CA"/>
        </w:rPr>
        <w:t>erectile drugs</w:t>
      </w:r>
      <w:r w:rsidR="00400D6D" w:rsidRPr="00CA4BCA">
        <w:rPr>
          <w:rFonts w:cs="Times New Roman"/>
          <w:lang w:val="en-CA"/>
        </w:rPr>
        <w:t xml:space="preserve"> (88.0%)</w:t>
      </w:r>
      <w:r w:rsidR="00470809" w:rsidRPr="00CA4BCA">
        <w:rPr>
          <w:rFonts w:cs="Times New Roman"/>
          <w:lang w:val="en-CA"/>
        </w:rPr>
        <w:t xml:space="preserve">, </w:t>
      </w:r>
      <w:r w:rsidR="00400D6D" w:rsidRPr="00CA4BCA">
        <w:rPr>
          <w:rFonts w:cs="Times New Roman"/>
          <w:lang w:val="en-CA"/>
        </w:rPr>
        <w:t>poppers (59.5%)</w:t>
      </w:r>
      <w:r w:rsidR="00470809" w:rsidRPr="00CA4BCA">
        <w:rPr>
          <w:rFonts w:cs="Times New Roman"/>
          <w:lang w:val="en-CA"/>
        </w:rPr>
        <w:t>, ecstasy</w:t>
      </w:r>
      <w:r w:rsidR="00400D6D" w:rsidRPr="00CA4BCA">
        <w:rPr>
          <w:rFonts w:cs="Times New Roman"/>
          <w:lang w:val="en-CA"/>
        </w:rPr>
        <w:t xml:space="preserve"> (23.5%)</w:t>
      </w:r>
      <w:r w:rsidR="00470809" w:rsidRPr="00CA4BCA">
        <w:rPr>
          <w:rFonts w:cs="Times New Roman"/>
          <w:lang w:val="en-CA"/>
        </w:rPr>
        <w:t>, crystal methamphetamine</w:t>
      </w:r>
      <w:r w:rsidR="00400D6D" w:rsidRPr="00CA4BCA">
        <w:rPr>
          <w:rFonts w:cs="Times New Roman"/>
          <w:lang w:val="en-CA"/>
        </w:rPr>
        <w:t xml:space="preserve"> (18.7%)</w:t>
      </w:r>
      <w:r w:rsidR="00470809" w:rsidRPr="00CA4BCA">
        <w:rPr>
          <w:rFonts w:cs="Times New Roman"/>
          <w:lang w:val="en-CA"/>
        </w:rPr>
        <w:t>, and steroids</w:t>
      </w:r>
      <w:r w:rsidR="00400D6D" w:rsidRPr="00CA4BCA">
        <w:rPr>
          <w:rFonts w:cs="Times New Roman"/>
          <w:lang w:val="en-CA"/>
        </w:rPr>
        <w:t xml:space="preserve"> (13.5%)</w:t>
      </w:r>
      <w:r w:rsidR="00470809" w:rsidRPr="00CA4BCA">
        <w:rPr>
          <w:rFonts w:cs="Times New Roman"/>
          <w:lang w:val="en-CA"/>
        </w:rPr>
        <w:t xml:space="preserve">. </w:t>
      </w:r>
      <w:r w:rsidR="005D194F">
        <w:rPr>
          <w:rFonts w:cs="Times New Roman"/>
          <w:lang w:val="en-CA"/>
        </w:rPr>
        <w:t xml:space="preserve">Membership in </w:t>
      </w:r>
      <w:r w:rsidR="00CF2E5B" w:rsidRPr="00CA4BCA">
        <w:rPr>
          <w:rFonts w:cs="Times New Roman"/>
          <w:lang w:val="en-CA"/>
        </w:rPr>
        <w:t>Class 5 was characterized by high levels of tobacco use (76.8%) and by elevated use relative to other classes of crack (20.7%), crystal methamphetamine (29.4%), speed (</w:t>
      </w:r>
      <w:r w:rsidR="00AD76DE" w:rsidRPr="00CA4BCA">
        <w:rPr>
          <w:rFonts w:cs="Times New Roman"/>
          <w:lang w:val="en-CA"/>
        </w:rPr>
        <w:t>3.5</w:t>
      </w:r>
      <w:r w:rsidR="00CF2E5B" w:rsidRPr="00CA4BCA">
        <w:rPr>
          <w:rFonts w:cs="Times New Roman"/>
          <w:lang w:val="en-CA"/>
        </w:rPr>
        <w:t>%), heroin (4.1%), codeine (10.9%), and oxycodone (</w:t>
      </w:r>
      <w:r w:rsidR="00AD76DE" w:rsidRPr="00CA4BCA">
        <w:rPr>
          <w:rFonts w:cs="Times New Roman"/>
          <w:lang w:val="en-CA"/>
        </w:rPr>
        <w:t>10</w:t>
      </w:r>
      <w:r w:rsidR="00CF2E5B" w:rsidRPr="00CA4BCA">
        <w:rPr>
          <w:rFonts w:cs="Times New Roman"/>
          <w:lang w:val="en-CA"/>
        </w:rPr>
        <w:t xml:space="preserve">.8%). </w:t>
      </w:r>
      <w:r w:rsidR="005D194F">
        <w:rPr>
          <w:rFonts w:cs="Times New Roman"/>
          <w:lang w:val="en-CA"/>
        </w:rPr>
        <w:t xml:space="preserve">Membership in </w:t>
      </w:r>
      <w:r w:rsidR="00CF2E5B" w:rsidRPr="00CA4BCA">
        <w:rPr>
          <w:rFonts w:cs="Times New Roman"/>
          <w:lang w:val="en-CA"/>
        </w:rPr>
        <w:t xml:space="preserve">Class 6 was characterized by </w:t>
      </w:r>
      <w:r w:rsidR="00916062" w:rsidRPr="00CA4BCA">
        <w:rPr>
          <w:rFonts w:cs="Times New Roman"/>
          <w:lang w:val="en-CA"/>
        </w:rPr>
        <w:t>elevated</w:t>
      </w:r>
      <w:r w:rsidR="00CF2E5B" w:rsidRPr="00CA4BCA">
        <w:rPr>
          <w:rFonts w:cs="Times New Roman"/>
          <w:lang w:val="en-CA"/>
        </w:rPr>
        <w:t xml:space="preserve"> overall and relative use of most drugs evaluated</w:t>
      </w:r>
      <w:r w:rsidR="00356A53" w:rsidRPr="00CA4BCA">
        <w:rPr>
          <w:rFonts w:cs="Times New Roman"/>
          <w:lang w:val="en-CA"/>
        </w:rPr>
        <w:t>.</w:t>
      </w:r>
      <w:r w:rsidR="00EA15EB" w:rsidRPr="00CA4BCA">
        <w:rPr>
          <w:rFonts w:cs="Times New Roman"/>
          <w:lang w:val="en-CA"/>
        </w:rPr>
        <w:t xml:space="preserve"> Based on deductive interpretations of these classes, we described Class 1 as ‘limited drug use,’ Class 2 as ‘conventional drug use,’ Class 3 as ‘club drug use,’ Class 4 as ‘sex drug use,’ Class 5 as ‘street drug use,’ and Class 6 as ‘</w:t>
      </w:r>
      <w:r w:rsidR="00916062" w:rsidRPr="00CA4BCA">
        <w:rPr>
          <w:rFonts w:cs="Times New Roman"/>
          <w:lang w:val="en-CA"/>
        </w:rPr>
        <w:t xml:space="preserve">assorted </w:t>
      </w:r>
      <w:r w:rsidR="00EA15EB" w:rsidRPr="00CA4BCA">
        <w:rPr>
          <w:rFonts w:cs="Times New Roman"/>
          <w:lang w:val="en-CA"/>
        </w:rPr>
        <w:t>drug use.’</w:t>
      </w:r>
      <w:r w:rsidR="00426BB6" w:rsidRPr="00CA4BCA">
        <w:rPr>
          <w:rFonts w:cs="Times New Roman"/>
          <w:lang w:val="en-CA"/>
        </w:rPr>
        <w:t xml:space="preserve"> </w:t>
      </w:r>
    </w:p>
    <w:p w14:paraId="7DC90493" w14:textId="5630DA3E" w:rsidR="00426BB6" w:rsidRPr="00CA4BCA" w:rsidRDefault="00E10EB1" w:rsidP="00EA15EB">
      <w:pPr>
        <w:ind w:firstLine="720"/>
        <w:rPr>
          <w:rFonts w:cs="Times New Roman"/>
          <w:lang w:val="en-CA"/>
        </w:rPr>
      </w:pPr>
      <w:r w:rsidRPr="00CA4BCA">
        <w:rPr>
          <w:rFonts w:cs="Times New Roman"/>
          <w:lang w:val="en-CA"/>
        </w:rPr>
        <w:t xml:space="preserve">Figure 1 shows the distribution of individuals across each of the six latent classes at each study visit. Overall, classes were relatively stable in the proportion of men assigned to each class. Following 449 men across all 5 visits revealed that 99.1% of GBM in </w:t>
      </w:r>
      <w:r w:rsidR="00311DA1" w:rsidRPr="00CA4BCA">
        <w:rPr>
          <w:rFonts w:cs="Times New Roman"/>
          <w:lang w:val="en-CA"/>
        </w:rPr>
        <w:t xml:space="preserve">Cass </w:t>
      </w:r>
      <w:r w:rsidRPr="00CA4BCA">
        <w:rPr>
          <w:rFonts w:cs="Times New Roman"/>
          <w:lang w:val="en-CA"/>
        </w:rPr>
        <w:t xml:space="preserve">1 (i.e., limited drug use) stayed in their originally assigned class, as did 93.4% of GBM in </w:t>
      </w:r>
      <w:r w:rsidR="00311DA1" w:rsidRPr="00CA4BCA">
        <w:rPr>
          <w:rFonts w:cs="Times New Roman"/>
          <w:lang w:val="en-CA"/>
        </w:rPr>
        <w:t>C</w:t>
      </w:r>
      <w:r w:rsidRPr="00CA4BCA">
        <w:rPr>
          <w:rFonts w:cs="Times New Roman"/>
          <w:lang w:val="en-CA"/>
        </w:rPr>
        <w:t xml:space="preserve">lass 2 (i.e., conventional drug use), 85.0% of GBM in </w:t>
      </w:r>
      <w:r w:rsidR="00311DA1" w:rsidRPr="00CA4BCA">
        <w:rPr>
          <w:rFonts w:cs="Times New Roman"/>
          <w:lang w:val="en-CA"/>
        </w:rPr>
        <w:t>Cl</w:t>
      </w:r>
      <w:r w:rsidRPr="00CA4BCA">
        <w:rPr>
          <w:rFonts w:cs="Times New Roman"/>
          <w:lang w:val="en-CA"/>
        </w:rPr>
        <w:t xml:space="preserve">ass 3 (i.e., club drug use), 93.4% of GBM in </w:t>
      </w:r>
      <w:r w:rsidR="00311DA1" w:rsidRPr="00CA4BCA">
        <w:rPr>
          <w:rFonts w:cs="Times New Roman"/>
          <w:lang w:val="en-CA"/>
        </w:rPr>
        <w:t>C</w:t>
      </w:r>
      <w:r w:rsidRPr="00CA4BCA">
        <w:rPr>
          <w:rFonts w:cs="Times New Roman"/>
          <w:lang w:val="en-CA"/>
        </w:rPr>
        <w:t xml:space="preserve">lass 4 (i.e., sex drug use), 84.3% of GBM in </w:t>
      </w:r>
      <w:r w:rsidR="00311DA1" w:rsidRPr="00CA4BCA">
        <w:rPr>
          <w:rFonts w:cs="Times New Roman"/>
          <w:lang w:val="en-CA"/>
        </w:rPr>
        <w:t>C</w:t>
      </w:r>
      <w:r w:rsidRPr="00CA4BCA">
        <w:rPr>
          <w:rFonts w:cs="Times New Roman"/>
          <w:lang w:val="en-CA"/>
        </w:rPr>
        <w:t xml:space="preserve">lass 5 (i.e., street drug use), and 82.1% of GBM in </w:t>
      </w:r>
      <w:r w:rsidR="00311DA1" w:rsidRPr="00CA4BCA">
        <w:rPr>
          <w:rFonts w:cs="Times New Roman"/>
          <w:lang w:val="en-CA"/>
        </w:rPr>
        <w:t>C</w:t>
      </w:r>
      <w:r w:rsidRPr="00CA4BCA">
        <w:rPr>
          <w:rFonts w:cs="Times New Roman"/>
          <w:lang w:val="en-CA"/>
        </w:rPr>
        <w:t xml:space="preserve">lass 6 (i.e., </w:t>
      </w:r>
      <w:r w:rsidR="00916062" w:rsidRPr="00CA4BCA">
        <w:rPr>
          <w:rFonts w:cs="Times New Roman"/>
          <w:lang w:val="en-CA"/>
        </w:rPr>
        <w:t xml:space="preserve">assorted </w:t>
      </w:r>
      <w:r w:rsidRPr="00CA4BCA">
        <w:rPr>
          <w:rFonts w:cs="Times New Roman"/>
          <w:lang w:val="en-CA"/>
        </w:rPr>
        <w:t xml:space="preserve">drug use). </w:t>
      </w:r>
      <w:r w:rsidR="00426BB6" w:rsidRPr="00CA4BCA">
        <w:rPr>
          <w:rFonts w:cs="Times New Roman"/>
          <w:lang w:val="en-CA"/>
        </w:rPr>
        <w:t xml:space="preserve">In terms of trends, </w:t>
      </w:r>
      <w:r w:rsidR="00117671" w:rsidRPr="00CA4BCA">
        <w:rPr>
          <w:rFonts w:cs="Times New Roman"/>
          <w:lang w:val="en-CA"/>
        </w:rPr>
        <w:t xml:space="preserve">the prevalence of </w:t>
      </w:r>
      <w:r w:rsidR="00426BB6" w:rsidRPr="00CA4BCA">
        <w:rPr>
          <w:rFonts w:cs="Times New Roman"/>
          <w:lang w:val="en-CA"/>
        </w:rPr>
        <w:t xml:space="preserve">limited drug use increased over time </w:t>
      </w:r>
      <w:r w:rsidR="00117671" w:rsidRPr="00CA4BCA">
        <w:rPr>
          <w:rFonts w:cs="Times New Roman"/>
          <w:lang w:val="en-CA"/>
        </w:rPr>
        <w:t xml:space="preserve">from </w:t>
      </w:r>
      <w:r w:rsidR="004562FE" w:rsidRPr="00CA4BCA">
        <w:rPr>
          <w:rFonts w:cs="Times New Roman"/>
          <w:lang w:val="en-CA"/>
        </w:rPr>
        <w:t>24.5</w:t>
      </w:r>
      <w:r w:rsidR="00117671" w:rsidRPr="00CA4BCA">
        <w:rPr>
          <w:rFonts w:cs="Times New Roman"/>
          <w:lang w:val="en-CA"/>
        </w:rPr>
        <w:t xml:space="preserve"> to </w:t>
      </w:r>
      <w:r w:rsidR="004562FE" w:rsidRPr="00CA4BCA">
        <w:rPr>
          <w:rFonts w:cs="Times New Roman"/>
          <w:lang w:val="en-CA"/>
        </w:rPr>
        <w:t>28.3%</w:t>
      </w:r>
      <w:r w:rsidR="00632F1F">
        <w:rPr>
          <w:rFonts w:cs="Times New Roman"/>
          <w:lang w:val="en-CA"/>
        </w:rPr>
        <w:t xml:space="preserve"> </w:t>
      </w:r>
      <w:r w:rsidR="00632F1F" w:rsidRPr="00CA4BCA">
        <w:rPr>
          <w:rFonts w:cs="Times New Roman"/>
          <w:lang w:val="en-CA"/>
        </w:rPr>
        <w:t>(p &lt; 0.0001)</w:t>
      </w:r>
      <w:r w:rsidR="00117671" w:rsidRPr="00CA4BCA">
        <w:rPr>
          <w:rFonts w:cs="Times New Roman"/>
          <w:lang w:val="en-CA"/>
        </w:rPr>
        <w:t xml:space="preserve">, while </w:t>
      </w:r>
      <w:r w:rsidR="00916062" w:rsidRPr="00CA4BCA">
        <w:rPr>
          <w:rFonts w:cs="Times New Roman"/>
          <w:lang w:val="en-CA"/>
        </w:rPr>
        <w:t>assorted</w:t>
      </w:r>
      <w:r w:rsidR="00426BB6" w:rsidRPr="00CA4BCA">
        <w:rPr>
          <w:rFonts w:cs="Times New Roman"/>
          <w:lang w:val="en-CA"/>
        </w:rPr>
        <w:t xml:space="preserve"> drug use </w:t>
      </w:r>
      <w:r w:rsidR="00F0467F" w:rsidRPr="00CA4BCA">
        <w:rPr>
          <w:rFonts w:cs="Times New Roman"/>
          <w:lang w:val="en-CA"/>
        </w:rPr>
        <w:t xml:space="preserve">declined </w:t>
      </w:r>
      <w:r w:rsidR="00426BB6" w:rsidRPr="00CA4BCA">
        <w:rPr>
          <w:rFonts w:cs="Times New Roman"/>
          <w:lang w:val="en-CA"/>
        </w:rPr>
        <w:t xml:space="preserve">(p = 0.001). Meanwhile, conventional drug </w:t>
      </w:r>
      <w:r w:rsidR="00426BB6" w:rsidRPr="00CA4BCA">
        <w:rPr>
          <w:rFonts w:cs="Times New Roman"/>
          <w:lang w:val="en-CA"/>
        </w:rPr>
        <w:lastRenderedPageBreak/>
        <w:t>use (p = 0.749), club drug use (p = 0.393), sex drug use (p = 0.550), and street drug use (p = 0.216) remained stable.</w:t>
      </w:r>
    </w:p>
    <w:p w14:paraId="64A95D55" w14:textId="73C724FB" w:rsidR="003B2BE9" w:rsidRPr="00CA4BCA" w:rsidRDefault="0002280D" w:rsidP="00511514">
      <w:pPr>
        <w:ind w:firstLine="720"/>
        <w:rPr>
          <w:rFonts w:cs="Times New Roman"/>
          <w:lang w:val="en-CA"/>
        </w:rPr>
      </w:pPr>
      <w:r w:rsidRPr="00CA4BCA">
        <w:rPr>
          <w:rFonts w:cs="Times New Roman"/>
          <w:lang w:val="en-CA"/>
        </w:rPr>
        <w:t xml:space="preserve">Table </w:t>
      </w:r>
      <w:r w:rsidR="00E3655C" w:rsidRPr="00CA4BCA">
        <w:rPr>
          <w:rFonts w:cs="Times New Roman"/>
          <w:lang w:val="en-CA"/>
        </w:rPr>
        <w:t>2</w:t>
      </w:r>
      <w:r w:rsidRPr="00CA4BCA">
        <w:rPr>
          <w:rFonts w:cs="Times New Roman"/>
          <w:lang w:val="en-CA"/>
        </w:rPr>
        <w:t xml:space="preserve"> shows the transition matrix aggregated across </w:t>
      </w:r>
      <w:r w:rsidR="00FA099D" w:rsidRPr="00CA4BCA">
        <w:rPr>
          <w:rFonts w:cs="Times New Roman"/>
          <w:lang w:val="en-CA"/>
        </w:rPr>
        <w:t>each of the 5</w:t>
      </w:r>
      <w:r w:rsidRPr="00CA4BCA">
        <w:rPr>
          <w:rFonts w:cs="Times New Roman"/>
          <w:lang w:val="en-CA"/>
        </w:rPr>
        <w:t xml:space="preserve"> study visits. Summarizing these findings, 26.3% (n = 118) of GBM ever transitioned across classes, with </w:t>
      </w:r>
      <w:r w:rsidR="003B3D6E" w:rsidRPr="00CA4BCA">
        <w:rPr>
          <w:rFonts w:cs="Times New Roman"/>
          <w:lang w:val="en-CA"/>
        </w:rPr>
        <w:t xml:space="preserve">most </w:t>
      </w:r>
      <w:r w:rsidRPr="00CA4BCA">
        <w:rPr>
          <w:rFonts w:cs="Times New Roman"/>
          <w:lang w:val="en-CA"/>
        </w:rPr>
        <w:t>individuals transitioning either</w:t>
      </w:r>
      <w:r w:rsidR="00356A53" w:rsidRPr="00CA4BCA">
        <w:rPr>
          <w:rFonts w:cs="Times New Roman"/>
          <w:lang w:val="en-CA"/>
        </w:rPr>
        <w:t xml:space="preserve"> once (n = 96) or twice (n = 20). </w:t>
      </w:r>
      <w:r w:rsidR="00DA6FD0" w:rsidRPr="00CA4BCA">
        <w:rPr>
          <w:rFonts w:cs="Times New Roman"/>
          <w:lang w:val="en-CA"/>
        </w:rPr>
        <w:t>Notable transition pathways included reciprocal relationships between ‘conventional drug use</w:t>
      </w:r>
      <w:r w:rsidR="00470809" w:rsidRPr="00CA4BCA">
        <w:rPr>
          <w:rFonts w:cs="Times New Roman"/>
          <w:lang w:val="en-CA"/>
        </w:rPr>
        <w:t>’</w:t>
      </w:r>
      <w:r w:rsidR="00356A53" w:rsidRPr="00CA4BCA">
        <w:rPr>
          <w:rFonts w:cs="Times New Roman"/>
          <w:lang w:val="en-CA"/>
        </w:rPr>
        <w:t xml:space="preserve"> (Class 2)</w:t>
      </w:r>
      <w:r w:rsidR="00DA6FD0" w:rsidRPr="00CA4BCA">
        <w:rPr>
          <w:rFonts w:cs="Times New Roman"/>
          <w:lang w:val="en-CA"/>
        </w:rPr>
        <w:t xml:space="preserve"> and ‘club drug use’</w:t>
      </w:r>
      <w:r w:rsidR="00470809" w:rsidRPr="00CA4BCA">
        <w:rPr>
          <w:rFonts w:cs="Times New Roman"/>
          <w:lang w:val="en-CA"/>
        </w:rPr>
        <w:t xml:space="preserve"> </w:t>
      </w:r>
      <w:r w:rsidR="00356A53" w:rsidRPr="00CA4BCA">
        <w:rPr>
          <w:rFonts w:cs="Times New Roman"/>
          <w:lang w:val="en-CA"/>
        </w:rPr>
        <w:t>(Class 3)</w:t>
      </w:r>
      <w:r w:rsidR="00470809" w:rsidRPr="00CA4BCA">
        <w:rPr>
          <w:rFonts w:cs="Times New Roman"/>
          <w:lang w:val="en-CA"/>
        </w:rPr>
        <w:t>,</w:t>
      </w:r>
      <w:r w:rsidR="003B3D6E" w:rsidRPr="00CA4BCA">
        <w:rPr>
          <w:rFonts w:cs="Times New Roman"/>
          <w:lang w:val="en-CA"/>
        </w:rPr>
        <w:t xml:space="preserve"> </w:t>
      </w:r>
      <w:r w:rsidR="00470809" w:rsidRPr="00CA4BCA">
        <w:rPr>
          <w:rFonts w:cs="Times New Roman"/>
          <w:lang w:val="en-CA"/>
        </w:rPr>
        <w:t>‘street drug use’</w:t>
      </w:r>
      <w:r w:rsidR="00356A53" w:rsidRPr="00CA4BCA">
        <w:rPr>
          <w:rFonts w:cs="Times New Roman"/>
          <w:lang w:val="en-CA"/>
        </w:rPr>
        <w:t xml:space="preserve"> (Class 5)</w:t>
      </w:r>
      <w:r w:rsidR="00470809" w:rsidRPr="00CA4BCA">
        <w:rPr>
          <w:rFonts w:cs="Times New Roman"/>
          <w:lang w:val="en-CA"/>
        </w:rPr>
        <w:t xml:space="preserve"> and ‘</w:t>
      </w:r>
      <w:r w:rsidR="00916062" w:rsidRPr="00CA4BCA">
        <w:rPr>
          <w:rFonts w:cs="Times New Roman"/>
          <w:lang w:val="en-CA"/>
        </w:rPr>
        <w:t xml:space="preserve">assorted </w:t>
      </w:r>
      <w:r w:rsidR="00470809" w:rsidRPr="00CA4BCA">
        <w:rPr>
          <w:rFonts w:cs="Times New Roman"/>
          <w:lang w:val="en-CA"/>
        </w:rPr>
        <w:t xml:space="preserve">drug use’ </w:t>
      </w:r>
      <w:r w:rsidR="00356A53" w:rsidRPr="00CA4BCA">
        <w:rPr>
          <w:rFonts w:cs="Times New Roman"/>
          <w:lang w:val="en-CA"/>
        </w:rPr>
        <w:t>(Class 6)</w:t>
      </w:r>
      <w:r w:rsidR="00470809" w:rsidRPr="00CA4BCA">
        <w:rPr>
          <w:rFonts w:cs="Times New Roman"/>
          <w:lang w:val="en-CA"/>
        </w:rPr>
        <w:t xml:space="preserve">; as well as unidirectional transitions from </w:t>
      </w:r>
      <w:r w:rsidR="00356A53" w:rsidRPr="00CA4BCA">
        <w:rPr>
          <w:rFonts w:cs="Times New Roman"/>
          <w:lang w:val="en-CA"/>
        </w:rPr>
        <w:t>‘street drug</w:t>
      </w:r>
      <w:r w:rsidR="00470809" w:rsidRPr="00CA4BCA">
        <w:rPr>
          <w:rFonts w:cs="Times New Roman"/>
          <w:lang w:val="en-CA"/>
        </w:rPr>
        <w:t xml:space="preserve"> </w:t>
      </w:r>
      <w:r w:rsidR="00356A53" w:rsidRPr="00CA4BCA">
        <w:rPr>
          <w:rFonts w:cs="Times New Roman"/>
          <w:lang w:val="en-CA"/>
        </w:rPr>
        <w:t>use’ (Class 5) to ‘limited drug</w:t>
      </w:r>
      <w:r w:rsidR="00470809" w:rsidRPr="00CA4BCA">
        <w:rPr>
          <w:rFonts w:cs="Times New Roman"/>
          <w:lang w:val="en-CA"/>
        </w:rPr>
        <w:t xml:space="preserve"> </w:t>
      </w:r>
      <w:r w:rsidR="00356A53" w:rsidRPr="00CA4BCA">
        <w:rPr>
          <w:rFonts w:cs="Times New Roman"/>
          <w:lang w:val="en-CA"/>
        </w:rPr>
        <w:t>use’ (Class 1)</w:t>
      </w:r>
      <w:r w:rsidR="00470809" w:rsidRPr="00CA4BCA">
        <w:rPr>
          <w:rFonts w:cs="Times New Roman"/>
          <w:lang w:val="en-CA"/>
        </w:rPr>
        <w:t xml:space="preserve">, </w:t>
      </w:r>
      <w:r w:rsidR="007A65B6" w:rsidRPr="00CA4BCA">
        <w:rPr>
          <w:rFonts w:cs="Times New Roman"/>
          <w:lang w:val="en-CA"/>
        </w:rPr>
        <w:t>‘</w:t>
      </w:r>
      <w:r w:rsidR="00916062" w:rsidRPr="00CA4BCA">
        <w:rPr>
          <w:rFonts w:cs="Times New Roman"/>
          <w:lang w:val="en-CA"/>
        </w:rPr>
        <w:t xml:space="preserve">assorted </w:t>
      </w:r>
      <w:r w:rsidR="00470809" w:rsidRPr="00CA4BCA">
        <w:rPr>
          <w:rFonts w:cs="Times New Roman"/>
          <w:lang w:val="en-CA"/>
        </w:rPr>
        <w:t xml:space="preserve">drug use’ </w:t>
      </w:r>
      <w:r w:rsidR="00356A53" w:rsidRPr="00CA4BCA">
        <w:rPr>
          <w:rFonts w:cs="Times New Roman"/>
          <w:lang w:val="en-CA"/>
        </w:rPr>
        <w:t xml:space="preserve">(Class 6) </w:t>
      </w:r>
      <w:r w:rsidR="00470809" w:rsidRPr="00CA4BCA">
        <w:rPr>
          <w:rFonts w:cs="Times New Roman"/>
          <w:lang w:val="en-CA"/>
        </w:rPr>
        <w:t>to ‘conventional drug use’</w:t>
      </w:r>
      <w:r w:rsidR="00356A53" w:rsidRPr="00CA4BCA">
        <w:rPr>
          <w:rFonts w:cs="Times New Roman"/>
          <w:lang w:val="en-CA"/>
        </w:rPr>
        <w:t xml:space="preserve"> (Class 1)</w:t>
      </w:r>
      <w:r w:rsidR="00470809" w:rsidRPr="00CA4BCA">
        <w:rPr>
          <w:rFonts w:cs="Times New Roman"/>
          <w:lang w:val="en-CA"/>
        </w:rPr>
        <w:t xml:space="preserve">, ‘club drug use’ </w:t>
      </w:r>
      <w:r w:rsidR="00356A53" w:rsidRPr="00CA4BCA">
        <w:rPr>
          <w:rFonts w:cs="Times New Roman"/>
          <w:lang w:val="en-CA"/>
        </w:rPr>
        <w:t xml:space="preserve">(Class 3) </w:t>
      </w:r>
      <w:r w:rsidR="00470809" w:rsidRPr="00CA4BCA">
        <w:rPr>
          <w:rFonts w:cs="Times New Roman"/>
          <w:lang w:val="en-CA"/>
        </w:rPr>
        <w:t>to ‘</w:t>
      </w:r>
      <w:r w:rsidR="00916062" w:rsidRPr="00CA4BCA">
        <w:rPr>
          <w:rFonts w:cs="Times New Roman"/>
          <w:lang w:val="en-CA"/>
        </w:rPr>
        <w:t xml:space="preserve">assorted </w:t>
      </w:r>
      <w:r w:rsidR="00470809" w:rsidRPr="00CA4BCA">
        <w:rPr>
          <w:rFonts w:cs="Times New Roman"/>
          <w:lang w:val="en-CA"/>
        </w:rPr>
        <w:t xml:space="preserve">drug use’ </w:t>
      </w:r>
      <w:r w:rsidR="00356A53" w:rsidRPr="00CA4BCA">
        <w:rPr>
          <w:rFonts w:cs="Times New Roman"/>
          <w:lang w:val="en-CA"/>
        </w:rPr>
        <w:t>(Class 6)</w:t>
      </w:r>
      <w:r w:rsidR="00470809" w:rsidRPr="00CA4BCA">
        <w:rPr>
          <w:rFonts w:cs="Times New Roman"/>
          <w:lang w:val="en-CA"/>
        </w:rPr>
        <w:t xml:space="preserve">, and ‘sex drug use’ </w:t>
      </w:r>
      <w:r w:rsidR="00356A53" w:rsidRPr="00CA4BCA">
        <w:rPr>
          <w:rFonts w:cs="Times New Roman"/>
          <w:lang w:val="en-CA"/>
        </w:rPr>
        <w:t xml:space="preserve">(Class 4) </w:t>
      </w:r>
      <w:r w:rsidR="00470809" w:rsidRPr="00CA4BCA">
        <w:rPr>
          <w:rFonts w:cs="Times New Roman"/>
          <w:lang w:val="en-CA"/>
        </w:rPr>
        <w:t xml:space="preserve">to ‘conventional drug use’ </w:t>
      </w:r>
      <w:r w:rsidR="00356A53" w:rsidRPr="00CA4BCA">
        <w:rPr>
          <w:rFonts w:cs="Times New Roman"/>
          <w:lang w:val="en-CA"/>
        </w:rPr>
        <w:t>(Class 2)</w:t>
      </w:r>
      <w:r w:rsidR="00470809" w:rsidRPr="00CA4BCA">
        <w:rPr>
          <w:rFonts w:cs="Times New Roman"/>
          <w:lang w:val="en-CA"/>
        </w:rPr>
        <w:t xml:space="preserve">. </w:t>
      </w:r>
      <w:r w:rsidR="000B3DFF" w:rsidRPr="00CA4BCA">
        <w:rPr>
          <w:rFonts w:cs="Times New Roman"/>
          <w:lang w:val="en-CA"/>
        </w:rPr>
        <w:t>No transition groups were large enough to power further analysis on predictors of class transition.</w:t>
      </w:r>
    </w:p>
    <w:p w14:paraId="46DFCB66" w14:textId="7B123A7B" w:rsidR="00E3655C" w:rsidRPr="00CA4BCA" w:rsidRDefault="00E3655C" w:rsidP="00E3655C">
      <w:pPr>
        <w:ind w:firstLine="720"/>
        <w:rPr>
          <w:rFonts w:cs="Times New Roman"/>
          <w:lang w:val="en-CA"/>
        </w:rPr>
      </w:pPr>
      <w:r w:rsidRPr="00CA4BCA">
        <w:rPr>
          <w:rFonts w:cs="Times New Roman"/>
          <w:lang w:val="en-CA"/>
        </w:rPr>
        <w:t xml:space="preserve">Table 3 provides intraclass correlation coefficients for variables assessing the longitudinal stability of </w:t>
      </w:r>
      <w:r w:rsidRPr="00CA4BCA">
        <w:rPr>
          <w:rFonts w:cs="Times New Roman"/>
          <w:u w:val="single"/>
          <w:lang w:val="en-CA"/>
        </w:rPr>
        <w:t>&gt;</w:t>
      </w:r>
      <w:r w:rsidRPr="00CA4BCA">
        <w:rPr>
          <w:rFonts w:cs="Times New Roman"/>
          <w:lang w:val="en-CA"/>
        </w:rPr>
        <w:t xml:space="preserve"> weekly use of each substance along with the proportion of participants in each class who reported </w:t>
      </w:r>
      <w:r w:rsidRPr="00CA4BCA">
        <w:rPr>
          <w:rFonts w:cs="Times New Roman"/>
          <w:u w:val="single"/>
          <w:lang w:val="en-CA"/>
        </w:rPr>
        <w:t>&gt;</w:t>
      </w:r>
      <w:r w:rsidRPr="00CA4BCA">
        <w:rPr>
          <w:rFonts w:cs="Times New Roman"/>
          <w:lang w:val="en-CA"/>
        </w:rPr>
        <w:t xml:space="preserve"> weekly use of each substance at any of the five study visits. Generally, significantly fewer participants reported </w:t>
      </w:r>
      <w:r w:rsidRPr="00CA4BCA">
        <w:rPr>
          <w:rFonts w:cs="Times New Roman"/>
          <w:u w:val="single"/>
          <w:lang w:val="en-CA"/>
        </w:rPr>
        <w:t>&gt;</w:t>
      </w:r>
      <w:r w:rsidRPr="00CA4BCA">
        <w:rPr>
          <w:rFonts w:cs="Times New Roman"/>
          <w:lang w:val="en-CA"/>
        </w:rPr>
        <w:t xml:space="preserve"> weekly use of substances than reported any use of substances. Based on point estimates, </w:t>
      </w:r>
      <w:r w:rsidRPr="00CA4BCA">
        <w:rPr>
          <w:rFonts w:cs="Times New Roman"/>
          <w:u w:val="single"/>
          <w:lang w:val="en-CA"/>
        </w:rPr>
        <w:t>&gt;</w:t>
      </w:r>
      <w:r w:rsidRPr="00CA4BCA">
        <w:rPr>
          <w:rFonts w:cs="Times New Roman"/>
          <w:lang w:val="en-CA"/>
        </w:rPr>
        <w:t xml:space="preserve"> weekly use of erectile dysfunction drugs and GHB had “excellent” longitudinal stability (e.g., were internally consistent within individuals across time); tobacco, marijuana, prescription steroids, and </w:t>
      </w:r>
      <w:proofErr w:type="spellStart"/>
      <w:r w:rsidRPr="00CA4BCA">
        <w:rPr>
          <w:rFonts w:cs="Times New Roman"/>
          <w:lang w:val="en-CA"/>
        </w:rPr>
        <w:t>benzodiazpenes</w:t>
      </w:r>
      <w:proofErr w:type="spellEnd"/>
      <w:r w:rsidRPr="00CA4BCA">
        <w:rPr>
          <w:rFonts w:cs="Times New Roman"/>
          <w:lang w:val="en-CA"/>
        </w:rPr>
        <w:t xml:space="preserve"> had “good” longitudinal stability; cocaine, alcohol, and crystal methamphetamine had “moderate” longitudinal stability; and codeine, poppers, crack, heroin, and oxycodone had “poor” longitudinal stability. Only a small number of participants reported </w:t>
      </w:r>
      <w:r w:rsidRPr="00CA4BCA">
        <w:rPr>
          <w:rFonts w:cs="Times New Roman"/>
          <w:u w:val="single"/>
          <w:lang w:val="en-CA"/>
        </w:rPr>
        <w:t>&gt;</w:t>
      </w:r>
      <w:r w:rsidRPr="00CA4BCA">
        <w:rPr>
          <w:rFonts w:cs="Times New Roman"/>
          <w:lang w:val="en-CA"/>
        </w:rPr>
        <w:t xml:space="preserve"> weekly use of speed, ecstasy, ketamine, mushrooms, or LSD. By class, limited drug use (ICC = 0.99, 95% CI: 0.99 – 1.00)</w:t>
      </w:r>
      <w:r w:rsidR="008A00BD">
        <w:rPr>
          <w:rFonts w:cs="Times New Roman"/>
          <w:lang w:val="en-CA"/>
        </w:rPr>
        <w:t>,</w:t>
      </w:r>
      <w:r w:rsidRPr="00CA4BCA">
        <w:rPr>
          <w:rFonts w:cs="Times New Roman"/>
          <w:lang w:val="en-CA"/>
        </w:rPr>
        <w:t xml:space="preserve"> conventional drug use (ICC = 0.98, 95% CI: 0.97 – 0.99), club drug use (ICC = 0.98, 95% CI: 0.95 – 0.98), sex drug use (ICC = 0.99, 95% CI: </w:t>
      </w:r>
      <w:r w:rsidRPr="00CA4BCA">
        <w:rPr>
          <w:rFonts w:cs="Times New Roman"/>
          <w:lang w:val="en-CA"/>
        </w:rPr>
        <w:lastRenderedPageBreak/>
        <w:t xml:space="preserve">0.97 – 0.99), street drug use (ICC = 0.97, 95% CI: 0.91 – 0.98), and assorted drug use (ICC = 0.97, 95% CI: 0.91 – 0.98) all had excellent longitudinal stability. </w:t>
      </w:r>
    </w:p>
    <w:bookmarkEnd w:id="9"/>
    <w:p w14:paraId="59F7583A" w14:textId="63ABB84B" w:rsidR="00FA4A16" w:rsidRPr="00CA4BCA" w:rsidRDefault="00D63A9C" w:rsidP="0047548F">
      <w:pPr>
        <w:pStyle w:val="Heading1"/>
        <w:rPr>
          <w:rFonts w:ascii="Times New Roman" w:hAnsi="Times New Roman" w:cs="Times New Roman"/>
        </w:rPr>
      </w:pPr>
      <w:r w:rsidRPr="00CA4BCA">
        <w:rPr>
          <w:rFonts w:ascii="Times New Roman" w:hAnsi="Times New Roman" w:cs="Times New Roman"/>
        </w:rPr>
        <w:t xml:space="preserve">4. </w:t>
      </w:r>
      <w:r w:rsidR="00FA4A16" w:rsidRPr="00CA4BCA">
        <w:rPr>
          <w:rFonts w:ascii="Times New Roman" w:hAnsi="Times New Roman" w:cs="Times New Roman"/>
        </w:rPr>
        <w:t>DISCUSSION</w:t>
      </w:r>
    </w:p>
    <w:p w14:paraId="08119D1B" w14:textId="4F9DE420" w:rsidR="007C7BAD" w:rsidRPr="00CA4BCA" w:rsidRDefault="00D63A9C" w:rsidP="007C7BAD">
      <w:pPr>
        <w:pStyle w:val="Heading2"/>
        <w:rPr>
          <w:rFonts w:ascii="Times New Roman" w:hAnsi="Times New Roman" w:cs="Times New Roman"/>
        </w:rPr>
      </w:pPr>
      <w:r w:rsidRPr="00CA4BCA">
        <w:rPr>
          <w:rFonts w:ascii="Times New Roman" w:hAnsi="Times New Roman" w:cs="Times New Roman"/>
        </w:rPr>
        <w:t xml:space="preserve">4.1. </w:t>
      </w:r>
      <w:r w:rsidR="007C7BAD" w:rsidRPr="00CA4BCA">
        <w:rPr>
          <w:rFonts w:ascii="Times New Roman" w:hAnsi="Times New Roman" w:cs="Times New Roman"/>
        </w:rPr>
        <w:t>Primary Findings</w:t>
      </w:r>
    </w:p>
    <w:p w14:paraId="306A1B40" w14:textId="1D4BD5A6" w:rsidR="00982EC2" w:rsidRPr="00CA4BCA" w:rsidRDefault="00A46899" w:rsidP="00A46899">
      <w:pPr>
        <w:rPr>
          <w:rFonts w:cs="Times New Roman"/>
          <w:lang w:val="en-CA"/>
        </w:rPr>
      </w:pPr>
      <w:r w:rsidRPr="00CA4BCA">
        <w:rPr>
          <w:rFonts w:cs="Times New Roman"/>
          <w:lang w:val="en-CA"/>
        </w:rPr>
        <w:t xml:space="preserve">The present study provides evidence supporting the </w:t>
      </w:r>
      <w:r w:rsidR="00935B7B" w:rsidRPr="00CA4BCA">
        <w:rPr>
          <w:rFonts w:cs="Times New Roman"/>
          <w:lang w:val="en-CA"/>
        </w:rPr>
        <w:t>longitudinal</w:t>
      </w:r>
      <w:r w:rsidRPr="00CA4BCA">
        <w:rPr>
          <w:rFonts w:cs="Times New Roman"/>
          <w:lang w:val="en-CA"/>
        </w:rPr>
        <w:t xml:space="preserve"> stability of latent substance use classes – a previous</w:t>
      </w:r>
      <w:r w:rsidR="00236FDF" w:rsidRPr="00CA4BCA">
        <w:rPr>
          <w:rFonts w:cs="Times New Roman"/>
          <w:lang w:val="en-CA"/>
        </w:rPr>
        <w:t>ly noted</w:t>
      </w:r>
      <w:r w:rsidRPr="00CA4BCA">
        <w:rPr>
          <w:rFonts w:cs="Times New Roman"/>
          <w:lang w:val="en-CA"/>
        </w:rPr>
        <w:t xml:space="preserve"> limitation of LCA studies among GBM</w:t>
      </w:r>
      <w:r w:rsidR="00236FDF" w:rsidRPr="00CA4BCA">
        <w:rPr>
          <w:rFonts w:cs="Times New Roman"/>
          <w:lang w:val="en-CA"/>
        </w:rPr>
        <w:t xml:space="preserve"> </w:t>
      </w:r>
      <w:r w:rsidR="00236FDF" w:rsidRPr="00CA4BCA">
        <w:rPr>
          <w:rFonts w:cs="Times New Roman"/>
          <w:lang w:val="en-CA"/>
        </w:rPr>
        <w:fldChar w:fldCharType="begin"/>
      </w:r>
      <w:r w:rsidR="00B35BEE">
        <w:rPr>
          <w:rFonts w:cs="Times New Roman"/>
          <w:lang w:val="en-CA"/>
        </w:rPr>
        <w:instrText xml:space="preserve"> ADDIN ZOTERO_ITEM CSL_CITATION {"citationID":"Aukb3jlV","properties":{"formattedCitation":"(Lim et al., 2015a; McCarty-Caplan et al., 2014)","plainCitation":"(Lim et al., 2015a; McCarty-Caplan et al., 2014)"},"citationItems":[{"id":712,"uris":["http://zotero.org/users/2569385/items/CBWAGVGA"],"uri":["http://zotero.org/users/2569385/items/CBWAGVGA"],"itemData":{"id":712,"type":"article-journal","title":"MSM and drug use: A latent class analysis of drug use and related sexual risk behaviors","container-title":"AIDS and behavior","page":"1339-1351","volume":"18","issue":"7","source":"PubMed","abstract":"This study examined patterns of drug use among gay men and other men who have sex with men (MSM) to identify sub-categories of men whose drug use and sexual behavior place them at especially high risk for HIV. A latent class analysis of a sample of MSM yielded a four-class model with two distinct high drug use sub-groups: one whose drug use concentrated on \"sex-drugs\" (SDU); and a distinct polydrug use class that showed higher probabilities of using all other drugs assessed. Comparative follow-up analyses indicated the SDU group was also more likely to engage in particular potentially high-risk sexual behaviors, be older, and to be HIV positive. Implications of distinguishing between patterns of drug use for HIV-risk prevention efforts with MSM are discussed.","DOI":"10.1007/s10461-013-0622-x","ISSN":"1573-3254","note":"PMID: 24065437","shortTitle":"MSM and drug use","journalAbbreviation":"AIDS Behav","language":"eng","author":[{"family":"McCarty-Caplan","given":"David"},{"family":"Jantz","given":"Ian"},{"family":"Swartz","given":"James"}],"issued":{"date-parts":[["2014",7]]}}},{"id":2093,"uris":["http://zotero.org/users/2569385/items/3WNZWPJZ"],"uri":["http://zotero.org/users/2569385/items/3WNZWPJZ"],"itemData":{"id":2093,"type":"article-journal","title":"Latent class analysis of substance use among men who have sex with men in Malaysia: Findings from the Asian Internet MSM Sex Survey","container-title":"Drug and Alcohol Dependence","page":"31-37","volume":"151","source":"PubMed","abstract":"BACKGROUND: High prevalence of substance use among men who have sex with men (MSM) may drive the HIV epidemic in Malaysia but patterns of substance use among Malaysian MSM have not been examined. Our study investigated specific Malaysian MSM risk groups to determine the association between their substance use and sexual risk behaviors.\nMETHODS: Data from Malaysian respondents (n=1235) in a large, multinational online survey of Asian MSM in 2010 were used to identify latent classes of substance use. Subsequent covariates were included in a joint model to predict class membership.\nRESULTS: The 3-class model was identified as the best fitting model, which included: (1) 'negligible substance use' for those reporting none or using any substance sparingly; (2) 'soft substance use' for those using poppers, ecstasy and drinking before sex; and (3) 'amphetamine-type stimulant (ATS) use' for those using stimulants (methamphetamine, ecstasy), erectile dysfunction drugs and recreational drug use before sex. Men in the 'ATS use' category were significantly less likely to not know their HIV status (AOR: 0.30, 95%CI: 0.14,0.66), more likely to have had more than 6 male sex partners (AOR: 4.83, 95% CI: 1.92-12.2), to have group sex (AOR:4.07, 95% CI: 2.31-7.15), to report inconsistent condom use (AOR:2.01, 95% CI: 1.12-3.60), to be HIV-infected (AOR:3.92, 95% CI: 1.63-8.42) and to have had any sexually transmitted infections (AOR:3.92, 95% CI:1.70, 9.08), compared to men in the 'negligible substance use' category.\nCONCLUSIONS: Our study identified subgroups of Malaysian MSM with distinct substance use patterns and HIV-related risk profiles, which provides implication for targeting HIV prevention in this subpopulation.","DOI":"10.1016/j.drugalcdep.2015.02.040","ISSN":"1879-0046","note":"PMID: 25865907","shortTitle":"Latent class analysis of substance use among men who have sex with men in Malaysia","journalAbbreviation":"Drug Alcohol Depend","language":"eng","author":[{"family":"Lim","given":"Sin How"},{"family":"Cheung","given":"Doug H."},{"family":"Guadamuz","given":"Thomas E."},{"family":"Wei","given":"Chongyi"},{"family":"Koe","given":"Stuart"},{"family":"Altice","given":"Frederick L."}],"issued":{"date-parts":[["2015",6,1]]}}}],"schema":"https://github.com/citation-style-language/schema/raw/master/csl-citation.json"} </w:instrText>
      </w:r>
      <w:r w:rsidR="00236FDF" w:rsidRPr="00CA4BCA">
        <w:rPr>
          <w:rFonts w:cs="Times New Roman"/>
          <w:lang w:val="en-CA"/>
        </w:rPr>
        <w:fldChar w:fldCharType="separate"/>
      </w:r>
      <w:r w:rsidR="00B35BEE" w:rsidRPr="00873B83">
        <w:rPr>
          <w:rFonts w:cs="Times New Roman"/>
        </w:rPr>
        <w:t>(Lim et al., 2015a; McCarty-Caplan et al., 2014)</w:t>
      </w:r>
      <w:r w:rsidR="00236FDF" w:rsidRPr="00CA4BCA">
        <w:rPr>
          <w:rFonts w:cs="Times New Roman"/>
          <w:lang w:val="en-CA"/>
        </w:rPr>
        <w:fldChar w:fldCharType="end"/>
      </w:r>
      <w:r w:rsidRPr="00CA4BCA">
        <w:rPr>
          <w:rFonts w:cs="Times New Roman"/>
          <w:lang w:val="en-CA"/>
        </w:rPr>
        <w:t xml:space="preserve">. </w:t>
      </w:r>
      <w:r w:rsidR="00935B7B" w:rsidRPr="00CA4BCA">
        <w:rPr>
          <w:rFonts w:cs="Times New Roman"/>
          <w:lang w:val="en-CA"/>
        </w:rPr>
        <w:t>While studies among other populations</w:t>
      </w:r>
      <w:r w:rsidR="000F23AE" w:rsidRPr="00CA4BCA">
        <w:rPr>
          <w:rFonts w:cs="Times New Roman"/>
          <w:lang w:val="en-CA"/>
        </w:rPr>
        <w:t xml:space="preserve"> (e.g., heterosexual men and women</w:t>
      </w:r>
      <w:r w:rsidR="0089254D" w:rsidRPr="00CA4BCA">
        <w:rPr>
          <w:rFonts w:cs="Times New Roman"/>
          <w:lang w:val="en-CA"/>
        </w:rPr>
        <w:t>)</w:t>
      </w:r>
      <w:r w:rsidR="00935B7B" w:rsidRPr="00CA4BCA">
        <w:rPr>
          <w:rFonts w:cs="Times New Roman"/>
          <w:lang w:val="en-CA"/>
        </w:rPr>
        <w:t xml:space="preserve"> have previously shown that latent substance use classes are relatively stable</w:t>
      </w:r>
      <w:r w:rsidR="000F23AE" w:rsidRPr="00CA4BCA">
        <w:rPr>
          <w:rFonts w:cs="Times New Roman"/>
          <w:lang w:val="en-CA"/>
        </w:rPr>
        <w:t xml:space="preserve"> </w:t>
      </w:r>
      <w:r w:rsidR="00B50350" w:rsidRPr="00CA4BCA">
        <w:rPr>
          <w:rFonts w:cs="Times New Roman"/>
          <w:lang w:val="en-CA"/>
        </w:rPr>
        <w:fldChar w:fldCharType="begin"/>
      </w:r>
      <w:r w:rsidR="000F23AE" w:rsidRPr="00CA4BCA">
        <w:rPr>
          <w:rFonts w:cs="Times New Roman"/>
          <w:lang w:val="en-CA"/>
        </w:rPr>
        <w:instrText xml:space="preserve"> ADDIN ZOTERO_ITEM CSL_CITATION {"citationID":"Vm3s8SyI","properties":{"formattedCitation":"(Lanza and Bray, 2010; Tomczyk et al., 2016)","plainCitation":"(Lanza and Bray, 2010; Tomczyk et al., 2016)"},"citationItems":[{"id":2281,"uris":["http://zotero.org/users/2569385/items/G4I97BI5"],"uri":["http://zotero.org/users/2569385/items/G4I97BI5"],"itemData":{"id":2281,"type":"article-journal","title":"Transitions in drug use among high-risk women: an application of latent class and latent transition analysis","container-title":"Advances and applications in statistical sciences","page":"203-235","volume":"3","issue":"2","source":"PubMed Central","abstract":"Latent class analysis (LCA) is a statistical approach to identifying underlying subgroups (i.e. latent classes) of individuals based on their responses to a set of observed categorical variables. Latent transition analysis (LTA) extends this framework to longitudinal data in order to estimate the incidence of transitions over time in latent class membership. This study provides an introduction to LCA and LTA, including the use of grouping variables and covariates, and demonstrates the use of two SAS ® procedures (PROC LCA and PROC LTA) to fit these models. The empirical demonstration involved data from 457 women who participated in the Women's Interagency HIV Study (WIHS). First, LCA was used to identify drug use latent classes based on reported use of tobacco, alcohol, marijuana, crack/cocaine/heroin and other drugs. Second, LTA was used to estimate the incidence of transitions in drug use latent classes over a one-year period. Third, racial differences in initial drug use and transitions over time were examined using multiple-groups LTA. Fourth, the effect of participation in an alcohol or drug treatment program on initial latent class membership and transitions over time were examined using LTA with covariates. Measurement invariance across time and groups is examined.","ISSN":"0974-6811","note":"PMID: 21921977\nPMCID: PMC3171700","shortTitle":"TRANSITIONS IN DRUG USE AMONG HIGH-RISK WOMEN","journalAbbreviation":"Adv Appl Stat Sci","author":[{"family":"Lanza","given":"Stephanie T."},{"family":"Bray","given":"Bethany C."}],"issued":{"date-parts":[["2010",10]]}}},{"id":2283,"uris":["http://zotero.org/users/2569385/items/BA9F68EM"],"uri":["http://zotero.org/users/2569385/items/BA9F68EM"],"itemData":{"id":2283,"type":"article-journal","title":"Polysubstance use patterns and trajectories in vocational students--a latent transition analysis","container-title":"Addictive Behaviors","page":"136-141","volume":"58","source":"PubMed","abstract":"BACKGROUND: The transition from late adolescence to early adulthood (16-20 years) represents a time of exploration and self-discovery for many young people. As such, it is often associated with experimentation in substance use. Vocational students in particular report high substance use. Thus, the aim of this study is to examine patterns and trajectories of their substance use behavior.\nMETHODS: On two occasions (interval 18 months), we investigated 5214 students (M=19.39 years; 54% male) from 49 vocational schools in seven German federal states. We identified classes of substance use and trajectories via latent transition analysis, controlling for gender, age, and socio-economic status. Additionally, we investigated work-related (job demands/stress/satisfaction) and psychopathological (depressive symptoms) predictors of substance use via multinomial regressions.\nRESULTS: We found three latent stages of substance use: low use (baseline: 43%/follow-up: 44%), mainly alcohol use (50%/45%), and polysubstance use (7%/11%). Over time, 10% of alcohol users at baseline transitioned to polysubstance use at follow-up, while there were smaller transition rates (2-9%) between the other stages. Compared to low use, polysubstance use at follow-up was predicted by high job stress (aOR=1.45, 1.07-1.96) at baseline.\nCONCLUSIONS: High alcohol use is associated with bidirectional transitions in young adults. Hence, future research needs to identify mechanisms of change to identify protective factors. Regarding vocational practice, early stress management seems to be a viable path to prevent polysubstance use in vocational students.","DOI":"10.1016/j.addbeh.2016.02.027","ISSN":"1873-6327","note":"PMID: 26943488","journalAbbreviation":"Addict Behav","language":"eng","author":[{"family":"Tomczyk","given":"Samuel"},{"family":"Pedersen","given":"Anya"},{"family":"Hanewinkel","given":"Reiner"},{"family":"Isensee","given":"Barbara"},{"family":"Morgenstern","given":"Matthis"}],"issued":{"date-parts":[["2016",7]]}}}],"schema":"https://github.com/citation-style-language/schema/raw/master/csl-citation.json"} </w:instrText>
      </w:r>
      <w:r w:rsidR="00B50350" w:rsidRPr="00CA4BCA">
        <w:rPr>
          <w:rFonts w:cs="Times New Roman"/>
          <w:lang w:val="en-CA"/>
        </w:rPr>
        <w:fldChar w:fldCharType="separate"/>
      </w:r>
      <w:r w:rsidR="00585BBD" w:rsidRPr="00585BBD">
        <w:rPr>
          <w:rFonts w:cs="Times New Roman"/>
        </w:rPr>
        <w:t>(Lanza and Bray, 2010; Tomczyk et al., 2016)</w:t>
      </w:r>
      <w:r w:rsidR="00B50350" w:rsidRPr="00CA4BCA">
        <w:rPr>
          <w:rFonts w:cs="Times New Roman"/>
          <w:lang w:val="en-CA"/>
        </w:rPr>
        <w:fldChar w:fldCharType="end"/>
      </w:r>
      <w:r w:rsidR="00935B7B" w:rsidRPr="00CA4BCA">
        <w:rPr>
          <w:rFonts w:cs="Times New Roman"/>
          <w:lang w:val="en-CA"/>
        </w:rPr>
        <w:t xml:space="preserve">, none, to our knowledge, have examined the stability of latent classes beyond </w:t>
      </w:r>
      <w:r w:rsidR="00F740FD" w:rsidRPr="00CA4BCA">
        <w:rPr>
          <w:rFonts w:cs="Times New Roman"/>
          <w:lang w:val="en-CA"/>
        </w:rPr>
        <w:t>a single follow-up visit (e.g., six to twelve months)</w:t>
      </w:r>
      <w:r w:rsidR="002551E1" w:rsidRPr="00CA4BCA">
        <w:rPr>
          <w:rFonts w:cs="Times New Roman"/>
          <w:lang w:val="en-CA"/>
        </w:rPr>
        <w:t xml:space="preserve"> or among GBM. However,</w:t>
      </w:r>
      <w:r w:rsidR="00935B7B" w:rsidRPr="00CA4BCA">
        <w:rPr>
          <w:rFonts w:cs="Times New Roman"/>
          <w:lang w:val="en-CA"/>
        </w:rPr>
        <w:t xml:space="preserve"> our study supports these previous findings and suggests that latent </w:t>
      </w:r>
      <w:r w:rsidR="00066A87" w:rsidRPr="00CA4BCA">
        <w:rPr>
          <w:rFonts w:cs="Times New Roman"/>
          <w:lang w:val="en-CA"/>
        </w:rPr>
        <w:t>classes in this population</w:t>
      </w:r>
      <w:r w:rsidR="00935B7B" w:rsidRPr="00CA4BCA">
        <w:rPr>
          <w:rFonts w:cs="Times New Roman"/>
          <w:lang w:val="en-CA"/>
        </w:rPr>
        <w:t xml:space="preserve"> are relatively </w:t>
      </w:r>
      <w:r w:rsidR="004A3BD9" w:rsidRPr="00CA4BCA">
        <w:rPr>
          <w:rFonts w:cs="Times New Roman"/>
          <w:lang w:val="en-CA"/>
        </w:rPr>
        <w:t>stable</w:t>
      </w:r>
      <w:r w:rsidR="008A7C4B" w:rsidRPr="00CA4BCA">
        <w:rPr>
          <w:rFonts w:cs="Times New Roman"/>
          <w:lang w:val="en-CA"/>
        </w:rPr>
        <w:t xml:space="preserve"> – at least</w:t>
      </w:r>
      <w:r w:rsidR="004A3BD9" w:rsidRPr="00CA4BCA">
        <w:rPr>
          <w:rFonts w:cs="Times New Roman"/>
          <w:lang w:val="en-CA"/>
        </w:rPr>
        <w:t xml:space="preserve"> </w:t>
      </w:r>
      <w:r w:rsidR="008A7C4B" w:rsidRPr="00CA4BCA">
        <w:rPr>
          <w:rFonts w:cs="Times New Roman"/>
          <w:lang w:val="en-CA"/>
        </w:rPr>
        <w:t>over 2.5 years</w:t>
      </w:r>
      <w:r w:rsidR="00D63A9C" w:rsidRPr="00CA4BCA">
        <w:rPr>
          <w:rFonts w:cs="Times New Roman"/>
          <w:lang w:val="en-CA"/>
        </w:rPr>
        <w:t>.</w:t>
      </w:r>
      <w:r w:rsidR="000F23AE" w:rsidRPr="00CA4BCA">
        <w:rPr>
          <w:rFonts w:cs="Times New Roman"/>
        </w:rPr>
        <w:t xml:space="preserve"> </w:t>
      </w:r>
      <w:r w:rsidR="000F23AE" w:rsidRPr="00CA4BCA">
        <w:rPr>
          <w:rFonts w:cs="Times New Roman"/>
          <w:lang w:val="en-CA"/>
        </w:rPr>
        <w:t xml:space="preserve">This finding highlights the potential utility of using latent classes as explanatory factors in longitudinal studies, particularly for hierarchical models using repeated measures. However, </w:t>
      </w:r>
      <w:r w:rsidR="00E3655C" w:rsidRPr="00CA4BCA">
        <w:rPr>
          <w:rFonts w:cs="Times New Roman"/>
          <w:lang w:val="en-CA"/>
        </w:rPr>
        <w:t>while the latent classes themselves persisted at a population-level and most individuals within each class retained class membership, at the individual level approximately 25% of</w:t>
      </w:r>
      <w:r w:rsidR="000F23AE" w:rsidRPr="00CA4BCA">
        <w:rPr>
          <w:rFonts w:cs="Times New Roman"/>
          <w:lang w:val="en-CA"/>
        </w:rPr>
        <w:t xml:space="preserve"> GBM </w:t>
      </w:r>
      <w:r w:rsidR="00E3655C" w:rsidRPr="00CA4BCA">
        <w:rPr>
          <w:rFonts w:cs="Times New Roman"/>
          <w:lang w:val="en-CA"/>
        </w:rPr>
        <w:t xml:space="preserve">underwent class transitions. This may be due to uncertainty in class assignment or actual changes in substance use behavior. As such, </w:t>
      </w:r>
      <w:r w:rsidR="00400D6D" w:rsidRPr="00CA4BCA">
        <w:rPr>
          <w:rFonts w:cs="Times New Roman"/>
          <w:lang w:val="en-CA"/>
        </w:rPr>
        <w:t xml:space="preserve">caution should be taken when interpreting </w:t>
      </w:r>
      <w:r w:rsidR="002551E1" w:rsidRPr="00CA4BCA">
        <w:rPr>
          <w:rFonts w:cs="Times New Roman"/>
          <w:lang w:val="en-CA"/>
        </w:rPr>
        <w:t>cross-sectional</w:t>
      </w:r>
      <w:r w:rsidR="00400D6D" w:rsidRPr="00CA4BCA">
        <w:rPr>
          <w:rFonts w:cs="Times New Roman"/>
          <w:lang w:val="en-CA"/>
        </w:rPr>
        <w:t xml:space="preserve"> relationship</w:t>
      </w:r>
      <w:r w:rsidR="002551E1" w:rsidRPr="00CA4BCA">
        <w:rPr>
          <w:rFonts w:cs="Times New Roman"/>
          <w:lang w:val="en-CA"/>
        </w:rPr>
        <w:t>s</w:t>
      </w:r>
      <w:r w:rsidR="00400D6D" w:rsidRPr="00CA4BCA">
        <w:rPr>
          <w:rFonts w:cs="Times New Roman"/>
          <w:lang w:val="en-CA"/>
        </w:rPr>
        <w:t xml:space="preserve"> between person-level characteristics and </w:t>
      </w:r>
      <w:r w:rsidR="002551E1" w:rsidRPr="00CA4BCA">
        <w:rPr>
          <w:rFonts w:cs="Times New Roman"/>
          <w:lang w:val="en-CA"/>
        </w:rPr>
        <w:t>latent class membership.</w:t>
      </w:r>
    </w:p>
    <w:p w14:paraId="4C9135B4" w14:textId="5BE0059F" w:rsidR="00D957EA" w:rsidRPr="00CA4BCA" w:rsidRDefault="002551E1" w:rsidP="00D957EA">
      <w:pPr>
        <w:rPr>
          <w:rFonts w:cs="Times New Roman"/>
          <w:lang w:val="en-CA"/>
        </w:rPr>
      </w:pPr>
      <w:r w:rsidRPr="00CA4BCA">
        <w:rPr>
          <w:rFonts w:cs="Times New Roman"/>
          <w:lang w:val="en-CA"/>
        </w:rPr>
        <w:tab/>
        <w:t xml:space="preserve">Regarding specific patterns of transition, our study shows that </w:t>
      </w:r>
      <w:r w:rsidR="00916062" w:rsidRPr="00CA4BCA">
        <w:rPr>
          <w:rFonts w:cs="Times New Roman"/>
          <w:lang w:val="en-CA"/>
        </w:rPr>
        <w:t xml:space="preserve">assorted drug </w:t>
      </w:r>
      <w:r w:rsidRPr="00CA4BCA">
        <w:rPr>
          <w:rFonts w:cs="Times New Roman"/>
          <w:lang w:val="en-CA"/>
        </w:rPr>
        <w:t>use declined over time and limite</w:t>
      </w:r>
      <w:r w:rsidR="008A7C4B" w:rsidRPr="00CA4BCA">
        <w:rPr>
          <w:rFonts w:cs="Times New Roman"/>
          <w:lang w:val="en-CA"/>
        </w:rPr>
        <w:t xml:space="preserve">d drug use increased over time – potentially suggesting an overall decline in severity of substance use patterns within this cohort. </w:t>
      </w:r>
      <w:r w:rsidRPr="00CA4BCA">
        <w:rPr>
          <w:rFonts w:cs="Times New Roman"/>
          <w:lang w:val="en-CA"/>
        </w:rPr>
        <w:t xml:space="preserve">This finding is likely reflective of long standing evidence suggesting that substance use varies </w:t>
      </w:r>
      <w:r w:rsidR="00A67D12" w:rsidRPr="00CA4BCA">
        <w:rPr>
          <w:rFonts w:cs="Times New Roman"/>
          <w:lang w:val="en-CA"/>
        </w:rPr>
        <w:t>with</w:t>
      </w:r>
      <w:r w:rsidRPr="00CA4BCA">
        <w:rPr>
          <w:rFonts w:cs="Times New Roman"/>
          <w:lang w:val="en-CA"/>
        </w:rPr>
        <w:t xml:space="preserve"> period</w:t>
      </w:r>
      <w:r w:rsidR="00A67D12" w:rsidRPr="00CA4BCA">
        <w:rPr>
          <w:rFonts w:cs="Times New Roman"/>
          <w:lang w:val="en-CA"/>
        </w:rPr>
        <w:t xml:space="preserve"> (i.e., changes in substance use patterns in society)</w:t>
      </w:r>
      <w:r w:rsidRPr="00CA4BCA">
        <w:rPr>
          <w:rFonts w:cs="Times New Roman"/>
          <w:lang w:val="en-CA"/>
        </w:rPr>
        <w:t>, age</w:t>
      </w:r>
      <w:r w:rsidR="00A67D12" w:rsidRPr="00CA4BCA">
        <w:rPr>
          <w:rFonts w:cs="Times New Roman"/>
          <w:lang w:val="en-CA"/>
        </w:rPr>
        <w:t xml:space="preserve"> (i.e., changes in substance use patterns across the life course)</w:t>
      </w:r>
      <w:r w:rsidRPr="00CA4BCA">
        <w:rPr>
          <w:rFonts w:cs="Times New Roman"/>
          <w:lang w:val="en-CA"/>
        </w:rPr>
        <w:t>, and cohort</w:t>
      </w:r>
      <w:r w:rsidR="00A67D12" w:rsidRPr="00CA4BCA">
        <w:rPr>
          <w:rFonts w:cs="Times New Roman"/>
          <w:lang w:val="en-CA"/>
        </w:rPr>
        <w:t xml:space="preserve"> </w:t>
      </w:r>
      <w:r w:rsidR="00A67D12" w:rsidRPr="00CA4BCA">
        <w:rPr>
          <w:rFonts w:cs="Times New Roman"/>
          <w:lang w:val="en-CA"/>
        </w:rPr>
        <w:lastRenderedPageBreak/>
        <w:t>(i.e., changes in age cohorts) effects</w:t>
      </w:r>
      <w:r w:rsidR="005A48CF" w:rsidRPr="00CA4BCA">
        <w:rPr>
          <w:rFonts w:cs="Times New Roman"/>
          <w:lang w:val="en-CA"/>
        </w:rPr>
        <w:t xml:space="preserve"> </w:t>
      </w:r>
      <w:r w:rsidR="005A48CF" w:rsidRPr="00CA4BCA">
        <w:rPr>
          <w:rFonts w:cs="Times New Roman"/>
          <w:lang w:val="en-CA"/>
        </w:rPr>
        <w:fldChar w:fldCharType="begin"/>
      </w:r>
      <w:r w:rsidR="005A48CF" w:rsidRPr="00CA4BCA">
        <w:rPr>
          <w:rFonts w:cs="Times New Roman"/>
          <w:lang w:val="en-CA"/>
        </w:rPr>
        <w:instrText xml:space="preserve"> ADDIN ZOTERO_ITEM CSL_CITATION {"citationID":"a2h71eujkba","properties":{"formattedCitation":"{\\rtf (O\\uc0\\u8217{}Malley et al., 1984)}","plainCitation":"(O’Malley et al., 1984)"},"citationItems":[{"id":6182,"uris":["http://zotero.org/users/2569385/items/TAGSRWBB"],"uri":["http://zotero.org/users/2569385/items/TAGSRWBB"],"itemData":{"id":6182,"type":"article-journal","title":"Period, age, and cohort effects on substance use among American youth, 1976-82.","container-title":"American Journal of Public Health","page":"682-688","volume":"74","issue":"7","source":"PubMed Central","abstract":"Period, age, and cohort effects on substance use are differentiated for American youth 18 to 24 years old during the period from 1976 to 1982. The data are provided by the Monitoring the Future project, an ongoing study which employs a cohort-sequential design. Weighted least squares regression is used to find plausible and parsimonious models to account for the observed variation in 12 different classes of drugs, both licit and illicit. The point is made that there are no definitive ways to differentiate among the types of effects; thus, any interpretation is open to debate. Period effects involving increased use occurred for cocaine, amphetamines, and methaqualone, while decreases occurred for barbiturates, tranquilizers, and psychedelics other than LSD. Marijuana showed a curvilinear period effect, first increasing then decreasing. Effects of age were more complex. There were increases in the year after high school for daily cigarette use, but not for monthly use. Monthly and daily alcohol use increased with age. A measure of heavy drinking showed a curvilinear trend, first increasing and then decreasing. Annual use of cocaine showed an increase between the ages of 18 and 21. Annual use of narcotics other than heroin showed a linear age decrease. Clear class (or cohort) effects appeared for cigarette use, with each successive class smoking less.","ISSN":"0090-0036","note":"PMID: 6742254\nPMCID: PMC1651672","journalAbbreviation":"Am J Public Health","author":[{"family":"O'Malley","given":"P M"},{"family":"Bachman","given":"J G"},{"family":"Johnston","given":"L D"}],"issued":{"date-parts":[["1984",7]]}}}],"schema":"https://github.com/citation-style-language/schema/raw/master/csl-citation.json"} </w:instrText>
      </w:r>
      <w:r w:rsidR="005A48CF" w:rsidRPr="00CA4BCA">
        <w:rPr>
          <w:rFonts w:cs="Times New Roman"/>
          <w:lang w:val="en-CA"/>
        </w:rPr>
        <w:fldChar w:fldCharType="separate"/>
      </w:r>
      <w:r w:rsidR="00585BBD" w:rsidRPr="00585BBD">
        <w:rPr>
          <w:rFonts w:cs="Times New Roman"/>
        </w:rPr>
        <w:t>(O’Malley et al., 1984)</w:t>
      </w:r>
      <w:r w:rsidR="005A48CF" w:rsidRPr="00CA4BCA">
        <w:rPr>
          <w:rFonts w:cs="Times New Roman"/>
          <w:lang w:val="en-CA"/>
        </w:rPr>
        <w:fldChar w:fldCharType="end"/>
      </w:r>
      <w:r w:rsidR="00A67D12" w:rsidRPr="00CA4BCA">
        <w:rPr>
          <w:rFonts w:cs="Times New Roman"/>
          <w:lang w:val="en-CA"/>
        </w:rPr>
        <w:t xml:space="preserve">. </w:t>
      </w:r>
      <w:r w:rsidR="008A7C4B" w:rsidRPr="00CA4BCA">
        <w:rPr>
          <w:rFonts w:cs="Times New Roman"/>
          <w:lang w:val="en-CA"/>
        </w:rPr>
        <w:t>Indeed,</w:t>
      </w:r>
      <w:r w:rsidR="00A67D12" w:rsidRPr="00CA4BCA">
        <w:rPr>
          <w:rFonts w:cs="Times New Roman"/>
          <w:lang w:val="en-CA"/>
        </w:rPr>
        <w:t xml:space="preserve"> the increasing proportion of participants who reported limited drug use and attrition from the </w:t>
      </w:r>
      <w:r w:rsidR="00916062" w:rsidRPr="00CA4BCA">
        <w:rPr>
          <w:rFonts w:cs="Times New Roman"/>
          <w:lang w:val="en-CA"/>
        </w:rPr>
        <w:t xml:space="preserve">assorted </w:t>
      </w:r>
      <w:r w:rsidR="00A67D12" w:rsidRPr="00CA4BCA">
        <w:rPr>
          <w:rFonts w:cs="Times New Roman"/>
          <w:lang w:val="en-CA"/>
        </w:rPr>
        <w:t xml:space="preserve">drug use class is likely indicative of a curvilinear relationship between substance use patterns and the life course – with </w:t>
      </w:r>
      <w:r w:rsidR="008A7C4B" w:rsidRPr="00CA4BCA">
        <w:rPr>
          <w:rFonts w:cs="Times New Roman"/>
          <w:lang w:val="en-CA"/>
        </w:rPr>
        <w:t>younger participants</w:t>
      </w:r>
      <w:r w:rsidR="00A67D12" w:rsidRPr="00CA4BCA">
        <w:rPr>
          <w:rFonts w:cs="Times New Roman"/>
          <w:lang w:val="en-CA"/>
        </w:rPr>
        <w:t xml:space="preserve"> </w:t>
      </w:r>
      <w:r w:rsidR="008A7C4B" w:rsidRPr="00CA4BCA">
        <w:rPr>
          <w:rFonts w:cs="Times New Roman"/>
          <w:lang w:val="en-CA"/>
        </w:rPr>
        <w:t xml:space="preserve">increasing their substance use </w:t>
      </w:r>
      <w:r w:rsidR="00A67D12" w:rsidRPr="00CA4BCA">
        <w:rPr>
          <w:rFonts w:cs="Times New Roman"/>
          <w:lang w:val="en-CA"/>
        </w:rPr>
        <w:t xml:space="preserve">and older participants </w:t>
      </w:r>
      <w:r w:rsidR="005A48CF" w:rsidRPr="00CA4BCA">
        <w:rPr>
          <w:rFonts w:cs="Times New Roman"/>
          <w:lang w:val="en-CA"/>
        </w:rPr>
        <w:t xml:space="preserve">limiting their use as they age </w:t>
      </w:r>
      <w:r w:rsidR="005A48CF" w:rsidRPr="00CA4BCA">
        <w:rPr>
          <w:rFonts w:cs="Times New Roman"/>
          <w:lang w:val="en-CA"/>
        </w:rPr>
        <w:fldChar w:fldCharType="begin"/>
      </w:r>
      <w:r w:rsidR="00B35BEE">
        <w:rPr>
          <w:rFonts w:cs="Times New Roman"/>
          <w:lang w:val="en-CA"/>
        </w:rPr>
        <w:instrText xml:space="preserve"> ADDIN ZOTERO_ITEM CSL_CITATION {"citationID":"a1tf1puraj0","properties":{"formattedCitation":"(Hser et al., 2007, 2009)","plainCitation":"(Hser et al., 2007, 2009)"},"citationItems":[{"id":6239,"uris":["http://zotero.org/users/2569385/items/5NNLRJMY"],"uri":["http://zotero.org/users/2569385/items/5NNLRJMY"],"itemData":{"id":6239,"type":"article-journal","title":"Understanding Drug Use Over the Life Course: Past, Present, and Future","container-title":"Journal of Drug Issues","page":"231-236","volume":"31","issue":"1","source":"PubMed","abstract":"Over the past 20 years, much exciting addiction research has been conducted. Extensive knowledge has been gathered about comorbid issues, particularly mental health disorders, HIV, and criminal justice involvement. Health services addiction research has become increasingly sophisticated, shifting its focus from patients to consider also services, organizations, and financing structures. Furthermore, through several long-term follow-up studies, empirical evidence convincingly demonstrates that drug dependence is not an acute disorder, and is best understood through a life course perspective with an emphasis on chronicity This article highlights three major directions for future addiction research: developing strategies for chronic care (including longitudinal intervention studies), furthering cross-system linkage and coordination, and utilizing innovative methods (e.g., growth curve modeling, longitudinal mixed methods research) to strengthen the evidence base for the life course perspective on drug addiction.","ISSN":"0022-0426","note":"PMID: 21234276\nPMCID: PMC3018758","shortTitle":"Understanding Drug Use Over the Life Course","journalAbbreviation":"J Drug Issues","language":"eng","author":[{"family":"Hser","given":"Yih-Ing"},{"family":"Hamilton","given":"Alison"},{"family":"Niv","given":"Noosha"}],"issued":{"date-parts":[["2009",1]]}}},{"id":6237,"uris":["http://zotero.org/users/2569385/items/H8QY3DR5"],"uri":["http://zotero.org/users/2569385/items/H8QY3DR5"],"itemData":{"id":6237,"type":"article-journal","title":"The life course perspective on drug use: a conceptual framework for understanding drug use trajectories","container-title":"Evaluation Review","page":"515-547","volume":"31","issue":"6","source":"PubMed","abstract":"This article discusses the life course perspective on drug use, including conceptual and analytic issues involved in developing the life course framework to explain how drug use trajectories develop during an individual's lifetime and how this knowledge can guide new research and approaches to management of drug dependence. Central concepts include trajectories marked by transitions and social capital and turning points influencing changes. The life course perspective offers an organizing framework for classifying varying drug use trajectories, identifying critical events and factors contributing to the persistence or change in drug use, analytically ordering events that occur during the life span, and determining contributory relationships.","DOI":"10.1177/0193841X07307316","ISSN":"0193-841X","note":"PMID: 17986706","shortTitle":"The life course perspective on drug use","journalAbbreviation":"Eval Rev","language":"eng","author":[{"family":"Hser","given":"Yih-Ing"},{"family":"Longshore","given":"Douglas"},{"family":"Anglin","given":"M. Douglas"}],"issued":{"date-parts":[["2007",12]]}}}],"schema":"https://github.com/citation-style-language/schema/raw/master/csl-citation.json"} </w:instrText>
      </w:r>
      <w:r w:rsidR="005A48CF" w:rsidRPr="00CA4BCA">
        <w:rPr>
          <w:rFonts w:cs="Times New Roman"/>
          <w:lang w:val="en-CA"/>
        </w:rPr>
        <w:fldChar w:fldCharType="separate"/>
      </w:r>
      <w:r w:rsidR="00B35BEE" w:rsidRPr="00873B83">
        <w:rPr>
          <w:rFonts w:cs="Times New Roman"/>
        </w:rPr>
        <w:t>(Hser et al., 2007, 2009)</w:t>
      </w:r>
      <w:r w:rsidR="005A48CF" w:rsidRPr="00CA4BCA">
        <w:rPr>
          <w:rFonts w:cs="Times New Roman"/>
          <w:lang w:val="en-CA"/>
        </w:rPr>
        <w:fldChar w:fldCharType="end"/>
      </w:r>
      <w:r w:rsidR="00A67D12" w:rsidRPr="00CA4BCA">
        <w:rPr>
          <w:rFonts w:cs="Times New Roman"/>
          <w:lang w:val="en-CA"/>
        </w:rPr>
        <w:t xml:space="preserve">. </w:t>
      </w:r>
      <w:r w:rsidR="0049189C" w:rsidRPr="00CA4BCA">
        <w:rPr>
          <w:rFonts w:cs="Times New Roman"/>
          <w:lang w:val="en-CA"/>
        </w:rPr>
        <w:t xml:space="preserve">Furthermore, previous research has found that severity of substance use is a strong predictor of individuals obtaining substance use treatment </w:t>
      </w:r>
      <w:r w:rsidR="0049189C" w:rsidRPr="00CA4BCA">
        <w:rPr>
          <w:rFonts w:cs="Times New Roman"/>
          <w:lang w:val="en-CA"/>
        </w:rPr>
        <w:fldChar w:fldCharType="begin"/>
      </w:r>
      <w:r w:rsidR="0049189C" w:rsidRPr="00CA4BCA">
        <w:rPr>
          <w:rFonts w:cs="Times New Roman"/>
          <w:lang w:val="en-CA"/>
        </w:rPr>
        <w:instrText xml:space="preserve"> ADDIN ZOTERO_ITEM CSL_CITATION {"citationID":"acc86n7eu7","properties":{"formattedCitation":"(Evans-Polce et al., 2014)","plainCitation":"(Evans-Polce et al., 2014)"},"citationItems":[{"id":6256,"uris":["http://zotero.org/users/2569385/items/GLZG5BIE"],"uri":["http://zotero.org/users/2569385/items/GLZG5BIE"],"itemData":{"id":6256,"type":"article-journal","title":"Taking a life course approach to studying substance use treatment among a community cohort of African American substance users","container-title":"Drug and Alcohol Dependence","page":"216-223","volume":"142","source":"PubMed","abstract":"BACKGROUND: Life course theory emphasizes the need to examine a wide variety of distal factors along with proximal factors, longitudinally. Yet research on who obtains substance use treatment is generally cross-sectional and limited to examining developmentally proximal factors (e.g., substance use severity) and demographic factors.\nMETHODS: To investigate treatment within a life-course framework, we studied 522 drug and/or alcohol users from a community cohort of African Americans followed prospectively from age 6. Developmentally distal factors of childhood and adolescent social behavior, family environment, academic achievement, mental health, and substance use along with the key proximal factors of substance use severity and socioeconomic status were examined using regression analyses to assess their impact on obtaining adult substance use treatment.\nRESULTS: One-fifth of the study population obtained treatment for substance use by age 32 (20.5%). Although adult socioeconomic status was not associated with substance use treatment in adulthood in the multivariable model, the proximal factor of substance use severity was a strong predictor of obtaining substance use treatment, as expected. After including several developmentally distal factors in the model, childhood aggression also had an independent effect on adult substance use treatment, above and beyond substance use severity.\nCONCLUSIONS: These findings emphasize the importance of using a life course framework when exploring predictors of treatment; early life characteristics are important influences beyond the more proximal factors in adulthood. Research should continue to take a life course approach to better understand pathways to substance use treatment.","DOI":"10.1016/j.drugalcdep.2014.06.025","ISSN":"1879-0046","note":"PMID: 25042214\nPMCID: PMC4127101","journalAbbreviation":"Drug Alcohol Depend","language":"eng","author":[{"family":"Evans-Polce","given":"Rebecca J."},{"family":"Doherty","given":"Elaine E."},{"family":"Ensminger","given":"Margaret E."}],"issued":{"date-parts":[["2014",9,1]]}}}],"schema":"https://github.com/citation-style-language/schema/raw/master/csl-citation.json"} </w:instrText>
      </w:r>
      <w:r w:rsidR="0049189C" w:rsidRPr="00CA4BCA">
        <w:rPr>
          <w:rFonts w:cs="Times New Roman"/>
          <w:lang w:val="en-CA"/>
        </w:rPr>
        <w:fldChar w:fldCharType="separate"/>
      </w:r>
      <w:r w:rsidR="00585BBD" w:rsidRPr="00585BBD">
        <w:rPr>
          <w:rFonts w:cs="Times New Roman"/>
        </w:rPr>
        <w:t>(Evans-Polce et al., 2014)</w:t>
      </w:r>
      <w:r w:rsidR="0049189C" w:rsidRPr="00CA4BCA">
        <w:rPr>
          <w:rFonts w:cs="Times New Roman"/>
          <w:lang w:val="en-CA"/>
        </w:rPr>
        <w:fldChar w:fldCharType="end"/>
      </w:r>
      <w:r w:rsidR="0049189C" w:rsidRPr="00CA4BCA">
        <w:rPr>
          <w:rFonts w:cs="Times New Roman"/>
          <w:lang w:val="en-CA"/>
        </w:rPr>
        <w:t>.</w:t>
      </w:r>
      <w:r w:rsidR="00CE0FB7" w:rsidRPr="00CA4BCA">
        <w:rPr>
          <w:rFonts w:cs="Times New Roman"/>
          <w:lang w:val="en-CA"/>
        </w:rPr>
        <w:t xml:space="preserve"> Therefore, </w:t>
      </w:r>
      <w:r w:rsidR="00916062" w:rsidRPr="00CA4BCA">
        <w:rPr>
          <w:rFonts w:cs="Times New Roman"/>
          <w:lang w:val="en-CA"/>
        </w:rPr>
        <w:t xml:space="preserve">assorted drug </w:t>
      </w:r>
      <w:r w:rsidR="00CE0FB7" w:rsidRPr="00CA4BCA">
        <w:rPr>
          <w:rFonts w:cs="Times New Roman"/>
          <w:lang w:val="en-CA"/>
        </w:rPr>
        <w:t>use</w:t>
      </w:r>
      <w:r w:rsidR="00916062" w:rsidRPr="00CA4BCA">
        <w:rPr>
          <w:rFonts w:cs="Times New Roman"/>
          <w:lang w:val="en-CA"/>
        </w:rPr>
        <w:t xml:space="preserve"> class members</w:t>
      </w:r>
      <w:r w:rsidR="00CE0FB7" w:rsidRPr="00CA4BCA">
        <w:rPr>
          <w:rFonts w:cs="Times New Roman"/>
          <w:lang w:val="en-CA"/>
        </w:rPr>
        <w:t xml:space="preserve"> may be more likely </w:t>
      </w:r>
      <w:r w:rsidR="00B9709D" w:rsidRPr="00CA4BCA">
        <w:rPr>
          <w:rFonts w:cs="Times New Roman"/>
          <w:lang w:val="en-CA"/>
        </w:rPr>
        <w:t xml:space="preserve">to access care, </w:t>
      </w:r>
      <w:r w:rsidR="00CE0FB7" w:rsidRPr="00CA4BCA">
        <w:rPr>
          <w:rFonts w:cs="Times New Roman"/>
          <w:lang w:val="en-CA"/>
        </w:rPr>
        <w:t>seek to intentionally scale back their use</w:t>
      </w:r>
      <w:r w:rsidR="00B9709D" w:rsidRPr="00CA4BCA">
        <w:rPr>
          <w:rFonts w:cs="Times New Roman"/>
          <w:lang w:val="en-CA"/>
        </w:rPr>
        <w:t xml:space="preserve">, or substitute </w:t>
      </w:r>
      <w:r w:rsidR="00330CE3">
        <w:rPr>
          <w:rFonts w:cs="Times New Roman"/>
          <w:lang w:val="en-CA"/>
        </w:rPr>
        <w:t>less</w:t>
      </w:r>
      <w:r w:rsidR="00330CE3" w:rsidRPr="00CA4BCA">
        <w:rPr>
          <w:rFonts w:cs="Times New Roman"/>
          <w:lang w:val="en-CA"/>
        </w:rPr>
        <w:t xml:space="preserve"> </w:t>
      </w:r>
      <w:r w:rsidR="00B9709D" w:rsidRPr="00CA4BCA">
        <w:rPr>
          <w:rFonts w:cs="Times New Roman"/>
          <w:lang w:val="en-CA"/>
        </w:rPr>
        <w:t xml:space="preserve">harmful drugs for </w:t>
      </w:r>
      <w:r w:rsidR="00330CE3">
        <w:rPr>
          <w:rFonts w:cs="Times New Roman"/>
          <w:lang w:val="en-CA"/>
        </w:rPr>
        <w:t>more</w:t>
      </w:r>
      <w:r w:rsidR="00330CE3" w:rsidRPr="00CA4BCA">
        <w:rPr>
          <w:rFonts w:cs="Times New Roman"/>
          <w:lang w:val="en-CA"/>
        </w:rPr>
        <w:t xml:space="preserve"> </w:t>
      </w:r>
      <w:r w:rsidR="00B9709D" w:rsidRPr="00CA4BCA">
        <w:rPr>
          <w:rFonts w:cs="Times New Roman"/>
          <w:lang w:val="en-CA"/>
        </w:rPr>
        <w:t xml:space="preserve">harmful ones </w:t>
      </w:r>
      <w:r w:rsidR="00B9709D" w:rsidRPr="00CA4BCA">
        <w:rPr>
          <w:rFonts w:cs="Times New Roman"/>
          <w:lang w:val="en-CA"/>
        </w:rPr>
        <w:fldChar w:fldCharType="begin"/>
      </w:r>
      <w:r w:rsidR="00B9709D" w:rsidRPr="00CA4BCA">
        <w:rPr>
          <w:rFonts w:cs="Times New Roman"/>
          <w:lang w:val="en-CA"/>
        </w:rPr>
        <w:instrText xml:space="preserve"> ADDIN ZOTERO_ITEM CSL_CITATION {"citationID":"a14um139pbh","properties":{"formattedCitation":"(Grella and Lovinger, 2011)","plainCitation":"(Grella and Lovinger, 2011)"},"citationItems":[{"id":6261,"uris":["http://zotero.org/users/2569385/items/7XDMPUI4"],"uri":["http://zotero.org/users/2569385/items/7XDMPUI4"],"itemData":{"id":6261,"type":"article-journal","title":"30-year trajectories of heroin and other drug use among men and women sampled from methadone treatment in California","container-title":"Drug and Alcohol Dependence","page":"251-258","volume":"118","issue":"2-3","source":"PubMed","abstract":"BACKGROUND: This study examines 30-year trajectories of heroin and other drug use among men and women who were in methadone maintenance treatment in California in the late 1970s and interviewed in 1978-1981.\nMETHODS: Nearly half (N=428; 46.8%) of the original study sample (N=914) was deceased. Of the remaining 486 subjects, 343 (44.3% female) completed a follow-up interview in 2005-2009 (70.6% of those not deceased). Average age at follow-up was 58.3 (SD=4.9) years for males and 55.0 (SD=4.1) years for females. Longitudinal data was obtained on their drug use, treatment participation, and criminal justice status over the follow-up period. Trajectory group modeling was used to identify distinctive trajectory groups based on monthly averages of heroin and other drug use per year; group differences were examined.\nRESULTS: Four heroin and five alcohol and other drug (AOD) trajectory groups were identified. A greater proportion of women (60%) were in the \"rapid decrease\" heroin group (odds of use less than 10% by 10 years following initiation of use) as compared with the other groups. More rapid decrease of heroin use was associated with increases in AOD use, whereas a gradual decrease in heroin use was associated with a gradual decrease in AOD use. More school problems and earlier age at onset of heroin use and first arrest were associated with more persistent heroin use.\nCONCLUSION: Heroin-use trajectories were linked with changes in AOD use. Childhood antecedents of heroin-use trajectories were identified as well as gender differences.","DOI":"10.1016/j.drugalcdep.2011.04.004","ISSN":"1879-0046","note":"PMID: 21549528\nPMCID: PMC3156933","journalAbbreviation":"Drug Alcohol Depend","language":"eng","author":[{"family":"Grella","given":"Christine E."},{"family":"Lovinger","given":"Katherine"}],"issued":{"date-parts":[["2011",11,1]]}}}],"schema":"https://github.com/citation-style-language/schema/raw/master/csl-citation.json"} </w:instrText>
      </w:r>
      <w:r w:rsidR="00B9709D" w:rsidRPr="00CA4BCA">
        <w:rPr>
          <w:rFonts w:cs="Times New Roman"/>
          <w:lang w:val="en-CA"/>
        </w:rPr>
        <w:fldChar w:fldCharType="separate"/>
      </w:r>
      <w:r w:rsidR="00585BBD" w:rsidRPr="00585BBD">
        <w:rPr>
          <w:rFonts w:cs="Times New Roman"/>
        </w:rPr>
        <w:t>(Grella and Lovinger, 2011)</w:t>
      </w:r>
      <w:r w:rsidR="00B9709D" w:rsidRPr="00CA4BCA">
        <w:rPr>
          <w:rFonts w:cs="Times New Roman"/>
          <w:lang w:val="en-CA"/>
        </w:rPr>
        <w:fldChar w:fldCharType="end"/>
      </w:r>
      <w:r w:rsidR="00D957EA" w:rsidRPr="00CA4BCA">
        <w:rPr>
          <w:rFonts w:cs="Times New Roman"/>
          <w:lang w:val="en-CA"/>
        </w:rPr>
        <w:t xml:space="preserve">. </w:t>
      </w:r>
      <w:r w:rsidR="00066A87" w:rsidRPr="00CA4BCA">
        <w:rPr>
          <w:rFonts w:cs="Times New Roman"/>
          <w:lang w:val="en-CA"/>
        </w:rPr>
        <w:t>However, t</w:t>
      </w:r>
      <w:r w:rsidR="00D67BFA" w:rsidRPr="00CA4BCA">
        <w:rPr>
          <w:rFonts w:cs="Times New Roman"/>
          <w:lang w:val="en-CA"/>
        </w:rPr>
        <w:t>he</w:t>
      </w:r>
      <w:r w:rsidR="00A67D12" w:rsidRPr="00CA4BCA">
        <w:rPr>
          <w:rFonts w:cs="Times New Roman"/>
          <w:lang w:val="en-CA"/>
        </w:rPr>
        <w:t xml:space="preserve"> lack of specific analyses examining </w:t>
      </w:r>
      <w:r w:rsidR="00D67BFA" w:rsidRPr="00CA4BCA">
        <w:rPr>
          <w:rFonts w:cs="Times New Roman"/>
          <w:lang w:val="en-CA"/>
        </w:rPr>
        <w:t xml:space="preserve">the underlying factors predicting class transitions makes it difficult to speak directly to these phenomena. As such, larger scale quantitative studies and carefully targeted qualitative studies are needed to assess specific patterns of substance use transition. </w:t>
      </w:r>
    </w:p>
    <w:p w14:paraId="1F52D84E" w14:textId="4EE82976" w:rsidR="003F2260" w:rsidRPr="00CA4BCA" w:rsidRDefault="00D67BFA" w:rsidP="00D957EA">
      <w:pPr>
        <w:ind w:firstLine="720"/>
        <w:rPr>
          <w:rFonts w:cs="Times New Roman"/>
          <w:lang w:val="en-CA"/>
        </w:rPr>
      </w:pPr>
      <w:r w:rsidRPr="00CA4BCA">
        <w:rPr>
          <w:rFonts w:cs="Times New Roman"/>
          <w:lang w:val="en-CA"/>
        </w:rPr>
        <w:t xml:space="preserve">With that said, several transitions observed in the present study merit attention. First, the largest transition pathway </w:t>
      </w:r>
      <w:r w:rsidR="00E37150" w:rsidRPr="00CA4BCA">
        <w:rPr>
          <w:rFonts w:cs="Times New Roman"/>
          <w:lang w:val="en-CA"/>
        </w:rPr>
        <w:t xml:space="preserve">(n = 24) </w:t>
      </w:r>
      <w:r w:rsidRPr="00CA4BCA">
        <w:rPr>
          <w:rFonts w:cs="Times New Roman"/>
          <w:lang w:val="en-CA"/>
        </w:rPr>
        <w:t xml:space="preserve">was among individuals transitioning from the conventional drug use class to the </w:t>
      </w:r>
      <w:r w:rsidR="00683DB0" w:rsidRPr="00CA4BCA">
        <w:rPr>
          <w:rFonts w:cs="Times New Roman"/>
          <w:lang w:val="en-CA"/>
        </w:rPr>
        <w:t>club drug use class</w:t>
      </w:r>
      <w:r w:rsidR="00D52C79" w:rsidRPr="00CA4BCA">
        <w:rPr>
          <w:rFonts w:cs="Times New Roman"/>
          <w:lang w:val="en-CA"/>
        </w:rPr>
        <w:t xml:space="preserve"> – with a smaller number (n = 10) transitioning from club drug use to conventional drug use</w:t>
      </w:r>
      <w:r w:rsidR="00683DB0" w:rsidRPr="00CA4BCA">
        <w:rPr>
          <w:rFonts w:cs="Times New Roman"/>
          <w:lang w:val="en-CA"/>
        </w:rPr>
        <w:t xml:space="preserve">. </w:t>
      </w:r>
      <w:r w:rsidR="00E4733F" w:rsidRPr="00CA4BCA">
        <w:rPr>
          <w:rFonts w:cs="Times New Roman"/>
          <w:lang w:val="en-CA"/>
        </w:rPr>
        <w:t xml:space="preserve">While </w:t>
      </w:r>
      <w:r w:rsidR="00683DB0" w:rsidRPr="00CA4BCA">
        <w:rPr>
          <w:rFonts w:cs="Times New Roman"/>
          <w:lang w:val="en-CA"/>
        </w:rPr>
        <w:t xml:space="preserve">both </w:t>
      </w:r>
      <w:r w:rsidR="003F2EDC" w:rsidRPr="00CA4BCA">
        <w:rPr>
          <w:rFonts w:cs="Times New Roman"/>
          <w:lang w:val="en-CA"/>
        </w:rPr>
        <w:t xml:space="preserve">classes were </w:t>
      </w:r>
      <w:r w:rsidR="00683DB0" w:rsidRPr="00CA4BCA">
        <w:rPr>
          <w:rFonts w:cs="Times New Roman"/>
          <w:lang w:val="en-CA"/>
        </w:rPr>
        <w:t xml:space="preserve">characterized by </w:t>
      </w:r>
      <w:r w:rsidR="00E4733F" w:rsidRPr="00CA4BCA">
        <w:rPr>
          <w:rFonts w:cs="Times New Roman"/>
          <w:lang w:val="en-CA"/>
        </w:rPr>
        <w:t xml:space="preserve">prevalent </w:t>
      </w:r>
      <w:r w:rsidR="00683DB0" w:rsidRPr="00CA4BCA">
        <w:rPr>
          <w:rFonts w:cs="Times New Roman"/>
          <w:lang w:val="en-CA"/>
        </w:rPr>
        <w:t>alcohol</w:t>
      </w:r>
      <w:r w:rsidR="00E4733F" w:rsidRPr="00CA4BCA">
        <w:rPr>
          <w:rFonts w:cs="Times New Roman"/>
          <w:lang w:val="en-CA"/>
        </w:rPr>
        <w:t xml:space="preserve"> use, the club drug use class was characterized by increased use of cocaine and a number of other party drugs </w:t>
      </w:r>
      <w:r w:rsidR="008536DC" w:rsidRPr="00CA4BCA">
        <w:rPr>
          <w:rFonts w:cs="Times New Roman"/>
          <w:lang w:val="en-CA"/>
        </w:rPr>
        <w:fldChar w:fldCharType="begin"/>
      </w:r>
      <w:r w:rsidR="008536DC" w:rsidRPr="00CA4BCA">
        <w:rPr>
          <w:rFonts w:cs="Times New Roman"/>
          <w:lang w:val="en-CA"/>
        </w:rPr>
        <w:instrText xml:space="preserve"> ADDIN ZOTERO_ITEM CSL_CITATION {"citationID":"a17qp472385","properties":{"formattedCitation":"(Lea et al., 2016; Noor et al., 2017)","plainCitation":"(Lea et al., 2016; Noor et al., 2017)"},"citationItems":[{"id":6243,"uris":["http://zotero.org/users/2569385/items/57RTZ682"],"uri":["http://zotero.org/users/2569385/items/57RTZ682"],"itemData":{"id":6243,"type":"article-journal","title":"Methamphetamine use among gay and bisexual men in Australia: Trends in recent and regular use from the Gay Community Periodic Surveys","container-title":"The International Journal on Drug Policy","page":"66-72","volume":"29","source":"PubMed","abstract":"BACKGROUND: Gay and bisexual men typically report high rates of illicit drug use, including methamphetamine use. This paper aimed to analyse trends in crystal methamphetamine ('crystal') and powder methamphetamine ('speed') use among gay and bisexual men in Australia, and characterise the sociodemographic, drug use, and sexual risk practices of men who reported crystal use.\nMETHODS: The Gay Community Periodic Surveys, routinely conducted behavioural surveillance surveys of gay men in Australia, were analysed to examine trends in recent crystal and speed use during 2005-14 (any use in the previous 6 months), and trends in regular crystal and speed use during 2007-14 (at least monthly use in the previous 6 months). Covariates of recent and regular crystal use were analysed using 2014 data.\nRESULTS: Speed use declined from 25.0% to 10.2% during 2005-14 (p-trend &lt;.001), while regular speed use declined from 7.0% to 2.3% during 2007-14 (p-trend &lt;.001). Any crystal use declined from 15.6% to 11.4% during 2005-14 (p-trend &lt;.001) and increased during 2010-14 (from 9.6% in 2010; p-trend &lt;.001). Regular crystal use declined from 6.1% to 4.0% during 2007-14 (p-trend &lt;.001) and remained stable during 2010-14 (3.9% in 2010; p-trend=.64). Participants who reported regular crystal use were more likely than men who used crystal less frequently to have used gamma-hydroxybutyrate, used party drugs for sex, and to have injected drugs in the previous 6 months. High rates of crystal use and injecting were reported among HIV-positive participants.\nCONCLUSION: Rates of both crystal and speed use, despite fluctuations, were consistently high throughout the study period. The high rates of crystal use and associations with potentially risky sexual practices indicate that gay and bisexual men should be a particular focus for targeted harm reduction and combined harm reduction and sexual health services.","DOI":"10.1016/j.drugpo.2016.01.003","ISSN":"1873-4758","note":"PMID: 26851066","shortTitle":"Methamphetamine use among gay and bisexual men in Australia","journalAbbreviation":"Int. J. Drug Policy","language":"eng","author":[{"family":"Lea","given":"Toby"},{"family":"Mao","given":"Limin"},{"family":"Hopwood","given":"Max"},{"family":"Prestage","given":"Garrett"},{"family":"Zablotska","given":"Iryna"},{"family":"Wit","given":"John","non-dropping-particle":"de"},{"family":"Holt","given":"Martin"}],"issued":{"date-parts":[["2016",3]]}}},{"id":929,"uris":["http://zotero.org/users/2569385/items/S42V4EBJ"],"uri":["http://zotero.org/users/2569385/items/S42V4EBJ"],"itemData":{"id":929,"type":"article-journal","title":"Scenes as Micro-Cultures: Examining Heterogeneity of HIV Risk Behavior Among Gay, Bisexual, and Other Men Who Have Sex with Men in Toronto, Canada","container-title":"Archives of Sexual Behavior","source":"PubMed","abstract":"Using latent class analysis (LCA), we examined patterns of participation in multiple scenes, how sexual risk practices vary by scene, and psychosocial factors associated with these patterns among 470 gay, bisexual, and other men who have sex with men (GBM) recruited from Toronto. We calculated posterior probability of being in a class from participation in nine separate scenes. We used Entropy, the Bayesian information criterion and the Lo-Mendel-Rubin likelihood ratio test to identify the best fit model. Fit indices suggested a four-class solution. Half (50%) of the GBM reported no or minimal participation in any scene, 28% reported participating in the dance club scene, 16% reported participating in the BDSM, bear, and leather scenes, and 6% reported participating in circuit, party and play, and sex party scenes. Compared to GBM who did not participate in scenes, GBM participating in the BDSM-Bear-Leather scene were more likely to be older, white, to report higher sexual self-esteem, and to engage in condomless anal sex; Party and Play scene members were more likely to be of Asian origin, and to use drugs before and during sex, whereas Dance Club scene members were more likely to be younger and to report lower self-esteem but higher hope. LCA allowed us to identify distinct social niches or micro-cultures and factors characterizing these micro-cultures. GBM differ in their risk for HIV and STIs according to characteristics associated with participation in distinct micro-cultures associated with scenes. Tailored interventions may be needed that focus on reducing HIV risk and promoting sexual health in specific contexts such as the BDSM-Bear-Leather and Party and Play.","DOI":"10.1007/s10508-017-0948-y","ISSN":"1573-2800","note":"PMID: 28429157","shortTitle":"Scenes as Micro-Cultures","journalAbbreviation":"Arch Sex Behav","language":"eng","author":[{"family":"Noor","given":"Syed W."},{"family":"Adam","given":"Barry D."},{"family":"Brennan","given":"David J."},{"family":"Moskowitz","given":"David A."},{"family":"Gardner","given":"Sandra"},{"family":"Hart","given":"Trevor A."}],"issued":{"date-parts":[["2017",4,20]]}}}],"schema":"https://github.com/citation-style-language/schema/raw/master/csl-citation.json"} </w:instrText>
      </w:r>
      <w:r w:rsidR="008536DC" w:rsidRPr="00CA4BCA">
        <w:rPr>
          <w:rFonts w:cs="Times New Roman"/>
          <w:lang w:val="en-CA"/>
        </w:rPr>
        <w:fldChar w:fldCharType="separate"/>
      </w:r>
      <w:r w:rsidR="00585BBD" w:rsidRPr="00585BBD">
        <w:rPr>
          <w:rFonts w:cs="Times New Roman"/>
        </w:rPr>
        <w:t>(Lea et al., 2016; Noor et al., 2017)</w:t>
      </w:r>
      <w:r w:rsidR="008536DC" w:rsidRPr="00CA4BCA">
        <w:rPr>
          <w:rFonts w:cs="Times New Roman"/>
          <w:lang w:val="en-CA"/>
        </w:rPr>
        <w:fldChar w:fldCharType="end"/>
      </w:r>
      <w:r w:rsidR="00E4733F" w:rsidRPr="00CA4BCA">
        <w:rPr>
          <w:rFonts w:cs="Times New Roman"/>
          <w:lang w:val="en-CA"/>
        </w:rPr>
        <w:t xml:space="preserve">. </w:t>
      </w:r>
      <w:r w:rsidR="003F2EDC" w:rsidRPr="00CA4BCA">
        <w:rPr>
          <w:rFonts w:cs="Times New Roman"/>
          <w:lang w:val="en-CA"/>
        </w:rPr>
        <w:t xml:space="preserve">This </w:t>
      </w:r>
      <w:r w:rsidR="00117671" w:rsidRPr="00CA4BCA">
        <w:rPr>
          <w:rFonts w:cs="Times New Roman"/>
          <w:lang w:val="en-CA"/>
        </w:rPr>
        <w:t xml:space="preserve">provides some empirical </w:t>
      </w:r>
      <w:r w:rsidR="003F2EDC" w:rsidRPr="00CA4BCA">
        <w:rPr>
          <w:rFonts w:cs="Times New Roman"/>
          <w:lang w:val="en-CA"/>
        </w:rPr>
        <w:t>support</w:t>
      </w:r>
      <w:r w:rsidR="00117671" w:rsidRPr="00CA4BCA">
        <w:rPr>
          <w:rFonts w:cs="Times New Roman"/>
          <w:lang w:val="en-CA"/>
        </w:rPr>
        <w:t xml:space="preserve"> to</w:t>
      </w:r>
      <w:r w:rsidR="003F2EDC" w:rsidRPr="00CA4BCA">
        <w:rPr>
          <w:rFonts w:cs="Times New Roman"/>
          <w:lang w:val="en-CA"/>
        </w:rPr>
        <w:t xml:space="preserve"> biological studies demonstrating a gateway effect of alcohol on cocaine priming</w:t>
      </w:r>
      <w:r w:rsidR="008536DC" w:rsidRPr="00CA4BCA">
        <w:rPr>
          <w:rFonts w:cs="Times New Roman"/>
          <w:lang w:val="en-CA"/>
        </w:rPr>
        <w:t xml:space="preserve"> </w:t>
      </w:r>
      <w:r w:rsidR="008536DC" w:rsidRPr="00CA4BCA">
        <w:rPr>
          <w:rFonts w:cs="Times New Roman"/>
          <w:lang w:val="en-CA"/>
        </w:rPr>
        <w:fldChar w:fldCharType="begin"/>
      </w:r>
      <w:r w:rsidR="0049189C" w:rsidRPr="00CA4BCA">
        <w:rPr>
          <w:rFonts w:cs="Times New Roman"/>
          <w:lang w:val="en-CA"/>
        </w:rPr>
        <w:instrText xml:space="preserve"> ADDIN ZOTERO_ITEM CSL_CITATION {"citationID":"K00d6R8U","properties":{"formattedCitation":"(Griffin et al., 2017; Kecojevic et al., 2017)","plainCitation":"(Griffin et al., 2017; Kecojevic et al., 2017)"},"citationItems":[{"id":6245,"uris":["http://zotero.org/users/2569385/items/T6LXGE5K"],"uri":["http://zotero.org/users/2569385/items/T6LXGE5K"],"itemData":{"id":6245,"type":"article-journal","title":"Prior alcohol use enhances vulnerability to compulsive cocaine self-administration by promoting degradation of HDAC4 and HDAC5","container-title":"Science Advances","page":"e1701682","volume":"3","issue":"11","source":"advances.sciencemag.org","abstract":"Addiction to cocaine is commonly preceded by experiences with legal or decriminalized drugs, such as alcohol, nicotine, and marijuana. The biological mechanisms by which these gateway drugs contribute to cocaine addiction are only beginning to be understood. We report that in the rat, prior alcohol consumption results in enhanced addiction-like behavior to cocaine, including continued cocaine use despite aversive consequences. Conversely, prior cocaine use has no effect on alcohol preference. Long-term, but not short-term, alcohol consumption promotes proteasome-mediated degradation of the nuclear histone deacetylases HDAC4 and HDAC5 in the nucleus accumbens, a brain region critical for reward-based memory. Decreased nuclear HDAC activity results in global H3 acetylation, creating a permissive environment for cocaine-induced gene expression. We also find that selective degradation of HDAC4 and HDAC5, facilitated by the class II–specific HDAC inhibitor MC1568, enhances compulsive cocaine self-administration. These results parallel our previously reported findings that the gateway drug nicotine enhances the behavioral effects of cocaine via HDAC inhibition. Together, our findings suggest a shared mechanism of action for the gateway drugs alcohol and nicotine, and reveal a novel mechanism by which environmental factors may alter the epigenetic landscape of the reward system to increase vulnerability to cocaine addiction.\nPrior alcohol use increases vulnerability to cocaine addiction by promoting degradation of HDAC4 and HDAC5.\nPrior alcohol use increases vulnerability to cocaine addiction by promoting degradation of HDAC4 and HDAC5.","DOI":"10.1126/sciadv.1701682","ISSN":"2375-2548","language":"en","author":[{"family":"Griffin","given":"Edmund A."},{"family":"Melas","given":"Philippe A."},{"family":"Zhou","given":"Royce"},{"family":"Li","given":"Yang"},{"family":"Mercado","given":"Peter"},{"family":"Kempadoo","given":"Kimberly A."},{"family":"Stephenson","given":"Stacy"},{"family":"Colnaghi","given":"Luca"},{"family":"Taylor","given":"Kathleen"},{"family":"Hu","given":"Mei-Chen"},{"family":"Kandel","given":"Eric R."},{"family":"Kandel","given":"Denise B."}],"issued":{"date-parts":[["2017",11,1]]}}},{"id":6254,"uris":["http://zotero.org/users/2569385/items/64TBLRYG"],"uri":["http://zotero.org/users/2569385/items/64TBLRYG"],"itemData":{"id":6254,"type":"article-journal","title":"Concurrent polysubstance use in a longitudinal study of US youth: associations with sexual orientation","container-title":"Addiction","page":"614-624","volume":"112","issue":"4","source":"Wiley Online Library","abstract":"Aims\n\nTo estimate longitudinal associations between self-reported sexual orientation and past-year polysubstance use among youth, and test how gender, age and early onset of tobacco and alcohol use contributed to variation in polysubstance use.\n\n\nDesign\n\nLongitudinal community-based cohort of US adolescents from the Growing Up Today Study (GUTS 1) (n = 16 873) followed from ages 12–29 years.\n\n\nSetting\n\nUnited States of America.\n\n\nParticipants\n\nA total of 13 519 individuals (7839 females; 5680 males) who responded to at least one of five self-administered questionnaires from 1999 to 2010. Ninety-three per cent reported their race/ethnicity as non-Hispanic white.\n\n\nMeasurements\n\nMultivariable repeated measures generalized estimating equations estimated relative risks (RRs) of concurrent polysubstance use (i.e. past 12-month use of three or more substances) comparing sexual orientation minority youth [i.e. mostly heterosexual (MH), bisexual (BI), gay/lesbian (GL)] to their same-gender, completely heterosexual (CH) counterparts. Mediation analyses tested whether early onset of tobacco and/or alcohol use explained relationships between sexual orientation and concurrent polysubstance use.\n\n\nFindings\n\nCompared with their same-gender CH peers, sexual minorities evidenced higher risk for concurrent polysubstance use over all repeated measures [risk ratios (RRs) for sexual minority subgroups: from 1.63–2.91, P-values: &lt;0.001] and for all age groups (RRs: from 1.50–4.04, P-values: &lt; 0.05–&lt; 0.001), except GL males aged 18–20 years. Differences between sexual minorities and CHs were larger among females than males (P-values for sexual orientation × gender interactions were &lt; 0.05 for MHs and BIs), and among younger versus older ages (P-values for sexual orientation × age interactions were &lt; 0.05, except for BI males). Sexual minorities’ younger age of smoking and/or drinking initiation contributed to their elevated polysubstance use (% of effect explained was between 9.4–24.3, P-values: 0.04–&lt; 0.001), except among GL males.\n\n\nConclusions\n\nSexual minority youth in the United States, and in particular younger females, appear to be at disproportionate risk for concurrent past-year polysubstance use. Early onset of smoking and drinking may contribute to elevated risk of polysubstance use among sexual minorities.","DOI":"10.1111/add.13681","ISSN":"1360-0443","shortTitle":"Concurrent polysubstance use in a longitudinal study of US youth","journalAbbreviation":"Addiction","language":"en","author":[{"family":"Kecojevic","given":"Aleksandar"},{"family":"Jun","given":"Hee-Jin"},{"family":"Reisner","given":"Sari L."},{"family":"Corliss","given":"Heather L."}],"issued":{"date-parts":[["2017",4,1]]}}}],"schema":"https://github.com/citation-style-language/schema/raw/master/csl-citation.json"} </w:instrText>
      </w:r>
      <w:r w:rsidR="008536DC" w:rsidRPr="00CA4BCA">
        <w:rPr>
          <w:rFonts w:cs="Times New Roman"/>
          <w:lang w:val="en-CA"/>
        </w:rPr>
        <w:fldChar w:fldCharType="separate"/>
      </w:r>
      <w:r w:rsidR="00585BBD" w:rsidRPr="00585BBD">
        <w:rPr>
          <w:rFonts w:cs="Times New Roman"/>
        </w:rPr>
        <w:t>(Griffin et al., 2017; Kecojevic et al., 2017)</w:t>
      </w:r>
      <w:r w:rsidR="008536DC" w:rsidRPr="00CA4BCA">
        <w:rPr>
          <w:rFonts w:cs="Times New Roman"/>
          <w:lang w:val="en-CA"/>
        </w:rPr>
        <w:fldChar w:fldCharType="end"/>
      </w:r>
      <w:r w:rsidR="00D52C79" w:rsidRPr="00CA4BCA">
        <w:rPr>
          <w:rFonts w:cs="Times New Roman"/>
          <w:lang w:val="en-CA"/>
        </w:rPr>
        <w:t xml:space="preserve">, as well as behavioral economic studies showing </w:t>
      </w:r>
      <w:r w:rsidR="00D957EA" w:rsidRPr="00CA4BCA">
        <w:rPr>
          <w:rFonts w:cs="Times New Roman"/>
          <w:lang w:val="en-CA"/>
        </w:rPr>
        <w:t>alcohol substit</w:t>
      </w:r>
      <w:r w:rsidR="00A43D02" w:rsidRPr="00CA4BCA">
        <w:rPr>
          <w:rFonts w:cs="Times New Roman"/>
          <w:lang w:val="en-CA"/>
        </w:rPr>
        <w:t>ut</w:t>
      </w:r>
      <w:r w:rsidR="00D957EA" w:rsidRPr="00CA4BCA">
        <w:rPr>
          <w:rFonts w:cs="Times New Roman"/>
          <w:lang w:val="en-CA"/>
        </w:rPr>
        <w:t>ion</w:t>
      </w:r>
      <w:r w:rsidR="00D52C79" w:rsidRPr="00CA4BCA">
        <w:rPr>
          <w:rFonts w:cs="Times New Roman"/>
          <w:lang w:val="en-CA"/>
        </w:rPr>
        <w:t xml:space="preserve"> for cocaine </w:t>
      </w:r>
      <w:r w:rsidR="00D52C79" w:rsidRPr="00CA4BCA">
        <w:rPr>
          <w:rFonts w:cs="Times New Roman"/>
          <w:lang w:val="en-CA"/>
        </w:rPr>
        <w:fldChar w:fldCharType="begin"/>
      </w:r>
      <w:r w:rsidR="00D52C79" w:rsidRPr="00CA4BCA">
        <w:rPr>
          <w:rFonts w:cs="Times New Roman"/>
          <w:lang w:val="en-CA"/>
        </w:rPr>
        <w:instrText xml:space="preserve"> ADDIN ZOTERO_ITEM CSL_CITATION {"citationID":"apmdj1kh93","properties":{"formattedCitation":"(Petry, 2001)","plainCitation":"(Petry, 2001)"},"citationItems":[{"id":6278,"uris":["http://zotero.org/users/2569385/items/3J72EGUG"],"uri":["http://zotero.org/users/2569385/items/3J72EGUG"],"itemData":{"id":6278,"type":"article-journal","title":"A behavioral economic analysis of polydrug abuse in alcoholics: asymmetrical substitution of alcohol and cocaine","container-title":"Drug and Alcohol Dependence","page":"31-39","volume":"62","issue":"1","source":"PubMed","abstract":"Economic concepts can be used to assess how drug prices affect consumption patterns. Increases in price for a commodity typically result in reductions in consumption. Demand is considered elastic if decreases in consumption are proportionally greater than increases in price, and inelastic if they are proportionally smaller than rises in price. The price of one commodity can also affect consumption of others. Commodities can function as substitutes, complements or independents, and these concepts refer to increases, decreases, or no change in the consumption of one item as the price of another increases. This study evaluated the effects of drug prices on hypothetical drug-purchasing decisions in 53 alcohol abusers. Experiments 1, 2, and 3 examined how alcohol, cocaine, and Valium prices, respectively, influenced purchases of alcohol, cocaine, Valium, heroin, marijuana and nicotine. As price of alcohol rose in Experiment 1, alcohol purchases decreased and demand for alcohol was inelastic. Cocaine was a complement to alcohol, but other drugs purchases were independent of alcohol prices. In Experiment 2, demand for cocaine was elastic as its price increased. Alcohol was a substitute for cocaine, but other drug purchases did not change significantly. In Experiment 3, demand for Valium was elastic as its price rose, and all other drug purchases were independent of Valium prices. Hypothetical choices were reliable between and within subjects and associated with urinalysis results and lifetime histories of drug abuse. These results suggest that, among alcohol abusers, cocaine is a complement to alcohol, but alcohol is a substitute for cocaine.","ISSN":"0376-8716","note":"PMID: 11173165","shortTitle":"A behavioral economic analysis of polydrug abuse in alcoholics","journalAbbreviation":"Drug Alcohol Depend","language":"eng","author":[{"family":"Petry","given":"N. M."}],"issued":{"date-parts":[["2001",3,1]]}}}],"schema":"https://github.com/citation-style-language/schema/raw/master/csl-citation.json"} </w:instrText>
      </w:r>
      <w:r w:rsidR="00D52C79" w:rsidRPr="00CA4BCA">
        <w:rPr>
          <w:rFonts w:cs="Times New Roman"/>
          <w:lang w:val="en-CA"/>
        </w:rPr>
        <w:fldChar w:fldCharType="separate"/>
      </w:r>
      <w:r w:rsidR="00585BBD" w:rsidRPr="00585BBD">
        <w:rPr>
          <w:rFonts w:cs="Times New Roman"/>
        </w:rPr>
        <w:t>(Petry, 2001)</w:t>
      </w:r>
      <w:r w:rsidR="00D52C79" w:rsidRPr="00CA4BCA">
        <w:rPr>
          <w:rFonts w:cs="Times New Roman"/>
          <w:lang w:val="en-CA"/>
        </w:rPr>
        <w:fldChar w:fldCharType="end"/>
      </w:r>
      <w:r w:rsidR="003F2EDC" w:rsidRPr="00CA4BCA">
        <w:rPr>
          <w:rFonts w:cs="Times New Roman"/>
          <w:lang w:val="en-CA"/>
        </w:rPr>
        <w:t xml:space="preserve">. Furthermore, the link between conventional drug use and club drug use is likely reflective of common liabilities as </w:t>
      </w:r>
      <w:r w:rsidR="00F740FD" w:rsidRPr="00CA4BCA">
        <w:rPr>
          <w:rFonts w:cs="Times New Roman"/>
          <w:lang w:val="en-CA"/>
        </w:rPr>
        <w:t xml:space="preserve">a </w:t>
      </w:r>
      <w:r w:rsidR="003F2EDC" w:rsidRPr="00CA4BCA">
        <w:rPr>
          <w:rFonts w:cs="Times New Roman"/>
          <w:lang w:val="en-CA"/>
        </w:rPr>
        <w:t xml:space="preserve">previous </w:t>
      </w:r>
      <w:r w:rsidR="00F740FD" w:rsidRPr="00CA4BCA">
        <w:rPr>
          <w:rFonts w:cs="Times New Roman"/>
          <w:lang w:val="en-CA"/>
        </w:rPr>
        <w:t xml:space="preserve">cross-sectional </w:t>
      </w:r>
      <w:r w:rsidR="003F2EDC" w:rsidRPr="00CA4BCA">
        <w:rPr>
          <w:rFonts w:cs="Times New Roman"/>
          <w:lang w:val="en-CA"/>
        </w:rPr>
        <w:t xml:space="preserve">analysis </w:t>
      </w:r>
      <w:r w:rsidR="00F740FD" w:rsidRPr="00CA4BCA">
        <w:rPr>
          <w:rFonts w:cs="Times New Roman"/>
          <w:lang w:val="en-CA"/>
        </w:rPr>
        <w:t xml:space="preserve">from our study has </w:t>
      </w:r>
      <w:r w:rsidR="003F2EDC" w:rsidRPr="00CA4BCA">
        <w:rPr>
          <w:rFonts w:cs="Times New Roman"/>
          <w:lang w:val="en-CA"/>
        </w:rPr>
        <w:t xml:space="preserve">shown that membership in these classes </w:t>
      </w:r>
      <w:r w:rsidR="00D52C79" w:rsidRPr="00CA4BCA">
        <w:rPr>
          <w:rFonts w:cs="Times New Roman"/>
          <w:lang w:val="en-CA"/>
        </w:rPr>
        <w:t>is</w:t>
      </w:r>
      <w:r w:rsidR="003F2EDC" w:rsidRPr="00CA4BCA">
        <w:rPr>
          <w:rFonts w:cs="Times New Roman"/>
          <w:lang w:val="en-CA"/>
        </w:rPr>
        <w:t xml:space="preserve"> associated with patronage of gay bars and clubs</w:t>
      </w:r>
      <w:r w:rsidR="008536DC" w:rsidRPr="00CA4BCA">
        <w:rPr>
          <w:rFonts w:cs="Times New Roman"/>
          <w:lang w:val="en-CA"/>
        </w:rPr>
        <w:t xml:space="preserve"> </w:t>
      </w:r>
      <w:r w:rsidR="008536DC" w:rsidRPr="00CA4BCA">
        <w:rPr>
          <w:rFonts w:cs="Times New Roman"/>
          <w:lang w:val="en-CA"/>
        </w:rPr>
        <w:fldChar w:fldCharType="begin"/>
      </w:r>
      <w:r w:rsidR="008536DC" w:rsidRPr="00CA4BCA">
        <w:rPr>
          <w:rFonts w:cs="Times New Roman"/>
          <w:lang w:val="en-CA"/>
        </w:rPr>
        <w:instrText xml:space="preserve"> ADDIN ZOTERO_ITEM CSL_CITATION {"citationID":"a1ja21kgaps","properties":{"formattedCitation":"(Card et al., 2017)","plainCitation":"(Card et al., 2017)"},"citationItems":[{"id":6248,"uris":["http://zotero.org/users/2569385/items/VM6MA3P7"],"uri":["http://zotero.org/users/2569385/items/VM6MA3P7"],"itemData":{"id":6248,"type":"article-journal","title":"A Latent Class Analysis of Substance Use and Culture among Gay, Bisexual, and Other Men Who Have Sex with Men","container-title":"Culture, Health &amp; Sexuality","author":[{"family":"Card","given":"Kiffer G."},{"family":"Armstrong","given":"Heather"},{"family":"Cui","given":"Zishan"},{"family":"Zhu","given":"Julia"},{"family":"Lachowsky","given":"Nathan J."},{"family":"Moore","given":"David M."},{"family":"Rother","given":"Eric A."}],"issued":{"date-parts":[["2017"]],"season":"Under Review"}}}],"schema":"https://github.com/citation-style-language/schema/raw/master/csl-citation.json"} </w:instrText>
      </w:r>
      <w:r w:rsidR="008536DC" w:rsidRPr="00CA4BCA">
        <w:rPr>
          <w:rFonts w:cs="Times New Roman"/>
          <w:lang w:val="en-CA"/>
        </w:rPr>
        <w:fldChar w:fldCharType="separate"/>
      </w:r>
      <w:r w:rsidR="00585BBD" w:rsidRPr="00585BBD">
        <w:rPr>
          <w:rFonts w:cs="Times New Roman"/>
        </w:rPr>
        <w:t xml:space="preserve">(Card </w:t>
      </w:r>
      <w:r w:rsidR="00585BBD" w:rsidRPr="00585BBD">
        <w:rPr>
          <w:rFonts w:cs="Times New Roman"/>
        </w:rPr>
        <w:lastRenderedPageBreak/>
        <w:t>et al., 2017)</w:t>
      </w:r>
      <w:r w:rsidR="008536DC" w:rsidRPr="00CA4BCA">
        <w:rPr>
          <w:rFonts w:cs="Times New Roman"/>
          <w:lang w:val="en-CA"/>
        </w:rPr>
        <w:fldChar w:fldCharType="end"/>
      </w:r>
      <w:r w:rsidR="00D52C79" w:rsidRPr="00CA4BCA">
        <w:rPr>
          <w:rFonts w:cs="Times New Roman"/>
          <w:lang w:val="en-CA"/>
        </w:rPr>
        <w:t xml:space="preserve">. </w:t>
      </w:r>
      <w:r w:rsidR="00276F00">
        <w:rPr>
          <w:rFonts w:cs="Times New Roman"/>
          <w:lang w:val="en-CA"/>
        </w:rPr>
        <w:t>Together,</w:t>
      </w:r>
      <w:r w:rsidR="00D52C79" w:rsidRPr="00CA4BCA">
        <w:rPr>
          <w:rFonts w:cs="Times New Roman"/>
          <w:lang w:val="en-CA"/>
        </w:rPr>
        <w:t xml:space="preserve"> </w:t>
      </w:r>
      <w:r w:rsidR="00276F00">
        <w:rPr>
          <w:rFonts w:cs="Times New Roman"/>
          <w:lang w:val="en-CA"/>
        </w:rPr>
        <w:t xml:space="preserve">the </w:t>
      </w:r>
      <w:r w:rsidR="00D52C79" w:rsidRPr="00CA4BCA">
        <w:rPr>
          <w:rFonts w:cs="Times New Roman"/>
          <w:lang w:val="en-CA"/>
        </w:rPr>
        <w:t>transitions</w:t>
      </w:r>
      <w:r w:rsidR="003F2260" w:rsidRPr="00CA4BCA">
        <w:rPr>
          <w:rFonts w:cs="Times New Roman"/>
          <w:lang w:val="en-CA"/>
        </w:rPr>
        <w:t xml:space="preserve"> </w:t>
      </w:r>
      <w:r w:rsidR="00276F00">
        <w:rPr>
          <w:rFonts w:cs="Times New Roman"/>
          <w:lang w:val="en-CA"/>
        </w:rPr>
        <w:t xml:space="preserve">mentioned above </w:t>
      </w:r>
      <w:r w:rsidR="00D52C79" w:rsidRPr="00CA4BCA">
        <w:rPr>
          <w:rFonts w:cs="Times New Roman"/>
          <w:lang w:val="en-CA"/>
        </w:rPr>
        <w:t xml:space="preserve">underscore </w:t>
      </w:r>
      <w:r w:rsidR="003F2260" w:rsidRPr="00CA4BCA">
        <w:rPr>
          <w:rFonts w:cs="Times New Roman"/>
          <w:lang w:val="en-CA"/>
        </w:rPr>
        <w:t xml:space="preserve">the influence of </w:t>
      </w:r>
      <w:r w:rsidR="00D52C79" w:rsidRPr="00CA4BCA">
        <w:rPr>
          <w:rFonts w:cs="Times New Roman"/>
          <w:lang w:val="en-CA"/>
        </w:rPr>
        <w:t xml:space="preserve">biological </w:t>
      </w:r>
      <w:r w:rsidR="00276F00">
        <w:rPr>
          <w:rFonts w:cs="Times New Roman"/>
          <w:lang w:val="en-CA"/>
        </w:rPr>
        <w:t xml:space="preserve">(e.g., </w:t>
      </w:r>
      <w:r w:rsidR="00263747">
        <w:rPr>
          <w:rFonts w:cs="Times New Roman"/>
          <w:lang w:val="en-CA"/>
        </w:rPr>
        <w:t xml:space="preserve">related biological pathways) </w:t>
      </w:r>
      <w:r w:rsidR="00D52C79" w:rsidRPr="00CA4BCA">
        <w:rPr>
          <w:rFonts w:cs="Times New Roman"/>
          <w:lang w:val="en-CA"/>
        </w:rPr>
        <w:t>and socio-ecological</w:t>
      </w:r>
      <w:r w:rsidR="003F2260" w:rsidRPr="00CA4BCA">
        <w:rPr>
          <w:rFonts w:cs="Times New Roman"/>
          <w:lang w:val="en-CA"/>
        </w:rPr>
        <w:t xml:space="preserve"> factors </w:t>
      </w:r>
      <w:r w:rsidR="00276F00">
        <w:rPr>
          <w:rFonts w:cs="Times New Roman"/>
          <w:lang w:val="en-CA"/>
        </w:rPr>
        <w:t xml:space="preserve">(e.g., social environments) </w:t>
      </w:r>
      <w:r w:rsidR="003F2260" w:rsidRPr="00CA4BCA">
        <w:rPr>
          <w:rFonts w:cs="Times New Roman"/>
          <w:lang w:val="en-CA"/>
        </w:rPr>
        <w:t xml:space="preserve">on both typology and transition patterns of substance use </w:t>
      </w:r>
      <w:r w:rsidR="003F2260" w:rsidRPr="00CA4BCA">
        <w:rPr>
          <w:rFonts w:cs="Times New Roman"/>
          <w:lang w:val="en-CA"/>
        </w:rPr>
        <w:fldChar w:fldCharType="begin"/>
      </w:r>
      <w:r w:rsidR="003F2260" w:rsidRPr="00CA4BCA">
        <w:rPr>
          <w:rFonts w:cs="Times New Roman"/>
          <w:lang w:val="en-CA"/>
        </w:rPr>
        <w:instrText xml:space="preserve"> ADDIN ZOTERO_ITEM CSL_CITATION {"citationID":"a2p4osf308o","properties":{"formattedCitation":"(Terry-McElrath et al., 2009)","plainCitation":"(Terry-McElrath et al., 2009)"},"citationItems":[{"id":6271,"uris":["http://zotero.org/users/2569385/items/SAYYQ7PK"],"uri":["http://zotero.org/users/2569385/items/SAYYQ7PK"],"itemData":{"id":6271,"type":"article-journal","title":"Reasons for Drug Use among American Youth by Consumption Level, Gender, and Race/Ethnicity: 1976–2005","container-title":"Journal of drug issues","page":"677-714","volume":"39","issue":"3","source":"PubMed Central","abstract":"This study examined self-reported reasons for the use of nine substances among nationally representative samples of US high school seniors participating in the Monitoring the Future study from 1976 through 2005. In general, social/recreational reasons were the most commonly reported reasons for the use of most drugs. However, for psychotherapeutic drugs, coping with negative affect and physical needs reasons were most commonly mentioned. Results indicated that the proportion of students reporting various reasons has shifted significantly over time. Further, we found significant differences by gender and race/ethnicity in reported reasons for use. Prevention and intervention efforts must address the facts that (1) while social usage reasons do predominate, it is essential to consider coping and drug-effect reasons for use as well; and (2) there are appreciable differences by gender and race/ethnicity in reasons for drug use.","ISSN":"0022-0426","note":"PMID: 20628558\nPMCID: PMC2902005","shortTitle":"Reasons for Drug Use among American Youth by Consumption Level, Gender, and Race/Ethnicity","journalAbbreviation":"J Drug Issues","author":[{"family":"Terry-McElrath","given":"Yvonne M."},{"family":"O’Malley","given":"Patrick M."},{"family":"Johnston","given":"Lloyd D."}],"issued":{"date-parts":[["2009"]]}}}],"schema":"https://github.com/citation-style-language/schema/raw/master/csl-citation.json"} </w:instrText>
      </w:r>
      <w:r w:rsidR="003F2260" w:rsidRPr="00CA4BCA">
        <w:rPr>
          <w:rFonts w:cs="Times New Roman"/>
          <w:lang w:val="en-CA"/>
        </w:rPr>
        <w:fldChar w:fldCharType="separate"/>
      </w:r>
      <w:r w:rsidR="00585BBD" w:rsidRPr="00585BBD">
        <w:rPr>
          <w:rFonts w:cs="Times New Roman"/>
        </w:rPr>
        <w:t>(Terry-McElrath et al., 2009)</w:t>
      </w:r>
      <w:r w:rsidR="003F2260" w:rsidRPr="00CA4BCA">
        <w:rPr>
          <w:rFonts w:cs="Times New Roman"/>
          <w:lang w:val="en-CA"/>
        </w:rPr>
        <w:fldChar w:fldCharType="end"/>
      </w:r>
      <w:r w:rsidR="003F2260" w:rsidRPr="00CA4BCA">
        <w:rPr>
          <w:rFonts w:cs="Times New Roman"/>
          <w:lang w:val="en-CA"/>
        </w:rPr>
        <w:t>.</w:t>
      </w:r>
    </w:p>
    <w:p w14:paraId="7FAAFB04" w14:textId="781BD113" w:rsidR="00D67BFA" w:rsidRPr="00CA4BCA" w:rsidRDefault="00D957EA" w:rsidP="003F2260">
      <w:pPr>
        <w:ind w:firstLine="720"/>
        <w:rPr>
          <w:rFonts w:cs="Times New Roman"/>
          <w:lang w:val="en-CA"/>
        </w:rPr>
      </w:pPr>
      <w:r w:rsidRPr="00CA4BCA">
        <w:rPr>
          <w:rFonts w:cs="Times New Roman"/>
          <w:lang w:val="en-CA"/>
        </w:rPr>
        <w:t>Reinforcing the saliency of these factors, t</w:t>
      </w:r>
      <w:r w:rsidR="00E37150" w:rsidRPr="00CA4BCA">
        <w:rPr>
          <w:rFonts w:cs="Times New Roman"/>
          <w:lang w:val="en-CA"/>
        </w:rPr>
        <w:t xml:space="preserve">he next largest transition pathway (n = 20) was among those transitioning from the </w:t>
      </w:r>
      <w:r w:rsidR="00916062" w:rsidRPr="00CA4BCA">
        <w:rPr>
          <w:rFonts w:cs="Times New Roman"/>
          <w:lang w:val="en-CA"/>
        </w:rPr>
        <w:t xml:space="preserve">assorted drug </w:t>
      </w:r>
      <w:r w:rsidR="00E37150" w:rsidRPr="00CA4BCA">
        <w:rPr>
          <w:rFonts w:cs="Times New Roman"/>
          <w:lang w:val="en-CA"/>
        </w:rPr>
        <w:t>use class to the street drug use class</w:t>
      </w:r>
      <w:r w:rsidR="00D52C79" w:rsidRPr="00CA4BCA">
        <w:rPr>
          <w:rFonts w:cs="Times New Roman"/>
          <w:lang w:val="en-CA"/>
        </w:rPr>
        <w:t xml:space="preserve"> – with an additional 7 transitioning in the opposite direction</w:t>
      </w:r>
      <w:r w:rsidR="00E37150" w:rsidRPr="00CA4BCA">
        <w:rPr>
          <w:rFonts w:cs="Times New Roman"/>
          <w:lang w:val="en-CA"/>
        </w:rPr>
        <w:t xml:space="preserve">. </w:t>
      </w:r>
      <w:r w:rsidR="00521B10" w:rsidRPr="00CA4BCA">
        <w:rPr>
          <w:rFonts w:cs="Times New Roman"/>
          <w:lang w:val="en-CA"/>
        </w:rPr>
        <w:t xml:space="preserve">Transition from </w:t>
      </w:r>
      <w:r w:rsidR="00916062" w:rsidRPr="00CA4BCA">
        <w:rPr>
          <w:rFonts w:cs="Times New Roman"/>
          <w:lang w:val="en-CA"/>
        </w:rPr>
        <w:t xml:space="preserve">assorted drug </w:t>
      </w:r>
      <w:r w:rsidR="00521B10" w:rsidRPr="00CA4BCA">
        <w:rPr>
          <w:rFonts w:cs="Times New Roman"/>
          <w:lang w:val="en-CA"/>
        </w:rPr>
        <w:t xml:space="preserve">use to a </w:t>
      </w:r>
      <w:r w:rsidR="00DC635F" w:rsidRPr="00CA4BCA">
        <w:rPr>
          <w:rFonts w:cs="Times New Roman"/>
          <w:lang w:val="en-CA"/>
        </w:rPr>
        <w:t>narrower</w:t>
      </w:r>
      <w:r w:rsidR="00521B10" w:rsidRPr="00CA4BCA">
        <w:rPr>
          <w:rFonts w:cs="Times New Roman"/>
          <w:lang w:val="en-CA"/>
        </w:rPr>
        <w:t xml:space="preserve"> subset of addictive substance</w:t>
      </w:r>
      <w:r w:rsidRPr="00CA4BCA">
        <w:rPr>
          <w:rFonts w:cs="Times New Roman"/>
          <w:lang w:val="en-CA"/>
        </w:rPr>
        <w:t xml:space="preserve"> (i.e., street drug use)</w:t>
      </w:r>
      <w:r w:rsidR="00521B10" w:rsidRPr="00CA4BCA">
        <w:rPr>
          <w:rFonts w:cs="Times New Roman"/>
          <w:lang w:val="en-CA"/>
        </w:rPr>
        <w:t xml:space="preserve"> may</w:t>
      </w:r>
      <w:r w:rsidR="003F2260" w:rsidRPr="00CA4BCA">
        <w:rPr>
          <w:rFonts w:cs="Times New Roman"/>
          <w:lang w:val="en-CA"/>
        </w:rPr>
        <w:t xml:space="preserve"> </w:t>
      </w:r>
      <w:r w:rsidR="00521B10" w:rsidRPr="00CA4BCA">
        <w:rPr>
          <w:rFonts w:cs="Times New Roman"/>
          <w:lang w:val="en-CA"/>
        </w:rPr>
        <w:t>be</w:t>
      </w:r>
      <w:r w:rsidR="00E37150" w:rsidRPr="00CA4BCA">
        <w:rPr>
          <w:rFonts w:cs="Times New Roman"/>
          <w:lang w:val="en-CA"/>
        </w:rPr>
        <w:t xml:space="preserve"> reflective of </w:t>
      </w:r>
      <w:r w:rsidR="003F2260" w:rsidRPr="00CA4BCA">
        <w:rPr>
          <w:rFonts w:cs="Times New Roman"/>
          <w:lang w:val="en-CA"/>
        </w:rPr>
        <w:t xml:space="preserve">the </w:t>
      </w:r>
      <w:r w:rsidR="00E37150" w:rsidRPr="00CA4BCA">
        <w:rPr>
          <w:rFonts w:cs="Times New Roman"/>
          <w:lang w:val="en-CA"/>
        </w:rPr>
        <w:t>financial</w:t>
      </w:r>
      <w:r w:rsidR="00CA4090" w:rsidRPr="00CA4BCA">
        <w:rPr>
          <w:rFonts w:cs="Times New Roman"/>
          <w:lang w:val="en-CA"/>
        </w:rPr>
        <w:t xml:space="preserve"> and market-related</w:t>
      </w:r>
      <w:r w:rsidR="00E37150" w:rsidRPr="00CA4BCA">
        <w:rPr>
          <w:rFonts w:cs="Times New Roman"/>
          <w:lang w:val="en-CA"/>
        </w:rPr>
        <w:t xml:space="preserve"> barriers </w:t>
      </w:r>
      <w:r w:rsidR="00521B10" w:rsidRPr="00CA4BCA">
        <w:rPr>
          <w:rFonts w:cs="Times New Roman"/>
          <w:lang w:val="en-CA"/>
        </w:rPr>
        <w:t xml:space="preserve">to </w:t>
      </w:r>
      <w:r w:rsidR="00916062" w:rsidRPr="00CA4BCA">
        <w:rPr>
          <w:rFonts w:cs="Times New Roman"/>
          <w:lang w:val="en-CA"/>
        </w:rPr>
        <w:t xml:space="preserve">assorted drug </w:t>
      </w:r>
      <w:r w:rsidR="00521B10" w:rsidRPr="00CA4BCA">
        <w:rPr>
          <w:rFonts w:cs="Times New Roman"/>
          <w:lang w:val="en-CA"/>
        </w:rPr>
        <w:t>use</w:t>
      </w:r>
      <w:r w:rsidR="00D52C79" w:rsidRPr="00CA4BCA">
        <w:rPr>
          <w:rFonts w:cs="Times New Roman"/>
          <w:lang w:val="en-CA"/>
        </w:rPr>
        <w:t>.</w:t>
      </w:r>
      <w:r w:rsidR="00CA4090" w:rsidRPr="00CA4BCA">
        <w:rPr>
          <w:rFonts w:cs="Times New Roman"/>
          <w:lang w:val="en-CA"/>
        </w:rPr>
        <w:t xml:space="preserve"> </w:t>
      </w:r>
      <w:r w:rsidR="00B9709D" w:rsidRPr="00CA4BCA">
        <w:rPr>
          <w:rFonts w:cs="Times New Roman"/>
          <w:lang w:val="en-CA"/>
        </w:rPr>
        <w:t>Indeed, p</w:t>
      </w:r>
      <w:r w:rsidR="00E37150" w:rsidRPr="00CA4BCA">
        <w:rPr>
          <w:rFonts w:cs="Times New Roman"/>
          <w:lang w:val="en-CA"/>
        </w:rPr>
        <w:t xml:space="preserve">revious </w:t>
      </w:r>
      <w:r w:rsidR="00B9709D" w:rsidRPr="00CA4BCA">
        <w:rPr>
          <w:rFonts w:cs="Times New Roman"/>
          <w:lang w:val="en-CA"/>
        </w:rPr>
        <w:t>studies have</w:t>
      </w:r>
      <w:r w:rsidR="008536DC" w:rsidRPr="00CA4BCA">
        <w:rPr>
          <w:rFonts w:cs="Times New Roman"/>
          <w:lang w:val="en-CA"/>
        </w:rPr>
        <w:t xml:space="preserve"> discussed</w:t>
      </w:r>
      <w:r w:rsidR="00E37150" w:rsidRPr="00CA4BCA">
        <w:rPr>
          <w:rFonts w:cs="Times New Roman"/>
          <w:lang w:val="en-CA"/>
        </w:rPr>
        <w:t xml:space="preserve"> the profound impli</w:t>
      </w:r>
      <w:r w:rsidR="00521B10" w:rsidRPr="00CA4BCA">
        <w:rPr>
          <w:rFonts w:cs="Times New Roman"/>
          <w:lang w:val="en-CA"/>
        </w:rPr>
        <w:t>cations of socioeconomic status and resource availability</w:t>
      </w:r>
      <w:r w:rsidR="00E37150" w:rsidRPr="00CA4BCA">
        <w:rPr>
          <w:rFonts w:cs="Times New Roman"/>
          <w:lang w:val="en-CA"/>
        </w:rPr>
        <w:t xml:space="preserve"> on </w:t>
      </w:r>
      <w:r w:rsidR="00521B10" w:rsidRPr="00CA4BCA">
        <w:rPr>
          <w:rFonts w:cs="Times New Roman"/>
          <w:lang w:val="en-CA"/>
        </w:rPr>
        <w:t>peoples</w:t>
      </w:r>
      <w:r w:rsidR="00E37150" w:rsidRPr="00CA4BCA">
        <w:rPr>
          <w:rFonts w:cs="Times New Roman"/>
          <w:lang w:val="en-CA"/>
        </w:rPr>
        <w:t xml:space="preserve"> substance use patterns</w:t>
      </w:r>
      <w:r w:rsidR="00CA4090" w:rsidRPr="00CA4BCA">
        <w:rPr>
          <w:rFonts w:cs="Times New Roman"/>
          <w:lang w:val="en-CA"/>
        </w:rPr>
        <w:t xml:space="preserve"> </w:t>
      </w:r>
      <w:r w:rsidR="00CA4090" w:rsidRPr="00CA4BCA">
        <w:rPr>
          <w:rFonts w:cs="Times New Roman"/>
          <w:lang w:val="en-CA"/>
        </w:rPr>
        <w:fldChar w:fldCharType="begin"/>
      </w:r>
      <w:r w:rsidR="00CA4090" w:rsidRPr="00CA4BCA">
        <w:rPr>
          <w:rFonts w:cs="Times New Roman"/>
          <w:lang w:val="en-CA"/>
        </w:rPr>
        <w:instrText xml:space="preserve"> ADDIN ZOTERO_ITEM CSL_CITATION {"citationID":"Sf0k6A5G","properties":{"formattedCitation":"(Bourgois, 2003; Carpenter et al., 2017; Chalmers et al., 2010; Dwyer and Moore, 2010; Fast et al., 2009; Petry, 2001)","plainCitation":"(Bourgois, 2003; Carpenter et al., 2017; Chalmers et al., 2010; Dwyer and Moore, 2010; Fast et al., 2009; Petry, 2001)"},"citationItems":[{"id":5191,"uris":["http://zotero.org/users/2569385/items/AZGAAY4G"],"uri":["http://zotero.org/users/2569385/items/AZGAAY4G"],"itemData":{"id":5191,"type":"book","title":"In Search of Respect: Selling Crack in El Barrio","publisher":"Cambridge University Press","number-of-pages":"436","source":"Google Books","abstract":"Philippe Bourgois's ethnographic study of social marginalization in inner-city America, won critical acclaim when it was first published in 1995. For the first time, an anthropologist had managed to gain the trust and long-term friendship of street-level drug dealers in one of the roughest ghetto neighborhoods--East Harlem. This new edition adds a prologue describing the major dynamics that have altered life on the streets of East Harlem in the seven years since the first edition. In a new epilogue Bourgois brings up to date the stories of the people--Primo, Caesat, Luis, Tony, Candy--who readers come to know in this remarkable window onto the world of the inner city drug trade. Philippe Bourgois is Professor and Chair of the Department of Anthropology, History and Social Medicine at the University of California, San Francisco. He has conducted fieldwork in Central America on ethnicity and social unrest and is the author of Ethnicity at Work: Divided Labor on a Central American Banana Plantation (Johns Hopkins University Press, 1989). He is writing a book on homeless heroin addicts in San Francisco. 1/e hb ISBN (1996) 0-521-43518-8 1/e pb ISBN (1996) 0-521-57460-9","ISBN":"978-0-521-01711-4","shortTitle":"In Search of Respect","language":"en","author":[{"family":"Bourgois","given":"Philippe"}],"issued":{"date-parts":[["2003"]]}}},{"id":6251,"uris":["http://zotero.org/users/2569385/items/2PA46KNL"],"uri":["http://zotero.org/users/2569385/items/2PA46KNL"],"itemData":{"id":6251,"type":"article-journal","title":"Economic conditions, illicit drug use, and substance use disorders in the United States","container-title":"Journal of Health Economics","page":"63-73","volume":"52","issue":"Supplement C","source":"ScienceDirect","abstract":"We provide the first analysis of the relationship between economic conditions and the use of illicit drugs other than marijuana. Drawing on US data from 2002 to 2015, we find mixed evidence on the cyclicality of illicit drug use. However, we find robust evidence that economic downturns lead to increases in the intensity of prescription pain reliever use as well as increases in clinically relevant substance use disorders involving opioids. These effects are concentrated among working-age white males with low educational attainment. We conclude that policymakers should consider devoting more, not fewer, resources to treating substance use disorders during economic downturns.","DOI":"10.1016/j.jhealeco.2016.12.009","ISSN":"0167-6296","journalAbbreviation":"Journal of Health Economics","author":[{"family":"Carpenter","given":"Christopher S."},{"family":"McClellan","given":"Chandler B."},{"family":"Rees","given":"Daniel I."}],"issued":{"date-parts":[["2017",3,1]]}}},{"id":6274,"uris":["http://zotero.org/users/2569385/items/HYCIZSIZ"],"uri":["http://zotero.org/users/2569385/items/HYCIZSIZ"],"itemData":{"id":6274,"type":"article-journal","title":"The effect of methamphetamine and heroin price on polydrug use: A behavioural economics analysis in Sydney, Australia","container-title":"The International Journal on Drug Policy","page":"381-389","volume":"21","issue":"5","source":"PubMed","abstract":"BACKGROUND: A key aim of supply-side drug law enforcement is to reduce drug use by increasing the retail price of drugs. Since most illicit drug users are polydrug users the effectiveness of this strategy depends on the extent to which drug users reduce their overall consumption of drugs. The literature shows that drug users do reduce their consumption of a drug when its price increases. However the extent of that decrease and the implications for the use of other drugs vary across studies.\nMETHODOLOGY: A sample of 101 Australian methamphetamine users was surveyed using a behavioural economics approach. Participants were given a hypothetical fixed drug budget, presented with a range of drug price lists and asked how many units of each drug they would purchase. Methamphetamine and heroin prices were varied independently across trials.\nRESULTS: While demand for both methamphetamine and heroin was found to be price elastic, elasticity estimates were influenced by the nature of participants' drug dependence. The group least responsive to changes in methamphetamine price were those dependent only on methamphetamine, while the group most responsive were dependent only on heroin. Similar findings emerged in relation to changes in heroin price. Cross-price elasticity analysis showed limited substitution into other drugs as the price of methamphetamine increased. In contrast, for heroin, there was significant substitution into pharmaceutical opioids and to a lesser extent, benzodiazepines and methamphetamine. However, for the most part, the decreases in methamphetamine or heroin consumption outweighed any substitution into other drugs.\nCONCLUSION: The reduction in overall drug consumption and expenditure in response to price increases in heroin and methamphetamine observed in this sample lend support to supply-side enforcement strategies that aim to increase retail drug price. Notably, this analysis highlights the importance of accounting for the nature of users' drug dependence in estimating price responsiveness.","DOI":"10.1016/j.drugpo.2010.06.002","ISSN":"1873-4758","note":"PMID: 20619627","shortTitle":"The effect of methamphetamine and heroin price on polydrug use","journalAbbreviation":"Int. J. Drug Policy","language":"eng","author":[{"family":"Chalmers","given":"Jenny"},{"family":"Bradford","given":"Deborah"},{"family":"Jones","given":"Craig"}],"issued":{"date-parts":[["2010",9]]}}},{"id":6276,"uris":["http://zotero.org/users/2569385/items/MWZ4FUTW"],"uri":["http://zotero.org/users/2569385/items/MWZ4FUTW"],"itemData":{"id":6276,"type":"article-journal","title":"Beyond neoclassical economics: Social process, agency and the maintenance of order in an Australian illicit drug marketplace","container-title":"The International Journal on Drug Policy","page":"390-398","volume":"21","issue":"5","source":"PubMed","abstract":"BACKGROUND: The dominant Australian approaches to understanding illicit drug marketplaces are surveillance and criminological research. These approaches rely on the elementary neoclassical economic model of the market which focuses primarily on supply and demand. In this paper, we draw on anthropological and sociological research to develop an alternative framework for understanding Australian illicit drug marketplaces that emphasises their constituent processes.\nMETHODS: The paper draws on two years of ethnographic research among heroin user/sellers of Vietnamese ethnicity in an Australian heroin marketplace.\nRESULTS: Trade and barter were key modes of exchange in this marketplace. We identified active negotiation and bargaining over price on the basis of social relationships, with dealers and customers actively working to develop and maintain such ties. Dealers set price collectively and this was shaped by moral and cultural elements such as notions of a 'fair' price. Social processes and relations as well as shared cultural expectations helped to generate trust and maintain order in the marketplace.\nCONCLUSION: Our ethnographic research suggests that the dominant Australian approaches to the study of illicit drug markets, with their reliance on the elementary neoclassical economic market model, ignore the social processes and social relations through which such sites are made and remade. Nor do they adequately capture the complex character of the subjects who act within these sites. If we are to expand our understanding of illicit drug markets and marketplaces in Australia, we must look beyond the conceptions offered by surveillance and criminological approaches.","DOI":"10.1016/j.drugpo.2010.03.001","ISSN":"1873-4758","note":"PMID: 20356725","shortTitle":"Beyond neoclassical economics","journalAbbreviation":"Int. J. Drug Policy","language":"eng","author":[{"family":"Dwyer","given":"Robyn"},{"family":"Moore","given":"David"}],"issued":{"date-parts":[["2010",9]]}}},{"id":6263,"uris":["http://zotero.org/users/2569385/items/RBB32WNI"],"uri":["http://zotero.org/users/2569385/items/RBB32WNI"],"itemData":{"id":6263,"type":"article-journal","title":"Coming 'down here': young people's reflections on becoming entrenched in a local drug scene","container-title":"Social Science &amp; Medicine (1982)","page":"1204-1210","volume":"69","issue":"8","source":"PubMed","abstract":"Recent research has highlighted the ways in which social structural processes and physical environments operate to push young drug users towards risk. We undertook this study in order to explore how young people who were currently street-entrenched characterized and understood their initiation into the local drug scene in downtown Vancouver, Canada. Semi-structured qualitative interviews were conducted with 38 individuals recruited from a cohort of young drug users known as the At-Risk Youth Study (ARYS). Participant narratives reflected an understanding among young people that they are simultaneously pulled and pushed towards the local scene. Push factors were understood as circumstances that propelled young people towards this setting, in some cases because of proximity to it from a very early age, and in other cases because of adverse situations experienced elsewhere and the need to find a new place to live that was both affordable and safe. Interwoven with accounts of how youth were pushed towards the local scene were stories that emphasized a high degree of autonomy and the factors that initially attracted them to this scene, including a desire for excitement, independence and belonging. Once young people were more permanently based in downtown Vancouver, participants identified several factors that accelerated their entrenchment in this locale, including increasingly 'problematic' drug use, an intensified need to generate income, experiences of chronic homelessness, and unstable social relationships. Our findings stress the need for early intervention with youth, before they are initiated into the social networks and processes that rapidly propel young people towards risk within these contexts. Once initiation has occurred, the boundary between safety and risk quickly becomes difficult to navigate, and young people become highly vulnerable to numerous harms.","DOI":"10.1016/j.socscimed.2009.07.024","ISSN":"1873-5347","note":"PMID: 19700232\nPMCID: PMC2898373","shortTitle":"Coming 'down here'","journalAbbreviation":"Soc Sci Med","language":"eng","author":[{"family":"Fast","given":"Danya"},{"family":"Small","given":"Will"},{"family":"Wood","given":"Evan"},{"family":"Kerr","given":"Thomas"}],"issued":{"date-parts":[["2009",10]]}}},{"id":6278,"uris":["http://zotero.org/users/2569385/items/3J72EGUG"],"uri":["http://zotero.org/users/2569385/items/3J72EGUG"],"itemData":{"id":6278,"type":"article-journal","title":"A behavioral economic analysis of polydrug abuse in alcoholics: asymmetrical substitution of alcohol and cocaine","container-title":"Drug and Alcohol Dependence","page":"31-39","volume":"62","issue":"1","source":"PubMed","abstract":"Economic concepts can be used to assess how drug prices affect consumption patterns. Increases in price for a commodity typically result in reductions in consumption. Demand is considered elastic if decreases in consumption are proportionally greater than increases in price, and inelastic if they are proportionally smaller than rises in price. The price of one commodity can also affect consumption of others. Commodities can function as substitutes, complements or independents, and these concepts refer to increases, decreases, or no change in the consumption of one item as the price of another increases. This study evaluated the effects of drug prices on hypothetical drug-purchasing decisions in 53 alcohol abusers. Experiments 1, 2, and 3 examined how alcohol, cocaine, and Valium prices, respectively, influenced purchases of alcohol, cocaine, Valium, heroin, marijuana and nicotine. As price of alcohol rose in Experiment 1, alcohol purchases decreased and demand for alcohol was inelastic. Cocaine was a complement to alcohol, but other drugs purchases were independent of alcohol prices. In Experiment 2, demand for cocaine was elastic as its price increased. Alcohol was a substitute for cocaine, but other drug purchases did not change significantly. In Experiment 3, demand for Valium was elastic as its price rose, and all other drug purchases were independent of Valium prices. Hypothetical choices were reliable between and within subjects and associated with urinalysis results and lifetime histories of drug abuse. These results suggest that, among alcohol abusers, cocaine is a complement to alcohol, but alcohol is a substitute for cocaine.","ISSN":"0376-8716","note":"PMID: 11173165","shortTitle":"A behavioral economic analysis of polydrug abuse in alcoholics","journalAbbreviation":"Drug Alcohol Depend","language":"eng","author":[{"family":"Petry","given":"N. M."}],"issued":{"date-parts":[["2001",3,1]]}}}],"schema":"https://github.com/citation-style-language/schema/raw/master/csl-citation.json"} </w:instrText>
      </w:r>
      <w:r w:rsidR="00CA4090" w:rsidRPr="00CA4BCA">
        <w:rPr>
          <w:rFonts w:cs="Times New Roman"/>
          <w:lang w:val="en-CA"/>
        </w:rPr>
        <w:fldChar w:fldCharType="separate"/>
      </w:r>
      <w:r w:rsidR="00585BBD" w:rsidRPr="00585BBD">
        <w:rPr>
          <w:rFonts w:cs="Times New Roman"/>
        </w:rPr>
        <w:t>(Bourgois, 2003; Carpenter et al., 2017; Chalmers et al., 2010; Dwyer and Moore, 2010; Fast et al., 2009; Petry, 2001)</w:t>
      </w:r>
      <w:r w:rsidR="00CA4090" w:rsidRPr="00CA4BCA">
        <w:rPr>
          <w:rFonts w:cs="Times New Roman"/>
          <w:lang w:val="en-CA"/>
        </w:rPr>
        <w:fldChar w:fldCharType="end"/>
      </w:r>
      <w:r w:rsidR="00CA4090" w:rsidRPr="00CA4BCA">
        <w:rPr>
          <w:rFonts w:cs="Times New Roman"/>
          <w:lang w:val="en-CA"/>
        </w:rPr>
        <w:t>. Additionally, there is likely a</w:t>
      </w:r>
      <w:r w:rsidR="00521B10" w:rsidRPr="00CA4BCA">
        <w:rPr>
          <w:rFonts w:cs="Times New Roman"/>
          <w:lang w:val="en-CA"/>
        </w:rPr>
        <w:t xml:space="preserve"> naturally tendency for heroin users to maintain membership in these classes</w:t>
      </w:r>
      <w:r w:rsidR="00EB43D4" w:rsidRPr="00CA4BCA">
        <w:rPr>
          <w:rFonts w:cs="Times New Roman"/>
          <w:lang w:val="en-CA"/>
        </w:rPr>
        <w:t xml:space="preserve"> (where heroin use is the highest)</w:t>
      </w:r>
      <w:r w:rsidR="00521B10" w:rsidRPr="00CA4BCA">
        <w:rPr>
          <w:rFonts w:cs="Times New Roman"/>
          <w:lang w:val="en-CA"/>
        </w:rPr>
        <w:t xml:space="preserve"> – as </w:t>
      </w:r>
      <w:r w:rsidR="00EB43D4" w:rsidRPr="00CA4BCA">
        <w:rPr>
          <w:rFonts w:cs="Times New Roman"/>
          <w:lang w:val="en-CA"/>
        </w:rPr>
        <w:t>heroin</w:t>
      </w:r>
      <w:r w:rsidR="00521B10" w:rsidRPr="00CA4BCA">
        <w:rPr>
          <w:rFonts w:cs="Times New Roman"/>
          <w:lang w:val="en-CA"/>
        </w:rPr>
        <w:t xml:space="preserve"> has previously been shown to be </w:t>
      </w:r>
      <w:r w:rsidRPr="00CA4BCA">
        <w:rPr>
          <w:rFonts w:cs="Times New Roman"/>
          <w:lang w:val="en-CA"/>
        </w:rPr>
        <w:t>highly addictive, even compared to other drugs</w:t>
      </w:r>
      <w:r w:rsidR="00521B10" w:rsidRPr="00CA4BCA">
        <w:rPr>
          <w:rFonts w:cs="Times New Roman"/>
          <w:lang w:val="en-CA"/>
        </w:rPr>
        <w:t xml:space="preserve"> </w:t>
      </w:r>
      <w:r w:rsidR="00521B10" w:rsidRPr="00CA4BCA">
        <w:rPr>
          <w:rFonts w:cs="Times New Roman"/>
          <w:lang w:val="en-CA"/>
        </w:rPr>
        <w:fldChar w:fldCharType="begin"/>
      </w:r>
      <w:r w:rsidR="00CA4090" w:rsidRPr="00CA4BCA">
        <w:rPr>
          <w:rFonts w:cs="Times New Roman"/>
          <w:lang w:val="en-CA"/>
        </w:rPr>
        <w:instrText xml:space="preserve"> ADDIN ZOTERO_ITEM CSL_CITATION {"citationID":"61wDiwL7","properties":{"formattedCitation":"(Hser et al., 2008; Nutt et al., 2007)","plainCitation":"(Hser et al., 2008; Nutt et al., 2007)"},"citationItems":[{"id":6265,"uris":["http://zotero.org/users/2569385/items/NBSQIRA6"],"uri":["http://zotero.org/users/2569385/items/NBSQIRA6"],"itemData":{"id":6265,"type":"article-journal","title":"Comparing the dynamic course of heroin, cocaine, and methamphetamine use over 10 years","container-title":"Addictive Behaviors","page":"1581-1589","volume":"33","issue":"12","source":"PubMed","abstract":"To examine dynamic changes in drug-use trajectories over time we analyzed episode types and predictors of quitting use over the 10 years following drug-use initiation for 1797 heroin, cocaine, and methamphetamine (meth) users. Most episodes reflected high use and incarceration, however these events occurred more frequently among heroin and meth users. Quitting was predicted by current treatment and self-help participation among meth (RR 2.57, 1.79-3.70; 2.57, 1.80-3.67) and cocaine (RR 2.00, 1.42-2.81; 2.10, 1.63-2.72) users, and by a history of quitting for meth users (RR 1.11, 1.06-1.17). Quitting was less likely among all users under legal supervision (RR 0.55-0.69) and among heroin (RR 0.66, 0.45-0.97) and meth users (RR 0.73, 0.60-0.89) with an early drug-use onset. Relative to cocaine or meth use, heroin use was characterized by persistent use at a high-level which was often only interrupted by incarceration. While quitting drug use can be facilitated by treatment and/or self-help participation, few people had these experiences in the 10 years following first use.","DOI":"10.1016/j.addbeh.2008.07.024","ISSN":"1873-6327","note":"PMID: 18790574\nPMCID: PMC2819270","journalAbbreviation":"Addict Behav","language":"eng","author":[{"family":"Hser","given":"Yih-Ing"},{"family":"Evans","given":"Elizabeth"},{"family":"Huang","given":"David"},{"family":"Brecht","given":"Mary-Lynn"},{"family":"Li","given":"Libo"}],"issued":{"date-parts":[["2008",12]]}}},{"id":5607,"uris":["http://zotero.org/users/2569385/items/EHBUG49T"],"uri":["http://zotero.org/users/2569385/items/EHBUG49T"],"itemData":{"id":5607,"type":"article-journal","title":"Development of a rational scale to assess the harm of drugs of potential misuse","container-title":"The Lancet","page":"1047-1053","volume":"369","issue":"9566","source":"www.thelancet.com","abstract":"&lt;h2&gt;Summary&lt;/h2&gt;&lt;p&gt;Drug misuse and abuse are major health problems. Harmful drugs are regulated according to classification systems that purport to relate to the harms and risks of each drug. However, the methodology and processes underlying classification systems are generally neither specified nor transparent, which reduces confidence in their accuracy and undermines health education messages. We developed and explored the feasibility of the use of a nine-category matrix of harm, with an expert delphic procedure, to assess the harms of a range of illicit drugs in an evidence-based fashion. We also included five legal drugs of misuse (alcohol, khat, solvents, alkyl nitrites, and tobacco) and one that has since been classified (ketamine) for reference. The process proved practicable, and yielded roughly similar scores and rankings of drug harm when used by two separate groups of experts. The ranking of drugs produced by our assessment of harm differed from those used by current regulatory systems. Our methodology offers a systematic framework and process that could be used by national and international regulatory bodies to assess the harm of current and future drugs of abuse.&lt;/p&gt;","DOI":"10.1016/S0140-6736(07)60464-4","ISSN":"0140-6736, 1474-547X","note":"PMID: 17382831, 17382831","journalAbbreviation":"The Lancet","language":"English","author":[{"family":"Nutt","given":"David"},{"family":"King","given":"Leslie A."},{"family":"Saulsbury","given":"William"},{"family":"Blakemore","given":"Colin"}],"issued":{"date-parts":[["2007",3,24]]}}}],"schema":"https://github.com/citation-style-language/schema/raw/master/csl-citation.json"} </w:instrText>
      </w:r>
      <w:r w:rsidR="00521B10" w:rsidRPr="00CA4BCA">
        <w:rPr>
          <w:rFonts w:cs="Times New Roman"/>
          <w:lang w:val="en-CA"/>
        </w:rPr>
        <w:fldChar w:fldCharType="separate"/>
      </w:r>
      <w:r w:rsidR="00585BBD" w:rsidRPr="00585BBD">
        <w:rPr>
          <w:rFonts w:cs="Times New Roman"/>
        </w:rPr>
        <w:t>(Hser et al., 2008; Nutt et al., 2007)</w:t>
      </w:r>
      <w:r w:rsidR="00521B10" w:rsidRPr="00CA4BCA">
        <w:rPr>
          <w:rFonts w:cs="Times New Roman"/>
          <w:lang w:val="en-CA"/>
        </w:rPr>
        <w:fldChar w:fldCharType="end"/>
      </w:r>
      <w:r w:rsidR="00521B10" w:rsidRPr="00CA4BCA">
        <w:rPr>
          <w:rFonts w:cs="Times New Roman"/>
          <w:lang w:val="en-CA"/>
        </w:rPr>
        <w:t>. This is despite our observation that frequent heroin</w:t>
      </w:r>
      <w:r w:rsidR="00467076" w:rsidRPr="00CA4BCA">
        <w:rPr>
          <w:rFonts w:cs="Times New Roman"/>
          <w:lang w:val="en-CA"/>
        </w:rPr>
        <w:t xml:space="preserve"> </w:t>
      </w:r>
      <w:r w:rsidR="00521B10" w:rsidRPr="00CA4BCA">
        <w:rPr>
          <w:rFonts w:cs="Times New Roman"/>
          <w:lang w:val="en-CA"/>
        </w:rPr>
        <w:t xml:space="preserve">use (i.e., weekly or more) had poor reliability – which is </w:t>
      </w:r>
      <w:r w:rsidRPr="00CA4BCA">
        <w:rPr>
          <w:rFonts w:cs="Times New Roman"/>
          <w:lang w:val="en-CA"/>
        </w:rPr>
        <w:t>supportive</w:t>
      </w:r>
      <w:r w:rsidR="00521B10" w:rsidRPr="00CA4BCA">
        <w:rPr>
          <w:rFonts w:cs="Times New Roman"/>
          <w:lang w:val="en-CA"/>
        </w:rPr>
        <w:t xml:space="preserve"> of </w:t>
      </w:r>
      <w:r w:rsidRPr="00CA4BCA">
        <w:rPr>
          <w:rFonts w:cs="Times New Roman"/>
          <w:lang w:val="en-CA"/>
        </w:rPr>
        <w:t>the erratic nature of substance use</w:t>
      </w:r>
      <w:r w:rsidR="00521B10" w:rsidRPr="00CA4BCA">
        <w:rPr>
          <w:rFonts w:cs="Times New Roman"/>
          <w:lang w:val="en-CA"/>
        </w:rPr>
        <w:t xml:space="preserve">. Indeed, </w:t>
      </w:r>
      <w:r w:rsidRPr="00CA4BCA">
        <w:rPr>
          <w:rFonts w:cs="Times New Roman"/>
          <w:lang w:val="en-CA"/>
        </w:rPr>
        <w:t>previous studies have demonstrated</w:t>
      </w:r>
      <w:r w:rsidR="00521B10" w:rsidRPr="00CA4BCA">
        <w:rPr>
          <w:rFonts w:cs="Times New Roman"/>
          <w:lang w:val="en-CA"/>
        </w:rPr>
        <w:t xml:space="preserve"> </w:t>
      </w:r>
      <w:r w:rsidRPr="00CA4BCA">
        <w:rPr>
          <w:rFonts w:cs="Times New Roman"/>
          <w:lang w:val="en-CA"/>
        </w:rPr>
        <w:t>that</w:t>
      </w:r>
      <w:r w:rsidR="00521B10" w:rsidRPr="00CA4BCA">
        <w:rPr>
          <w:rFonts w:cs="Times New Roman"/>
          <w:lang w:val="en-CA"/>
        </w:rPr>
        <w:t xml:space="preserve"> </w:t>
      </w:r>
      <w:r w:rsidRPr="00CA4BCA">
        <w:rPr>
          <w:rFonts w:cs="Times New Roman"/>
          <w:lang w:val="en-CA"/>
        </w:rPr>
        <w:t xml:space="preserve">even addictive substances are characterized by </w:t>
      </w:r>
      <w:r w:rsidR="00521B10" w:rsidRPr="00CA4BCA">
        <w:rPr>
          <w:rFonts w:cs="Times New Roman"/>
          <w:lang w:val="en-CA"/>
        </w:rPr>
        <w:t xml:space="preserve">transitions between periods of treatment, abstinence, non-daily, and daily use </w:t>
      </w:r>
      <w:r w:rsidR="00521B10" w:rsidRPr="00CA4BCA">
        <w:rPr>
          <w:rFonts w:cs="Times New Roman"/>
          <w:lang w:val="en-CA"/>
        </w:rPr>
        <w:fldChar w:fldCharType="begin"/>
      </w:r>
      <w:r w:rsidR="00521B10" w:rsidRPr="00CA4BCA">
        <w:rPr>
          <w:rFonts w:cs="Times New Roman"/>
          <w:lang w:val="en-CA"/>
        </w:rPr>
        <w:instrText xml:space="preserve"> ADDIN ZOTERO_ITEM CSL_CITATION {"citationID":"a255evb4dl","properties":{"formattedCitation":"(Nosyk et al., 2014)","plainCitation":"(Nosyk et al., 2014)"},"citationItems":[{"id":6258,"uris":["http://zotero.org/users/2569385/items/2MBW6B8F"],"uri":["http://zotero.org/users/2569385/items/2MBW6B8F"],"itemData":{"id":6258,"type":"article-journal","title":"Characterizing longitudinal health state transitions among heroin, cocaine, and methamphetamine users","container-title":"Drug and alcohol dependence","page":"69-77","volume":"140","source":"PubMed Central","abstract":"Aims\nCharacterize longitudinal patterns of drug use careers and identify determinants of drug use frequency across cohorts of primary heroin, methamphetamine (MA) and cocaine users.\n\nDesign\nPooled analysis of prospective cohort studies.\n\nSettings\nIllicit drug users recruited from community, criminal justice and drug treatment settings in California, USA.\n\nParticipants\nWe used longitudinal data on from five observational cohort studies featuring primary users of heroin (N=629), cocaine (N=694) and methamphetamine (N=474). The mean duration of follow-up was 20.9 years.\n\nMeasurements\nMonthly longitudinal data was arranged according to five health states (incarceration, drug treatment, abstinence, non-daily and daily use). We fitted proportional hazards (PH) frailty models to determine independent differences in successive episode durations. We then executed multi-state Markov (MSM) models to estimate probabilities of transitioning between health states, and the determinants of these transitions.\n\nFindings\nAcross primary drug use types, PH frailty models demonstrated durations of daily use diminished in successive episodes over time. MSM models revealed primary stimulant users had more erratic longitudinal patterns of drug use, transitioning more rapidly between periods of treatment, abstinence, non-daily and daily use. MA users exhibited relatively longer durations of high-frequency use. Criminal engagement had a destabilizing effect on health state durations across drug types. Longer incarceration histories were associated with delayed transitions towards cessation.\n\nConclusions\nPH frailty and MSM modeling techniques provided complementary information on longitudinal patterns of drug abuse. This information can inform clinical practice and policy, and otherwise be used in health economic simulation models, designed to inform resource allocation decisions.","DOI":"10.1016/j.drugalcdep.2014.03.029","ISSN":"0376-8716","note":"PMID: 24837584\nPMCID: PMC4072125","journalAbbreviation":"Drug Alcohol Depend","author":[{"family":"Nosyk","given":"B"},{"family":"Li","given":"L"},{"family":"Evans","given":"E"},{"family":"Huang","given":"D"},{"family":"Min","given":"J"},{"family":"Kerr","given":"T"},{"family":"Brecht","given":"ML"},{"family":"Hser","given":"YI"}],"issued":{"date-parts":[["2014",7,1]]}}}],"schema":"https://github.com/citation-style-language/schema/raw/master/csl-citation.json"} </w:instrText>
      </w:r>
      <w:r w:rsidR="00521B10" w:rsidRPr="00CA4BCA">
        <w:rPr>
          <w:rFonts w:cs="Times New Roman"/>
          <w:lang w:val="en-CA"/>
        </w:rPr>
        <w:fldChar w:fldCharType="separate"/>
      </w:r>
      <w:r w:rsidR="00585BBD" w:rsidRPr="00585BBD">
        <w:rPr>
          <w:rFonts w:cs="Times New Roman"/>
        </w:rPr>
        <w:t>(Nosyk et al., 2014)</w:t>
      </w:r>
      <w:r w:rsidR="00521B10" w:rsidRPr="00CA4BCA">
        <w:rPr>
          <w:rFonts w:cs="Times New Roman"/>
          <w:lang w:val="en-CA"/>
        </w:rPr>
        <w:fldChar w:fldCharType="end"/>
      </w:r>
      <w:r w:rsidR="00521B10" w:rsidRPr="00CA4BCA">
        <w:rPr>
          <w:rFonts w:cs="Times New Roman"/>
          <w:lang w:val="en-CA"/>
        </w:rPr>
        <w:t xml:space="preserve">. </w:t>
      </w:r>
      <w:r w:rsidR="00CA4090" w:rsidRPr="00CA4BCA">
        <w:rPr>
          <w:rFonts w:cs="Times New Roman"/>
          <w:lang w:val="en-CA"/>
        </w:rPr>
        <w:t>These erratic usage patterns may also underlie the transition from</w:t>
      </w:r>
      <w:r w:rsidR="00E37150" w:rsidRPr="00CA4BCA">
        <w:rPr>
          <w:rFonts w:cs="Times New Roman"/>
          <w:lang w:val="en-CA"/>
        </w:rPr>
        <w:t xml:space="preserve"> </w:t>
      </w:r>
      <w:r w:rsidR="00EB43D4" w:rsidRPr="00CA4BCA">
        <w:rPr>
          <w:rFonts w:cs="Times New Roman"/>
          <w:lang w:val="en-CA"/>
        </w:rPr>
        <w:t xml:space="preserve">the </w:t>
      </w:r>
      <w:r w:rsidR="00E37150" w:rsidRPr="00CA4BCA">
        <w:rPr>
          <w:rFonts w:cs="Times New Roman"/>
          <w:lang w:val="en-CA"/>
        </w:rPr>
        <w:t>street drug use</w:t>
      </w:r>
      <w:r w:rsidR="00EB43D4" w:rsidRPr="00CA4BCA">
        <w:rPr>
          <w:rFonts w:cs="Times New Roman"/>
          <w:lang w:val="en-CA"/>
        </w:rPr>
        <w:t xml:space="preserve"> class</w:t>
      </w:r>
      <w:r w:rsidR="00E37150" w:rsidRPr="00CA4BCA">
        <w:rPr>
          <w:rFonts w:cs="Times New Roman"/>
          <w:lang w:val="en-CA"/>
        </w:rPr>
        <w:t xml:space="preserve"> </w:t>
      </w:r>
      <w:r w:rsidR="00CA4090" w:rsidRPr="00CA4BCA">
        <w:rPr>
          <w:rFonts w:cs="Times New Roman"/>
          <w:lang w:val="en-CA"/>
        </w:rPr>
        <w:t>to</w:t>
      </w:r>
      <w:r w:rsidR="00E37150" w:rsidRPr="00CA4BCA">
        <w:rPr>
          <w:rFonts w:cs="Times New Roman"/>
          <w:lang w:val="en-CA"/>
        </w:rPr>
        <w:t xml:space="preserve"> </w:t>
      </w:r>
      <w:r w:rsidR="00EB43D4" w:rsidRPr="00CA4BCA">
        <w:rPr>
          <w:rFonts w:cs="Times New Roman"/>
          <w:lang w:val="en-CA"/>
        </w:rPr>
        <w:t xml:space="preserve">the </w:t>
      </w:r>
      <w:r w:rsidR="00E37150" w:rsidRPr="00CA4BCA">
        <w:rPr>
          <w:rFonts w:cs="Times New Roman"/>
          <w:lang w:val="en-CA"/>
        </w:rPr>
        <w:t xml:space="preserve">limited </w:t>
      </w:r>
      <w:r w:rsidR="00EB43D4" w:rsidRPr="00CA4BCA">
        <w:rPr>
          <w:rFonts w:cs="Times New Roman"/>
          <w:lang w:val="en-CA"/>
        </w:rPr>
        <w:t>(n = 11) and conventional drug use classes</w:t>
      </w:r>
      <w:r w:rsidR="003F2260" w:rsidRPr="00CA4BCA">
        <w:rPr>
          <w:rFonts w:cs="Times New Roman"/>
          <w:lang w:val="en-CA"/>
        </w:rPr>
        <w:t xml:space="preserve"> (n = </w:t>
      </w:r>
      <w:r w:rsidR="00EB43D4" w:rsidRPr="00CA4BCA">
        <w:rPr>
          <w:rFonts w:cs="Times New Roman"/>
          <w:lang w:val="en-CA"/>
        </w:rPr>
        <w:t>8</w:t>
      </w:r>
      <w:r w:rsidR="003F2260" w:rsidRPr="00CA4BCA">
        <w:rPr>
          <w:rFonts w:cs="Times New Roman"/>
          <w:lang w:val="en-CA"/>
        </w:rPr>
        <w:t>)</w:t>
      </w:r>
      <w:r w:rsidR="00E37150" w:rsidRPr="00CA4BCA">
        <w:rPr>
          <w:rFonts w:cs="Times New Roman"/>
          <w:lang w:val="en-CA"/>
        </w:rPr>
        <w:t xml:space="preserve">. </w:t>
      </w:r>
      <w:r w:rsidR="00EB43D4" w:rsidRPr="00CA4BCA">
        <w:rPr>
          <w:rFonts w:cs="Times New Roman"/>
          <w:lang w:val="en-CA"/>
        </w:rPr>
        <w:t>W</w:t>
      </w:r>
      <w:r w:rsidR="00521B10" w:rsidRPr="00CA4BCA">
        <w:rPr>
          <w:rFonts w:cs="Times New Roman"/>
          <w:lang w:val="en-CA"/>
        </w:rPr>
        <w:t xml:space="preserve">hile </w:t>
      </w:r>
      <w:r w:rsidR="00CA4090" w:rsidRPr="00CA4BCA">
        <w:rPr>
          <w:rFonts w:cs="Times New Roman"/>
          <w:lang w:val="en-CA"/>
        </w:rPr>
        <w:t>these transitions</w:t>
      </w:r>
      <w:r w:rsidR="00521B10" w:rsidRPr="00CA4BCA">
        <w:rPr>
          <w:rFonts w:cs="Times New Roman"/>
          <w:lang w:val="en-CA"/>
        </w:rPr>
        <w:t xml:space="preserve"> </w:t>
      </w:r>
      <w:r w:rsidR="00EB43D4" w:rsidRPr="00CA4BCA">
        <w:rPr>
          <w:rFonts w:cs="Times New Roman"/>
          <w:lang w:val="en-CA"/>
        </w:rPr>
        <w:t xml:space="preserve">may very well </w:t>
      </w:r>
      <w:r w:rsidR="00CA4090" w:rsidRPr="00CA4BCA">
        <w:rPr>
          <w:rFonts w:cs="Times New Roman"/>
          <w:lang w:val="en-CA"/>
        </w:rPr>
        <w:t>reflect</w:t>
      </w:r>
      <w:r w:rsidR="00103246" w:rsidRPr="00CA4BCA">
        <w:rPr>
          <w:rFonts w:cs="Times New Roman"/>
          <w:lang w:val="en-CA"/>
        </w:rPr>
        <w:t xml:space="preserve"> inte</w:t>
      </w:r>
      <w:r w:rsidR="00521B10" w:rsidRPr="00CA4BCA">
        <w:rPr>
          <w:rFonts w:cs="Times New Roman"/>
          <w:lang w:val="en-CA"/>
        </w:rPr>
        <w:t>ntional, health-</w:t>
      </w:r>
      <w:r w:rsidR="00103246" w:rsidRPr="00CA4BCA">
        <w:rPr>
          <w:rFonts w:cs="Times New Roman"/>
          <w:lang w:val="en-CA"/>
        </w:rPr>
        <w:t>motivated, or</w:t>
      </w:r>
      <w:r w:rsidR="00066A87" w:rsidRPr="00CA4BCA">
        <w:rPr>
          <w:rFonts w:cs="Times New Roman"/>
          <w:lang w:val="en-CA"/>
        </w:rPr>
        <w:t xml:space="preserve"> </w:t>
      </w:r>
      <w:r w:rsidR="00521B10" w:rsidRPr="00CA4BCA">
        <w:rPr>
          <w:rFonts w:cs="Times New Roman"/>
          <w:lang w:val="en-CA"/>
        </w:rPr>
        <w:t>legally-</w:t>
      </w:r>
      <w:r w:rsidR="00066A87" w:rsidRPr="00CA4BCA">
        <w:rPr>
          <w:rFonts w:cs="Times New Roman"/>
          <w:lang w:val="en-CA"/>
        </w:rPr>
        <w:t>mandated abstention from drug</w:t>
      </w:r>
      <w:r w:rsidR="00CA4090" w:rsidRPr="00CA4BCA">
        <w:rPr>
          <w:rFonts w:cs="Times New Roman"/>
          <w:lang w:val="en-CA"/>
        </w:rPr>
        <w:t xml:space="preserve"> use</w:t>
      </w:r>
      <w:r w:rsidR="00066A87" w:rsidRPr="00CA4BCA">
        <w:rPr>
          <w:rFonts w:cs="Times New Roman"/>
          <w:lang w:val="en-CA"/>
        </w:rPr>
        <w:t xml:space="preserve"> </w:t>
      </w:r>
      <w:r w:rsidR="00066A87" w:rsidRPr="00CA4BCA">
        <w:rPr>
          <w:rFonts w:cs="Times New Roman"/>
          <w:lang w:val="en-CA"/>
        </w:rPr>
        <w:fldChar w:fldCharType="begin"/>
      </w:r>
      <w:r w:rsidR="00066A87" w:rsidRPr="00CA4BCA">
        <w:rPr>
          <w:rFonts w:cs="Times New Roman"/>
          <w:lang w:val="en-CA"/>
        </w:rPr>
        <w:instrText xml:space="preserve"> ADDIN ZOTERO_ITEM CSL_CITATION {"citationID":"B7ej1l4H","properties":{"formattedCitation":"(Klingemann, 1991; Klingemann et al., 2010)","plainCitation":"(Klingemann, 1991; Klingemann et al., 2010)"},"citationItems":[{"id":6267,"uris":["http://zotero.org/users/2569385/items/L2SKWYBQ"],"uri":["http://zotero.org/users/2569385/items/L2SKWYBQ"],"itemData":{"id":6267,"type":"article-journal","title":"The motivation for change from alcohol and heroin use","container-title":"British journal of addiction","page":"727-44","volume":"86","source":"ResearchGate","abstract":"This paper provides an overview of the first study in Switzerland on spontaneous remission from substance abuse, conducted 1988. After a rigourous screening process, 60 practically treatment-free remitters could be identified. While 14 of the 30 alcohol cases reduced their consumption almost to abstinence, all but two heroin remitters stopped their consumption altogether. No selection bias could be detected when comparing the groups studied with clinic populations, survey data and police records. The qualitative analysis of the collected extensive life histories led to a typology of the autoremission process. The motivation to change, the implementation of the decision, the maintenance and the negotiation of a new identity or meaning in life represent the three major stages. This paper focuses on the first stage and the role of negative vs positive experiences in setting off subsequent changes in alcohol or heroin consumption. The variation in the motivational background is illustrated by a close look at the rich life history accounts as well as by quantitative data on life events and cognitive prerequisites of change. Methodological drawbacks of this first exploratory study, such as recall problems and a narrow definition of addiction excluding psychological problems, are discussed and the necessity of future prospective studies is underlined.","DOI":"10.1111/j.1360-0443.1991.tb03099.x","author":[{"family":"Klingemann","given":"Harald"}],"issued":{"date-parts":[["1991",7,1]]}}},{"id":6269,"uris":["http://zotero.org/users/2569385/items/MIDQN25D"],"uri":["http://zotero.org/users/2569385/items/MIDQN25D"],"itemData":{"id":6269,"type":"article-journal","title":"Continuities and changes in self-change research","container-title":"Addiction (Abingdon, England)","page":"1510-1518","volume":"105","issue":"9","source":"PubMed","abstract":"AIMS: A substantial literature demonstrates that natural recoveries from substance use disorders not only occur but are a common pathway to recovery. This article reviews selectively and comments on the current state-of-the-art in natural recovery research.\nMETHODS: Basic concepts in natural recovery research are presented, and topical and methodological trends and changes in self-change research over time are discussed.\nCONCLUSIONS: Although considerable progress has occurred in natural recovery research, several topics deserving of further research are identified, and implications for policy practice are discussed.","DOI":"10.1111/j.1360-0443.2009.02770.x","ISSN":"1360-0443","note":"PMID: 19919592","journalAbbreviation":"Addiction","language":"eng","author":[{"family":"Klingemann","given":"Harald"},{"family":"Sobell","given":"Mark B."},{"family":"Sobell","given":"Linda C."}],"issued":{"date-parts":[["2010",9]]}}}],"schema":"https://github.com/citation-style-language/schema/raw/master/csl-citation.json"} </w:instrText>
      </w:r>
      <w:r w:rsidR="00066A87" w:rsidRPr="00CA4BCA">
        <w:rPr>
          <w:rFonts w:cs="Times New Roman"/>
          <w:lang w:val="en-CA"/>
        </w:rPr>
        <w:fldChar w:fldCharType="separate"/>
      </w:r>
      <w:r w:rsidR="00585BBD" w:rsidRPr="00585BBD">
        <w:rPr>
          <w:rFonts w:cs="Times New Roman"/>
        </w:rPr>
        <w:t>(Klingemann, 1991; Klingemann et al., 2010)</w:t>
      </w:r>
      <w:r w:rsidR="00066A87" w:rsidRPr="00CA4BCA">
        <w:rPr>
          <w:rFonts w:cs="Times New Roman"/>
          <w:lang w:val="en-CA"/>
        </w:rPr>
        <w:fldChar w:fldCharType="end"/>
      </w:r>
      <w:r w:rsidR="00521B10" w:rsidRPr="00CA4BCA">
        <w:rPr>
          <w:rFonts w:cs="Times New Roman"/>
          <w:lang w:val="en-CA"/>
        </w:rPr>
        <w:t xml:space="preserve">, </w:t>
      </w:r>
      <w:r w:rsidR="00EB43D4" w:rsidRPr="00CA4BCA">
        <w:rPr>
          <w:rFonts w:cs="Times New Roman"/>
          <w:lang w:val="en-CA"/>
        </w:rPr>
        <w:t xml:space="preserve">they may </w:t>
      </w:r>
      <w:r w:rsidRPr="00CA4BCA">
        <w:rPr>
          <w:rFonts w:cs="Times New Roman"/>
          <w:lang w:val="en-CA"/>
        </w:rPr>
        <w:t xml:space="preserve">also </w:t>
      </w:r>
      <w:r w:rsidR="00190C23" w:rsidRPr="00CA4BCA">
        <w:rPr>
          <w:rFonts w:cs="Times New Roman"/>
          <w:lang w:val="en-CA"/>
        </w:rPr>
        <w:t xml:space="preserve">reflect </w:t>
      </w:r>
      <w:r w:rsidR="00EB43D4" w:rsidRPr="00CA4BCA">
        <w:rPr>
          <w:rFonts w:cs="Times New Roman"/>
          <w:lang w:val="en-CA"/>
        </w:rPr>
        <w:t xml:space="preserve">the </w:t>
      </w:r>
      <w:r w:rsidR="00190C23" w:rsidRPr="00CA4BCA">
        <w:rPr>
          <w:rFonts w:cs="Times New Roman"/>
          <w:lang w:val="en-CA"/>
        </w:rPr>
        <w:t>natural volatility ass</w:t>
      </w:r>
      <w:r w:rsidR="00EB43D4" w:rsidRPr="00CA4BCA">
        <w:rPr>
          <w:rFonts w:cs="Times New Roman"/>
          <w:lang w:val="en-CA"/>
        </w:rPr>
        <w:t>ociated with specific substance use patterns</w:t>
      </w:r>
      <w:r w:rsidR="003F2260" w:rsidRPr="00CA4BCA">
        <w:rPr>
          <w:rFonts w:cs="Times New Roman"/>
          <w:lang w:val="en-CA"/>
        </w:rPr>
        <w:t>. This suggests that</w:t>
      </w:r>
      <w:r w:rsidR="00521B10" w:rsidRPr="00CA4BCA">
        <w:rPr>
          <w:rFonts w:cs="Times New Roman"/>
          <w:lang w:val="en-CA"/>
        </w:rPr>
        <w:t xml:space="preserve"> latent </w:t>
      </w:r>
      <w:r w:rsidR="00EB43D4" w:rsidRPr="00CA4BCA">
        <w:rPr>
          <w:rFonts w:cs="Times New Roman"/>
          <w:lang w:val="en-CA"/>
        </w:rPr>
        <w:t>class analysis</w:t>
      </w:r>
      <w:r w:rsidR="00521B10" w:rsidRPr="00CA4BCA">
        <w:rPr>
          <w:rFonts w:cs="Times New Roman"/>
          <w:lang w:val="en-CA"/>
        </w:rPr>
        <w:t xml:space="preserve"> may be relatively less reliable </w:t>
      </w:r>
      <w:r w:rsidR="003F2260" w:rsidRPr="00CA4BCA">
        <w:rPr>
          <w:rFonts w:cs="Times New Roman"/>
          <w:lang w:val="en-CA"/>
        </w:rPr>
        <w:t xml:space="preserve">for some typologies of substance use than </w:t>
      </w:r>
      <w:r w:rsidR="00521B10" w:rsidRPr="00CA4BCA">
        <w:rPr>
          <w:rFonts w:cs="Times New Roman"/>
          <w:lang w:val="en-CA"/>
        </w:rPr>
        <w:t>for others</w:t>
      </w:r>
      <w:r w:rsidR="00066A87" w:rsidRPr="00CA4BCA">
        <w:rPr>
          <w:rFonts w:cs="Times New Roman"/>
          <w:lang w:val="en-CA"/>
        </w:rPr>
        <w:t xml:space="preserve">. </w:t>
      </w:r>
      <w:r w:rsidR="003F2260" w:rsidRPr="00CA4BCA">
        <w:rPr>
          <w:rFonts w:cs="Times New Roman"/>
          <w:lang w:val="en-CA"/>
        </w:rPr>
        <w:t xml:space="preserve">Therefore, </w:t>
      </w:r>
      <w:bookmarkStart w:id="12" w:name="_Hlk508013349"/>
      <w:r w:rsidR="003F2260" w:rsidRPr="00CA4BCA">
        <w:rPr>
          <w:rFonts w:cs="Times New Roman"/>
          <w:lang w:val="en-CA"/>
        </w:rPr>
        <w:t>additional</w:t>
      </w:r>
      <w:r w:rsidR="00103246" w:rsidRPr="00CA4BCA">
        <w:rPr>
          <w:rFonts w:cs="Times New Roman"/>
          <w:lang w:val="en-CA"/>
        </w:rPr>
        <w:t xml:space="preserve"> assessment of </w:t>
      </w:r>
      <w:r w:rsidR="003F2260" w:rsidRPr="00CA4BCA">
        <w:rPr>
          <w:rFonts w:cs="Times New Roman"/>
          <w:lang w:val="en-CA"/>
        </w:rPr>
        <w:t>the individual</w:t>
      </w:r>
      <w:r w:rsidR="00103246" w:rsidRPr="00CA4BCA">
        <w:rPr>
          <w:rFonts w:cs="Times New Roman"/>
          <w:lang w:val="en-CA"/>
        </w:rPr>
        <w:t xml:space="preserve"> </w:t>
      </w:r>
      <w:r w:rsidR="003F2260" w:rsidRPr="00CA4BCA">
        <w:rPr>
          <w:rFonts w:cs="Times New Roman"/>
          <w:lang w:val="en-CA"/>
        </w:rPr>
        <w:t xml:space="preserve">and </w:t>
      </w:r>
      <w:r w:rsidR="003F2260" w:rsidRPr="00CA4BCA">
        <w:rPr>
          <w:rFonts w:cs="Times New Roman"/>
          <w:lang w:val="en-CA"/>
        </w:rPr>
        <w:lastRenderedPageBreak/>
        <w:t xml:space="preserve">circumstantial factors that contribute to periods of sobriety among GBM </w:t>
      </w:r>
      <w:r w:rsidR="00EB43D4" w:rsidRPr="00CA4BCA">
        <w:rPr>
          <w:rFonts w:cs="Times New Roman"/>
          <w:lang w:val="en-CA"/>
        </w:rPr>
        <w:t>are needed.</w:t>
      </w:r>
      <w:r w:rsidR="00680A81">
        <w:rPr>
          <w:rFonts w:cs="Times New Roman"/>
          <w:lang w:val="en-CA"/>
        </w:rPr>
        <w:t xml:space="preserve"> Among several factors meriting future interest, these assessments should examine the impact of drug treatment and support group participation.</w:t>
      </w:r>
      <w:r w:rsidR="00EB43D4" w:rsidRPr="00CA4BCA">
        <w:rPr>
          <w:rFonts w:cs="Times New Roman"/>
          <w:lang w:val="en-CA"/>
        </w:rPr>
        <w:t xml:space="preserve"> Such studies </w:t>
      </w:r>
      <w:r w:rsidR="003F2260" w:rsidRPr="00CA4BCA">
        <w:rPr>
          <w:rFonts w:cs="Times New Roman"/>
          <w:lang w:val="en-CA"/>
        </w:rPr>
        <w:t>may</w:t>
      </w:r>
      <w:r w:rsidR="00103246" w:rsidRPr="00CA4BCA">
        <w:rPr>
          <w:rFonts w:cs="Times New Roman"/>
          <w:lang w:val="en-CA"/>
        </w:rPr>
        <w:t xml:space="preserve"> </w:t>
      </w:r>
      <w:r w:rsidR="00EB43D4" w:rsidRPr="00CA4BCA">
        <w:rPr>
          <w:rFonts w:cs="Times New Roman"/>
          <w:lang w:val="en-CA"/>
        </w:rPr>
        <w:t xml:space="preserve">also </w:t>
      </w:r>
      <w:r w:rsidR="00103246" w:rsidRPr="00CA4BCA">
        <w:rPr>
          <w:rFonts w:cs="Times New Roman"/>
          <w:lang w:val="en-CA"/>
        </w:rPr>
        <w:t xml:space="preserve">provide learning opportunities for researchers and public health leaders hoping to </w:t>
      </w:r>
      <w:r w:rsidR="00EB43D4" w:rsidRPr="00CA4BCA">
        <w:rPr>
          <w:rFonts w:cs="Times New Roman"/>
          <w:lang w:val="en-CA"/>
        </w:rPr>
        <w:t>instigate</w:t>
      </w:r>
      <w:r w:rsidR="00103246" w:rsidRPr="00CA4BCA">
        <w:rPr>
          <w:rFonts w:cs="Times New Roman"/>
          <w:lang w:val="en-CA"/>
        </w:rPr>
        <w:t xml:space="preserve"> transitions from harmful use to </w:t>
      </w:r>
      <w:r w:rsidR="00EB43D4" w:rsidRPr="00CA4BCA">
        <w:rPr>
          <w:rFonts w:cs="Times New Roman"/>
          <w:lang w:val="en-CA"/>
        </w:rPr>
        <w:t>abstinence or managed use</w:t>
      </w:r>
      <w:r w:rsidR="00103246" w:rsidRPr="00CA4BCA">
        <w:rPr>
          <w:rFonts w:cs="Times New Roman"/>
          <w:lang w:val="en-CA"/>
        </w:rPr>
        <w:t>.</w:t>
      </w:r>
      <w:r w:rsidR="00680A81">
        <w:rPr>
          <w:rFonts w:cs="Times New Roman"/>
          <w:lang w:val="en-CA"/>
        </w:rPr>
        <w:t xml:space="preserve"> </w:t>
      </w:r>
    </w:p>
    <w:bookmarkEnd w:id="12"/>
    <w:p w14:paraId="3563B432" w14:textId="0288E0B4" w:rsidR="0047548F" w:rsidRPr="00CA4BCA" w:rsidRDefault="00D63A9C" w:rsidP="0047548F">
      <w:pPr>
        <w:pStyle w:val="Heading2"/>
        <w:rPr>
          <w:rFonts w:ascii="Times New Roman" w:hAnsi="Times New Roman" w:cs="Times New Roman"/>
        </w:rPr>
      </w:pPr>
      <w:r w:rsidRPr="00CA4BCA">
        <w:rPr>
          <w:rFonts w:ascii="Times New Roman" w:hAnsi="Times New Roman" w:cs="Times New Roman"/>
        </w:rPr>
        <w:t xml:space="preserve">4.2. </w:t>
      </w:r>
      <w:r w:rsidR="00FA4A16" w:rsidRPr="00CA4BCA">
        <w:rPr>
          <w:rFonts w:ascii="Times New Roman" w:hAnsi="Times New Roman" w:cs="Times New Roman"/>
        </w:rPr>
        <w:t>Limitations</w:t>
      </w:r>
    </w:p>
    <w:p w14:paraId="053F6BFD" w14:textId="1E4A3C74" w:rsidR="00544ECB" w:rsidRPr="00CA4BCA" w:rsidRDefault="008364A0" w:rsidP="00544ECB">
      <w:pPr>
        <w:rPr>
          <w:rFonts w:cs="Times New Roman"/>
          <w:lang w:val="en-CA"/>
        </w:rPr>
      </w:pPr>
      <w:r w:rsidRPr="00CA4BCA">
        <w:rPr>
          <w:rFonts w:cs="Times New Roman"/>
          <w:lang w:val="en-CA"/>
        </w:rPr>
        <w:t xml:space="preserve">With consideration to the findings </w:t>
      </w:r>
      <w:r w:rsidR="003F2260" w:rsidRPr="00CA4BCA">
        <w:rPr>
          <w:rFonts w:cs="Times New Roman"/>
          <w:lang w:val="en-CA"/>
        </w:rPr>
        <w:t xml:space="preserve">outlined </w:t>
      </w:r>
      <w:r w:rsidRPr="00CA4BCA">
        <w:rPr>
          <w:rFonts w:cs="Times New Roman"/>
          <w:lang w:val="en-CA"/>
        </w:rPr>
        <w:t>above, readers should be aware of several important limitations</w:t>
      </w:r>
      <w:r w:rsidR="00127B65" w:rsidRPr="00CA4BCA">
        <w:rPr>
          <w:rFonts w:cs="Times New Roman"/>
          <w:lang w:val="en-CA"/>
        </w:rPr>
        <w:t>.</w:t>
      </w:r>
      <w:r w:rsidRPr="00CA4BCA">
        <w:rPr>
          <w:rFonts w:cs="Times New Roman"/>
          <w:lang w:val="en-CA"/>
        </w:rPr>
        <w:t xml:space="preserve"> </w:t>
      </w:r>
      <w:r w:rsidR="00F740FD" w:rsidRPr="00CA4BCA">
        <w:rPr>
          <w:rFonts w:cs="Times New Roman"/>
          <w:lang w:val="en-CA"/>
        </w:rPr>
        <w:t xml:space="preserve">First, </w:t>
      </w:r>
      <w:r w:rsidR="004562FE" w:rsidRPr="00CA4BCA">
        <w:rPr>
          <w:rFonts w:cs="Times New Roman"/>
          <w:lang w:val="en-CA"/>
        </w:rPr>
        <w:t>generalizability of these findings may be limited due to loss to follow up. However, the relationship</w:t>
      </w:r>
      <w:r w:rsidR="004D00A1">
        <w:rPr>
          <w:rFonts w:cs="Times New Roman"/>
          <w:lang w:val="en-CA"/>
        </w:rPr>
        <w:t>s</w:t>
      </w:r>
      <w:r w:rsidR="004562FE" w:rsidRPr="00CA4BCA">
        <w:rPr>
          <w:rFonts w:cs="Times New Roman"/>
          <w:lang w:val="en-CA"/>
        </w:rPr>
        <w:t xml:space="preserve"> we observed are likely still robust (i.e., internally valid). </w:t>
      </w:r>
      <w:bookmarkStart w:id="13" w:name="_Hlk506931517"/>
      <w:r w:rsidR="004562FE" w:rsidRPr="00CA4BCA">
        <w:rPr>
          <w:rFonts w:cs="Times New Roman"/>
          <w:lang w:val="en-CA"/>
        </w:rPr>
        <w:t xml:space="preserve">Second, </w:t>
      </w:r>
      <w:r w:rsidR="00117C5E" w:rsidRPr="00CA4BCA">
        <w:rPr>
          <w:rFonts w:cs="Times New Roman"/>
          <w:lang w:val="en-CA"/>
        </w:rPr>
        <w:t>to increase the flexibility of our analytic design we included participants who had missed 1 study visit, carrying forward responses from their previous visit into the missed visit. This may partially have underestimated the number of latent transitions</w:t>
      </w:r>
      <w:r w:rsidR="00B50350" w:rsidRPr="00CA4BCA">
        <w:rPr>
          <w:rFonts w:cs="Times New Roman"/>
          <w:lang w:val="en-CA"/>
        </w:rPr>
        <w:t xml:space="preserve"> observed </w:t>
      </w:r>
      <w:r w:rsidR="00B50350" w:rsidRPr="00CA4BCA">
        <w:rPr>
          <w:rFonts w:cs="Times New Roman"/>
          <w:lang w:val="en-CA"/>
        </w:rPr>
        <w:fldChar w:fldCharType="begin"/>
      </w:r>
      <w:r w:rsidR="00D63A9C" w:rsidRPr="00CA4BCA">
        <w:rPr>
          <w:rFonts w:cs="Times New Roman"/>
          <w:lang w:val="en-CA"/>
        </w:rPr>
        <w:instrText xml:space="preserve"> ADDIN ZOTERO_ITEM CSL_CITATION {"citationID":"xdeuXvYD","properties":{"formattedCitation":"(Lachin, 2016)","plainCitation":"(Lachin, 2016)"},"citationItems":[{"id":5238,"uris":["http://zotero.org/users/2569385/items/GRY6QKI5"],"uri":["http://zotero.org/users/2569385/items/GRY6QKI5"],"itemData":{"id":5238,"type":"article-journal","title":"Fallacies of last observation carried forward analyses","container-title":"Clinical Trials (London, England)","page":"161-168","volume":"13","issue":"2","source":"PubMed","abstract":"BACKGROUND: Last observation carried forward is a common statistical approach to the analysis of longitudinal repeated measures data where some follow-up observations may be missing. In a last observation carried forward analysis, a missing follow-up visit value is replaced by (imputed as) that subject's previously observed value, that is, the last observation is carried forward. The combination of the observed and imputed data is then analyzed as though there were no missing data.\nPURPOSE: There have been numerous statistical demonstrations of faults of this approach. In 2012, the National Research Council's Panel on Handling Missing Data in Clinical Trials issued a report that raised concerns with the use of last observation carried forward and described alternative methods that offer greater statistical validity. Nevertheless, the method persists, and its use is rampant. A search of the key word \"last observation carried forward\" using Google Scholar yielded \"about 2480\" published citations during 2014 alone, the overwhelming majority presenting the results of scientific studies. However, there has not been a simple explanation of the statistical deficiencies of last observation carried forward. Such a description is presented herein.\nRESULTS: A simple repeated measures model is described for quantitative observations at two times (e.g. 1 and 2 years), with complete values at 1 year that are used to impute by last observation carried forward the missing values at 2 years under the missing completely at random assumption. This results in a mixture distribution of observed and imputed values at 2 years with mean and variance that are a function of the mixture of the 1- and 2-year distributions. The expressions show that last observation carried forward is only unbiased when the distribution of the observed values at 1 year is exactly equal to the distribution of the missing values at 2 years, the latter, of course, being unknown.\nLIMITATIONS: When the values at 2 years are not randomly missing, no simple expressions for the mean and variance of the mixture distribution are possible without additional unverifiable assumptions.\nCONCLUSION: All analyses using last observation carried forward are of questionable veracity, if not being outright specious (definition: appearing to be true but actually false). It is hoped that future studies will make a more vigorous attempt to minimize the amount of missing data and that more valid statistical analyses will be employed in cases where missing data occur. Last observation carried forward should not be employed in any analyses.","DOI":"10.1177/1740774515602688","ISSN":"1740-7753","note":"PMID: 26400875\nPMCID: PMC4785044","journalAbbreviation":"Clin Trials","language":"eng","author":[{"family":"Lachin","given":"John M."}],"issued":{"date-parts":[["2016",4]]}}}],"schema":"https://github.com/citation-style-language/schema/raw/master/csl-citation.json"} </w:instrText>
      </w:r>
      <w:r w:rsidR="00B50350" w:rsidRPr="00CA4BCA">
        <w:rPr>
          <w:rFonts w:cs="Times New Roman"/>
          <w:lang w:val="en-CA"/>
        </w:rPr>
        <w:fldChar w:fldCharType="separate"/>
      </w:r>
      <w:r w:rsidR="00585BBD" w:rsidRPr="00585BBD">
        <w:rPr>
          <w:rFonts w:cs="Times New Roman"/>
        </w:rPr>
        <w:t>(Lachin, 2016)</w:t>
      </w:r>
      <w:r w:rsidR="00B50350" w:rsidRPr="00CA4BCA">
        <w:rPr>
          <w:rFonts w:cs="Times New Roman"/>
          <w:lang w:val="en-CA"/>
        </w:rPr>
        <w:fldChar w:fldCharType="end"/>
      </w:r>
      <w:r w:rsidR="00117C5E" w:rsidRPr="00CA4BCA">
        <w:rPr>
          <w:rFonts w:cs="Times New Roman"/>
          <w:lang w:val="en-CA"/>
        </w:rPr>
        <w:t>. Indeed, if transition probabilities were stable across all periods, we might expec</w:t>
      </w:r>
      <w:r w:rsidR="00236FDF" w:rsidRPr="00CA4BCA">
        <w:rPr>
          <w:rFonts w:cs="Times New Roman"/>
          <w:lang w:val="en-CA"/>
        </w:rPr>
        <w:t xml:space="preserve">t that as many as </w:t>
      </w:r>
      <w:r w:rsidR="00564FC9" w:rsidRPr="00CA4BCA">
        <w:rPr>
          <w:rFonts w:cs="Times New Roman"/>
          <w:lang w:val="en-CA"/>
        </w:rPr>
        <w:t xml:space="preserve">9 </w:t>
      </w:r>
      <w:r w:rsidR="00117C5E" w:rsidRPr="00CA4BCA">
        <w:rPr>
          <w:rFonts w:cs="Times New Roman"/>
          <w:lang w:val="en-CA"/>
        </w:rPr>
        <w:t xml:space="preserve">additional transitions </w:t>
      </w:r>
      <w:r w:rsidR="00B50350" w:rsidRPr="00CA4BCA">
        <w:rPr>
          <w:rFonts w:cs="Times New Roman"/>
          <w:lang w:val="en-CA"/>
        </w:rPr>
        <w:t>would</w:t>
      </w:r>
      <w:r w:rsidR="00982EC2" w:rsidRPr="00CA4BCA">
        <w:rPr>
          <w:rFonts w:cs="Times New Roman"/>
          <w:lang w:val="en-CA"/>
        </w:rPr>
        <w:t xml:space="preserve"> have been</w:t>
      </w:r>
      <w:r w:rsidR="00117C5E" w:rsidRPr="00CA4BCA">
        <w:rPr>
          <w:rFonts w:cs="Times New Roman"/>
          <w:lang w:val="en-CA"/>
        </w:rPr>
        <w:t xml:space="preserve"> observed. However, given this small number, it seems unlikely that our conclusions would have changed. </w:t>
      </w:r>
      <w:bookmarkStart w:id="14" w:name="_Hlk506932765"/>
      <w:bookmarkEnd w:id="13"/>
      <w:r w:rsidR="00C14406">
        <w:rPr>
          <w:rFonts w:cs="Times New Roman"/>
          <w:lang w:val="en-CA"/>
        </w:rPr>
        <w:t>Yet, because the distribution of carried over observations was higher among those classified as engaging in conventional drug use, readers should be alert to the potential that transitions might have been higher than we report here</w:t>
      </w:r>
      <w:bookmarkEnd w:id="14"/>
      <w:r w:rsidR="00C14406">
        <w:rPr>
          <w:rFonts w:cs="Times New Roman"/>
          <w:lang w:val="en-CA"/>
        </w:rPr>
        <w:t xml:space="preserve">. </w:t>
      </w:r>
      <w:r w:rsidR="004562FE" w:rsidRPr="00CA4BCA">
        <w:rPr>
          <w:rFonts w:cs="Times New Roman"/>
          <w:lang w:val="en-CA"/>
        </w:rPr>
        <w:t>Third</w:t>
      </w:r>
      <w:r w:rsidR="00117C5E" w:rsidRPr="00CA4BCA">
        <w:rPr>
          <w:rFonts w:cs="Times New Roman"/>
          <w:lang w:val="en-CA"/>
        </w:rPr>
        <w:t xml:space="preserve">, due to the </w:t>
      </w:r>
      <w:r w:rsidR="00B50350" w:rsidRPr="00CA4BCA">
        <w:rPr>
          <w:rFonts w:cs="Times New Roman"/>
          <w:lang w:val="en-CA"/>
        </w:rPr>
        <w:t>length of our</w:t>
      </w:r>
      <w:r w:rsidR="00117C5E" w:rsidRPr="00CA4BCA">
        <w:rPr>
          <w:rFonts w:cs="Times New Roman"/>
          <w:lang w:val="en-CA"/>
        </w:rPr>
        <w:t xml:space="preserve"> follow-up periods (i.e., six-month intervals) and the use of period prevalence measures of substance use, it is possible that our study design does not provide sufficient nuance to understand how GBM transition between latent classes</w:t>
      </w:r>
      <w:r w:rsidR="00B50350" w:rsidRPr="00CA4BCA">
        <w:rPr>
          <w:rFonts w:cs="Times New Roman"/>
          <w:lang w:val="en-CA"/>
        </w:rPr>
        <w:t xml:space="preserve"> </w:t>
      </w:r>
      <w:r w:rsidR="00B50350" w:rsidRPr="00CA4BCA">
        <w:rPr>
          <w:rFonts w:cs="Times New Roman"/>
          <w:lang w:val="en-CA"/>
        </w:rPr>
        <w:fldChar w:fldCharType="begin"/>
      </w:r>
      <w:r w:rsidR="00D63A9C" w:rsidRPr="00CA4BCA">
        <w:rPr>
          <w:rFonts w:cs="Times New Roman"/>
          <w:lang w:val="en-CA"/>
        </w:rPr>
        <w:instrText xml:space="preserve"> ADDIN ZOTERO_ITEM CSL_CITATION {"citationID":"qps4Agze","properties":{"formattedCitation":"(Cooper, 2010)","plainCitation":"(Cooper, 2010)"},"citationItems":[{"id":381,"uris":["http://zotero.org/users/2569385/items/ET7TNQKT"],"uri":["http://zotero.org/users/2569385/items/ET7TNQKT"],"itemData":{"id":381,"type":"article-journal","title":"Toward a person x situation model of sexual risk-taking behaviors: illuminating the conditional effects of traits across sexual situations and relationship contexts","container-title":"Journal of Personality and Social Psychology","page":"319-341","volume":"98","issue":"2","source":"PubMed","abstract":"The present study examines the individual and joint contributions of personality, situations, and relationship contexts as they shape risky sexual behaviors. Data on 7,511 discrete sexual events collected from a community sample of 1,946 young adults were analyzed with multilevel modeling. Results showed that meaningful between-persons differences in risky sexual behavior exist and that these differences are predictable in theoretically reasonable ways by interindividual differences in personality. However, the majority of variance in risky behaviors was at the within-person level and could be reliably explained by within-person changes in personality, the situation, and the relationship context. Finally, personality interacted with context such that personality more strongly predicted risky behaviors in contexts that were ostensibly novel and ambiguous. Together these results suggest that risky sexual behaviors cannot be understood in a static, typical, or decontextualized way but rather must be viewed as a complex product of the person, the situation, and the relationship context.","DOI":"10.1037/a0017785","ISSN":"1939-1315","note":"PMID: 20085403","shortTitle":"Toward a person x situation model of sexual risk-taking behaviors","journalAbbreviation":"J Pers Soc Psychol","language":"eng","author":[{"family":"Cooper","given":"M. Lynne"}],"issued":{"date-parts":[["2010",2]]}}}],"schema":"https://github.com/citation-style-language/schema/raw/master/csl-citation.json"} </w:instrText>
      </w:r>
      <w:r w:rsidR="00B50350" w:rsidRPr="00CA4BCA">
        <w:rPr>
          <w:rFonts w:cs="Times New Roman"/>
          <w:lang w:val="en-CA"/>
        </w:rPr>
        <w:fldChar w:fldCharType="separate"/>
      </w:r>
      <w:r w:rsidR="00585BBD" w:rsidRPr="00585BBD">
        <w:rPr>
          <w:rFonts w:cs="Times New Roman"/>
        </w:rPr>
        <w:t>(Cooper, 2010)</w:t>
      </w:r>
      <w:r w:rsidR="00B50350" w:rsidRPr="00CA4BCA">
        <w:rPr>
          <w:rFonts w:cs="Times New Roman"/>
          <w:lang w:val="en-CA"/>
        </w:rPr>
        <w:fldChar w:fldCharType="end"/>
      </w:r>
      <w:r w:rsidR="00117C5E" w:rsidRPr="00CA4BCA">
        <w:rPr>
          <w:rFonts w:cs="Times New Roman"/>
          <w:lang w:val="en-CA"/>
        </w:rPr>
        <w:t xml:space="preserve">. It is possible for instance that individuals transition </w:t>
      </w:r>
      <w:r w:rsidR="00982EC2" w:rsidRPr="00CA4BCA">
        <w:rPr>
          <w:rFonts w:cs="Times New Roman"/>
          <w:lang w:val="en-CA"/>
        </w:rPr>
        <w:t>‘back-and-</w:t>
      </w:r>
      <w:r w:rsidR="00117C5E" w:rsidRPr="00CA4BCA">
        <w:rPr>
          <w:rFonts w:cs="Times New Roman"/>
          <w:lang w:val="en-CA"/>
        </w:rPr>
        <w:t>fourth</w:t>
      </w:r>
      <w:r w:rsidR="00982EC2" w:rsidRPr="00CA4BCA">
        <w:rPr>
          <w:rFonts w:cs="Times New Roman"/>
          <w:lang w:val="en-CA"/>
        </w:rPr>
        <w:t>’</w:t>
      </w:r>
      <w:r w:rsidR="00117C5E" w:rsidRPr="00CA4BCA">
        <w:rPr>
          <w:rFonts w:cs="Times New Roman"/>
          <w:lang w:val="en-CA"/>
        </w:rPr>
        <w:t xml:space="preserve"> between classes multiple times within a single six-month period. </w:t>
      </w:r>
      <w:r w:rsidR="00B50350" w:rsidRPr="00CA4BCA">
        <w:rPr>
          <w:rFonts w:cs="Times New Roman"/>
          <w:lang w:val="en-CA"/>
        </w:rPr>
        <w:t xml:space="preserve">Though given the infrequency of transitions, this seems unlikely. </w:t>
      </w:r>
      <w:r w:rsidR="00073E55">
        <w:rPr>
          <w:rFonts w:cs="Times New Roman"/>
          <w:lang w:val="en-CA"/>
        </w:rPr>
        <w:t>Fourth</w:t>
      </w:r>
      <w:r w:rsidR="00117C5E" w:rsidRPr="00CA4BCA">
        <w:rPr>
          <w:rFonts w:cs="Times New Roman"/>
          <w:lang w:val="en-CA"/>
        </w:rPr>
        <w:t xml:space="preserve">, use of any one substance in the past six months is not necessarily indicative of frequency of use – even for </w:t>
      </w:r>
      <w:r w:rsidR="00117C5E" w:rsidRPr="00CA4BCA">
        <w:rPr>
          <w:rFonts w:cs="Times New Roman"/>
          <w:lang w:val="en-CA"/>
        </w:rPr>
        <w:lastRenderedPageBreak/>
        <w:t xml:space="preserve">addictive maintenance drugs. </w:t>
      </w:r>
      <w:bookmarkStart w:id="15" w:name="_Hlk506934806"/>
      <w:r w:rsidR="00A70191">
        <w:rPr>
          <w:rFonts w:cs="Times New Roman"/>
          <w:lang w:val="en-CA"/>
        </w:rPr>
        <w:t>Fifth</w:t>
      </w:r>
      <w:r w:rsidR="00073E55">
        <w:rPr>
          <w:rFonts w:cs="Times New Roman"/>
          <w:lang w:val="en-CA"/>
        </w:rPr>
        <w:t xml:space="preserve">, readers should be aware that the naming and interpretation of latent classes is subjective. Given that the present analysis focuses on the stability rather than the composition of latent classes, readers should cautiously examine the conditional response probabilities presented in </w:t>
      </w:r>
      <w:r w:rsidR="00A70191">
        <w:rPr>
          <w:rFonts w:cs="Times New Roman"/>
          <w:lang w:val="en-CA"/>
        </w:rPr>
        <w:t>T</w:t>
      </w:r>
      <w:r w:rsidR="00073E55">
        <w:rPr>
          <w:rFonts w:cs="Times New Roman"/>
          <w:lang w:val="en-CA"/>
        </w:rPr>
        <w:t>able 1 in order to get a better sense of which groups they might represent.</w:t>
      </w:r>
      <w:bookmarkEnd w:id="15"/>
      <w:r w:rsidR="00A70191">
        <w:rPr>
          <w:rFonts w:cs="Times New Roman"/>
          <w:lang w:val="en-CA"/>
        </w:rPr>
        <w:t xml:space="preserve"> </w:t>
      </w:r>
      <w:bookmarkStart w:id="16" w:name="_Hlk506938368"/>
      <w:r w:rsidR="00A70191">
        <w:rPr>
          <w:rFonts w:cs="Times New Roman"/>
          <w:lang w:val="en-CA"/>
        </w:rPr>
        <w:t xml:space="preserve">Similarly, readers should pay careful attention to the underlying latent variable being assessed by this analysis. Indeed, the indicators used in constructing our latent model represent not only </w:t>
      </w:r>
      <w:r w:rsidR="00941297">
        <w:rPr>
          <w:rFonts w:cs="Times New Roman"/>
          <w:lang w:val="en-CA"/>
        </w:rPr>
        <w:t>a diverse sampling of psychoactive</w:t>
      </w:r>
      <w:r w:rsidR="00A70191">
        <w:rPr>
          <w:rFonts w:cs="Times New Roman"/>
          <w:lang w:val="en-CA"/>
        </w:rPr>
        <w:t xml:space="preserve"> </w:t>
      </w:r>
      <w:r w:rsidR="00941297">
        <w:rPr>
          <w:rFonts w:cs="Times New Roman"/>
          <w:lang w:val="en-CA"/>
        </w:rPr>
        <w:t>drugs</w:t>
      </w:r>
      <w:r w:rsidR="00A70191">
        <w:rPr>
          <w:rFonts w:cs="Times New Roman"/>
          <w:lang w:val="en-CA"/>
        </w:rPr>
        <w:t xml:space="preserve"> (e.g., erectile dysfunction drugs, steroids, amphetamines, opioids)</w:t>
      </w:r>
      <w:r w:rsidR="00941297">
        <w:rPr>
          <w:rFonts w:cs="Times New Roman"/>
          <w:lang w:val="en-CA"/>
        </w:rPr>
        <w:t xml:space="preserve"> </w:t>
      </w:r>
      <w:r w:rsidR="00A70191">
        <w:rPr>
          <w:rFonts w:cs="Times New Roman"/>
          <w:lang w:val="en-CA"/>
        </w:rPr>
        <w:t>but also a broad spectrum of social ambiguitie</w:t>
      </w:r>
      <w:r w:rsidR="00941297">
        <w:rPr>
          <w:rFonts w:cs="Times New Roman"/>
          <w:lang w:val="en-CA"/>
        </w:rPr>
        <w:t>s (e.g., legality, social acceptability)</w:t>
      </w:r>
      <w:r w:rsidR="00A70191">
        <w:rPr>
          <w:rFonts w:cs="Times New Roman"/>
          <w:lang w:val="en-CA"/>
        </w:rPr>
        <w:t xml:space="preserve">. </w:t>
      </w:r>
      <w:r w:rsidR="00941297">
        <w:rPr>
          <w:rFonts w:cs="Times New Roman"/>
          <w:lang w:val="en-CA"/>
        </w:rPr>
        <w:t>Given this, readers should be careful in comparing the results of the present study to those which have been conducted using a more restrictive or targeted selection of indicators.</w:t>
      </w:r>
      <w:bookmarkEnd w:id="16"/>
    </w:p>
    <w:p w14:paraId="799DEF17" w14:textId="0BD7368B" w:rsidR="004A3BD9" w:rsidRPr="00CA4BCA" w:rsidRDefault="00D63A9C" w:rsidP="00CC4B3C">
      <w:pPr>
        <w:pStyle w:val="Heading1"/>
        <w:rPr>
          <w:rFonts w:ascii="Times New Roman" w:hAnsi="Times New Roman" w:cs="Times New Roman"/>
        </w:rPr>
      </w:pPr>
      <w:r w:rsidRPr="00CA4BCA">
        <w:rPr>
          <w:rFonts w:ascii="Times New Roman" w:hAnsi="Times New Roman" w:cs="Times New Roman"/>
        </w:rPr>
        <w:t xml:space="preserve">5. </w:t>
      </w:r>
      <w:r w:rsidR="00FA4A16" w:rsidRPr="00CA4BCA">
        <w:rPr>
          <w:rFonts w:ascii="Times New Roman" w:hAnsi="Times New Roman" w:cs="Times New Roman"/>
        </w:rPr>
        <w:t>CONCLUSION</w:t>
      </w:r>
    </w:p>
    <w:p w14:paraId="19B823BA" w14:textId="01CBE92D" w:rsidR="00F66D30" w:rsidRPr="00CA4BCA" w:rsidRDefault="004A3BD9" w:rsidP="00D957EA">
      <w:pPr>
        <w:rPr>
          <w:rFonts w:cs="Times New Roman"/>
          <w:lang w:val="en-CA"/>
        </w:rPr>
      </w:pPr>
      <w:r w:rsidRPr="00CA4BCA">
        <w:rPr>
          <w:rFonts w:cs="Times New Roman"/>
          <w:lang w:val="en-CA"/>
        </w:rPr>
        <w:t xml:space="preserve">In conclusion, </w:t>
      </w:r>
      <w:r w:rsidR="00D336A6" w:rsidRPr="00CA4BCA">
        <w:rPr>
          <w:rFonts w:cs="Times New Roman"/>
          <w:lang w:val="en-CA"/>
        </w:rPr>
        <w:t xml:space="preserve">the present study supports the longitudinal stability of latent substance use classes and highlights several notable transition pathways worth exploring in future research of GBM’s substance use. </w:t>
      </w:r>
      <w:r w:rsidR="00EB43D4" w:rsidRPr="00CA4BCA">
        <w:rPr>
          <w:rFonts w:cs="Times New Roman"/>
          <w:lang w:val="en-CA"/>
        </w:rPr>
        <w:t xml:space="preserve">Overall, transitions do not represent a progression from less severe to more severe substance use as we initially hypothesized. Rather, transitions reflect the biological and socio-ecological propensities and vulnerabilities that underlie specific substance use patterns. </w:t>
      </w:r>
      <w:r w:rsidR="00F740FD" w:rsidRPr="00CA4BCA">
        <w:rPr>
          <w:rFonts w:cs="Times New Roman"/>
          <w:lang w:val="en-CA"/>
        </w:rPr>
        <w:t xml:space="preserve">Future qualitative studies are therefore needed to better describe the biological and social motivators that instigate transition between classes across the life course. </w:t>
      </w:r>
      <w:r w:rsidR="00F740FD" w:rsidRPr="00CA4BCA">
        <w:rPr>
          <w:rFonts w:cs="Times New Roman"/>
        </w:rPr>
        <w:br w:type="page"/>
      </w:r>
    </w:p>
    <w:p w14:paraId="75BFD700" w14:textId="65EEEAF2" w:rsidR="008F6649" w:rsidRPr="00CA4BCA" w:rsidRDefault="008F6649" w:rsidP="008F6649">
      <w:pPr>
        <w:pStyle w:val="Heading1"/>
        <w:rPr>
          <w:rFonts w:ascii="Times New Roman" w:hAnsi="Times New Roman" w:cs="Times New Roman"/>
        </w:rPr>
      </w:pPr>
      <w:r w:rsidRPr="00CA4BCA">
        <w:rPr>
          <w:rFonts w:ascii="Times New Roman" w:hAnsi="Times New Roman" w:cs="Times New Roman"/>
        </w:rPr>
        <w:lastRenderedPageBreak/>
        <w:t>REFERENCES</w:t>
      </w:r>
    </w:p>
    <w:p w14:paraId="494CD736" w14:textId="77777777" w:rsidR="00AE09AB" w:rsidRDefault="008F6649" w:rsidP="00330CE3">
      <w:pPr>
        <w:pStyle w:val="Bibliography"/>
      </w:pPr>
      <w:r w:rsidRPr="00CA4BCA">
        <w:rPr>
          <w:b/>
        </w:rPr>
        <w:fldChar w:fldCharType="begin"/>
      </w:r>
      <w:r w:rsidR="00585BBD">
        <w:rPr>
          <w:b/>
        </w:rPr>
        <w:instrText xml:space="preserve"> ADDIN ZOTERO_BIBL {"custom":[]} CSL_BIBLIOGRAPHY </w:instrText>
      </w:r>
      <w:r w:rsidRPr="00CA4BCA">
        <w:rPr>
          <w:b/>
        </w:rPr>
        <w:fldChar w:fldCharType="separate"/>
      </w:r>
      <w:r w:rsidR="00AE09AB">
        <w:t>Bourgois, P., 2003. In Search of Respect: Selling Crack in El Barrio. Cambridge University Press.</w:t>
      </w:r>
    </w:p>
    <w:p w14:paraId="23E90B56" w14:textId="77777777" w:rsidR="00AE09AB" w:rsidRDefault="00AE09AB" w:rsidP="00330CE3">
      <w:pPr>
        <w:pStyle w:val="Bibliography"/>
      </w:pPr>
      <w:r>
        <w:t>Card, K.G., Armstrong, H., Cui, Z., Zhu, J., Lachowsky, N.J., Moore, D.M., Rother, E.A., 2017. A Latent Class Analysis of Substance Use and Culture among Gay, Bisexual, and Other Men Who Have Sex with Men. Cult. Health Sex.</w:t>
      </w:r>
    </w:p>
    <w:p w14:paraId="3E64981E" w14:textId="77777777" w:rsidR="00AE09AB" w:rsidRDefault="00AE09AB" w:rsidP="00330CE3">
      <w:pPr>
        <w:pStyle w:val="Bibliography"/>
      </w:pPr>
      <w:r>
        <w:t>Carpenter, C.S., McClellan, C.B., Rees, D.I., 2017. Economic conditions, illicit drug use, and substance use disorders in the United States. J. Health Econ. 52, 63–73. https://doi.org/10.1016/j.jhealeco.2016.12.009</w:t>
      </w:r>
    </w:p>
    <w:p w14:paraId="342C8161" w14:textId="77777777" w:rsidR="00AE09AB" w:rsidRDefault="00AE09AB" w:rsidP="00330CE3">
      <w:pPr>
        <w:pStyle w:val="Bibliography"/>
      </w:pPr>
      <w:r>
        <w:t>Centers for Disease Control and Prevention, 2015. CDC Fact Sheet: HIV Among Gay and Bisexual Men.</w:t>
      </w:r>
    </w:p>
    <w:p w14:paraId="2A6C2ED8" w14:textId="77777777" w:rsidR="00AE09AB" w:rsidRDefault="00AE09AB" w:rsidP="00330CE3">
      <w:pPr>
        <w:pStyle w:val="Bibliography"/>
      </w:pPr>
      <w:r>
        <w:t>Chalmers, J., Bradford, D., Jones, C., 2010. The effect of methamphetamine and heroin price on polydrug use: A behavioural economics analysis in Sydney, Australia. Int. J. Drug Policy 21, 381–389. https://doi.org/10.1016/j.drugpo.2010.06.002</w:t>
      </w:r>
    </w:p>
    <w:p w14:paraId="134DEEAF" w14:textId="77777777" w:rsidR="00AE09AB" w:rsidRDefault="00AE09AB" w:rsidP="00330CE3">
      <w:pPr>
        <w:pStyle w:val="Bibliography"/>
      </w:pPr>
      <w:r>
        <w:t>Chang, S.J., Choi, S., Kim, S.-A., Song, M., 2014. Intervention Strategies Based on Information-Motivation-Behavioral Skills Model for Health Behavior Change: A Systematic Review. Asian Nurs. Res. 8, 172–181. https://doi.org/10.1016/j.anr.2014.08.002</w:t>
      </w:r>
    </w:p>
    <w:p w14:paraId="2FCA7DBA" w14:textId="77777777" w:rsidR="00AE09AB" w:rsidRDefault="00AE09AB" w:rsidP="00330CE3">
      <w:pPr>
        <w:pStyle w:val="Bibliography"/>
      </w:pPr>
      <w:r>
        <w:t>Cochran, S.D., Mays, V.M., 2007. Physical Health Complaints Among Lesbians, Gay Men, and Bisexual and Homosexually Experienced Heterosexual Individuals: Results From the California Quality of Life Survey. Am. J. Public Health 97, 2048–2055. https://doi.org/10.2105/AJPH.2006.087254</w:t>
      </w:r>
    </w:p>
    <w:p w14:paraId="06460D5C" w14:textId="77777777" w:rsidR="00AE09AB" w:rsidRDefault="00AE09AB" w:rsidP="00330CE3">
      <w:pPr>
        <w:pStyle w:val="Bibliography"/>
      </w:pPr>
      <w:r>
        <w:t>Coker, T.R., Austin, S.B., Schuster, M.A., 2010. The health and health care of lesbian, gay, and bisexual adolescents. Annu. Rev. Public Health 31, 457–477. https://doi.org/10.1146/annurev.publhealth.012809.103636</w:t>
      </w:r>
    </w:p>
    <w:p w14:paraId="487B2C28" w14:textId="77777777" w:rsidR="00AE09AB" w:rsidRDefault="00AE09AB" w:rsidP="00330CE3">
      <w:pPr>
        <w:pStyle w:val="Bibliography"/>
      </w:pPr>
      <w:r>
        <w:t>Collins, L.M., Lanza, S.T., 2013. Latent Class and Latent Transition Analysis: With Applications in the Social, Behavioral, and Health Sciences. John Wiley &amp; Sons.</w:t>
      </w:r>
    </w:p>
    <w:p w14:paraId="3859DB0A" w14:textId="77777777" w:rsidR="00AE09AB" w:rsidRDefault="00AE09AB" w:rsidP="00330CE3">
      <w:pPr>
        <w:pStyle w:val="Bibliography"/>
      </w:pPr>
      <w:r>
        <w:t>Cooper, M.L., 2010. Toward a person x situation model of sexual risk-taking behaviors: illuminating the conditional effects of traits across sexual situations and relationship contexts. J. Pers. Soc. Psychol. 98, 319–341. https://doi.org/10.1037/a0017785</w:t>
      </w:r>
    </w:p>
    <w:p w14:paraId="6A34E6AC" w14:textId="77777777" w:rsidR="00AE09AB" w:rsidRDefault="00AE09AB" w:rsidP="00330CE3">
      <w:pPr>
        <w:pStyle w:val="Bibliography"/>
      </w:pPr>
      <w:r>
        <w:t>Cougle, J.R., Hakes, J.K., Macatee, R.J., Zvolensky, M.J., Chavarria, J., 2016. Probability and correlates of dependence among regular users of alcohol, nicotine, cannabis, and cocaine: concurrent and prospective analyses of the National Epidemiologic Survey on Alcohol and Related Conditions. J. Clin. Psychiatry 77, e444-450. https://doi.org/10.4088/JCP.14m09469</w:t>
      </w:r>
    </w:p>
    <w:p w14:paraId="0A823EBC" w14:textId="77777777" w:rsidR="00AE09AB" w:rsidRDefault="00AE09AB" w:rsidP="00330CE3">
      <w:pPr>
        <w:pStyle w:val="Bibliography"/>
      </w:pPr>
      <w:r>
        <w:t>Dwyer, R., Moore, D., 2010. Beyond neoclassical economics: Social process, agency and the maintenance of order in an Australian illicit drug marketplace. Int. J. Drug Policy 21, 390–398. https://doi.org/10.1016/j.drugpo.2010.03.001</w:t>
      </w:r>
    </w:p>
    <w:p w14:paraId="41AD7B81" w14:textId="77777777" w:rsidR="00AE09AB" w:rsidRDefault="00AE09AB" w:rsidP="00330CE3">
      <w:pPr>
        <w:pStyle w:val="Bibliography"/>
      </w:pPr>
      <w:r>
        <w:t>Dziak, J., Donna, L., 2012. Sensitivity and specificity of information criteria (Technical Report No. #12-119), Technical Report Series. The Methodology Center, The Pennsylvania State University, Pennsylvania.</w:t>
      </w:r>
    </w:p>
    <w:p w14:paraId="3767C919" w14:textId="77777777" w:rsidR="00AE09AB" w:rsidRDefault="00AE09AB" w:rsidP="00330CE3">
      <w:pPr>
        <w:pStyle w:val="Bibliography"/>
      </w:pPr>
      <w:r>
        <w:t>Evans-Polce, R.J., Doherty, E.E., Ensminger, M.E., 2014. Taking a life course approach to studying substance use treatment among a community cohort of African American substance users. Drug Alcohol Depend. 142, 216–223. https://doi.org/10.1016/j.drugalcdep.2014.06.025</w:t>
      </w:r>
    </w:p>
    <w:p w14:paraId="239A97A1" w14:textId="77777777" w:rsidR="00AE09AB" w:rsidRDefault="00AE09AB" w:rsidP="00330CE3">
      <w:pPr>
        <w:pStyle w:val="Bibliography"/>
      </w:pPr>
      <w:r>
        <w:lastRenderedPageBreak/>
        <w:t>Fast, D., Small, W., Wood, E., Kerr, T., 2009. Coming “down here”: young people’s reflections on becoming entrenched in a local drug scene. Soc. Sci. Med. 1982 69, 1204–1210. https://doi.org/10.1016/j.socscimed.2009.07.024</w:t>
      </w:r>
    </w:p>
    <w:p w14:paraId="7CB7C344" w14:textId="77777777" w:rsidR="00AE09AB" w:rsidRDefault="00AE09AB" w:rsidP="00330CE3">
      <w:pPr>
        <w:pStyle w:val="Bibliography"/>
      </w:pPr>
      <w:r>
        <w:t>Fish, J.N., Pasley, K., 2015. Sexual (Minority) Trajectories, Mental Health, and Alcohol Use: A Longitudinal Study of Youth as They Transition to Adulthood. J. Youth Adolesc. 44, 1508–1527. https://doi.org/10.1007/s10964-015-0280-6</w:t>
      </w:r>
    </w:p>
    <w:p w14:paraId="30CB085B" w14:textId="77777777" w:rsidR="00AE09AB" w:rsidRDefault="00AE09AB" w:rsidP="00330CE3">
      <w:pPr>
        <w:pStyle w:val="Bibliography"/>
      </w:pPr>
      <w:r>
        <w:t>Flórez-Salamanca, L., Secades-Villa, R., Hasin, D.S., Cottler, L., Wang, S., Grant, B.F., Blanco, C., 2013. Probability and predictors of transition from abuse to dependence on alcohol, cannabis, and cocaine: results from the National Epidemiologic Survey on Alcohol and Related Conditions. Am. J. Drug Alcohol Abuse 39, 168–179. https://doi.org/10.3109/00952990.2013.772618</w:t>
      </w:r>
    </w:p>
    <w:p w14:paraId="780C6040" w14:textId="77777777" w:rsidR="00AE09AB" w:rsidRDefault="00AE09AB" w:rsidP="00330CE3">
      <w:pPr>
        <w:pStyle w:val="Bibliography"/>
      </w:pPr>
      <w:r>
        <w:t>Forrest, J.I., Lachowsky, N.J., Lal, A., Cui, Z., Sereda, P., Raymond, H.F., Ogilvie, G., Roth, E.A., Moore, D., Hogg, R.S., 2016. Factors Associated with Productive Recruiting in a Respondent-Driven Sample of Men who Have Sex with Men in Vancouver, Canada. J. Urban Health Bull. N. Y. Acad. Med. 93, 379–387. https://doi.org/10.1007/s11524-016-0032-2</w:t>
      </w:r>
    </w:p>
    <w:p w14:paraId="0DD56540" w14:textId="77777777" w:rsidR="00AE09AB" w:rsidRDefault="00AE09AB" w:rsidP="00330CE3">
      <w:pPr>
        <w:pStyle w:val="Bibliography"/>
      </w:pPr>
      <w:r>
        <w:t>Forrest, J.I., Stevenson, B., Rich, A., Michelow, W., Pai, J., Jollimore, J., Raymond, H.F., Moore, D., Hogg, R.S., Roth, E.A., 2014. Community mapping and respondent-driven sampling of gay and bisexual men’s communities in Vancouver, Canada. Cult. Health Sex. https://doi.org/10.1080/13691058.2014.881551</w:t>
      </w:r>
    </w:p>
    <w:p w14:paraId="4E99EE3D" w14:textId="77777777" w:rsidR="00AE09AB" w:rsidRDefault="00AE09AB" w:rsidP="00330CE3">
      <w:pPr>
        <w:pStyle w:val="Bibliography"/>
      </w:pPr>
      <w:r>
        <w:t>Gamarel, K.E., Neilands, T.B., Conroy, A.A., Dilworth, S.E., Lisha, N., Taylor, J.M., Darbes, L.A., Johnson, M.O., 2017. A longitudinal study of persistent smoking among HIV-positive gay and bisexual men in primary relationships. Addict. Behav. 66, 118–124. https://doi.org/10.1016/j.addbeh.2016.11.019</w:t>
      </w:r>
    </w:p>
    <w:p w14:paraId="02557786" w14:textId="77777777" w:rsidR="00AE09AB" w:rsidRDefault="00AE09AB" w:rsidP="00330CE3">
      <w:pPr>
        <w:pStyle w:val="Bibliography"/>
      </w:pPr>
      <w:r>
        <w:t>Golub, A., Johnson, B.D., Dunlap, E., 2005. Subcultural evolution and illicit drug use. Addict. Res. Theory 13, 217–229. https://doi.org/10.1080/16066350500053497</w:t>
      </w:r>
    </w:p>
    <w:p w14:paraId="23D70F98" w14:textId="77777777" w:rsidR="00AE09AB" w:rsidRDefault="00AE09AB" w:rsidP="00330CE3">
      <w:pPr>
        <w:pStyle w:val="Bibliography"/>
      </w:pPr>
      <w:r>
        <w:t>Grella, C.E., Lovinger, K., 2011. 30-year trajectories of heroin and other drug use among men and women sampled from methadone treatment in California. Drug Alcohol Depend. 118, 251–258. https://doi.org/10.1016/j.drugalcdep.2011.04.004</w:t>
      </w:r>
    </w:p>
    <w:p w14:paraId="0C7E11BE" w14:textId="77777777" w:rsidR="00AE09AB" w:rsidRDefault="00AE09AB" w:rsidP="00330CE3">
      <w:pPr>
        <w:pStyle w:val="Bibliography"/>
      </w:pPr>
      <w:r>
        <w:t>Griffin, E.A., Melas, P.A., Zhou, R., Li, Y., Mercado, P., Kempadoo, K.A., Stephenson, S., Colnaghi, L., Taylor, K., Hu, M.-C., Kandel, E.R., Kandel, D.B., 2017. Prior alcohol use enhances vulnerability to compulsive cocaine self-administration by promoting degradation of HDAC4 and HDAC5. Sci. Adv. 3, e1701682. https://doi.org/10.1126/sciadv.1701682</w:t>
      </w:r>
    </w:p>
    <w:p w14:paraId="5B7B5022" w14:textId="77777777" w:rsidR="00AE09AB" w:rsidRDefault="00AE09AB" w:rsidP="00330CE3">
      <w:pPr>
        <w:pStyle w:val="Bibliography"/>
      </w:pPr>
      <w:r>
        <w:t>Halkitis, P.N., Kapadia, F., Bub, K.L., Barton, S., Moreira, A.D., Stults, C.B., 2015. A Longitudinal Investigation of Syndemic Conditions Among Young Gay, Bisexual, and Other MSM: The P18 Cohort Study. AIDS Behav. 19, 970–980. https://doi.org/10.1007/s10461-014-0892-y</w:t>
      </w:r>
    </w:p>
    <w:p w14:paraId="24BE0557" w14:textId="77777777" w:rsidR="00AE09AB" w:rsidRDefault="00AE09AB" w:rsidP="00330CE3">
      <w:pPr>
        <w:pStyle w:val="Bibliography"/>
      </w:pPr>
      <w:r>
        <w:t>Heckathorn, D., 1997. Respondent-Driven Sampling: A New Approach to the Study of Hidden Populations*. Soc. Study Soc. Probl. 44.</w:t>
      </w:r>
    </w:p>
    <w:p w14:paraId="28DF9E0B" w14:textId="77777777" w:rsidR="00AE09AB" w:rsidRDefault="00AE09AB" w:rsidP="00330CE3">
      <w:pPr>
        <w:pStyle w:val="Bibliography"/>
      </w:pPr>
      <w:r>
        <w:t>Hser, Y.-I., Evans, E., Huang, D., Brecht, M.-L., Li, L., 2008. Comparing the dynamic course of heroin, cocaine, and methamphetamine use over 10 years. Addict. Behav. 33, 1581–1589. https://doi.org/10.1016/j.addbeh.2008.07.024</w:t>
      </w:r>
    </w:p>
    <w:p w14:paraId="25BED1C2" w14:textId="77777777" w:rsidR="00AE09AB" w:rsidRDefault="00AE09AB" w:rsidP="00330CE3">
      <w:pPr>
        <w:pStyle w:val="Bibliography"/>
      </w:pPr>
      <w:r>
        <w:t>Hser, Y.-I., Hamilton, A., Niv, N., 2009. Understanding Drug Use Over the Life Course: Past, Present, and Future. J. Drug Issues 31, 231–236.</w:t>
      </w:r>
    </w:p>
    <w:p w14:paraId="2481B713" w14:textId="77777777" w:rsidR="00AE09AB" w:rsidRDefault="00AE09AB" w:rsidP="00330CE3">
      <w:pPr>
        <w:pStyle w:val="Bibliography"/>
      </w:pPr>
      <w:r>
        <w:lastRenderedPageBreak/>
        <w:t>Hser, Y.-I., Longshore, D., Anglin, M.D., 2007. The life course perspective on drug use: a conceptual framework for understanding drug use trajectories. Eval. Rev. 31, 515–547. https://doi.org/10.1177/0193841X07307316</w:t>
      </w:r>
    </w:p>
    <w:p w14:paraId="1F592534" w14:textId="77777777" w:rsidR="00AE09AB" w:rsidRDefault="00AE09AB" w:rsidP="00330CE3">
      <w:pPr>
        <w:pStyle w:val="Bibliography"/>
      </w:pPr>
      <w:r>
        <w:t>Institute of Medicine (US) Committee on Lesbian, Gay, Bisexual, and Transgender Health Issues and Research Gaps and Opportunities, 2011. The Health of Lesbian, Gay, Bisexual, and Transgender People: Building a Foundation for Better Understanding, The National Academies Collection: Reports funded by National Institutes of Health. National Academies Press (US), Washington (DC).</w:t>
      </w:r>
    </w:p>
    <w:p w14:paraId="39F4F270" w14:textId="77777777" w:rsidR="00AE09AB" w:rsidRDefault="00AE09AB" w:rsidP="00330CE3">
      <w:pPr>
        <w:pStyle w:val="Bibliography"/>
      </w:pPr>
      <w:r>
        <w:t>Kandel, D. (Ed.), 2002. Stages and Pathways of Drug Involvement: Examining the Gateway Hypothesis, 1 edition. ed. Cambridge University Press, Cambridge, UK ; New York.</w:t>
      </w:r>
    </w:p>
    <w:p w14:paraId="05059586" w14:textId="77777777" w:rsidR="00AE09AB" w:rsidRDefault="00AE09AB" w:rsidP="00330CE3">
      <w:pPr>
        <w:pStyle w:val="Bibliography"/>
      </w:pPr>
      <w:r>
        <w:t>Kandel, D., Kandel, E., 2015. The Gateway Hypothesis of substance abuse: developmental, biological and societal perspectives. Acta Paediatr. Oslo Nor. 1992 104, 130–137. https://doi.org/10.1111/apa.12851</w:t>
      </w:r>
    </w:p>
    <w:p w14:paraId="4245D932" w14:textId="77777777" w:rsidR="00AE09AB" w:rsidRDefault="00AE09AB" w:rsidP="00330CE3">
      <w:pPr>
        <w:pStyle w:val="Bibliography"/>
      </w:pPr>
      <w:r>
        <w:t>Kandel, D., Yamaguchi, K., 1993. From beer to crack: developmental patterns of drug involvement. Am. J. Public Health 83, 851–855.</w:t>
      </w:r>
    </w:p>
    <w:p w14:paraId="0CAA30C1" w14:textId="77777777" w:rsidR="00AE09AB" w:rsidRDefault="00AE09AB" w:rsidP="00330CE3">
      <w:pPr>
        <w:pStyle w:val="Bibliography"/>
      </w:pPr>
      <w:r>
        <w:t>Kecojevic, A., Jun, H.-J., Reisner, S.L., Corliss, H.L., 2017. Concurrent polysubstance use in a longitudinal study of US youth: associations with sexual orientation. Addiction 112, 614–624. https://doi.org/10.1111/add.13681</w:t>
      </w:r>
    </w:p>
    <w:p w14:paraId="781D0A91" w14:textId="77777777" w:rsidR="00AE09AB" w:rsidRDefault="00AE09AB" w:rsidP="00330CE3">
      <w:pPr>
        <w:pStyle w:val="Bibliography"/>
      </w:pPr>
      <w:r>
        <w:t>Kirby, T., Barry, A.E., 2012. Alcohol as a Gateway Drug: A Study of US 12th Graders. J. Sch. Health 82, 371–379. https://doi.org/10.1111/j.1746-1561.2012.00712.x</w:t>
      </w:r>
    </w:p>
    <w:p w14:paraId="0D2B4E32" w14:textId="77777777" w:rsidR="00AE09AB" w:rsidRDefault="00AE09AB" w:rsidP="00330CE3">
      <w:pPr>
        <w:pStyle w:val="Bibliography"/>
      </w:pPr>
      <w:r>
        <w:t>Klingemann, H., 1991. The motivation for change from alcohol and heroin use. Br. J. Addict. 86, 727–44. https://doi.org/10.1111/j.1360-0443.1991.tb03099.x</w:t>
      </w:r>
    </w:p>
    <w:p w14:paraId="51638ED5" w14:textId="77777777" w:rsidR="00AE09AB" w:rsidRDefault="00AE09AB" w:rsidP="00330CE3">
      <w:pPr>
        <w:pStyle w:val="Bibliography"/>
      </w:pPr>
      <w:r>
        <w:t>Klingemann, H., Sobell, M.B., Sobell, L.C., 2010. Continuities and changes in self-change research. Addict. Abingdon Engl. 105, 1510–1518. https://doi.org/10.1111/j.1360-0443.2009.02770.x</w:t>
      </w:r>
    </w:p>
    <w:p w14:paraId="736B63D5" w14:textId="77777777" w:rsidR="00AE09AB" w:rsidRDefault="00AE09AB" w:rsidP="00330CE3">
      <w:pPr>
        <w:pStyle w:val="Bibliography"/>
      </w:pPr>
      <w:r>
        <w:t>Koo, T.K., Li, M.Y., 2016. A Guideline of Selecting and Reporting Intraclass Correlation Coefficients for Reliability Research. J. Chiropr. Med. 15, 155–163. https://doi.org/10.1016/j.jcm.2016.02.012</w:t>
      </w:r>
    </w:p>
    <w:p w14:paraId="79E1D624" w14:textId="77777777" w:rsidR="00AE09AB" w:rsidRDefault="00AE09AB" w:rsidP="00330CE3">
      <w:pPr>
        <w:pStyle w:val="Bibliography"/>
      </w:pPr>
      <w:r>
        <w:t>Lachin, J.M., 2016. Fallacies of last observation carried forward analyses. Clin. Trials Lond. Engl. 13, 161–168. https://doi.org/10.1177/1740774515602688</w:t>
      </w:r>
    </w:p>
    <w:p w14:paraId="67E11557" w14:textId="77777777" w:rsidR="00AE09AB" w:rsidRDefault="00AE09AB" w:rsidP="00330CE3">
      <w:pPr>
        <w:pStyle w:val="Bibliography"/>
      </w:pPr>
      <w:r>
        <w:t>Lachowsky, N.J., Dulai, J.J.S., Cui, Z., Sereda, P., Rich, A., Patterson, T.L., Corneil, T.T., Montaner, J.S.G., Roth, E.A., Hogg, R.S., Moore, D.M., 2017. Lifetime Doctor-Diagnosed Mental Health Conditions and Current Substance Use Among Gay and Bisexual Men Living in Vancouver, Canada. Subst. Use Misuse 52, 785–797. https://doi.org/10.1080/10826084.2016.1264965</w:t>
      </w:r>
    </w:p>
    <w:p w14:paraId="40FCAAF5" w14:textId="77777777" w:rsidR="00AE09AB" w:rsidRDefault="00AE09AB" w:rsidP="00330CE3">
      <w:pPr>
        <w:pStyle w:val="Bibliography"/>
      </w:pPr>
      <w:r>
        <w:t>Lachowsky, N.J., Lal, A., Forrest, J.I., Card, K.G., Cui, Z., Sereda, P., Rich, A., Raymond, H.F., Roth, E.A., Moore, D.M., Hogg, R.S., 2016. Including Online-Recruited Seeds: A Respondent-Driven Sample of Men Who Have Sex With Men. J. Med. Internet Res. 18, e51. https://doi.org/10.2196/jmir.5258</w:t>
      </w:r>
    </w:p>
    <w:p w14:paraId="3837589D" w14:textId="77777777" w:rsidR="00AE09AB" w:rsidRDefault="00AE09AB" w:rsidP="00330CE3">
      <w:pPr>
        <w:pStyle w:val="Bibliography"/>
      </w:pPr>
      <w:r>
        <w:t>Lanza, S.T., Bray, B.C., 2010. Transitions in drug use among high-risk women: an application of latent class and latent transition analysis. Adv. Appl. Stat. Sci. 3, 203–235.</w:t>
      </w:r>
    </w:p>
    <w:p w14:paraId="3E4F502F" w14:textId="77777777" w:rsidR="00AE09AB" w:rsidRDefault="00AE09AB" w:rsidP="00330CE3">
      <w:pPr>
        <w:pStyle w:val="Bibliography"/>
      </w:pPr>
      <w:r>
        <w:t>Lazarsfeld, P.F., Henry, N.W., 1968. Latent structure analysis. Houghton, Mifflin.</w:t>
      </w:r>
    </w:p>
    <w:p w14:paraId="03C3EA0D" w14:textId="77777777" w:rsidR="00AE09AB" w:rsidRDefault="00AE09AB" w:rsidP="00330CE3">
      <w:pPr>
        <w:pStyle w:val="Bibliography"/>
      </w:pPr>
      <w:r>
        <w:t>Lea, T., Mao, L., Hopwood, M., Prestage, G., Zablotska, I., de Wit, J., Holt, M., 2016. Methamphetamine use among gay and bisexual men in Australia: Trends in recent and regular use from the Gay Community Periodic Surveys. Int. J. Drug Policy 29, 66–72. https://doi.org/10.1016/j.drugpo.2016.01.003</w:t>
      </w:r>
    </w:p>
    <w:p w14:paraId="0DF6B96F" w14:textId="77777777" w:rsidR="00AE09AB" w:rsidRDefault="00AE09AB" w:rsidP="00330CE3">
      <w:pPr>
        <w:pStyle w:val="Bibliography"/>
      </w:pPr>
      <w:r>
        <w:lastRenderedPageBreak/>
        <w:t>Lim, S.H., Cheung, D.H., Guadamuz, T.E., Wei, C., Koe, S., Altice, F.L., 2015a. Latent class analysis of substance use among men who have sex with men in Malaysia: Findings from the Asian Internet MSM Sex Survey. Drug Alcohol Depend. 151, 31–37. https://doi.org/10.1016/j.drugalcdep.2015.02.040</w:t>
      </w:r>
    </w:p>
    <w:p w14:paraId="4D34A074" w14:textId="77777777" w:rsidR="00AE09AB" w:rsidRDefault="00AE09AB" w:rsidP="00330CE3">
      <w:pPr>
        <w:pStyle w:val="Bibliography"/>
      </w:pPr>
      <w:r>
        <w:t>Lim, S.H., Cheung, D.H., Guadamuz, T.E., Wei, C., Koe, S., Altice, F.L., 2015b. Latent class analysis of substance use among men who have sex with men in Malaysia: Findings from the Asian Internet MSM Sex Survey. Drug Alcohol Depend. 151, 31–37. https://doi.org/10.1016/j.drugalcdep.2015.02.040</w:t>
      </w:r>
    </w:p>
    <w:p w14:paraId="76FC66C4" w14:textId="77777777" w:rsidR="00AE09AB" w:rsidRDefault="00AE09AB" w:rsidP="00330CE3">
      <w:pPr>
        <w:pStyle w:val="Bibliography"/>
      </w:pPr>
      <w:r>
        <w:t>Mayet, A., Legleye, S., Beck, F., Falissard, B., Chau, N., 2016. The Gateway Hypothesis, Common Liability to Addictions or the Route of Administration Model? A Modelling Process Linking the Three Theories. Eur. Addict. Res. 22, 107–117. https://doi.org/10.1159/000439564</w:t>
      </w:r>
    </w:p>
    <w:p w14:paraId="4BFF6B3B" w14:textId="77777777" w:rsidR="00AE09AB" w:rsidRDefault="00AE09AB" w:rsidP="00330CE3">
      <w:pPr>
        <w:pStyle w:val="Bibliography"/>
      </w:pPr>
      <w:r>
        <w:t>McCarty-Caplan, D., Jantz, I., Swartz, J., 2014. MSM and drug use: A latent class analysis of drug use and related sexual risk behaviors. AIDS Behav. 18, 1339–1351. https://doi.org/10.1007/s10461-013-0622-x</w:t>
      </w:r>
    </w:p>
    <w:p w14:paraId="20C1A45B" w14:textId="77777777" w:rsidR="00AE09AB" w:rsidRDefault="00AE09AB" w:rsidP="00330CE3">
      <w:pPr>
        <w:pStyle w:val="Bibliography"/>
      </w:pPr>
      <w:r>
        <w:t>Moore, D.M., Cui, Z., Lachowsky, N.J., Raymond, H.F., Roth, E., Rich, A., Sereda, P., Howard, T., McFarland, W., Lal, A., Montaner, J., Corneil, T., Hogg, R.S., 2016. HIV Community Viral Load and Factors Associated With Elevated Viremia Among a Community-Based Sample of Men Who Have Sex With Men in Vancouver, Canada: JAIDS J. Acquir. Immune Defic. Syndr. 72, 87–95. https://doi.org/10.1097/QAI.0000000000000934</w:t>
      </w:r>
    </w:p>
    <w:p w14:paraId="3FCAFC71" w14:textId="77777777" w:rsidR="00AE09AB" w:rsidRDefault="00AE09AB" w:rsidP="00330CE3">
      <w:pPr>
        <w:pStyle w:val="Bibliography"/>
      </w:pPr>
      <w:r>
        <w:t>Newcomb, M.E., Ryan, D.T., Greene, G.J., Garofalo, R., Mustanski, B., 2014a. Prevalence and patterns of smoking, alcohol use, and illicit drug use in young men who have sex with men. Drug Alcohol Depend. 141, 65–71. https://doi.org/10.1016/j.drugalcdep.2014.05.005</w:t>
      </w:r>
    </w:p>
    <w:p w14:paraId="69435C88" w14:textId="77777777" w:rsidR="00AE09AB" w:rsidRDefault="00AE09AB" w:rsidP="00330CE3">
      <w:pPr>
        <w:pStyle w:val="Bibliography"/>
      </w:pPr>
      <w:r>
        <w:t>Newcomb, M.E., Ryan, D.T., Greene, G.J., Garofalo, R., Mustanski, B., 2014b. Prevalence and patterns of smoking, alcohol use, and illicit drug use in young men who have sex with men. Drug Alcohol Depend. 141, 65–71. https://doi.org/10.1016/j.drugalcdep.2014.05.005</w:t>
      </w:r>
    </w:p>
    <w:p w14:paraId="5841B34F" w14:textId="77777777" w:rsidR="00AE09AB" w:rsidRDefault="00AE09AB" w:rsidP="00330CE3">
      <w:pPr>
        <w:pStyle w:val="Bibliography"/>
      </w:pPr>
      <w:r>
        <w:t>Nkansah-Amankra, S., Minelli, M., 2016. “Gateway hypothesis” and early drug use: Additional findings from tracking a population-based sample of adolescents to adulthood. Prev. Med. Rep. 4, 134–141. https://doi.org/10.1016/j.pmedr.2016.05.003</w:t>
      </w:r>
    </w:p>
    <w:p w14:paraId="6B88B8BC" w14:textId="77777777" w:rsidR="00AE09AB" w:rsidRDefault="00AE09AB" w:rsidP="00330CE3">
      <w:pPr>
        <w:pStyle w:val="Bibliography"/>
      </w:pPr>
      <w:r>
        <w:t>Noor, S.W., Adam, B.D., Brennan, D.J., Moskowitz, D.A., Gardner, S., Hart, T.A., 2017. Scenes as Micro-Cultures: Examining Heterogeneity of HIV Risk Behavior Among Gay, Bisexual, and Other Men Who Have Sex with Men in Toronto, Canada. Arch. Sex. Behav. https://doi.org/10.1007/s10508-017-0948-y</w:t>
      </w:r>
    </w:p>
    <w:p w14:paraId="7723F8BB" w14:textId="77777777" w:rsidR="00AE09AB" w:rsidRDefault="00AE09AB" w:rsidP="00330CE3">
      <w:pPr>
        <w:pStyle w:val="Bibliography"/>
      </w:pPr>
      <w:r>
        <w:t>Nosyk, B., Li, L., Evans, E., Huang, D., Min, J., Kerr, T., Brecht, M., Hser, Y., 2014. Characterizing longitudinal health state transitions among heroin, cocaine, and methamphetamine users. Drug Alcohol Depend. 140, 69–77. https://doi.org/10.1016/j.drugalcdep.2014.03.029</w:t>
      </w:r>
    </w:p>
    <w:p w14:paraId="3A0A28A0" w14:textId="77777777" w:rsidR="00AE09AB" w:rsidRDefault="00AE09AB" w:rsidP="00330CE3">
      <w:pPr>
        <w:pStyle w:val="Bibliography"/>
      </w:pPr>
      <w:r>
        <w:t>Nutt, D., King, L.A., Saulsbury, W., Blakemore, C., 2007. Development of a rational scale to assess the harm of drugs of potential misuse. The Lancet 369, 1047–1053. https://doi.org/10.1016/S0140-6736(07)60464-4</w:t>
      </w:r>
    </w:p>
    <w:p w14:paraId="32C5645B" w14:textId="77777777" w:rsidR="00AE09AB" w:rsidRDefault="00AE09AB" w:rsidP="00330CE3">
      <w:pPr>
        <w:pStyle w:val="Bibliography"/>
      </w:pPr>
      <w:r>
        <w:t>Nylund, K.L., Asparouhov, T., Muthén, B.O., 2007. Deciding on the Number of Classes in Latent Class Analysis and Growth Mixture Modeling: A Monte Carlo Simulation Study. Struct. Equ. Model. Multidiscip. J. 14, 535–569. https://doi.org/10.1080/10705510701575396</w:t>
      </w:r>
    </w:p>
    <w:p w14:paraId="59A7D5EB" w14:textId="77777777" w:rsidR="00AE09AB" w:rsidRDefault="00AE09AB" w:rsidP="00330CE3">
      <w:pPr>
        <w:pStyle w:val="Bibliography"/>
      </w:pPr>
      <w:r>
        <w:t>O’Malley, P.M., Bachman, J.G., Johnston, L.D., 1984. Period, age, and cohort effects on substance use among American youth, 1976-82. Am. J. Public Health 74, 682–688.</w:t>
      </w:r>
    </w:p>
    <w:p w14:paraId="16C67091" w14:textId="77777777" w:rsidR="00AE09AB" w:rsidRDefault="00AE09AB" w:rsidP="00330CE3">
      <w:pPr>
        <w:pStyle w:val="Bibliography"/>
      </w:pPr>
      <w:r>
        <w:lastRenderedPageBreak/>
        <w:t>Otten, R., Mun, C.J., Dishion, T.J., 2017. The social exigencies of the gateway progression to the use of illicit drugs from adolescence into adulthood. Addict. Behav. 73, 144–150. https://doi.org/10.1016/j.addbeh.2017.05.011</w:t>
      </w:r>
    </w:p>
    <w:p w14:paraId="55D91622" w14:textId="77777777" w:rsidR="00AE09AB" w:rsidRDefault="00AE09AB" w:rsidP="00330CE3">
      <w:pPr>
        <w:pStyle w:val="Bibliography"/>
      </w:pPr>
      <w:r>
        <w:t>Petry, N.M., 2001. A behavioral economic analysis of polydrug abuse in alcoholics: asymmetrical substitution of alcohol and cocaine. Drug Alcohol Depend. 62, 31–39.</w:t>
      </w:r>
    </w:p>
    <w:p w14:paraId="0432FDAF" w14:textId="77777777" w:rsidR="00AE09AB" w:rsidRDefault="00AE09AB" w:rsidP="00330CE3">
      <w:pPr>
        <w:pStyle w:val="Bibliography"/>
      </w:pPr>
      <w:r>
        <w:t>Plöderl, M., Tremblay, P., 2015. Mental health of sexual minorities. A systematic review. Int. Rev. Psychiatry Abingdon Engl. 1–19. https://doi.org/10.3109/09540261.2015.1083949</w:t>
      </w:r>
    </w:p>
    <w:p w14:paraId="333AC232" w14:textId="77777777" w:rsidR="00AE09AB" w:rsidRDefault="00AE09AB" w:rsidP="00330CE3">
      <w:pPr>
        <w:pStyle w:val="Bibliography"/>
      </w:pPr>
      <w:r>
        <w:t>PROC LCA &amp; PROC LTA, 2015. . The Methodology Center, Penn State., University Park.</w:t>
      </w:r>
    </w:p>
    <w:p w14:paraId="7038C4AA" w14:textId="77777777" w:rsidR="00AE09AB" w:rsidRDefault="00AE09AB" w:rsidP="00330CE3">
      <w:pPr>
        <w:pStyle w:val="Bibliography"/>
      </w:pPr>
      <w:r>
        <w:t>Prochaska, J.O., Velicer, W.F., 1997. The transtheoretical model of health behavior change. Am. J. Health Promot. AJHP 12, 38–48.</w:t>
      </w:r>
    </w:p>
    <w:p w14:paraId="4CDD990E" w14:textId="77777777" w:rsidR="00AE09AB" w:rsidRDefault="00AE09AB" w:rsidP="00330CE3">
      <w:pPr>
        <w:pStyle w:val="Bibliography"/>
      </w:pPr>
      <w:r>
        <w:t>SAS, n.d. . SAS Institute Inc., Cary, NC, USA.</w:t>
      </w:r>
    </w:p>
    <w:p w14:paraId="6C458C1E" w14:textId="77777777" w:rsidR="00AE09AB" w:rsidRDefault="00AE09AB" w:rsidP="00330CE3">
      <w:pPr>
        <w:pStyle w:val="Bibliography"/>
      </w:pPr>
      <w:r>
        <w:t>Savic, M., Best, D., Manning, V., Lubman, D.I., 2017. Strategies to facilitate integrated care for people with alcohol and other drug problems: a systematic review. Subst. Abuse Treat. Prev. Policy 12, 19. https://doi.org/10.1186/s13011-017-0104-7</w:t>
      </w:r>
    </w:p>
    <w:p w14:paraId="431D5987" w14:textId="77777777" w:rsidR="00AE09AB" w:rsidRDefault="00AE09AB" w:rsidP="00330CE3">
      <w:pPr>
        <w:pStyle w:val="Bibliography"/>
      </w:pPr>
      <w:r>
        <w:t>Secades-Villa, R., Garcia-Rodríguez, O., Jin, C.J., Wang, S., Blanco, C., 2015. Probability and predictors of the cannabis gateway effect: a national study. Int. J. Drug Policy 26, 135–142. https://doi.org/10.1016/j.drugpo.2014.07.011</w:t>
      </w:r>
    </w:p>
    <w:p w14:paraId="580068FB" w14:textId="77777777" w:rsidR="00AE09AB" w:rsidRDefault="00AE09AB" w:rsidP="00330CE3">
      <w:pPr>
        <w:pStyle w:val="Bibliography"/>
      </w:pPr>
      <w:r>
        <w:t>Terry-McElrath, Y.M., O’Malley, P.M., Johnston, L.D., 2009. Reasons for Drug Use among American Youth by Consumption Level, Gender, and Race/Ethnicity: 1976–2005. J. Drug Issues 39, 677–714.</w:t>
      </w:r>
    </w:p>
    <w:p w14:paraId="22C85654" w14:textId="77777777" w:rsidR="00AE09AB" w:rsidRDefault="00AE09AB" w:rsidP="00330CE3">
      <w:pPr>
        <w:pStyle w:val="Bibliography"/>
      </w:pPr>
      <w:r>
        <w:t>Tobin, K.E., Yang, C., King, K., Latkin, C.A., Curriero, F.C., 2015. Associations Between Drug and Alcohol Use Patterns and Sexual Risk in a Sample of African American Men Who Have Sex with Men. AIDS Behav. https://doi.org/10.1007/s10461-015-1214-8</w:t>
      </w:r>
    </w:p>
    <w:p w14:paraId="7AA492A1" w14:textId="77777777" w:rsidR="00AE09AB" w:rsidRDefault="00AE09AB" w:rsidP="00330CE3">
      <w:pPr>
        <w:pStyle w:val="Bibliography"/>
      </w:pPr>
      <w:r>
        <w:t>Tomczyk, S., Pedersen, A., Hanewinkel, R., Isensee, B., Morgenstern, M., 2016. Polysubstance use patterns and trajectories in vocational students--a latent transition analysis. Addict. Behav. 58, 136–141. https://doi.org/10.1016/j.addbeh.2016.02.027</w:t>
      </w:r>
    </w:p>
    <w:p w14:paraId="169A1A95" w14:textId="77777777" w:rsidR="00AE09AB" w:rsidRDefault="00AE09AB" w:rsidP="00330CE3">
      <w:pPr>
        <w:pStyle w:val="Bibliography"/>
      </w:pPr>
      <w:r>
        <w:t>Vanyukov, M., Cornelius, M., Genna, N.D., Reynolds, M., Kirillova, G., Maher, B., Kirisci, L., 2017. Measurement of Liability to Addiction: Dimensional Approaches. Int. J. Pers. Centered Med. 6. https://doi.org/10.5750/ijpcm.v6i4.612</w:t>
      </w:r>
    </w:p>
    <w:p w14:paraId="30FA95C7" w14:textId="77777777" w:rsidR="00AE09AB" w:rsidRDefault="00AE09AB" w:rsidP="00330CE3">
      <w:pPr>
        <w:pStyle w:val="Bibliography"/>
      </w:pPr>
      <w:r>
        <w:t>Vanyukov, M., Ridenour, T.A., 2012. Common liability to drug addictions: Theory, research, practice. Drug Alcohol Depend. 123, S1–S2. https://doi.org/10.1016/j.drugalcdep.2012.01.005</w:t>
      </w:r>
    </w:p>
    <w:p w14:paraId="1850D05B" w14:textId="77777777" w:rsidR="00AE09AB" w:rsidRDefault="00AE09AB" w:rsidP="00330CE3">
      <w:pPr>
        <w:pStyle w:val="Bibliography"/>
      </w:pPr>
      <w:r>
        <w:t>Vanyukov, M., Tarter, R.E., Kirillova, G.P., Kirisci, L., Reynolds, M.D., Kreek, M.J., Conway, K.P., Maher, B.S., Iacono, W.G., Bierut, L., Neale, M.C., Clark, D.B., Ridenour, T.A., 2012. Common liability to addiction and “gateway hypothesis”: Theoretical, empirical and evolutionary perspective. Drug Alcohol Depend. 123, S3–S17. https://doi.org/10.1016/j.drugalcdep.2011.12.018</w:t>
      </w:r>
    </w:p>
    <w:p w14:paraId="6F55FD76" w14:textId="77777777" w:rsidR="00AE09AB" w:rsidRDefault="00AE09AB" w:rsidP="00330CE3">
      <w:pPr>
        <w:pStyle w:val="Bibliography"/>
      </w:pPr>
      <w:r>
        <w:t>Weinberger, A.H., Platt, J., Goodwin, R.D., 2016. Is cannabis use associated with an increased risk of onset and persistence of alcohol use disorders? A three-year prospective study among adults in the United States. Drug Alcohol Depend. 161, 363–367. https://doi.org/10.1016/j.drugalcdep.2016.01.014</w:t>
      </w:r>
    </w:p>
    <w:p w14:paraId="50E97FDE" w14:textId="77777777" w:rsidR="00AE09AB" w:rsidRDefault="00AE09AB" w:rsidP="00330CE3">
      <w:pPr>
        <w:pStyle w:val="Bibliography"/>
      </w:pPr>
      <w:r>
        <w:t>Wilkinson, A.L., El-Hayek, C., Fairley, C.K., Roth, N., Tee, B.K., McBryde, E., Hellard, M., Stoové, M., 2017. Measuring Transitions in Sexual Risk Among Men Who Have Sex With Men: The Novel Use of Latent Class and Latent Transition Analysis in HIV Sentinel Surveillance. Am. J. Epidemiol. 185, 627–635. https://doi.org/10.1093/aje/kww239</w:t>
      </w:r>
    </w:p>
    <w:p w14:paraId="28DB45FC" w14:textId="77777777" w:rsidR="00AE09AB" w:rsidRDefault="00AE09AB" w:rsidP="00330CE3">
      <w:pPr>
        <w:pStyle w:val="Bibliography"/>
      </w:pPr>
      <w:r>
        <w:lastRenderedPageBreak/>
        <w:t>Yu, G., Wall, M.M., Chiasson, M.A., Hirshfield, S., 2015. Complex drug use patterns and associated HIV transmission risk behaviors in an Internet sample of U.S. men who have sex with men. Arch. Sex. Behav. 44, 421–428. https://doi.org/10.1007/s10508-014-0337-8</w:t>
      </w:r>
    </w:p>
    <w:p w14:paraId="6A82F07D" w14:textId="5B631FF1" w:rsidR="00A53600" w:rsidRPr="00CA4BCA" w:rsidRDefault="008F6649" w:rsidP="00CA6CDF">
      <w:pPr>
        <w:rPr>
          <w:rFonts w:cs="Times New Roman"/>
          <w:b/>
        </w:rPr>
      </w:pPr>
      <w:r w:rsidRPr="00CA4BCA">
        <w:rPr>
          <w:rFonts w:cs="Times New Roman"/>
          <w:b/>
        </w:rPr>
        <w:fldChar w:fldCharType="end"/>
      </w:r>
    </w:p>
    <w:p w14:paraId="43906D54" w14:textId="34F933C4" w:rsidR="00E359F0" w:rsidRPr="005F1194" w:rsidRDefault="00E359F0" w:rsidP="00E359F0">
      <w:pPr>
        <w:spacing w:after="0"/>
        <w:rPr>
          <w:rFonts w:cs="Times New Roman"/>
          <w:shd w:val="clear" w:color="auto" w:fill="FFFFFF"/>
        </w:rPr>
      </w:pPr>
      <w:r>
        <w:rPr>
          <w:rFonts w:cs="Times New Roman"/>
          <w:lang w:val="en-CA"/>
        </w:rPr>
        <w:br w:type="page"/>
      </w:r>
      <w:r w:rsidRPr="005F1194">
        <w:rPr>
          <w:rStyle w:val="Strong"/>
          <w:rFonts w:cs="Times New Roman"/>
          <w:shd w:val="clear" w:color="auto" w:fill="FFFFFF"/>
        </w:rPr>
        <w:lastRenderedPageBreak/>
        <w:t>Role of Funding Source</w:t>
      </w:r>
      <w:r w:rsidRPr="005F1194">
        <w:rPr>
          <w:rFonts w:cs="Times New Roman"/>
          <w:shd w:val="clear" w:color="auto" w:fill="FFFFFF"/>
        </w:rPr>
        <w:t> </w:t>
      </w:r>
    </w:p>
    <w:p w14:paraId="16BF035D" w14:textId="77777777" w:rsidR="00E359F0" w:rsidRDefault="00E359F0" w:rsidP="00E359F0">
      <w:pPr>
        <w:widowControl w:val="0"/>
        <w:autoSpaceDE w:val="0"/>
        <w:autoSpaceDN w:val="0"/>
        <w:adjustRightInd w:val="0"/>
        <w:spacing w:after="0"/>
        <w:rPr>
          <w:rFonts w:cs="Times New Roman"/>
        </w:rPr>
      </w:pPr>
      <w:r w:rsidRPr="005F1194">
        <w:rPr>
          <w:rFonts w:cs="Times New Roman"/>
        </w:rPr>
        <w:t>Momentum is funded through the National Institute on Drug Abuse (R01DA031055-01A1) and the Canadian Institutes for Health Research (MOP-107544, 143342, PJT-153139). NJL was supported by a CANFAR/CTN Postdoctoral Fellowship Award. DMM and NJL are supported by Scholar Awards from the Michael Smith Foundation for Health Research (#5209, #16863). HLA is supported by a Postdoctoral Fellowship Award from the Canadian Institutes of Health Research (Grant # MFE-152443). KGC is supported by a University Without Walls-Engage Fellowship.</w:t>
      </w:r>
    </w:p>
    <w:p w14:paraId="38F0C414" w14:textId="77777777" w:rsidR="00E359F0" w:rsidRPr="005F1194" w:rsidRDefault="00E359F0" w:rsidP="00E359F0">
      <w:pPr>
        <w:widowControl w:val="0"/>
        <w:autoSpaceDE w:val="0"/>
        <w:autoSpaceDN w:val="0"/>
        <w:adjustRightInd w:val="0"/>
        <w:spacing w:after="0"/>
        <w:rPr>
          <w:rFonts w:cs="Times New Roman"/>
        </w:rPr>
      </w:pPr>
    </w:p>
    <w:p w14:paraId="079EFD13" w14:textId="77777777" w:rsidR="00E359F0" w:rsidRPr="005F1194" w:rsidRDefault="00E359F0" w:rsidP="00E359F0">
      <w:pPr>
        <w:spacing w:after="0"/>
        <w:rPr>
          <w:rFonts w:cs="Times New Roman"/>
          <w:shd w:val="clear" w:color="auto" w:fill="FFFFFF"/>
        </w:rPr>
      </w:pPr>
      <w:r w:rsidRPr="005F1194">
        <w:rPr>
          <w:rStyle w:val="Strong"/>
          <w:rFonts w:cs="Times New Roman"/>
          <w:shd w:val="clear" w:color="auto" w:fill="FFFFFF"/>
        </w:rPr>
        <w:t>Contributors</w:t>
      </w:r>
      <w:r w:rsidRPr="005F1194">
        <w:rPr>
          <w:rFonts w:cs="Times New Roman"/>
          <w:shd w:val="clear" w:color="auto" w:fill="FFFFFF"/>
        </w:rPr>
        <w:t> </w:t>
      </w:r>
    </w:p>
    <w:p w14:paraId="795F7227" w14:textId="77777777" w:rsidR="00E359F0" w:rsidRDefault="00E359F0" w:rsidP="00E359F0">
      <w:pPr>
        <w:spacing w:after="0"/>
        <w:rPr>
          <w:rFonts w:cs="Times New Roman"/>
          <w:shd w:val="clear" w:color="auto" w:fill="FFFFFF"/>
        </w:rPr>
      </w:pPr>
      <w:r>
        <w:rPr>
          <w:rFonts w:cs="Times New Roman"/>
          <w:shd w:val="clear" w:color="auto" w:fill="FFFFFF"/>
        </w:rPr>
        <w:t xml:space="preserve">KGC drafted and revised the research manuscript and oversaw analytic design. HLA and AC provided extensive feedback on multiple drafts and input into analytic design. ZC, CW, and JW executed statistical analyses. NJL, DMM, RSH, and EAR provided extensive revisions for final draft and managed study operations. </w:t>
      </w:r>
    </w:p>
    <w:p w14:paraId="5DAB4178" w14:textId="77777777" w:rsidR="00E359F0" w:rsidRPr="005F1194" w:rsidRDefault="00E359F0" w:rsidP="00E359F0">
      <w:pPr>
        <w:spacing w:after="0"/>
        <w:rPr>
          <w:rFonts w:cs="Times New Roman"/>
          <w:shd w:val="clear" w:color="auto" w:fill="FFFFFF"/>
        </w:rPr>
      </w:pPr>
    </w:p>
    <w:p w14:paraId="0DFB89D0" w14:textId="77777777" w:rsidR="00E359F0" w:rsidRPr="005F1194" w:rsidRDefault="00E359F0" w:rsidP="00E359F0">
      <w:pPr>
        <w:spacing w:after="0"/>
        <w:rPr>
          <w:rFonts w:cs="Times New Roman"/>
          <w:shd w:val="clear" w:color="auto" w:fill="FFFFFF"/>
        </w:rPr>
      </w:pPr>
      <w:r w:rsidRPr="005F1194">
        <w:rPr>
          <w:rStyle w:val="Strong"/>
          <w:rFonts w:cs="Times New Roman"/>
          <w:shd w:val="clear" w:color="auto" w:fill="FFFFFF"/>
        </w:rPr>
        <w:t>Conflict of Interest</w:t>
      </w:r>
      <w:r w:rsidRPr="005F1194">
        <w:rPr>
          <w:rFonts w:cs="Times New Roman"/>
          <w:shd w:val="clear" w:color="auto" w:fill="FFFFFF"/>
        </w:rPr>
        <w:t> </w:t>
      </w:r>
    </w:p>
    <w:p w14:paraId="05E2B5A6" w14:textId="77777777" w:rsidR="00E359F0" w:rsidRDefault="00E359F0" w:rsidP="00E359F0">
      <w:pPr>
        <w:spacing w:after="0"/>
        <w:rPr>
          <w:rFonts w:cs="Times New Roman"/>
          <w:shd w:val="clear" w:color="auto" w:fill="FFFFFF"/>
        </w:rPr>
      </w:pPr>
      <w:r w:rsidRPr="005F1194">
        <w:rPr>
          <w:rFonts w:cs="Times New Roman"/>
          <w:shd w:val="clear" w:color="auto" w:fill="FFFFFF"/>
        </w:rPr>
        <w:t>No conflicts declared</w:t>
      </w:r>
    </w:p>
    <w:p w14:paraId="655F66E9" w14:textId="77777777" w:rsidR="00E359F0" w:rsidRPr="005F1194" w:rsidRDefault="00E359F0" w:rsidP="00E359F0">
      <w:pPr>
        <w:spacing w:after="0"/>
        <w:rPr>
          <w:rStyle w:val="Strong"/>
          <w:rFonts w:cs="Times New Roman"/>
          <w:b w:val="0"/>
          <w:bCs w:val="0"/>
          <w:shd w:val="clear" w:color="auto" w:fill="FFFFFF"/>
        </w:rPr>
      </w:pPr>
    </w:p>
    <w:p w14:paraId="17FBEF09" w14:textId="77777777" w:rsidR="00E359F0" w:rsidRPr="005F1194" w:rsidRDefault="00E359F0" w:rsidP="00E359F0">
      <w:pPr>
        <w:spacing w:after="0"/>
        <w:rPr>
          <w:rStyle w:val="Strong"/>
          <w:rFonts w:cs="Times New Roman"/>
          <w:shd w:val="clear" w:color="auto" w:fill="FFFFFF"/>
        </w:rPr>
      </w:pPr>
      <w:r w:rsidRPr="005F1194">
        <w:rPr>
          <w:rStyle w:val="Strong"/>
          <w:rFonts w:cs="Times New Roman"/>
          <w:shd w:val="clear" w:color="auto" w:fill="FFFFFF"/>
        </w:rPr>
        <w:t>Acknowledgements</w:t>
      </w:r>
    </w:p>
    <w:p w14:paraId="370DDF72" w14:textId="5743A511" w:rsidR="00E359F0" w:rsidRDefault="00E359F0" w:rsidP="00E359F0">
      <w:pPr>
        <w:widowControl w:val="0"/>
        <w:autoSpaceDE w:val="0"/>
        <w:autoSpaceDN w:val="0"/>
        <w:adjustRightInd w:val="0"/>
        <w:spacing w:after="0"/>
        <w:rPr>
          <w:rFonts w:cs="Times New Roman"/>
        </w:rPr>
      </w:pPr>
      <w:r w:rsidRPr="005F1194">
        <w:rPr>
          <w:rFonts w:cs="Times New Roman"/>
        </w:rPr>
        <w:t xml:space="preserve">The authors would like to thank the Momentum Health Study participants, office staff and community advisory board, as well as our community partner agencies, Health Initiative for Men, </w:t>
      </w:r>
      <w:proofErr w:type="spellStart"/>
      <w:r w:rsidRPr="005F1194">
        <w:rPr>
          <w:rFonts w:cs="Times New Roman"/>
        </w:rPr>
        <w:t>YouthCO</w:t>
      </w:r>
      <w:proofErr w:type="spellEnd"/>
      <w:r w:rsidRPr="005F1194">
        <w:rPr>
          <w:rFonts w:cs="Times New Roman"/>
        </w:rPr>
        <w:t xml:space="preserve"> HIV &amp; Hep C Society, and Positive Living Society of BC. </w:t>
      </w:r>
    </w:p>
    <w:p w14:paraId="59206639" w14:textId="4AFE8BDF" w:rsidR="00E359F0" w:rsidRDefault="00E359F0" w:rsidP="00E359F0">
      <w:pPr>
        <w:widowControl w:val="0"/>
        <w:autoSpaceDE w:val="0"/>
        <w:autoSpaceDN w:val="0"/>
        <w:adjustRightInd w:val="0"/>
        <w:spacing w:after="0"/>
        <w:rPr>
          <w:rFonts w:cs="Times New Roman"/>
        </w:rPr>
      </w:pPr>
    </w:p>
    <w:p w14:paraId="2248CAD2" w14:textId="5D99A7D7" w:rsidR="00E359F0" w:rsidRDefault="00E359F0" w:rsidP="00E359F0">
      <w:pPr>
        <w:widowControl w:val="0"/>
        <w:autoSpaceDE w:val="0"/>
        <w:autoSpaceDN w:val="0"/>
        <w:adjustRightInd w:val="0"/>
        <w:spacing w:after="0"/>
        <w:rPr>
          <w:rFonts w:cs="Times New Roman"/>
        </w:rPr>
      </w:pPr>
    </w:p>
    <w:p w14:paraId="320281B7" w14:textId="77777777" w:rsidR="00E359F0" w:rsidRPr="00903D01" w:rsidRDefault="00E359F0" w:rsidP="00E359F0">
      <w:pPr>
        <w:pStyle w:val="Metadata"/>
        <w:rPr>
          <w:b/>
          <w:i/>
        </w:rPr>
      </w:pPr>
      <w:r w:rsidRPr="00903D01">
        <w:rPr>
          <w:b/>
          <w:i/>
        </w:rPr>
        <w:lastRenderedPageBreak/>
        <w:t>Contributions</w:t>
      </w:r>
    </w:p>
    <w:p w14:paraId="25372711" w14:textId="77777777" w:rsidR="00E359F0" w:rsidRPr="00903D01" w:rsidRDefault="00E359F0" w:rsidP="00E359F0">
      <w:pPr>
        <w:pStyle w:val="Metadata"/>
        <w:rPr>
          <w:b/>
          <w:i/>
        </w:rPr>
      </w:pPr>
    </w:p>
    <w:p w14:paraId="4FE28BFE" w14:textId="77777777" w:rsidR="00E359F0" w:rsidRPr="00903D01" w:rsidRDefault="00E359F0" w:rsidP="00E359F0">
      <w:pPr>
        <w:pStyle w:val="Metadata"/>
        <w:ind w:left="720"/>
      </w:pPr>
      <w:proofErr w:type="spellStart"/>
      <w:r w:rsidRPr="00903D01">
        <w:rPr>
          <w:i/>
        </w:rPr>
        <w:t>Kiffer</w:t>
      </w:r>
      <w:proofErr w:type="spellEnd"/>
      <w:r w:rsidRPr="00903D01">
        <w:rPr>
          <w:i/>
        </w:rPr>
        <w:t xml:space="preserve"> G. Card</w:t>
      </w:r>
      <w:r w:rsidRPr="00903D01">
        <w:t xml:space="preserve"> led the analysis by providing analytic instruction for data analysts and statisticians and drafted the final manuscript. </w:t>
      </w:r>
    </w:p>
    <w:p w14:paraId="412180CA" w14:textId="77777777" w:rsidR="00E359F0" w:rsidRPr="00903D01" w:rsidRDefault="00E359F0" w:rsidP="00E359F0">
      <w:pPr>
        <w:pStyle w:val="Metadata"/>
        <w:ind w:left="720"/>
      </w:pPr>
      <w:r w:rsidRPr="00903D01">
        <w:rPr>
          <w:i/>
        </w:rPr>
        <w:t xml:space="preserve">Heather L. Armstrong </w:t>
      </w:r>
      <w:r w:rsidRPr="00903D01">
        <w:t>consulted on analytic design and provided extensive feedback on several drafts.</w:t>
      </w:r>
    </w:p>
    <w:p w14:paraId="3D56A657" w14:textId="77777777" w:rsidR="00E359F0" w:rsidRPr="00903D01" w:rsidRDefault="00E359F0" w:rsidP="00E359F0">
      <w:pPr>
        <w:pStyle w:val="Metadata"/>
        <w:ind w:left="720"/>
      </w:pPr>
      <w:r w:rsidRPr="00903D01">
        <w:rPr>
          <w:i/>
        </w:rPr>
        <w:t xml:space="preserve">Allison Carter </w:t>
      </w:r>
      <w:r w:rsidRPr="00903D01">
        <w:t>initiated the data request for this analysis and provided extensive feedback on the multiple drafts.</w:t>
      </w:r>
    </w:p>
    <w:p w14:paraId="40383318" w14:textId="77777777" w:rsidR="00E359F0" w:rsidRPr="00903D01" w:rsidRDefault="00E359F0" w:rsidP="00E359F0">
      <w:pPr>
        <w:pStyle w:val="Metadata"/>
        <w:ind w:left="720"/>
      </w:pPr>
      <w:proofErr w:type="spellStart"/>
      <w:r w:rsidRPr="00903D01">
        <w:rPr>
          <w:i/>
        </w:rPr>
        <w:t>Zishan</w:t>
      </w:r>
      <w:proofErr w:type="spellEnd"/>
      <w:r w:rsidRPr="00903D01">
        <w:rPr>
          <w:i/>
        </w:rPr>
        <w:t xml:space="preserve"> Cui</w:t>
      </w:r>
      <w:r w:rsidRPr="00903D01">
        <w:t xml:space="preserve"> conducted all statistical analysis.</w:t>
      </w:r>
    </w:p>
    <w:p w14:paraId="470CF13E" w14:textId="77777777" w:rsidR="00E359F0" w:rsidRPr="00903D01" w:rsidRDefault="00E359F0" w:rsidP="00E359F0">
      <w:pPr>
        <w:pStyle w:val="Metadata"/>
        <w:ind w:left="720"/>
        <w:rPr>
          <w:b/>
        </w:rPr>
      </w:pPr>
      <w:r w:rsidRPr="00903D01">
        <w:rPr>
          <w:i/>
        </w:rPr>
        <w:t xml:space="preserve">Clara Wang </w:t>
      </w:r>
      <w:r w:rsidRPr="00903D01">
        <w:t>conducted revisions for original statistical analysis based on feedback from co-authors.</w:t>
      </w:r>
    </w:p>
    <w:p w14:paraId="568FA2FA" w14:textId="77777777" w:rsidR="00E359F0" w:rsidRPr="00903D01" w:rsidRDefault="00E359F0" w:rsidP="00E359F0">
      <w:pPr>
        <w:pStyle w:val="Metadata"/>
        <w:ind w:left="720"/>
      </w:pPr>
      <w:r w:rsidRPr="00903D01">
        <w:rPr>
          <w:i/>
        </w:rPr>
        <w:t xml:space="preserve">Julia Zhu </w:t>
      </w:r>
      <w:r w:rsidRPr="00903D01">
        <w:t>conducted data analysis, including data cleaning and recoding.</w:t>
      </w:r>
    </w:p>
    <w:p w14:paraId="5F6C2749" w14:textId="77777777" w:rsidR="00E359F0" w:rsidRPr="00903D01" w:rsidRDefault="00E359F0" w:rsidP="00E359F0">
      <w:pPr>
        <w:pStyle w:val="Metadata"/>
        <w:ind w:left="720"/>
      </w:pPr>
      <w:r w:rsidRPr="00903D01">
        <w:rPr>
          <w:i/>
        </w:rPr>
        <w:t xml:space="preserve">Nathan J. </w:t>
      </w:r>
      <w:proofErr w:type="spellStart"/>
      <w:r w:rsidRPr="00903D01">
        <w:rPr>
          <w:i/>
        </w:rPr>
        <w:t>Lachowsky</w:t>
      </w:r>
      <w:proofErr w:type="spellEnd"/>
      <w:r w:rsidRPr="00903D01">
        <w:rPr>
          <w:i/>
        </w:rPr>
        <w:t xml:space="preserve"> </w:t>
      </w:r>
      <w:r w:rsidRPr="00903D01">
        <w:t>provided extensive feedback on the final draft.</w:t>
      </w:r>
    </w:p>
    <w:p w14:paraId="532C0CE3" w14:textId="77777777" w:rsidR="00E359F0" w:rsidRPr="00903D01" w:rsidRDefault="00E359F0" w:rsidP="00E359F0">
      <w:pPr>
        <w:pStyle w:val="Metadata"/>
        <w:ind w:left="720"/>
      </w:pPr>
      <w:r w:rsidRPr="00903D01">
        <w:rPr>
          <w:i/>
        </w:rPr>
        <w:t xml:space="preserve">David M. Moore </w:t>
      </w:r>
      <w:r w:rsidRPr="00903D01">
        <w:t>served as the director of the study, overseeing all research operations, and provided extensive feedback on the final draft.</w:t>
      </w:r>
    </w:p>
    <w:p w14:paraId="5BF7337C" w14:textId="77777777" w:rsidR="00E359F0" w:rsidRPr="00903D01" w:rsidRDefault="00E359F0" w:rsidP="00E359F0">
      <w:pPr>
        <w:pStyle w:val="Metadata"/>
        <w:ind w:left="720"/>
      </w:pPr>
      <w:r w:rsidRPr="00903D01">
        <w:rPr>
          <w:i/>
        </w:rPr>
        <w:t xml:space="preserve">Robert S. Hogg </w:t>
      </w:r>
      <w:r w:rsidRPr="00903D01">
        <w:t>originated the research question and provided extensive feedback on the final draft.</w:t>
      </w:r>
    </w:p>
    <w:p w14:paraId="357EFFC7" w14:textId="77777777" w:rsidR="00E359F0" w:rsidRPr="00903D01" w:rsidRDefault="00E359F0" w:rsidP="00E359F0">
      <w:pPr>
        <w:pStyle w:val="Metadata"/>
        <w:ind w:left="720"/>
      </w:pPr>
      <w:r w:rsidRPr="00903D01">
        <w:rPr>
          <w:i/>
        </w:rPr>
        <w:t xml:space="preserve">Eric A. Roth </w:t>
      </w:r>
      <w:r w:rsidRPr="00903D01">
        <w:t xml:space="preserve">provided guidance on theoretical application and methodology and provided extensive feedback on the final draft. </w:t>
      </w:r>
    </w:p>
    <w:p w14:paraId="64274610" w14:textId="77777777" w:rsidR="00E359F0" w:rsidRDefault="00E359F0" w:rsidP="00E359F0"/>
    <w:p w14:paraId="51B7CCAC" w14:textId="77777777" w:rsidR="00E359F0" w:rsidRPr="00EE2DB1" w:rsidRDefault="00E359F0" w:rsidP="00E359F0">
      <w:pPr>
        <w:rPr>
          <w:b/>
        </w:rPr>
      </w:pPr>
      <w:r>
        <w:rPr>
          <w:b/>
        </w:rPr>
        <w:t>All authors reviewed the final draft.</w:t>
      </w:r>
    </w:p>
    <w:p w14:paraId="6AC8BCDE" w14:textId="77777777" w:rsidR="00E359F0" w:rsidRPr="005F1194" w:rsidRDefault="00E359F0" w:rsidP="00E359F0">
      <w:pPr>
        <w:widowControl w:val="0"/>
        <w:autoSpaceDE w:val="0"/>
        <w:autoSpaceDN w:val="0"/>
        <w:adjustRightInd w:val="0"/>
        <w:spacing w:after="0"/>
        <w:rPr>
          <w:rFonts w:cs="Times New Roman"/>
        </w:rPr>
      </w:pPr>
    </w:p>
    <w:p w14:paraId="2A41F494" w14:textId="77777777" w:rsidR="00E359F0" w:rsidRPr="005F1194" w:rsidRDefault="00E359F0" w:rsidP="00E359F0">
      <w:pPr>
        <w:spacing w:after="0"/>
        <w:rPr>
          <w:rFonts w:cs="Times New Roman"/>
        </w:rPr>
      </w:pPr>
    </w:p>
    <w:p w14:paraId="6752D434" w14:textId="6847EAB7" w:rsidR="00E359F0" w:rsidRDefault="00E359F0">
      <w:pPr>
        <w:spacing w:after="0" w:line="240" w:lineRule="auto"/>
        <w:jc w:val="left"/>
        <w:rPr>
          <w:rFonts w:cs="Times New Roman"/>
          <w:lang w:val="en-CA"/>
        </w:rPr>
      </w:pPr>
    </w:p>
    <w:p w14:paraId="2A044F70" w14:textId="35BC415B" w:rsidR="00E359F0" w:rsidRDefault="00E359F0">
      <w:pPr>
        <w:spacing w:after="0" w:line="240" w:lineRule="auto"/>
        <w:jc w:val="left"/>
        <w:rPr>
          <w:rFonts w:cs="Times New Roman"/>
          <w:lang w:val="en-CA"/>
        </w:rPr>
      </w:pPr>
    </w:p>
    <w:p w14:paraId="12241482" w14:textId="0D33678B" w:rsidR="00E359F0" w:rsidRDefault="00E359F0">
      <w:pPr>
        <w:spacing w:after="0" w:line="240" w:lineRule="auto"/>
        <w:jc w:val="left"/>
        <w:rPr>
          <w:rFonts w:cs="Times New Roman"/>
          <w:lang w:val="en-CA"/>
        </w:rPr>
      </w:pPr>
    </w:p>
    <w:p w14:paraId="0817E856" w14:textId="1838DE7F" w:rsidR="00E359F0" w:rsidRDefault="00E359F0">
      <w:pPr>
        <w:spacing w:after="0" w:line="240" w:lineRule="auto"/>
        <w:jc w:val="left"/>
        <w:rPr>
          <w:rFonts w:cs="Times New Roman"/>
          <w:lang w:val="en-CA"/>
        </w:rPr>
      </w:pPr>
    </w:p>
    <w:p w14:paraId="58BC6AE7" w14:textId="4F5E05AC" w:rsidR="00E359F0" w:rsidRDefault="00E359F0">
      <w:pPr>
        <w:spacing w:after="0" w:line="240" w:lineRule="auto"/>
        <w:jc w:val="left"/>
        <w:rPr>
          <w:rFonts w:cs="Times New Roman"/>
          <w:lang w:val="en-CA"/>
        </w:rPr>
      </w:pPr>
    </w:p>
    <w:p w14:paraId="650C6495" w14:textId="277BA4D0" w:rsidR="00E359F0" w:rsidRDefault="00E359F0">
      <w:pPr>
        <w:spacing w:after="0" w:line="240" w:lineRule="auto"/>
        <w:jc w:val="left"/>
        <w:rPr>
          <w:rFonts w:cs="Times New Roman"/>
          <w:lang w:val="en-CA"/>
        </w:rPr>
      </w:pPr>
    </w:p>
    <w:p w14:paraId="4D6E7CA1" w14:textId="22B007C1" w:rsidR="00E359F0" w:rsidRDefault="00E359F0">
      <w:pPr>
        <w:spacing w:after="0" w:line="240" w:lineRule="auto"/>
        <w:jc w:val="left"/>
        <w:rPr>
          <w:rFonts w:cs="Times New Roman"/>
          <w:lang w:val="en-CA"/>
        </w:rPr>
      </w:pPr>
    </w:p>
    <w:p w14:paraId="562633BB" w14:textId="129B64C1" w:rsidR="00E359F0" w:rsidRDefault="00E359F0">
      <w:pPr>
        <w:spacing w:after="0" w:line="240" w:lineRule="auto"/>
        <w:jc w:val="left"/>
        <w:rPr>
          <w:rFonts w:cs="Times New Roman"/>
          <w:lang w:val="en-CA"/>
        </w:rPr>
      </w:pPr>
    </w:p>
    <w:p w14:paraId="6E74EF17" w14:textId="1705414A" w:rsidR="00E359F0" w:rsidRDefault="00E359F0">
      <w:pPr>
        <w:spacing w:after="0" w:line="240" w:lineRule="auto"/>
        <w:jc w:val="left"/>
        <w:rPr>
          <w:rFonts w:cs="Times New Roman"/>
          <w:lang w:val="en-CA"/>
        </w:rPr>
      </w:pPr>
    </w:p>
    <w:p w14:paraId="3FA67825" w14:textId="705BE91F" w:rsidR="00E359F0" w:rsidRDefault="00E359F0">
      <w:pPr>
        <w:spacing w:after="0" w:line="240" w:lineRule="auto"/>
        <w:jc w:val="left"/>
        <w:rPr>
          <w:rFonts w:cs="Times New Roman"/>
          <w:lang w:val="en-CA"/>
        </w:rPr>
      </w:pPr>
    </w:p>
    <w:p w14:paraId="110B479F" w14:textId="78C74DE3" w:rsidR="00E359F0" w:rsidRDefault="00E359F0">
      <w:pPr>
        <w:spacing w:after="0" w:line="240" w:lineRule="auto"/>
        <w:jc w:val="left"/>
        <w:rPr>
          <w:rFonts w:cs="Times New Roman"/>
          <w:lang w:val="en-CA"/>
        </w:rPr>
      </w:pPr>
    </w:p>
    <w:p w14:paraId="11040756" w14:textId="629A2A1C" w:rsidR="00E359F0" w:rsidRDefault="00E359F0">
      <w:pPr>
        <w:spacing w:after="0" w:line="240" w:lineRule="auto"/>
        <w:jc w:val="left"/>
        <w:rPr>
          <w:rFonts w:cs="Times New Roman"/>
          <w:lang w:val="en-CA"/>
        </w:rPr>
      </w:pPr>
    </w:p>
    <w:p w14:paraId="4F4E5308" w14:textId="0AD4321A" w:rsidR="00E359F0" w:rsidRDefault="00E359F0">
      <w:pPr>
        <w:spacing w:after="0" w:line="240" w:lineRule="auto"/>
        <w:jc w:val="left"/>
        <w:rPr>
          <w:rFonts w:cs="Times New Roman"/>
          <w:lang w:val="en-CA"/>
        </w:rPr>
      </w:pPr>
    </w:p>
    <w:p w14:paraId="05F1E484" w14:textId="77777777" w:rsidR="00E359F0" w:rsidRPr="00903D01" w:rsidRDefault="00E359F0" w:rsidP="00E359F0">
      <w:pPr>
        <w:pStyle w:val="Metadata"/>
        <w:rPr>
          <w:b/>
          <w:i/>
        </w:rPr>
      </w:pPr>
      <w:r>
        <w:rPr>
          <w:b/>
          <w:i/>
        </w:rPr>
        <w:lastRenderedPageBreak/>
        <w:t>Conflicts of Interest</w:t>
      </w:r>
    </w:p>
    <w:p w14:paraId="2BD860E4" w14:textId="77777777" w:rsidR="00E359F0" w:rsidRPr="00903D01" w:rsidRDefault="00E359F0" w:rsidP="00E359F0">
      <w:pPr>
        <w:pStyle w:val="Metadata"/>
        <w:rPr>
          <w:b/>
          <w:i/>
        </w:rPr>
      </w:pPr>
    </w:p>
    <w:p w14:paraId="2709C280" w14:textId="77777777" w:rsidR="00E359F0" w:rsidRPr="00903D01" w:rsidRDefault="00E359F0" w:rsidP="00E359F0">
      <w:pPr>
        <w:pStyle w:val="Metadata"/>
        <w:ind w:left="720"/>
      </w:pPr>
      <w:proofErr w:type="spellStart"/>
      <w:r w:rsidRPr="00903D01">
        <w:rPr>
          <w:i/>
        </w:rPr>
        <w:t>Kiffer</w:t>
      </w:r>
      <w:proofErr w:type="spellEnd"/>
      <w:r w:rsidRPr="00903D01">
        <w:rPr>
          <w:i/>
        </w:rPr>
        <w:t xml:space="preserve"> G. Card</w:t>
      </w:r>
      <w:r w:rsidRPr="00903D01">
        <w:t xml:space="preserve"> </w:t>
      </w:r>
      <w:r>
        <w:t>has no financial or personal relationships with other people or organizations that could inappropriately influence (bias) their work and as such has no conflicts of interest to declare.</w:t>
      </w:r>
    </w:p>
    <w:p w14:paraId="3C7780C4" w14:textId="77777777" w:rsidR="00E359F0" w:rsidRPr="00903D01" w:rsidRDefault="00E359F0" w:rsidP="00E359F0">
      <w:pPr>
        <w:pStyle w:val="Metadata"/>
        <w:ind w:left="720"/>
      </w:pPr>
      <w:r w:rsidRPr="00903D01">
        <w:rPr>
          <w:i/>
        </w:rPr>
        <w:t xml:space="preserve">Heather L. Armstrong </w:t>
      </w:r>
      <w:r>
        <w:t>has no financial or personal relationships with other people or organizations that could inappropriately influence (bias) their work and as such has no conflicts of interest to declare.</w:t>
      </w:r>
    </w:p>
    <w:p w14:paraId="4F93B7FE" w14:textId="77777777" w:rsidR="00E359F0" w:rsidRPr="00903D01" w:rsidRDefault="00E359F0" w:rsidP="00E359F0">
      <w:pPr>
        <w:pStyle w:val="Metadata"/>
        <w:ind w:left="720"/>
      </w:pPr>
      <w:r w:rsidRPr="00903D01">
        <w:rPr>
          <w:i/>
        </w:rPr>
        <w:t xml:space="preserve">Allison Carter </w:t>
      </w:r>
      <w:r>
        <w:t>has no financial or personal relationships with other people or organizations that could inappropriately influence (bias) their work and as such has no conflicts of interest to declare.</w:t>
      </w:r>
    </w:p>
    <w:p w14:paraId="71066E7A" w14:textId="77777777" w:rsidR="00E359F0" w:rsidRPr="00903D01" w:rsidRDefault="00E359F0" w:rsidP="00E359F0">
      <w:pPr>
        <w:pStyle w:val="Metadata"/>
        <w:ind w:left="720"/>
      </w:pPr>
      <w:proofErr w:type="spellStart"/>
      <w:r w:rsidRPr="00903D01">
        <w:rPr>
          <w:i/>
        </w:rPr>
        <w:t>Zishan</w:t>
      </w:r>
      <w:proofErr w:type="spellEnd"/>
      <w:r w:rsidRPr="00903D01">
        <w:rPr>
          <w:i/>
        </w:rPr>
        <w:t xml:space="preserve"> Cui</w:t>
      </w:r>
      <w:r w:rsidRPr="00903D01">
        <w:t xml:space="preserve"> </w:t>
      </w:r>
      <w:r>
        <w:t>has no financial or personal relationships with other people or organizations that could inappropriately influence (bias) their work and as such has no conflicts of interest to declare.</w:t>
      </w:r>
    </w:p>
    <w:p w14:paraId="1EC92B0B" w14:textId="77777777" w:rsidR="00E359F0" w:rsidRPr="00903D01" w:rsidRDefault="00E359F0" w:rsidP="00E359F0">
      <w:pPr>
        <w:pStyle w:val="Metadata"/>
        <w:ind w:left="720"/>
        <w:rPr>
          <w:b/>
        </w:rPr>
      </w:pPr>
      <w:r w:rsidRPr="00903D01">
        <w:rPr>
          <w:i/>
        </w:rPr>
        <w:t xml:space="preserve">Clara Wang </w:t>
      </w:r>
      <w:r>
        <w:t>has no financial or personal relationships with other people or organizations that could inappropriately influence (bias) their work and as such has no conflicts of interest to declare.</w:t>
      </w:r>
    </w:p>
    <w:p w14:paraId="26850E0E" w14:textId="77777777" w:rsidR="00E359F0" w:rsidRPr="00903D01" w:rsidRDefault="00E359F0" w:rsidP="00E359F0">
      <w:pPr>
        <w:pStyle w:val="Metadata"/>
        <w:ind w:left="720"/>
      </w:pPr>
      <w:r w:rsidRPr="00903D01">
        <w:rPr>
          <w:i/>
        </w:rPr>
        <w:t xml:space="preserve">Julia Zhu </w:t>
      </w:r>
      <w:r>
        <w:t>has no financial or personal relationships with other people or organizations that could inappropriately influence (bias) their work and as such has no conflicts of interest to declare.</w:t>
      </w:r>
    </w:p>
    <w:p w14:paraId="5978E662" w14:textId="77777777" w:rsidR="00E359F0" w:rsidRPr="00903D01" w:rsidRDefault="00E359F0" w:rsidP="00E359F0">
      <w:pPr>
        <w:pStyle w:val="Metadata"/>
        <w:ind w:left="720"/>
      </w:pPr>
      <w:r w:rsidRPr="00903D01">
        <w:rPr>
          <w:i/>
        </w:rPr>
        <w:t xml:space="preserve">Nathan J. </w:t>
      </w:r>
      <w:proofErr w:type="spellStart"/>
      <w:r w:rsidRPr="00903D01">
        <w:rPr>
          <w:i/>
        </w:rPr>
        <w:t>Lachowsky</w:t>
      </w:r>
      <w:proofErr w:type="spellEnd"/>
      <w:r w:rsidRPr="00903D01">
        <w:rPr>
          <w:i/>
        </w:rPr>
        <w:t xml:space="preserve"> </w:t>
      </w:r>
      <w:r>
        <w:t>has no financial or personal relationships with other people or organizations that could inappropriately influence (bias) their work and as such has no conflicts of interest to declare.</w:t>
      </w:r>
    </w:p>
    <w:p w14:paraId="0E2B1964" w14:textId="77777777" w:rsidR="00E359F0" w:rsidRPr="004B7784" w:rsidRDefault="00E359F0" w:rsidP="00E359F0">
      <w:pPr>
        <w:pStyle w:val="Metadata"/>
        <w:ind w:left="720"/>
      </w:pPr>
      <w:r w:rsidRPr="00903D01">
        <w:rPr>
          <w:i/>
        </w:rPr>
        <w:t xml:space="preserve">David M. Moore </w:t>
      </w:r>
      <w:r>
        <w:t>has no financial or personal relationships with other people or organizations that could inappropriately influence (bias) their work and as such has no conflicts of interest to declare.</w:t>
      </w:r>
    </w:p>
    <w:p w14:paraId="2679D85D" w14:textId="77777777" w:rsidR="00E359F0" w:rsidRPr="00903D01" w:rsidRDefault="00E359F0" w:rsidP="00E359F0">
      <w:pPr>
        <w:pStyle w:val="Metadata"/>
        <w:ind w:left="720"/>
      </w:pPr>
      <w:r w:rsidRPr="00903D01">
        <w:rPr>
          <w:i/>
        </w:rPr>
        <w:t xml:space="preserve">Robert S. Hogg </w:t>
      </w:r>
      <w:r>
        <w:t>has no financial or personal relationships with other people or organizations that could inappropriately influence (bias) their work and as such has no conflicts of interest to declare.</w:t>
      </w:r>
    </w:p>
    <w:p w14:paraId="2B6E22C1" w14:textId="77777777" w:rsidR="00E359F0" w:rsidRPr="004B7784" w:rsidRDefault="00E359F0" w:rsidP="00E359F0">
      <w:pPr>
        <w:pStyle w:val="Metadata"/>
        <w:ind w:left="720"/>
      </w:pPr>
      <w:r w:rsidRPr="00903D01">
        <w:rPr>
          <w:i/>
        </w:rPr>
        <w:t xml:space="preserve">Eric A. Roth </w:t>
      </w:r>
      <w:r>
        <w:t>has no financial or personal relationships with other people or organizations that could inappropriately influence (bias) their work and as such has no conflicts of interest to declare.</w:t>
      </w:r>
    </w:p>
    <w:p w14:paraId="0992BAE8" w14:textId="5D19173E" w:rsidR="00E359F0" w:rsidRDefault="00E359F0">
      <w:pPr>
        <w:spacing w:after="0" w:line="240" w:lineRule="auto"/>
        <w:jc w:val="left"/>
        <w:rPr>
          <w:rFonts w:cs="Times New Roman"/>
          <w:lang w:val="en-CA"/>
        </w:rPr>
      </w:pPr>
    </w:p>
    <w:p w14:paraId="269D91DF" w14:textId="77777777" w:rsidR="00E359F0" w:rsidRDefault="00E359F0">
      <w:pPr>
        <w:spacing w:after="0" w:line="240" w:lineRule="auto"/>
        <w:jc w:val="left"/>
        <w:rPr>
          <w:rFonts w:cs="Times New Roman"/>
          <w:lang w:val="en-CA"/>
        </w:rPr>
      </w:pPr>
    </w:p>
    <w:p w14:paraId="3AA0B3F3" w14:textId="77777777" w:rsidR="00E359F0" w:rsidRDefault="00E359F0" w:rsidP="00E359F0">
      <w:pPr>
        <w:spacing w:after="0"/>
        <w:jc w:val="center"/>
        <w:rPr>
          <w:rFonts w:cs="Times New Roman"/>
          <w:caps/>
          <w:lang w:val="en-CA"/>
        </w:rPr>
      </w:pPr>
      <w:r>
        <w:rPr>
          <w:noProof/>
          <w:lang w:val="en-CA" w:eastAsia="en-CA"/>
        </w:rPr>
        <w:lastRenderedPageBreak/>
        <w:drawing>
          <wp:inline distT="0" distB="0" distL="0" distR="0" wp14:anchorId="5F0A2404" wp14:editId="231487E5">
            <wp:extent cx="5911215" cy="4774019"/>
            <wp:effectExtent l="0" t="0" r="13335" b="7620"/>
            <wp:docPr id="1" name="Chart 1">
              <a:extLst xmlns:a="http://schemas.openxmlformats.org/drawingml/2006/main">
                <a:ext uri="{FF2B5EF4-FFF2-40B4-BE49-F238E27FC236}">
                  <a16:creationId xmlns:a16="http://schemas.microsoft.com/office/drawing/2014/main" id="{DF42AF98-5BB0-4CA7-9E50-1A851F7BDE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5124D7" w14:textId="01E9ED69" w:rsidR="00E359F0" w:rsidRPr="00E359F0" w:rsidRDefault="00E359F0" w:rsidP="00E359F0">
      <w:pPr>
        <w:spacing w:after="160" w:line="259" w:lineRule="auto"/>
        <w:jc w:val="left"/>
        <w:rPr>
          <w:rFonts w:cs="Times New Roman"/>
          <w:lang w:val="en-CA"/>
        </w:rPr>
      </w:pPr>
      <w:r>
        <w:rPr>
          <w:rFonts w:cs="Times New Roman"/>
          <w:lang w:val="en-CA"/>
        </w:rPr>
        <w:t>Figure</w:t>
      </w:r>
      <w:r w:rsidRPr="00430DC8">
        <w:rPr>
          <w:rFonts w:cs="Times New Roman"/>
          <w:lang w:val="en-CA"/>
        </w:rPr>
        <w:t xml:space="preserve"> 1. </w:t>
      </w:r>
      <w:r>
        <w:rPr>
          <w:rFonts w:cs="Times New Roman"/>
          <w:lang w:val="en-CA"/>
        </w:rPr>
        <w:t>Distribution of Participants Across Study Visits, by LTA Class.</w:t>
      </w:r>
    </w:p>
    <w:p w14:paraId="71FF025A" w14:textId="3B381E14" w:rsidR="00E359F0" w:rsidRDefault="00E359F0">
      <w:pPr>
        <w:spacing w:after="0" w:line="240" w:lineRule="auto"/>
        <w:jc w:val="left"/>
      </w:pPr>
      <w:r>
        <w:br w:type="page"/>
      </w:r>
    </w:p>
    <w:p w14:paraId="38CF64F1" w14:textId="77777777" w:rsidR="00E359F0" w:rsidRPr="00430DC8" w:rsidRDefault="00E359F0" w:rsidP="00E359F0">
      <w:pPr>
        <w:spacing w:after="0" w:line="240" w:lineRule="auto"/>
        <w:jc w:val="center"/>
        <w:rPr>
          <w:rFonts w:cs="Times New Roman"/>
          <w:caps/>
          <w:lang w:val="en-CA"/>
        </w:rPr>
      </w:pPr>
      <w:r w:rsidRPr="00430DC8">
        <w:rPr>
          <w:rFonts w:cs="Times New Roman"/>
          <w:lang w:val="en-CA"/>
        </w:rPr>
        <w:lastRenderedPageBreak/>
        <w:t>Table</w:t>
      </w:r>
      <w:r>
        <w:rPr>
          <w:rFonts w:cs="Times New Roman"/>
          <w:lang w:val="en-CA"/>
        </w:rPr>
        <w:t xml:space="preserve"> 1. Prevalence of Substance Use by LTA Class Among 449 Gay, Bisexual and MSM in the Momentum Health Study</w:t>
      </w:r>
    </w:p>
    <w:tbl>
      <w:tblPr>
        <w:tblW w:w="10695" w:type="dxa"/>
        <w:jc w:val="center"/>
        <w:tblLook w:val="04A0" w:firstRow="1" w:lastRow="0" w:firstColumn="1" w:lastColumn="0" w:noHBand="0" w:noVBand="1"/>
      </w:tblPr>
      <w:tblGrid>
        <w:gridCol w:w="2520"/>
        <w:gridCol w:w="1334"/>
        <w:gridCol w:w="1167"/>
        <w:gridCol w:w="1402"/>
        <w:gridCol w:w="1046"/>
        <w:gridCol w:w="1043"/>
        <w:gridCol w:w="1150"/>
        <w:gridCol w:w="1033"/>
      </w:tblGrid>
      <w:tr w:rsidR="00E359F0" w:rsidRPr="003448D3" w14:paraId="4E742544" w14:textId="77777777" w:rsidTr="00401B53">
        <w:trPr>
          <w:trHeight w:val="71"/>
          <w:jc w:val="center"/>
        </w:trPr>
        <w:tc>
          <w:tcPr>
            <w:tcW w:w="2520" w:type="dxa"/>
            <w:tcBorders>
              <w:top w:val="single" w:sz="4" w:space="0" w:color="auto"/>
              <w:left w:val="nil"/>
              <w:right w:val="nil"/>
            </w:tcBorders>
            <w:shd w:val="clear" w:color="auto" w:fill="auto"/>
            <w:noWrap/>
            <w:vAlign w:val="bottom"/>
            <w:hideMark/>
          </w:tcPr>
          <w:p w14:paraId="07603F8E" w14:textId="77777777" w:rsidR="00E359F0" w:rsidRPr="00430DC8" w:rsidRDefault="00E359F0" w:rsidP="00401B53">
            <w:pPr>
              <w:spacing w:after="0" w:line="240" w:lineRule="auto"/>
              <w:jc w:val="left"/>
              <w:rPr>
                <w:rFonts w:eastAsia="Times New Roman" w:cs="Times New Roman"/>
              </w:rPr>
            </w:pPr>
          </w:p>
        </w:tc>
        <w:tc>
          <w:tcPr>
            <w:tcW w:w="1334" w:type="dxa"/>
            <w:tcBorders>
              <w:top w:val="single" w:sz="4" w:space="0" w:color="auto"/>
              <w:left w:val="nil"/>
              <w:right w:val="nil"/>
            </w:tcBorders>
            <w:shd w:val="clear" w:color="auto" w:fill="auto"/>
            <w:noWrap/>
            <w:vAlign w:val="center"/>
            <w:hideMark/>
          </w:tcPr>
          <w:p w14:paraId="1272E170" w14:textId="77777777" w:rsidR="00E359F0" w:rsidRPr="00430DC8" w:rsidRDefault="00E359F0" w:rsidP="00401B53">
            <w:pPr>
              <w:spacing w:after="0" w:line="240" w:lineRule="auto"/>
              <w:jc w:val="center"/>
              <w:rPr>
                <w:rFonts w:eastAsia="Times New Roman" w:cs="Times New Roman"/>
                <w:bCs/>
                <w:color w:val="000000"/>
                <w:sz w:val="22"/>
                <w:szCs w:val="22"/>
              </w:rPr>
            </w:pPr>
            <w:r>
              <w:rPr>
                <w:rFonts w:eastAsia="Times New Roman" w:cs="Times New Roman"/>
                <w:bCs/>
                <w:color w:val="000000"/>
                <w:sz w:val="22"/>
                <w:szCs w:val="22"/>
              </w:rPr>
              <w:t>Baseline</w:t>
            </w:r>
          </w:p>
        </w:tc>
        <w:tc>
          <w:tcPr>
            <w:tcW w:w="1167" w:type="dxa"/>
            <w:tcBorders>
              <w:top w:val="single" w:sz="4" w:space="0" w:color="auto"/>
              <w:left w:val="nil"/>
              <w:right w:val="nil"/>
            </w:tcBorders>
            <w:vAlign w:val="bottom"/>
          </w:tcPr>
          <w:p w14:paraId="5C3F37AA" w14:textId="77777777" w:rsidR="00E359F0" w:rsidRPr="003448D3" w:rsidRDefault="00E359F0" w:rsidP="00401B53">
            <w:pPr>
              <w:spacing w:after="0" w:line="240" w:lineRule="auto"/>
              <w:jc w:val="center"/>
              <w:rPr>
                <w:rFonts w:cs="Times New Roman"/>
                <w:bCs/>
                <w:sz w:val="22"/>
                <w:szCs w:val="22"/>
              </w:rPr>
            </w:pPr>
            <w:r>
              <w:rPr>
                <w:rFonts w:cs="Times New Roman"/>
                <w:bCs/>
                <w:sz w:val="22"/>
                <w:szCs w:val="22"/>
              </w:rPr>
              <w:t>1</w:t>
            </w:r>
          </w:p>
        </w:tc>
        <w:tc>
          <w:tcPr>
            <w:tcW w:w="1402" w:type="dxa"/>
            <w:tcBorders>
              <w:top w:val="single" w:sz="4" w:space="0" w:color="auto"/>
              <w:left w:val="nil"/>
              <w:right w:val="nil"/>
            </w:tcBorders>
            <w:vAlign w:val="bottom"/>
          </w:tcPr>
          <w:p w14:paraId="00475485" w14:textId="77777777" w:rsidR="00E359F0" w:rsidRDefault="00E359F0" w:rsidP="00401B53">
            <w:pPr>
              <w:spacing w:after="0" w:line="240" w:lineRule="auto"/>
              <w:jc w:val="center"/>
              <w:rPr>
                <w:rFonts w:cs="Times New Roman"/>
                <w:bCs/>
                <w:sz w:val="22"/>
                <w:szCs w:val="22"/>
              </w:rPr>
            </w:pPr>
            <w:r>
              <w:rPr>
                <w:rFonts w:cs="Times New Roman"/>
                <w:bCs/>
                <w:sz w:val="22"/>
                <w:szCs w:val="22"/>
              </w:rPr>
              <w:t>2</w:t>
            </w:r>
          </w:p>
        </w:tc>
        <w:tc>
          <w:tcPr>
            <w:tcW w:w="1046" w:type="dxa"/>
            <w:tcBorders>
              <w:top w:val="single" w:sz="4" w:space="0" w:color="auto"/>
              <w:left w:val="nil"/>
              <w:right w:val="nil"/>
            </w:tcBorders>
            <w:vAlign w:val="bottom"/>
          </w:tcPr>
          <w:p w14:paraId="4B822B09" w14:textId="77777777" w:rsidR="00E359F0" w:rsidRDefault="00E359F0" w:rsidP="00401B53">
            <w:pPr>
              <w:spacing w:after="0" w:line="240" w:lineRule="auto"/>
              <w:jc w:val="center"/>
              <w:rPr>
                <w:rFonts w:cs="Times New Roman"/>
                <w:bCs/>
                <w:sz w:val="22"/>
                <w:szCs w:val="22"/>
              </w:rPr>
            </w:pPr>
            <w:r>
              <w:rPr>
                <w:rFonts w:cs="Times New Roman"/>
                <w:bCs/>
                <w:sz w:val="22"/>
                <w:szCs w:val="22"/>
              </w:rPr>
              <w:t>3</w:t>
            </w:r>
          </w:p>
        </w:tc>
        <w:tc>
          <w:tcPr>
            <w:tcW w:w="1043" w:type="dxa"/>
            <w:tcBorders>
              <w:top w:val="single" w:sz="4" w:space="0" w:color="auto"/>
              <w:left w:val="nil"/>
              <w:right w:val="nil"/>
            </w:tcBorders>
            <w:vAlign w:val="bottom"/>
          </w:tcPr>
          <w:p w14:paraId="5BB9E55D" w14:textId="77777777" w:rsidR="00E359F0" w:rsidRDefault="00E359F0" w:rsidP="00401B53">
            <w:pPr>
              <w:spacing w:after="0" w:line="240" w:lineRule="auto"/>
              <w:jc w:val="center"/>
              <w:rPr>
                <w:rFonts w:cs="Times New Roman"/>
                <w:bCs/>
                <w:sz w:val="22"/>
                <w:szCs w:val="22"/>
              </w:rPr>
            </w:pPr>
            <w:r>
              <w:rPr>
                <w:rFonts w:cs="Times New Roman"/>
                <w:bCs/>
                <w:sz w:val="22"/>
                <w:szCs w:val="22"/>
              </w:rPr>
              <w:t>4</w:t>
            </w:r>
          </w:p>
        </w:tc>
        <w:tc>
          <w:tcPr>
            <w:tcW w:w="1150" w:type="dxa"/>
            <w:tcBorders>
              <w:top w:val="single" w:sz="4" w:space="0" w:color="auto"/>
              <w:left w:val="nil"/>
              <w:right w:val="nil"/>
            </w:tcBorders>
            <w:vAlign w:val="bottom"/>
          </w:tcPr>
          <w:p w14:paraId="05A11AFF" w14:textId="77777777" w:rsidR="00E359F0" w:rsidRDefault="00E359F0" w:rsidP="00401B53">
            <w:pPr>
              <w:spacing w:after="0" w:line="240" w:lineRule="auto"/>
              <w:jc w:val="center"/>
              <w:rPr>
                <w:rFonts w:cs="Times New Roman"/>
                <w:bCs/>
                <w:sz w:val="22"/>
                <w:szCs w:val="22"/>
              </w:rPr>
            </w:pPr>
            <w:r>
              <w:rPr>
                <w:rFonts w:cs="Times New Roman"/>
                <w:bCs/>
                <w:sz w:val="22"/>
                <w:szCs w:val="22"/>
              </w:rPr>
              <w:t>5</w:t>
            </w:r>
          </w:p>
        </w:tc>
        <w:tc>
          <w:tcPr>
            <w:tcW w:w="1033" w:type="dxa"/>
            <w:tcBorders>
              <w:top w:val="single" w:sz="4" w:space="0" w:color="auto"/>
              <w:left w:val="nil"/>
              <w:right w:val="nil"/>
            </w:tcBorders>
            <w:vAlign w:val="bottom"/>
          </w:tcPr>
          <w:p w14:paraId="109565EE" w14:textId="77777777" w:rsidR="00E359F0" w:rsidRPr="003448D3" w:rsidRDefault="00E359F0" w:rsidP="00401B53">
            <w:pPr>
              <w:spacing w:after="0" w:line="240" w:lineRule="auto"/>
              <w:jc w:val="center"/>
              <w:rPr>
                <w:rFonts w:cs="Times New Roman"/>
                <w:bCs/>
                <w:sz w:val="22"/>
                <w:szCs w:val="22"/>
              </w:rPr>
            </w:pPr>
            <w:r>
              <w:rPr>
                <w:rFonts w:cs="Times New Roman"/>
                <w:bCs/>
                <w:sz w:val="22"/>
                <w:szCs w:val="22"/>
              </w:rPr>
              <w:t>6</w:t>
            </w:r>
          </w:p>
        </w:tc>
      </w:tr>
      <w:tr w:rsidR="00E359F0" w:rsidRPr="003448D3" w14:paraId="682480AC" w14:textId="77777777" w:rsidTr="00401B53">
        <w:trPr>
          <w:trHeight w:val="495"/>
          <w:jc w:val="center"/>
        </w:trPr>
        <w:tc>
          <w:tcPr>
            <w:tcW w:w="2520" w:type="dxa"/>
            <w:tcBorders>
              <w:left w:val="nil"/>
              <w:right w:val="nil"/>
            </w:tcBorders>
            <w:shd w:val="clear" w:color="auto" w:fill="auto"/>
            <w:noWrap/>
            <w:vAlign w:val="bottom"/>
          </w:tcPr>
          <w:p w14:paraId="58C67852" w14:textId="77777777" w:rsidR="00E359F0" w:rsidRPr="00430DC8" w:rsidRDefault="00E359F0" w:rsidP="00401B53">
            <w:pPr>
              <w:spacing w:after="0" w:line="240" w:lineRule="auto"/>
              <w:jc w:val="left"/>
              <w:rPr>
                <w:rFonts w:eastAsia="Times New Roman" w:cs="Times New Roman"/>
              </w:rPr>
            </w:pPr>
            <w:r>
              <w:rPr>
                <w:rFonts w:eastAsia="Times New Roman" w:cs="Times New Roman"/>
              </w:rPr>
              <w:t>Class Interpretability</w:t>
            </w:r>
          </w:p>
        </w:tc>
        <w:tc>
          <w:tcPr>
            <w:tcW w:w="1334" w:type="dxa"/>
            <w:tcBorders>
              <w:left w:val="nil"/>
              <w:right w:val="nil"/>
            </w:tcBorders>
            <w:shd w:val="clear" w:color="auto" w:fill="auto"/>
            <w:noWrap/>
            <w:vAlign w:val="center"/>
          </w:tcPr>
          <w:p w14:paraId="5102BABA" w14:textId="77777777" w:rsidR="00E359F0" w:rsidRPr="003448D3" w:rsidRDefault="00E359F0" w:rsidP="00401B53">
            <w:pPr>
              <w:spacing w:after="0" w:line="240" w:lineRule="auto"/>
              <w:jc w:val="center"/>
              <w:rPr>
                <w:rFonts w:eastAsia="Times New Roman" w:cs="Times New Roman"/>
                <w:bCs/>
                <w:color w:val="000000"/>
                <w:sz w:val="22"/>
                <w:szCs w:val="22"/>
              </w:rPr>
            </w:pPr>
            <w:r>
              <w:rPr>
                <w:rFonts w:eastAsia="Times New Roman" w:cs="Times New Roman"/>
                <w:bCs/>
                <w:color w:val="000000"/>
                <w:sz w:val="22"/>
                <w:szCs w:val="22"/>
              </w:rPr>
              <w:t>-</w:t>
            </w:r>
          </w:p>
        </w:tc>
        <w:tc>
          <w:tcPr>
            <w:tcW w:w="1167" w:type="dxa"/>
            <w:tcBorders>
              <w:left w:val="nil"/>
              <w:right w:val="nil"/>
            </w:tcBorders>
            <w:vAlign w:val="bottom"/>
          </w:tcPr>
          <w:p w14:paraId="70C262B6"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Limited</w:t>
            </w:r>
          </w:p>
          <w:p w14:paraId="6C51C498" w14:textId="77777777" w:rsidR="00E359F0" w:rsidRDefault="00E359F0" w:rsidP="00401B53">
            <w:pPr>
              <w:spacing w:after="0" w:line="240" w:lineRule="auto"/>
              <w:jc w:val="center"/>
              <w:rPr>
                <w:rFonts w:cs="Times New Roman"/>
                <w:bCs/>
                <w:sz w:val="22"/>
                <w:szCs w:val="22"/>
              </w:rPr>
            </w:pPr>
            <w:r w:rsidRPr="003448D3">
              <w:rPr>
                <w:rFonts w:cs="Times New Roman"/>
                <w:bCs/>
                <w:sz w:val="22"/>
                <w:szCs w:val="22"/>
              </w:rPr>
              <w:t xml:space="preserve">Drug </w:t>
            </w:r>
          </w:p>
          <w:p w14:paraId="17EFEB64"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Use</w:t>
            </w:r>
          </w:p>
        </w:tc>
        <w:tc>
          <w:tcPr>
            <w:tcW w:w="1402" w:type="dxa"/>
            <w:tcBorders>
              <w:left w:val="nil"/>
              <w:right w:val="nil"/>
            </w:tcBorders>
            <w:vAlign w:val="bottom"/>
          </w:tcPr>
          <w:p w14:paraId="6A260BA8"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Conventional</w:t>
            </w:r>
          </w:p>
          <w:p w14:paraId="509A0BF0" w14:textId="77777777" w:rsidR="00E359F0" w:rsidRDefault="00E359F0" w:rsidP="00401B53">
            <w:pPr>
              <w:spacing w:after="0" w:line="240" w:lineRule="auto"/>
              <w:jc w:val="center"/>
              <w:rPr>
                <w:rFonts w:cs="Times New Roman"/>
                <w:bCs/>
                <w:sz w:val="22"/>
                <w:szCs w:val="22"/>
              </w:rPr>
            </w:pPr>
            <w:r w:rsidRPr="003448D3">
              <w:rPr>
                <w:rFonts w:cs="Times New Roman"/>
                <w:bCs/>
                <w:sz w:val="22"/>
                <w:szCs w:val="22"/>
              </w:rPr>
              <w:t xml:space="preserve">Drug </w:t>
            </w:r>
          </w:p>
          <w:p w14:paraId="40C8E335"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Use</w:t>
            </w:r>
          </w:p>
        </w:tc>
        <w:tc>
          <w:tcPr>
            <w:tcW w:w="1046" w:type="dxa"/>
            <w:tcBorders>
              <w:left w:val="nil"/>
              <w:right w:val="nil"/>
            </w:tcBorders>
            <w:vAlign w:val="bottom"/>
          </w:tcPr>
          <w:p w14:paraId="75C14D1B"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 xml:space="preserve">Club </w:t>
            </w:r>
            <w:r w:rsidRPr="003448D3">
              <w:rPr>
                <w:rFonts w:cs="Times New Roman"/>
                <w:bCs/>
                <w:sz w:val="22"/>
                <w:szCs w:val="22"/>
              </w:rPr>
              <w:br/>
              <w:t>Drug Use</w:t>
            </w:r>
          </w:p>
        </w:tc>
        <w:tc>
          <w:tcPr>
            <w:tcW w:w="1043" w:type="dxa"/>
            <w:tcBorders>
              <w:left w:val="nil"/>
              <w:right w:val="nil"/>
            </w:tcBorders>
            <w:vAlign w:val="bottom"/>
          </w:tcPr>
          <w:p w14:paraId="13B7F162"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 xml:space="preserve">Sex </w:t>
            </w:r>
            <w:r w:rsidRPr="003448D3">
              <w:rPr>
                <w:rFonts w:cs="Times New Roman"/>
                <w:bCs/>
                <w:sz w:val="22"/>
                <w:szCs w:val="22"/>
              </w:rPr>
              <w:br/>
              <w:t>Drug Use</w:t>
            </w:r>
          </w:p>
        </w:tc>
        <w:tc>
          <w:tcPr>
            <w:tcW w:w="1150" w:type="dxa"/>
            <w:tcBorders>
              <w:left w:val="nil"/>
              <w:right w:val="nil"/>
            </w:tcBorders>
            <w:vAlign w:val="bottom"/>
          </w:tcPr>
          <w:p w14:paraId="12B3F7B9" w14:textId="77777777" w:rsidR="00E359F0" w:rsidRDefault="00E359F0" w:rsidP="00401B53">
            <w:pPr>
              <w:spacing w:after="0" w:line="240" w:lineRule="auto"/>
              <w:jc w:val="center"/>
              <w:rPr>
                <w:rFonts w:cs="Times New Roman"/>
                <w:bCs/>
                <w:sz w:val="22"/>
                <w:szCs w:val="22"/>
              </w:rPr>
            </w:pPr>
            <w:r w:rsidRPr="003448D3">
              <w:rPr>
                <w:rFonts w:cs="Times New Roman"/>
                <w:bCs/>
                <w:sz w:val="22"/>
                <w:szCs w:val="22"/>
              </w:rPr>
              <w:t xml:space="preserve">Street </w:t>
            </w:r>
            <w:r w:rsidRPr="003448D3">
              <w:rPr>
                <w:rFonts w:cs="Times New Roman"/>
                <w:bCs/>
                <w:sz w:val="22"/>
                <w:szCs w:val="22"/>
              </w:rPr>
              <w:br/>
              <w:t xml:space="preserve">Drug </w:t>
            </w:r>
          </w:p>
          <w:p w14:paraId="1D3333C0"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Use</w:t>
            </w:r>
          </w:p>
        </w:tc>
        <w:tc>
          <w:tcPr>
            <w:tcW w:w="1033" w:type="dxa"/>
            <w:tcBorders>
              <w:left w:val="nil"/>
              <w:right w:val="nil"/>
            </w:tcBorders>
            <w:vAlign w:val="bottom"/>
          </w:tcPr>
          <w:p w14:paraId="5055016D" w14:textId="77777777" w:rsidR="00E359F0" w:rsidRPr="003448D3" w:rsidRDefault="00E359F0" w:rsidP="00401B53">
            <w:pPr>
              <w:spacing w:after="0" w:line="240" w:lineRule="auto"/>
              <w:jc w:val="center"/>
              <w:rPr>
                <w:rFonts w:cs="Times New Roman"/>
                <w:bCs/>
                <w:sz w:val="22"/>
                <w:szCs w:val="22"/>
              </w:rPr>
            </w:pPr>
            <w:r>
              <w:rPr>
                <w:rFonts w:cs="Times New Roman"/>
                <w:bCs/>
                <w:sz w:val="22"/>
                <w:szCs w:val="22"/>
              </w:rPr>
              <w:t>Assorted</w:t>
            </w:r>
            <w:r w:rsidRPr="003448D3">
              <w:rPr>
                <w:rFonts w:cs="Times New Roman"/>
                <w:bCs/>
                <w:sz w:val="22"/>
                <w:szCs w:val="22"/>
              </w:rPr>
              <w:t xml:space="preserve"> </w:t>
            </w:r>
            <w:r w:rsidRPr="003448D3">
              <w:rPr>
                <w:rFonts w:cs="Times New Roman"/>
                <w:bCs/>
                <w:sz w:val="22"/>
                <w:szCs w:val="22"/>
              </w:rPr>
              <w:br/>
              <w:t>Drug Use</w:t>
            </w:r>
          </w:p>
        </w:tc>
      </w:tr>
      <w:tr w:rsidR="00E359F0" w:rsidRPr="003448D3" w14:paraId="52C343A1" w14:textId="77777777" w:rsidTr="00401B53">
        <w:trPr>
          <w:trHeight w:val="80"/>
          <w:jc w:val="center"/>
        </w:trPr>
        <w:tc>
          <w:tcPr>
            <w:tcW w:w="2520" w:type="dxa"/>
            <w:tcBorders>
              <w:top w:val="single" w:sz="4" w:space="0" w:color="auto"/>
              <w:left w:val="nil"/>
              <w:bottom w:val="single" w:sz="4" w:space="0" w:color="auto"/>
              <w:right w:val="nil"/>
            </w:tcBorders>
            <w:shd w:val="clear" w:color="auto" w:fill="auto"/>
            <w:noWrap/>
            <w:vAlign w:val="bottom"/>
          </w:tcPr>
          <w:p w14:paraId="5B692AAA" w14:textId="77777777" w:rsidR="00E359F0" w:rsidRPr="003448D3" w:rsidRDefault="00E359F0" w:rsidP="00401B53">
            <w:pPr>
              <w:spacing w:after="0" w:line="240" w:lineRule="auto"/>
              <w:jc w:val="left"/>
              <w:rPr>
                <w:rFonts w:eastAsia="Times New Roman" w:cs="Times New Roman"/>
              </w:rPr>
            </w:pPr>
          </w:p>
        </w:tc>
        <w:tc>
          <w:tcPr>
            <w:tcW w:w="1334" w:type="dxa"/>
            <w:tcBorders>
              <w:top w:val="single" w:sz="4" w:space="0" w:color="auto"/>
              <w:left w:val="nil"/>
              <w:bottom w:val="single" w:sz="4" w:space="0" w:color="auto"/>
              <w:right w:val="nil"/>
            </w:tcBorders>
            <w:shd w:val="clear" w:color="auto" w:fill="auto"/>
            <w:noWrap/>
            <w:vAlign w:val="center"/>
          </w:tcPr>
          <w:p w14:paraId="6C968FFA" w14:textId="77777777" w:rsidR="00E359F0" w:rsidRPr="003448D3" w:rsidRDefault="00E359F0" w:rsidP="00401B53">
            <w:pPr>
              <w:spacing w:after="0" w:line="240" w:lineRule="auto"/>
              <w:jc w:val="center"/>
              <w:rPr>
                <w:rFonts w:eastAsia="Times New Roman" w:cs="Times New Roman"/>
                <w:bCs/>
                <w:color w:val="000000"/>
                <w:sz w:val="22"/>
                <w:szCs w:val="22"/>
              </w:rPr>
            </w:pPr>
            <w:r w:rsidRPr="00430DC8">
              <w:rPr>
                <w:rFonts w:eastAsia="Times New Roman" w:cs="Times New Roman"/>
                <w:bCs/>
                <w:color w:val="000000"/>
                <w:sz w:val="22"/>
                <w:szCs w:val="22"/>
              </w:rPr>
              <w:t>N</w:t>
            </w:r>
            <w:r w:rsidRPr="003448D3">
              <w:rPr>
                <w:rFonts w:eastAsia="Times New Roman" w:cs="Times New Roman"/>
                <w:bCs/>
                <w:color w:val="000000"/>
                <w:sz w:val="22"/>
                <w:szCs w:val="22"/>
              </w:rPr>
              <w:t xml:space="preserve"> (%)</w:t>
            </w:r>
          </w:p>
        </w:tc>
        <w:tc>
          <w:tcPr>
            <w:tcW w:w="1167" w:type="dxa"/>
            <w:tcBorders>
              <w:top w:val="single" w:sz="4" w:space="0" w:color="auto"/>
              <w:left w:val="nil"/>
              <w:bottom w:val="single" w:sz="4" w:space="0" w:color="auto"/>
              <w:right w:val="nil"/>
            </w:tcBorders>
          </w:tcPr>
          <w:p w14:paraId="671E49F4"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w:t>
            </w:r>
          </w:p>
        </w:tc>
        <w:tc>
          <w:tcPr>
            <w:tcW w:w="1402" w:type="dxa"/>
            <w:tcBorders>
              <w:top w:val="single" w:sz="4" w:space="0" w:color="auto"/>
              <w:left w:val="nil"/>
              <w:bottom w:val="single" w:sz="4" w:space="0" w:color="auto"/>
              <w:right w:val="nil"/>
            </w:tcBorders>
          </w:tcPr>
          <w:p w14:paraId="1007F148"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w:t>
            </w:r>
          </w:p>
        </w:tc>
        <w:tc>
          <w:tcPr>
            <w:tcW w:w="1046" w:type="dxa"/>
            <w:tcBorders>
              <w:top w:val="single" w:sz="4" w:space="0" w:color="auto"/>
              <w:left w:val="nil"/>
              <w:bottom w:val="single" w:sz="4" w:space="0" w:color="auto"/>
              <w:right w:val="nil"/>
            </w:tcBorders>
          </w:tcPr>
          <w:p w14:paraId="1BC01041"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w:t>
            </w:r>
          </w:p>
        </w:tc>
        <w:tc>
          <w:tcPr>
            <w:tcW w:w="1043" w:type="dxa"/>
            <w:tcBorders>
              <w:top w:val="single" w:sz="4" w:space="0" w:color="auto"/>
              <w:left w:val="nil"/>
              <w:bottom w:val="single" w:sz="4" w:space="0" w:color="auto"/>
              <w:right w:val="nil"/>
            </w:tcBorders>
          </w:tcPr>
          <w:p w14:paraId="323C50D3"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w:t>
            </w:r>
          </w:p>
        </w:tc>
        <w:tc>
          <w:tcPr>
            <w:tcW w:w="1150" w:type="dxa"/>
            <w:tcBorders>
              <w:top w:val="single" w:sz="4" w:space="0" w:color="auto"/>
              <w:left w:val="nil"/>
              <w:bottom w:val="single" w:sz="4" w:space="0" w:color="auto"/>
              <w:right w:val="nil"/>
            </w:tcBorders>
            <w:vAlign w:val="bottom"/>
          </w:tcPr>
          <w:p w14:paraId="4EF585DE"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w:t>
            </w:r>
          </w:p>
        </w:tc>
        <w:tc>
          <w:tcPr>
            <w:tcW w:w="1033" w:type="dxa"/>
            <w:tcBorders>
              <w:top w:val="single" w:sz="4" w:space="0" w:color="auto"/>
              <w:left w:val="nil"/>
              <w:bottom w:val="single" w:sz="4" w:space="0" w:color="auto"/>
              <w:right w:val="nil"/>
            </w:tcBorders>
          </w:tcPr>
          <w:p w14:paraId="3C1D7FF9" w14:textId="77777777" w:rsidR="00E359F0" w:rsidRPr="003448D3" w:rsidRDefault="00E359F0" w:rsidP="00401B53">
            <w:pPr>
              <w:spacing w:after="0" w:line="240" w:lineRule="auto"/>
              <w:jc w:val="center"/>
              <w:rPr>
                <w:rFonts w:cs="Times New Roman"/>
                <w:bCs/>
                <w:sz w:val="22"/>
                <w:szCs w:val="22"/>
              </w:rPr>
            </w:pPr>
            <w:r w:rsidRPr="003448D3">
              <w:rPr>
                <w:rFonts w:cs="Times New Roman"/>
                <w:bCs/>
                <w:sz w:val="22"/>
                <w:szCs w:val="22"/>
              </w:rPr>
              <w:t>%</w:t>
            </w:r>
          </w:p>
        </w:tc>
      </w:tr>
      <w:tr w:rsidR="00E359F0" w:rsidRPr="003448D3" w14:paraId="32E22975" w14:textId="77777777" w:rsidTr="00401B53">
        <w:trPr>
          <w:trHeight w:val="47"/>
          <w:jc w:val="center"/>
        </w:trPr>
        <w:tc>
          <w:tcPr>
            <w:tcW w:w="2520" w:type="dxa"/>
            <w:tcBorders>
              <w:top w:val="single" w:sz="4" w:space="0" w:color="auto"/>
              <w:left w:val="nil"/>
              <w:bottom w:val="nil"/>
              <w:right w:val="nil"/>
            </w:tcBorders>
            <w:shd w:val="clear" w:color="auto" w:fill="auto"/>
            <w:noWrap/>
            <w:vAlign w:val="bottom"/>
            <w:hideMark/>
          </w:tcPr>
          <w:p w14:paraId="28065EF7"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Alcohol</w:t>
            </w:r>
          </w:p>
        </w:tc>
        <w:tc>
          <w:tcPr>
            <w:tcW w:w="1334" w:type="dxa"/>
            <w:tcBorders>
              <w:top w:val="single" w:sz="4" w:space="0" w:color="auto"/>
              <w:left w:val="nil"/>
              <w:bottom w:val="nil"/>
              <w:right w:val="nil"/>
            </w:tcBorders>
            <w:shd w:val="clear" w:color="auto" w:fill="auto"/>
            <w:noWrap/>
            <w:vAlign w:val="bottom"/>
            <w:hideMark/>
          </w:tcPr>
          <w:p w14:paraId="1775FDA7"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383 (85.3)</w:t>
            </w:r>
          </w:p>
        </w:tc>
        <w:tc>
          <w:tcPr>
            <w:tcW w:w="1167" w:type="dxa"/>
            <w:tcBorders>
              <w:top w:val="single" w:sz="4" w:space="0" w:color="auto"/>
              <w:left w:val="nil"/>
              <w:bottom w:val="nil"/>
              <w:right w:val="nil"/>
            </w:tcBorders>
            <w:vAlign w:val="bottom"/>
          </w:tcPr>
          <w:p w14:paraId="2490B3EE"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65.9</w:t>
            </w:r>
          </w:p>
        </w:tc>
        <w:tc>
          <w:tcPr>
            <w:tcW w:w="1402" w:type="dxa"/>
            <w:tcBorders>
              <w:top w:val="single" w:sz="4" w:space="0" w:color="auto"/>
              <w:left w:val="nil"/>
              <w:bottom w:val="nil"/>
              <w:right w:val="nil"/>
            </w:tcBorders>
            <w:vAlign w:val="bottom"/>
          </w:tcPr>
          <w:p w14:paraId="5E537725"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99.0</w:t>
            </w:r>
          </w:p>
        </w:tc>
        <w:tc>
          <w:tcPr>
            <w:tcW w:w="1046" w:type="dxa"/>
            <w:tcBorders>
              <w:top w:val="single" w:sz="4" w:space="0" w:color="auto"/>
              <w:left w:val="nil"/>
              <w:bottom w:val="nil"/>
              <w:right w:val="nil"/>
            </w:tcBorders>
            <w:vAlign w:val="bottom"/>
          </w:tcPr>
          <w:p w14:paraId="430E9D6F"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100.0</w:t>
            </w:r>
          </w:p>
        </w:tc>
        <w:tc>
          <w:tcPr>
            <w:tcW w:w="1043" w:type="dxa"/>
            <w:tcBorders>
              <w:top w:val="single" w:sz="4" w:space="0" w:color="auto"/>
              <w:left w:val="nil"/>
              <w:bottom w:val="nil"/>
              <w:right w:val="nil"/>
            </w:tcBorders>
            <w:vAlign w:val="bottom"/>
          </w:tcPr>
          <w:p w14:paraId="22BA80BF"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83.2</w:t>
            </w:r>
          </w:p>
        </w:tc>
        <w:tc>
          <w:tcPr>
            <w:tcW w:w="1150" w:type="dxa"/>
            <w:tcBorders>
              <w:top w:val="single" w:sz="4" w:space="0" w:color="auto"/>
              <w:left w:val="nil"/>
              <w:bottom w:val="nil"/>
              <w:right w:val="nil"/>
            </w:tcBorders>
            <w:vAlign w:val="bottom"/>
          </w:tcPr>
          <w:p w14:paraId="67E9D58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64.4</w:t>
            </w:r>
          </w:p>
        </w:tc>
        <w:tc>
          <w:tcPr>
            <w:tcW w:w="1033" w:type="dxa"/>
            <w:tcBorders>
              <w:top w:val="single" w:sz="4" w:space="0" w:color="auto"/>
              <w:left w:val="nil"/>
              <w:bottom w:val="nil"/>
              <w:right w:val="nil"/>
            </w:tcBorders>
            <w:vAlign w:val="bottom"/>
          </w:tcPr>
          <w:p w14:paraId="10B2B54E"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93.1</w:t>
            </w:r>
          </w:p>
        </w:tc>
      </w:tr>
      <w:tr w:rsidR="00E359F0" w:rsidRPr="003448D3" w14:paraId="0D5DD988"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295D4938" w14:textId="77777777" w:rsidR="00E359F0" w:rsidRPr="00430DC8" w:rsidRDefault="00E359F0" w:rsidP="00401B53">
            <w:pPr>
              <w:spacing w:after="0" w:line="240" w:lineRule="auto"/>
              <w:jc w:val="left"/>
              <w:rPr>
                <w:rFonts w:eastAsia="Times New Roman" w:cs="Times New Roman"/>
                <w:bCs/>
                <w:color w:val="000000"/>
                <w:sz w:val="22"/>
                <w:szCs w:val="22"/>
                <w:vertAlign w:val="superscript"/>
              </w:rPr>
            </w:pPr>
            <w:r w:rsidRPr="00B10941">
              <w:rPr>
                <w:rFonts w:eastAsia="Times New Roman" w:cs="Times New Roman"/>
                <w:bCs/>
                <w:color w:val="000000"/>
                <w:sz w:val="20"/>
                <w:szCs w:val="20"/>
              </w:rPr>
              <w:t>Marijuana</w:t>
            </w:r>
            <w:r>
              <w:rPr>
                <w:rFonts w:eastAsia="Times New Roman" w:cs="Times New Roman"/>
                <w:bCs/>
                <w:color w:val="000000"/>
                <w:sz w:val="20"/>
                <w:szCs w:val="20"/>
                <w:vertAlign w:val="superscript"/>
              </w:rPr>
              <w:t xml:space="preserve"> A</w:t>
            </w:r>
          </w:p>
        </w:tc>
        <w:tc>
          <w:tcPr>
            <w:tcW w:w="1334" w:type="dxa"/>
            <w:tcBorders>
              <w:top w:val="nil"/>
              <w:left w:val="nil"/>
              <w:bottom w:val="nil"/>
              <w:right w:val="nil"/>
            </w:tcBorders>
            <w:shd w:val="clear" w:color="auto" w:fill="auto"/>
            <w:noWrap/>
            <w:vAlign w:val="bottom"/>
            <w:hideMark/>
          </w:tcPr>
          <w:p w14:paraId="7ACEA967"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258 (57.5)</w:t>
            </w:r>
          </w:p>
        </w:tc>
        <w:tc>
          <w:tcPr>
            <w:tcW w:w="1167" w:type="dxa"/>
            <w:tcBorders>
              <w:top w:val="nil"/>
              <w:left w:val="nil"/>
              <w:bottom w:val="nil"/>
              <w:right w:val="nil"/>
            </w:tcBorders>
            <w:vAlign w:val="bottom"/>
          </w:tcPr>
          <w:p w14:paraId="6545E03B"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11.2</w:t>
            </w:r>
          </w:p>
        </w:tc>
        <w:tc>
          <w:tcPr>
            <w:tcW w:w="1402" w:type="dxa"/>
            <w:tcBorders>
              <w:top w:val="nil"/>
              <w:left w:val="nil"/>
              <w:bottom w:val="nil"/>
              <w:right w:val="nil"/>
            </w:tcBorders>
            <w:vAlign w:val="bottom"/>
          </w:tcPr>
          <w:p w14:paraId="44B8358A"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66.1</w:t>
            </w:r>
          </w:p>
        </w:tc>
        <w:tc>
          <w:tcPr>
            <w:tcW w:w="1046" w:type="dxa"/>
            <w:tcBorders>
              <w:top w:val="nil"/>
              <w:left w:val="nil"/>
              <w:bottom w:val="nil"/>
              <w:right w:val="nil"/>
            </w:tcBorders>
            <w:vAlign w:val="bottom"/>
          </w:tcPr>
          <w:p w14:paraId="69EABD81"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85.3</w:t>
            </w:r>
          </w:p>
        </w:tc>
        <w:tc>
          <w:tcPr>
            <w:tcW w:w="1043" w:type="dxa"/>
            <w:tcBorders>
              <w:top w:val="nil"/>
              <w:left w:val="nil"/>
              <w:bottom w:val="nil"/>
              <w:right w:val="nil"/>
            </w:tcBorders>
            <w:vAlign w:val="bottom"/>
          </w:tcPr>
          <w:p w14:paraId="6D74FDEA"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66.1</w:t>
            </w:r>
          </w:p>
        </w:tc>
        <w:tc>
          <w:tcPr>
            <w:tcW w:w="1150" w:type="dxa"/>
            <w:tcBorders>
              <w:top w:val="nil"/>
              <w:left w:val="nil"/>
              <w:bottom w:val="nil"/>
              <w:right w:val="nil"/>
            </w:tcBorders>
            <w:vAlign w:val="bottom"/>
          </w:tcPr>
          <w:p w14:paraId="3C3DE41B"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59.8</w:t>
            </w:r>
          </w:p>
        </w:tc>
        <w:tc>
          <w:tcPr>
            <w:tcW w:w="1033" w:type="dxa"/>
            <w:tcBorders>
              <w:top w:val="nil"/>
              <w:left w:val="nil"/>
              <w:bottom w:val="nil"/>
              <w:right w:val="nil"/>
            </w:tcBorders>
            <w:vAlign w:val="bottom"/>
          </w:tcPr>
          <w:p w14:paraId="2D64C171"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80.7</w:t>
            </w:r>
          </w:p>
        </w:tc>
      </w:tr>
      <w:tr w:rsidR="00E359F0" w:rsidRPr="003448D3" w14:paraId="75D9D94C"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646EE2D6" w14:textId="77777777" w:rsidR="00E359F0" w:rsidRPr="00430DC8" w:rsidRDefault="00E359F0" w:rsidP="00401B53">
            <w:pPr>
              <w:spacing w:after="0" w:line="240" w:lineRule="auto"/>
              <w:jc w:val="left"/>
              <w:rPr>
                <w:rFonts w:eastAsia="Times New Roman" w:cs="Times New Roman"/>
                <w:bCs/>
                <w:color w:val="000000"/>
                <w:sz w:val="22"/>
                <w:szCs w:val="22"/>
                <w:vertAlign w:val="superscript"/>
              </w:rPr>
            </w:pPr>
            <w:r w:rsidRPr="00B10941">
              <w:rPr>
                <w:rFonts w:eastAsia="Times New Roman" w:cs="Times New Roman"/>
                <w:bCs/>
                <w:color w:val="000000"/>
                <w:sz w:val="20"/>
                <w:szCs w:val="20"/>
              </w:rPr>
              <w:t>Tobacco</w:t>
            </w:r>
            <w:r>
              <w:rPr>
                <w:rFonts w:eastAsia="Times New Roman" w:cs="Times New Roman"/>
                <w:bCs/>
                <w:color w:val="000000"/>
                <w:sz w:val="20"/>
                <w:szCs w:val="20"/>
                <w:vertAlign w:val="superscript"/>
              </w:rPr>
              <w:t xml:space="preserve"> B</w:t>
            </w:r>
          </w:p>
        </w:tc>
        <w:tc>
          <w:tcPr>
            <w:tcW w:w="1334" w:type="dxa"/>
            <w:tcBorders>
              <w:top w:val="nil"/>
              <w:left w:val="nil"/>
              <w:bottom w:val="nil"/>
              <w:right w:val="nil"/>
            </w:tcBorders>
            <w:shd w:val="clear" w:color="auto" w:fill="auto"/>
            <w:noWrap/>
            <w:vAlign w:val="bottom"/>
            <w:hideMark/>
          </w:tcPr>
          <w:p w14:paraId="0D0120EF"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168 (37.4)</w:t>
            </w:r>
          </w:p>
        </w:tc>
        <w:tc>
          <w:tcPr>
            <w:tcW w:w="1167" w:type="dxa"/>
            <w:tcBorders>
              <w:top w:val="nil"/>
              <w:left w:val="nil"/>
              <w:bottom w:val="nil"/>
              <w:right w:val="nil"/>
            </w:tcBorders>
            <w:vAlign w:val="bottom"/>
          </w:tcPr>
          <w:p w14:paraId="7F592798"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4.7</w:t>
            </w:r>
          </w:p>
        </w:tc>
        <w:tc>
          <w:tcPr>
            <w:tcW w:w="1402" w:type="dxa"/>
            <w:tcBorders>
              <w:top w:val="nil"/>
              <w:left w:val="nil"/>
              <w:bottom w:val="nil"/>
              <w:right w:val="nil"/>
            </w:tcBorders>
            <w:vAlign w:val="bottom"/>
          </w:tcPr>
          <w:p w14:paraId="1A50E9F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39.1</w:t>
            </w:r>
          </w:p>
        </w:tc>
        <w:tc>
          <w:tcPr>
            <w:tcW w:w="1046" w:type="dxa"/>
            <w:tcBorders>
              <w:top w:val="nil"/>
              <w:left w:val="nil"/>
              <w:bottom w:val="nil"/>
              <w:right w:val="nil"/>
            </w:tcBorders>
            <w:vAlign w:val="bottom"/>
          </w:tcPr>
          <w:p w14:paraId="2D2C19AC"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63.6</w:t>
            </w:r>
          </w:p>
        </w:tc>
        <w:tc>
          <w:tcPr>
            <w:tcW w:w="1043" w:type="dxa"/>
            <w:tcBorders>
              <w:top w:val="nil"/>
              <w:left w:val="nil"/>
              <w:bottom w:val="nil"/>
              <w:right w:val="nil"/>
            </w:tcBorders>
            <w:vAlign w:val="bottom"/>
          </w:tcPr>
          <w:p w14:paraId="0FE1A1C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2.3</w:t>
            </w:r>
          </w:p>
        </w:tc>
        <w:tc>
          <w:tcPr>
            <w:tcW w:w="1150" w:type="dxa"/>
            <w:tcBorders>
              <w:top w:val="nil"/>
              <w:left w:val="nil"/>
              <w:bottom w:val="nil"/>
              <w:right w:val="nil"/>
            </w:tcBorders>
            <w:vAlign w:val="bottom"/>
          </w:tcPr>
          <w:p w14:paraId="5E07C494"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76.8</w:t>
            </w:r>
          </w:p>
        </w:tc>
        <w:tc>
          <w:tcPr>
            <w:tcW w:w="1033" w:type="dxa"/>
            <w:tcBorders>
              <w:top w:val="nil"/>
              <w:left w:val="nil"/>
              <w:bottom w:val="nil"/>
              <w:right w:val="nil"/>
            </w:tcBorders>
            <w:vAlign w:val="bottom"/>
          </w:tcPr>
          <w:p w14:paraId="6B0D3C94"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61.6</w:t>
            </w:r>
          </w:p>
        </w:tc>
      </w:tr>
      <w:tr w:rsidR="00E359F0" w:rsidRPr="003448D3" w14:paraId="66BAB5F3"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4172293A"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Erectile Drugs</w:t>
            </w:r>
          </w:p>
        </w:tc>
        <w:tc>
          <w:tcPr>
            <w:tcW w:w="1334" w:type="dxa"/>
            <w:tcBorders>
              <w:top w:val="nil"/>
              <w:left w:val="nil"/>
              <w:bottom w:val="nil"/>
              <w:right w:val="nil"/>
            </w:tcBorders>
            <w:shd w:val="clear" w:color="auto" w:fill="auto"/>
            <w:noWrap/>
            <w:vAlign w:val="bottom"/>
            <w:hideMark/>
          </w:tcPr>
          <w:p w14:paraId="53A47035"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117 (26.1)</w:t>
            </w:r>
          </w:p>
        </w:tc>
        <w:tc>
          <w:tcPr>
            <w:tcW w:w="1167" w:type="dxa"/>
            <w:tcBorders>
              <w:top w:val="nil"/>
              <w:left w:val="nil"/>
              <w:bottom w:val="nil"/>
              <w:right w:val="nil"/>
            </w:tcBorders>
            <w:vAlign w:val="bottom"/>
          </w:tcPr>
          <w:p w14:paraId="66718ECC"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10.3</w:t>
            </w:r>
          </w:p>
        </w:tc>
        <w:tc>
          <w:tcPr>
            <w:tcW w:w="1402" w:type="dxa"/>
            <w:tcBorders>
              <w:top w:val="nil"/>
              <w:left w:val="nil"/>
              <w:bottom w:val="nil"/>
              <w:right w:val="nil"/>
            </w:tcBorders>
            <w:vAlign w:val="bottom"/>
          </w:tcPr>
          <w:p w14:paraId="2D801761"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0.8</w:t>
            </w:r>
          </w:p>
        </w:tc>
        <w:tc>
          <w:tcPr>
            <w:tcW w:w="1046" w:type="dxa"/>
            <w:tcBorders>
              <w:top w:val="nil"/>
              <w:left w:val="nil"/>
              <w:bottom w:val="nil"/>
              <w:right w:val="nil"/>
            </w:tcBorders>
            <w:vAlign w:val="bottom"/>
          </w:tcPr>
          <w:p w14:paraId="260DB3F7"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13.5</w:t>
            </w:r>
          </w:p>
        </w:tc>
        <w:tc>
          <w:tcPr>
            <w:tcW w:w="1043" w:type="dxa"/>
            <w:tcBorders>
              <w:top w:val="nil"/>
              <w:left w:val="nil"/>
              <w:bottom w:val="nil"/>
              <w:right w:val="nil"/>
            </w:tcBorders>
            <w:vAlign w:val="bottom"/>
          </w:tcPr>
          <w:p w14:paraId="76BDC865"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88.0</w:t>
            </w:r>
          </w:p>
        </w:tc>
        <w:tc>
          <w:tcPr>
            <w:tcW w:w="1150" w:type="dxa"/>
            <w:tcBorders>
              <w:top w:val="nil"/>
              <w:left w:val="nil"/>
              <w:bottom w:val="nil"/>
              <w:right w:val="nil"/>
            </w:tcBorders>
            <w:vAlign w:val="bottom"/>
          </w:tcPr>
          <w:p w14:paraId="69BDB756"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23.8</w:t>
            </w:r>
          </w:p>
        </w:tc>
        <w:tc>
          <w:tcPr>
            <w:tcW w:w="1033" w:type="dxa"/>
            <w:tcBorders>
              <w:top w:val="nil"/>
              <w:left w:val="nil"/>
              <w:bottom w:val="nil"/>
              <w:right w:val="nil"/>
            </w:tcBorders>
            <w:vAlign w:val="bottom"/>
          </w:tcPr>
          <w:p w14:paraId="2E2F46C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70.3</w:t>
            </w:r>
          </w:p>
        </w:tc>
      </w:tr>
      <w:tr w:rsidR="00E359F0" w:rsidRPr="003448D3" w14:paraId="00470E65"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23E328EF"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Poppers</w:t>
            </w:r>
          </w:p>
        </w:tc>
        <w:tc>
          <w:tcPr>
            <w:tcW w:w="1334" w:type="dxa"/>
            <w:tcBorders>
              <w:top w:val="nil"/>
              <w:left w:val="nil"/>
              <w:bottom w:val="nil"/>
              <w:right w:val="nil"/>
            </w:tcBorders>
            <w:shd w:val="clear" w:color="auto" w:fill="auto"/>
            <w:noWrap/>
            <w:vAlign w:val="bottom"/>
            <w:hideMark/>
          </w:tcPr>
          <w:p w14:paraId="5CA623C0"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174 (38.8)</w:t>
            </w:r>
          </w:p>
        </w:tc>
        <w:tc>
          <w:tcPr>
            <w:tcW w:w="1167" w:type="dxa"/>
            <w:tcBorders>
              <w:top w:val="nil"/>
              <w:left w:val="nil"/>
              <w:bottom w:val="nil"/>
              <w:right w:val="nil"/>
            </w:tcBorders>
            <w:vAlign w:val="bottom"/>
          </w:tcPr>
          <w:p w14:paraId="6CB66F2A"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8.9</w:t>
            </w:r>
          </w:p>
        </w:tc>
        <w:tc>
          <w:tcPr>
            <w:tcW w:w="1402" w:type="dxa"/>
            <w:tcBorders>
              <w:top w:val="nil"/>
              <w:left w:val="nil"/>
              <w:bottom w:val="nil"/>
              <w:right w:val="nil"/>
            </w:tcBorders>
            <w:vAlign w:val="bottom"/>
          </w:tcPr>
          <w:p w14:paraId="2DD3861C"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22.3</w:t>
            </w:r>
          </w:p>
        </w:tc>
        <w:tc>
          <w:tcPr>
            <w:tcW w:w="1046" w:type="dxa"/>
            <w:tcBorders>
              <w:top w:val="nil"/>
              <w:left w:val="nil"/>
              <w:bottom w:val="nil"/>
              <w:right w:val="nil"/>
            </w:tcBorders>
            <w:vAlign w:val="bottom"/>
          </w:tcPr>
          <w:p w14:paraId="26CCB0B9"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39.9</w:t>
            </w:r>
          </w:p>
        </w:tc>
        <w:tc>
          <w:tcPr>
            <w:tcW w:w="1043" w:type="dxa"/>
            <w:tcBorders>
              <w:top w:val="nil"/>
              <w:left w:val="nil"/>
              <w:bottom w:val="nil"/>
              <w:right w:val="nil"/>
            </w:tcBorders>
            <w:vAlign w:val="bottom"/>
          </w:tcPr>
          <w:p w14:paraId="15A466C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59.5</w:t>
            </w:r>
          </w:p>
        </w:tc>
        <w:tc>
          <w:tcPr>
            <w:tcW w:w="1150" w:type="dxa"/>
            <w:tcBorders>
              <w:top w:val="nil"/>
              <w:left w:val="nil"/>
              <w:bottom w:val="nil"/>
              <w:right w:val="nil"/>
            </w:tcBorders>
            <w:vAlign w:val="bottom"/>
          </w:tcPr>
          <w:p w14:paraId="5F0885C9"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28.9</w:t>
            </w:r>
          </w:p>
        </w:tc>
        <w:tc>
          <w:tcPr>
            <w:tcW w:w="1033" w:type="dxa"/>
            <w:tcBorders>
              <w:top w:val="nil"/>
              <w:left w:val="nil"/>
              <w:bottom w:val="nil"/>
              <w:right w:val="nil"/>
            </w:tcBorders>
            <w:vAlign w:val="bottom"/>
          </w:tcPr>
          <w:p w14:paraId="65015C84"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75.3</w:t>
            </w:r>
          </w:p>
        </w:tc>
      </w:tr>
      <w:tr w:rsidR="00E359F0" w:rsidRPr="003448D3" w14:paraId="12681A42"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40FFF562"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Crack</w:t>
            </w:r>
          </w:p>
        </w:tc>
        <w:tc>
          <w:tcPr>
            <w:tcW w:w="1334" w:type="dxa"/>
            <w:tcBorders>
              <w:top w:val="nil"/>
              <w:left w:val="nil"/>
              <w:bottom w:val="nil"/>
              <w:right w:val="nil"/>
            </w:tcBorders>
            <w:shd w:val="clear" w:color="auto" w:fill="auto"/>
            <w:noWrap/>
            <w:vAlign w:val="bottom"/>
            <w:hideMark/>
          </w:tcPr>
          <w:p w14:paraId="36758F63"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31 (6.9)</w:t>
            </w:r>
          </w:p>
        </w:tc>
        <w:tc>
          <w:tcPr>
            <w:tcW w:w="1167" w:type="dxa"/>
            <w:tcBorders>
              <w:top w:val="nil"/>
              <w:left w:val="nil"/>
              <w:bottom w:val="nil"/>
              <w:right w:val="nil"/>
            </w:tcBorders>
            <w:vAlign w:val="bottom"/>
          </w:tcPr>
          <w:p w14:paraId="570AA892"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0.2</w:t>
            </w:r>
          </w:p>
        </w:tc>
        <w:tc>
          <w:tcPr>
            <w:tcW w:w="1402" w:type="dxa"/>
            <w:tcBorders>
              <w:top w:val="nil"/>
              <w:left w:val="nil"/>
              <w:bottom w:val="nil"/>
              <w:right w:val="nil"/>
            </w:tcBorders>
            <w:vAlign w:val="bottom"/>
          </w:tcPr>
          <w:p w14:paraId="4EF1E08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46" w:type="dxa"/>
            <w:tcBorders>
              <w:top w:val="nil"/>
              <w:left w:val="nil"/>
              <w:bottom w:val="nil"/>
              <w:right w:val="nil"/>
            </w:tcBorders>
            <w:vAlign w:val="bottom"/>
          </w:tcPr>
          <w:p w14:paraId="30405033"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43" w:type="dxa"/>
            <w:tcBorders>
              <w:top w:val="nil"/>
              <w:left w:val="nil"/>
              <w:bottom w:val="nil"/>
              <w:right w:val="nil"/>
            </w:tcBorders>
            <w:vAlign w:val="bottom"/>
          </w:tcPr>
          <w:p w14:paraId="2E51793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150" w:type="dxa"/>
            <w:tcBorders>
              <w:top w:val="nil"/>
              <w:left w:val="nil"/>
              <w:bottom w:val="nil"/>
              <w:right w:val="nil"/>
            </w:tcBorders>
            <w:vAlign w:val="bottom"/>
          </w:tcPr>
          <w:p w14:paraId="06A4E24B"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20.7</w:t>
            </w:r>
          </w:p>
        </w:tc>
        <w:tc>
          <w:tcPr>
            <w:tcW w:w="1033" w:type="dxa"/>
            <w:tcBorders>
              <w:top w:val="nil"/>
              <w:left w:val="nil"/>
              <w:bottom w:val="nil"/>
              <w:right w:val="nil"/>
            </w:tcBorders>
            <w:vAlign w:val="bottom"/>
          </w:tcPr>
          <w:p w14:paraId="7E8A1582"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20.6</w:t>
            </w:r>
          </w:p>
        </w:tc>
      </w:tr>
      <w:tr w:rsidR="00E359F0" w:rsidRPr="003448D3" w14:paraId="026FFBFB" w14:textId="77777777" w:rsidTr="00401B53">
        <w:trPr>
          <w:trHeight w:val="72"/>
          <w:jc w:val="center"/>
        </w:trPr>
        <w:tc>
          <w:tcPr>
            <w:tcW w:w="2520" w:type="dxa"/>
            <w:tcBorders>
              <w:top w:val="nil"/>
              <w:left w:val="nil"/>
              <w:bottom w:val="nil"/>
              <w:right w:val="nil"/>
            </w:tcBorders>
            <w:shd w:val="clear" w:color="auto" w:fill="auto"/>
            <w:noWrap/>
            <w:vAlign w:val="bottom"/>
            <w:hideMark/>
          </w:tcPr>
          <w:p w14:paraId="3EC41D89"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Cocaine</w:t>
            </w:r>
          </w:p>
        </w:tc>
        <w:tc>
          <w:tcPr>
            <w:tcW w:w="1334" w:type="dxa"/>
            <w:tcBorders>
              <w:top w:val="nil"/>
              <w:left w:val="nil"/>
              <w:bottom w:val="nil"/>
              <w:right w:val="nil"/>
            </w:tcBorders>
            <w:shd w:val="clear" w:color="auto" w:fill="auto"/>
            <w:noWrap/>
            <w:vAlign w:val="bottom"/>
            <w:hideMark/>
          </w:tcPr>
          <w:p w14:paraId="04ADD628"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107 (23.8)</w:t>
            </w:r>
          </w:p>
        </w:tc>
        <w:tc>
          <w:tcPr>
            <w:tcW w:w="1167" w:type="dxa"/>
            <w:tcBorders>
              <w:top w:val="nil"/>
              <w:left w:val="nil"/>
              <w:bottom w:val="nil"/>
              <w:right w:val="nil"/>
            </w:tcBorders>
            <w:vAlign w:val="bottom"/>
          </w:tcPr>
          <w:p w14:paraId="1BFD77A7"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402" w:type="dxa"/>
            <w:tcBorders>
              <w:top w:val="nil"/>
              <w:left w:val="nil"/>
              <w:bottom w:val="nil"/>
              <w:right w:val="nil"/>
            </w:tcBorders>
            <w:vAlign w:val="bottom"/>
          </w:tcPr>
          <w:p w14:paraId="65E40135"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9.1</w:t>
            </w:r>
          </w:p>
        </w:tc>
        <w:tc>
          <w:tcPr>
            <w:tcW w:w="1046" w:type="dxa"/>
            <w:tcBorders>
              <w:top w:val="nil"/>
              <w:left w:val="nil"/>
              <w:bottom w:val="nil"/>
              <w:right w:val="nil"/>
            </w:tcBorders>
            <w:vAlign w:val="bottom"/>
          </w:tcPr>
          <w:p w14:paraId="770F294A"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63.5</w:t>
            </w:r>
          </w:p>
        </w:tc>
        <w:tc>
          <w:tcPr>
            <w:tcW w:w="1043" w:type="dxa"/>
            <w:tcBorders>
              <w:top w:val="nil"/>
              <w:left w:val="nil"/>
              <w:bottom w:val="nil"/>
              <w:right w:val="nil"/>
            </w:tcBorders>
            <w:vAlign w:val="bottom"/>
          </w:tcPr>
          <w:p w14:paraId="1BAFF053"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2.4</w:t>
            </w:r>
          </w:p>
        </w:tc>
        <w:tc>
          <w:tcPr>
            <w:tcW w:w="1150" w:type="dxa"/>
            <w:tcBorders>
              <w:top w:val="nil"/>
              <w:left w:val="nil"/>
              <w:bottom w:val="nil"/>
              <w:right w:val="nil"/>
            </w:tcBorders>
            <w:vAlign w:val="bottom"/>
          </w:tcPr>
          <w:p w14:paraId="47A35E1E"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20.5</w:t>
            </w:r>
          </w:p>
        </w:tc>
        <w:tc>
          <w:tcPr>
            <w:tcW w:w="1033" w:type="dxa"/>
            <w:tcBorders>
              <w:top w:val="nil"/>
              <w:left w:val="nil"/>
              <w:bottom w:val="nil"/>
              <w:right w:val="nil"/>
            </w:tcBorders>
            <w:vAlign w:val="bottom"/>
          </w:tcPr>
          <w:p w14:paraId="615E870E"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60.4</w:t>
            </w:r>
          </w:p>
        </w:tc>
      </w:tr>
      <w:tr w:rsidR="00E359F0" w:rsidRPr="003448D3" w14:paraId="765D04A8"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1D228222" w14:textId="77777777" w:rsidR="00E359F0" w:rsidRPr="00430DC8" w:rsidRDefault="00E359F0" w:rsidP="00401B53">
            <w:pPr>
              <w:spacing w:after="0" w:line="240" w:lineRule="auto"/>
              <w:jc w:val="left"/>
              <w:rPr>
                <w:rFonts w:eastAsia="Times New Roman" w:cs="Times New Roman"/>
                <w:bCs/>
                <w:color w:val="000000"/>
                <w:sz w:val="22"/>
                <w:szCs w:val="22"/>
              </w:rPr>
            </w:pPr>
            <w:r>
              <w:rPr>
                <w:rFonts w:eastAsia="Times New Roman" w:cs="Times New Roman"/>
                <w:bCs/>
                <w:color w:val="000000"/>
                <w:sz w:val="20"/>
                <w:szCs w:val="20"/>
              </w:rPr>
              <w:t>Crystal Methamphetamine</w:t>
            </w:r>
          </w:p>
        </w:tc>
        <w:tc>
          <w:tcPr>
            <w:tcW w:w="1334" w:type="dxa"/>
            <w:tcBorders>
              <w:top w:val="nil"/>
              <w:left w:val="nil"/>
              <w:bottom w:val="nil"/>
              <w:right w:val="nil"/>
            </w:tcBorders>
            <w:shd w:val="clear" w:color="auto" w:fill="auto"/>
            <w:noWrap/>
            <w:vAlign w:val="bottom"/>
            <w:hideMark/>
          </w:tcPr>
          <w:p w14:paraId="4FE723CD"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78 (17.4)</w:t>
            </w:r>
          </w:p>
        </w:tc>
        <w:tc>
          <w:tcPr>
            <w:tcW w:w="1167" w:type="dxa"/>
            <w:tcBorders>
              <w:top w:val="nil"/>
              <w:left w:val="nil"/>
              <w:bottom w:val="nil"/>
              <w:right w:val="nil"/>
            </w:tcBorders>
            <w:vAlign w:val="bottom"/>
          </w:tcPr>
          <w:p w14:paraId="71554AF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0.5</w:t>
            </w:r>
          </w:p>
        </w:tc>
        <w:tc>
          <w:tcPr>
            <w:tcW w:w="1402" w:type="dxa"/>
            <w:tcBorders>
              <w:top w:val="nil"/>
              <w:left w:val="nil"/>
              <w:bottom w:val="nil"/>
              <w:right w:val="nil"/>
            </w:tcBorders>
            <w:vAlign w:val="bottom"/>
          </w:tcPr>
          <w:p w14:paraId="702990E3"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0.3</w:t>
            </w:r>
          </w:p>
        </w:tc>
        <w:tc>
          <w:tcPr>
            <w:tcW w:w="1046" w:type="dxa"/>
            <w:tcBorders>
              <w:top w:val="nil"/>
              <w:left w:val="nil"/>
              <w:bottom w:val="nil"/>
              <w:right w:val="nil"/>
            </w:tcBorders>
            <w:vAlign w:val="bottom"/>
          </w:tcPr>
          <w:p w14:paraId="05A84649"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5.1</w:t>
            </w:r>
          </w:p>
        </w:tc>
        <w:tc>
          <w:tcPr>
            <w:tcW w:w="1043" w:type="dxa"/>
            <w:tcBorders>
              <w:top w:val="nil"/>
              <w:left w:val="nil"/>
              <w:bottom w:val="nil"/>
              <w:right w:val="nil"/>
            </w:tcBorders>
            <w:vAlign w:val="bottom"/>
          </w:tcPr>
          <w:p w14:paraId="239D0EB3"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18.7</w:t>
            </w:r>
          </w:p>
        </w:tc>
        <w:tc>
          <w:tcPr>
            <w:tcW w:w="1150" w:type="dxa"/>
            <w:tcBorders>
              <w:top w:val="nil"/>
              <w:left w:val="nil"/>
              <w:bottom w:val="nil"/>
              <w:right w:val="nil"/>
            </w:tcBorders>
            <w:vAlign w:val="bottom"/>
          </w:tcPr>
          <w:p w14:paraId="5B49BAF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29.4</w:t>
            </w:r>
          </w:p>
        </w:tc>
        <w:tc>
          <w:tcPr>
            <w:tcW w:w="1033" w:type="dxa"/>
            <w:tcBorders>
              <w:top w:val="nil"/>
              <w:left w:val="nil"/>
              <w:bottom w:val="nil"/>
              <w:right w:val="nil"/>
            </w:tcBorders>
            <w:vAlign w:val="bottom"/>
          </w:tcPr>
          <w:p w14:paraId="3697BDE7"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79.1</w:t>
            </w:r>
          </w:p>
        </w:tc>
      </w:tr>
      <w:tr w:rsidR="00E359F0" w:rsidRPr="003448D3" w14:paraId="34F7AA0C" w14:textId="77777777" w:rsidTr="00401B53">
        <w:trPr>
          <w:trHeight w:val="90"/>
          <w:jc w:val="center"/>
        </w:trPr>
        <w:tc>
          <w:tcPr>
            <w:tcW w:w="2520" w:type="dxa"/>
            <w:tcBorders>
              <w:top w:val="nil"/>
              <w:left w:val="nil"/>
              <w:bottom w:val="nil"/>
              <w:right w:val="nil"/>
            </w:tcBorders>
            <w:shd w:val="clear" w:color="auto" w:fill="auto"/>
            <w:noWrap/>
            <w:vAlign w:val="bottom"/>
            <w:hideMark/>
          </w:tcPr>
          <w:p w14:paraId="698894A5" w14:textId="77777777" w:rsidR="00E359F0" w:rsidRPr="00430DC8" w:rsidRDefault="00E359F0" w:rsidP="00401B53">
            <w:pPr>
              <w:spacing w:after="0" w:line="240" w:lineRule="auto"/>
              <w:jc w:val="left"/>
              <w:rPr>
                <w:rFonts w:eastAsia="Times New Roman" w:cs="Times New Roman"/>
                <w:bCs/>
                <w:color w:val="000000"/>
                <w:sz w:val="22"/>
                <w:szCs w:val="22"/>
              </w:rPr>
            </w:pPr>
            <w:r>
              <w:rPr>
                <w:rFonts w:eastAsia="Times New Roman" w:cs="Times New Roman"/>
                <w:bCs/>
                <w:color w:val="000000"/>
                <w:sz w:val="20"/>
                <w:szCs w:val="20"/>
              </w:rPr>
              <w:t xml:space="preserve">Speed </w:t>
            </w:r>
          </w:p>
        </w:tc>
        <w:tc>
          <w:tcPr>
            <w:tcW w:w="1334" w:type="dxa"/>
            <w:tcBorders>
              <w:top w:val="nil"/>
              <w:left w:val="nil"/>
              <w:bottom w:val="nil"/>
              <w:right w:val="nil"/>
            </w:tcBorders>
            <w:shd w:val="clear" w:color="auto" w:fill="auto"/>
            <w:noWrap/>
            <w:vAlign w:val="bottom"/>
            <w:hideMark/>
          </w:tcPr>
          <w:p w14:paraId="37BB6245"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16 (3.6)</w:t>
            </w:r>
          </w:p>
        </w:tc>
        <w:tc>
          <w:tcPr>
            <w:tcW w:w="1167" w:type="dxa"/>
            <w:tcBorders>
              <w:top w:val="nil"/>
              <w:left w:val="nil"/>
              <w:bottom w:val="nil"/>
              <w:right w:val="nil"/>
            </w:tcBorders>
            <w:vAlign w:val="bottom"/>
          </w:tcPr>
          <w:p w14:paraId="2AB5D339"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0.1</w:t>
            </w:r>
          </w:p>
        </w:tc>
        <w:tc>
          <w:tcPr>
            <w:tcW w:w="1402" w:type="dxa"/>
            <w:tcBorders>
              <w:top w:val="nil"/>
              <w:left w:val="nil"/>
              <w:bottom w:val="nil"/>
              <w:right w:val="nil"/>
            </w:tcBorders>
            <w:vAlign w:val="bottom"/>
          </w:tcPr>
          <w:p w14:paraId="1C75099A"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46" w:type="dxa"/>
            <w:tcBorders>
              <w:top w:val="nil"/>
              <w:left w:val="nil"/>
              <w:bottom w:val="nil"/>
              <w:right w:val="nil"/>
            </w:tcBorders>
            <w:vAlign w:val="bottom"/>
          </w:tcPr>
          <w:p w14:paraId="50FE0EE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7.2</w:t>
            </w:r>
          </w:p>
        </w:tc>
        <w:tc>
          <w:tcPr>
            <w:tcW w:w="1043" w:type="dxa"/>
            <w:tcBorders>
              <w:top w:val="nil"/>
              <w:left w:val="nil"/>
              <w:bottom w:val="nil"/>
              <w:right w:val="nil"/>
            </w:tcBorders>
            <w:vAlign w:val="bottom"/>
          </w:tcPr>
          <w:p w14:paraId="3D8E38A4"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150" w:type="dxa"/>
            <w:tcBorders>
              <w:top w:val="nil"/>
              <w:left w:val="nil"/>
              <w:bottom w:val="nil"/>
              <w:right w:val="nil"/>
            </w:tcBorders>
            <w:vAlign w:val="bottom"/>
          </w:tcPr>
          <w:p w14:paraId="141FB011"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3.5</w:t>
            </w:r>
          </w:p>
        </w:tc>
        <w:tc>
          <w:tcPr>
            <w:tcW w:w="1033" w:type="dxa"/>
            <w:tcBorders>
              <w:top w:val="nil"/>
              <w:left w:val="nil"/>
              <w:bottom w:val="nil"/>
              <w:right w:val="nil"/>
            </w:tcBorders>
            <w:vAlign w:val="bottom"/>
          </w:tcPr>
          <w:p w14:paraId="1EB23067" w14:textId="77777777" w:rsidR="00E359F0" w:rsidRPr="00E97F4C" w:rsidRDefault="00E359F0" w:rsidP="00401B53">
            <w:pPr>
              <w:spacing w:after="0" w:line="240" w:lineRule="auto"/>
              <w:jc w:val="center"/>
              <w:rPr>
                <w:rFonts w:cs="Times New Roman"/>
                <w:b/>
                <w:sz w:val="22"/>
                <w:szCs w:val="22"/>
              </w:rPr>
            </w:pPr>
            <w:r w:rsidRPr="00E97F4C">
              <w:rPr>
                <w:rFonts w:cs="Times New Roman"/>
                <w:bCs/>
                <w:sz w:val="22"/>
                <w:szCs w:val="22"/>
              </w:rPr>
              <w:t>11.3</w:t>
            </w:r>
          </w:p>
        </w:tc>
      </w:tr>
      <w:tr w:rsidR="00E359F0" w:rsidRPr="003448D3" w14:paraId="4B1DD565"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1C4364E7" w14:textId="77777777" w:rsidR="00E359F0" w:rsidRPr="00430DC8" w:rsidRDefault="00E359F0" w:rsidP="00401B53">
            <w:pPr>
              <w:spacing w:after="0" w:line="240" w:lineRule="auto"/>
              <w:jc w:val="left"/>
              <w:rPr>
                <w:rFonts w:eastAsia="Times New Roman" w:cs="Times New Roman"/>
                <w:bCs/>
                <w:color w:val="000000"/>
                <w:sz w:val="22"/>
                <w:szCs w:val="22"/>
              </w:rPr>
            </w:pPr>
            <w:r w:rsidRPr="00DC2FA0">
              <w:rPr>
                <w:rFonts w:eastAsia="Times New Roman" w:cs="Times New Roman"/>
                <w:bCs/>
                <w:color w:val="000000"/>
                <w:sz w:val="20"/>
                <w:szCs w:val="20"/>
              </w:rPr>
              <w:t>γ-Hydroxybutyric acid</w:t>
            </w:r>
          </w:p>
        </w:tc>
        <w:tc>
          <w:tcPr>
            <w:tcW w:w="1334" w:type="dxa"/>
            <w:tcBorders>
              <w:top w:val="nil"/>
              <w:left w:val="nil"/>
              <w:bottom w:val="nil"/>
              <w:right w:val="nil"/>
            </w:tcBorders>
            <w:shd w:val="clear" w:color="auto" w:fill="auto"/>
            <w:noWrap/>
            <w:vAlign w:val="bottom"/>
            <w:hideMark/>
          </w:tcPr>
          <w:p w14:paraId="6082C3E3"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81 (18.0)</w:t>
            </w:r>
          </w:p>
        </w:tc>
        <w:tc>
          <w:tcPr>
            <w:tcW w:w="1167" w:type="dxa"/>
            <w:tcBorders>
              <w:top w:val="nil"/>
              <w:left w:val="nil"/>
              <w:bottom w:val="nil"/>
              <w:right w:val="nil"/>
            </w:tcBorders>
            <w:vAlign w:val="bottom"/>
          </w:tcPr>
          <w:p w14:paraId="13A1D0BB"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402" w:type="dxa"/>
            <w:tcBorders>
              <w:top w:val="nil"/>
              <w:left w:val="nil"/>
              <w:bottom w:val="nil"/>
              <w:right w:val="nil"/>
            </w:tcBorders>
            <w:vAlign w:val="bottom"/>
          </w:tcPr>
          <w:p w14:paraId="41D153A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0.6</w:t>
            </w:r>
          </w:p>
        </w:tc>
        <w:tc>
          <w:tcPr>
            <w:tcW w:w="1046" w:type="dxa"/>
            <w:tcBorders>
              <w:top w:val="nil"/>
              <w:left w:val="nil"/>
              <w:bottom w:val="nil"/>
              <w:right w:val="nil"/>
            </w:tcBorders>
            <w:vAlign w:val="bottom"/>
          </w:tcPr>
          <w:p w14:paraId="1683E11A"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15.0</w:t>
            </w:r>
          </w:p>
        </w:tc>
        <w:tc>
          <w:tcPr>
            <w:tcW w:w="1043" w:type="dxa"/>
            <w:tcBorders>
              <w:top w:val="nil"/>
              <w:left w:val="nil"/>
              <w:bottom w:val="nil"/>
              <w:right w:val="nil"/>
            </w:tcBorders>
            <w:vAlign w:val="bottom"/>
          </w:tcPr>
          <w:p w14:paraId="5C5F6056"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14.4</w:t>
            </w:r>
          </w:p>
        </w:tc>
        <w:tc>
          <w:tcPr>
            <w:tcW w:w="1150" w:type="dxa"/>
            <w:tcBorders>
              <w:top w:val="nil"/>
              <w:left w:val="nil"/>
              <w:bottom w:val="nil"/>
              <w:right w:val="nil"/>
            </w:tcBorders>
            <w:vAlign w:val="bottom"/>
          </w:tcPr>
          <w:p w14:paraId="51FF9E6E"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6.2</w:t>
            </w:r>
          </w:p>
        </w:tc>
        <w:tc>
          <w:tcPr>
            <w:tcW w:w="1033" w:type="dxa"/>
            <w:tcBorders>
              <w:top w:val="nil"/>
              <w:left w:val="nil"/>
              <w:bottom w:val="nil"/>
              <w:right w:val="nil"/>
            </w:tcBorders>
            <w:vAlign w:val="bottom"/>
          </w:tcPr>
          <w:p w14:paraId="566DBDF9"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87.2</w:t>
            </w:r>
          </w:p>
        </w:tc>
      </w:tr>
      <w:tr w:rsidR="00E359F0" w:rsidRPr="003448D3" w14:paraId="7671FE18"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529058A9"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Benzodiazepine</w:t>
            </w:r>
          </w:p>
        </w:tc>
        <w:tc>
          <w:tcPr>
            <w:tcW w:w="1334" w:type="dxa"/>
            <w:tcBorders>
              <w:top w:val="nil"/>
              <w:left w:val="nil"/>
              <w:bottom w:val="nil"/>
              <w:right w:val="nil"/>
            </w:tcBorders>
            <w:shd w:val="clear" w:color="auto" w:fill="auto"/>
            <w:noWrap/>
            <w:vAlign w:val="bottom"/>
            <w:hideMark/>
          </w:tcPr>
          <w:p w14:paraId="06A6247D"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18 (4.0)</w:t>
            </w:r>
          </w:p>
        </w:tc>
        <w:tc>
          <w:tcPr>
            <w:tcW w:w="1167" w:type="dxa"/>
            <w:tcBorders>
              <w:top w:val="nil"/>
              <w:left w:val="nil"/>
              <w:bottom w:val="nil"/>
              <w:right w:val="nil"/>
            </w:tcBorders>
            <w:vAlign w:val="bottom"/>
          </w:tcPr>
          <w:p w14:paraId="2ED281C3"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0.4</w:t>
            </w:r>
          </w:p>
        </w:tc>
        <w:tc>
          <w:tcPr>
            <w:tcW w:w="1402" w:type="dxa"/>
            <w:tcBorders>
              <w:top w:val="nil"/>
              <w:left w:val="nil"/>
              <w:bottom w:val="nil"/>
              <w:right w:val="nil"/>
            </w:tcBorders>
            <w:vAlign w:val="bottom"/>
          </w:tcPr>
          <w:p w14:paraId="5CC8F213"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46" w:type="dxa"/>
            <w:tcBorders>
              <w:top w:val="nil"/>
              <w:left w:val="nil"/>
              <w:bottom w:val="nil"/>
              <w:right w:val="nil"/>
            </w:tcBorders>
            <w:vAlign w:val="bottom"/>
          </w:tcPr>
          <w:p w14:paraId="23FBB3B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5.2</w:t>
            </w:r>
          </w:p>
        </w:tc>
        <w:tc>
          <w:tcPr>
            <w:tcW w:w="1043" w:type="dxa"/>
            <w:tcBorders>
              <w:top w:val="nil"/>
              <w:left w:val="nil"/>
              <w:bottom w:val="nil"/>
              <w:right w:val="nil"/>
            </w:tcBorders>
            <w:vAlign w:val="bottom"/>
          </w:tcPr>
          <w:p w14:paraId="0A2B6EF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3.0</w:t>
            </w:r>
          </w:p>
        </w:tc>
        <w:tc>
          <w:tcPr>
            <w:tcW w:w="1150" w:type="dxa"/>
            <w:tcBorders>
              <w:top w:val="nil"/>
              <w:left w:val="nil"/>
              <w:bottom w:val="nil"/>
              <w:right w:val="nil"/>
            </w:tcBorders>
            <w:vAlign w:val="bottom"/>
          </w:tcPr>
          <w:p w14:paraId="3F4DE07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9.1</w:t>
            </w:r>
          </w:p>
        </w:tc>
        <w:tc>
          <w:tcPr>
            <w:tcW w:w="1033" w:type="dxa"/>
            <w:tcBorders>
              <w:top w:val="nil"/>
              <w:left w:val="nil"/>
              <w:bottom w:val="nil"/>
              <w:right w:val="nil"/>
            </w:tcBorders>
            <w:vAlign w:val="bottom"/>
          </w:tcPr>
          <w:p w14:paraId="29A9E990"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16.0</w:t>
            </w:r>
          </w:p>
        </w:tc>
      </w:tr>
      <w:tr w:rsidR="00E359F0" w:rsidRPr="003448D3" w14:paraId="74FF5B52"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0E2DD52F"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Ecstasy</w:t>
            </w:r>
          </w:p>
        </w:tc>
        <w:tc>
          <w:tcPr>
            <w:tcW w:w="1334" w:type="dxa"/>
            <w:tcBorders>
              <w:top w:val="nil"/>
              <w:left w:val="nil"/>
              <w:bottom w:val="nil"/>
              <w:right w:val="nil"/>
            </w:tcBorders>
            <w:shd w:val="clear" w:color="auto" w:fill="auto"/>
            <w:noWrap/>
            <w:vAlign w:val="bottom"/>
            <w:hideMark/>
          </w:tcPr>
          <w:p w14:paraId="0F58264C"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104 (23.2)</w:t>
            </w:r>
          </w:p>
        </w:tc>
        <w:tc>
          <w:tcPr>
            <w:tcW w:w="1167" w:type="dxa"/>
            <w:tcBorders>
              <w:top w:val="nil"/>
              <w:left w:val="nil"/>
              <w:bottom w:val="nil"/>
              <w:right w:val="nil"/>
            </w:tcBorders>
            <w:vAlign w:val="bottom"/>
          </w:tcPr>
          <w:p w14:paraId="43C1EA41"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0.3</w:t>
            </w:r>
          </w:p>
        </w:tc>
        <w:tc>
          <w:tcPr>
            <w:tcW w:w="1402" w:type="dxa"/>
            <w:tcBorders>
              <w:top w:val="nil"/>
              <w:left w:val="nil"/>
              <w:bottom w:val="nil"/>
              <w:right w:val="nil"/>
            </w:tcBorders>
            <w:vAlign w:val="bottom"/>
          </w:tcPr>
          <w:p w14:paraId="0144A5BF"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5.8</w:t>
            </w:r>
          </w:p>
        </w:tc>
        <w:tc>
          <w:tcPr>
            <w:tcW w:w="1046" w:type="dxa"/>
            <w:tcBorders>
              <w:top w:val="nil"/>
              <w:left w:val="nil"/>
              <w:bottom w:val="nil"/>
              <w:right w:val="nil"/>
            </w:tcBorders>
            <w:vAlign w:val="bottom"/>
          </w:tcPr>
          <w:p w14:paraId="4197339A"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86.2</w:t>
            </w:r>
          </w:p>
        </w:tc>
        <w:tc>
          <w:tcPr>
            <w:tcW w:w="1043" w:type="dxa"/>
            <w:tcBorders>
              <w:top w:val="nil"/>
              <w:left w:val="nil"/>
              <w:bottom w:val="nil"/>
              <w:right w:val="nil"/>
            </w:tcBorders>
            <w:vAlign w:val="bottom"/>
          </w:tcPr>
          <w:p w14:paraId="60A38305"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23.5</w:t>
            </w:r>
          </w:p>
        </w:tc>
        <w:tc>
          <w:tcPr>
            <w:tcW w:w="1150" w:type="dxa"/>
            <w:tcBorders>
              <w:top w:val="nil"/>
              <w:left w:val="nil"/>
              <w:bottom w:val="nil"/>
              <w:right w:val="nil"/>
            </w:tcBorders>
            <w:vAlign w:val="bottom"/>
          </w:tcPr>
          <w:p w14:paraId="7BE6479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1.1</w:t>
            </w:r>
          </w:p>
        </w:tc>
        <w:tc>
          <w:tcPr>
            <w:tcW w:w="1033" w:type="dxa"/>
            <w:tcBorders>
              <w:top w:val="nil"/>
              <w:left w:val="nil"/>
              <w:bottom w:val="nil"/>
              <w:right w:val="nil"/>
            </w:tcBorders>
            <w:vAlign w:val="bottom"/>
          </w:tcPr>
          <w:p w14:paraId="4C550721"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66.1</w:t>
            </w:r>
          </w:p>
        </w:tc>
      </w:tr>
      <w:tr w:rsidR="00E359F0" w:rsidRPr="003448D3" w14:paraId="0D7E06C9"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035F4CEF"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Ketamine</w:t>
            </w:r>
          </w:p>
        </w:tc>
        <w:tc>
          <w:tcPr>
            <w:tcW w:w="1334" w:type="dxa"/>
            <w:tcBorders>
              <w:top w:val="nil"/>
              <w:left w:val="nil"/>
              <w:bottom w:val="nil"/>
              <w:right w:val="nil"/>
            </w:tcBorders>
            <w:shd w:val="clear" w:color="auto" w:fill="auto"/>
            <w:noWrap/>
            <w:vAlign w:val="bottom"/>
            <w:hideMark/>
          </w:tcPr>
          <w:p w14:paraId="7A170EEA"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56 (12.5)</w:t>
            </w:r>
          </w:p>
        </w:tc>
        <w:tc>
          <w:tcPr>
            <w:tcW w:w="1167" w:type="dxa"/>
            <w:tcBorders>
              <w:top w:val="nil"/>
              <w:left w:val="nil"/>
              <w:bottom w:val="nil"/>
              <w:right w:val="nil"/>
            </w:tcBorders>
            <w:vAlign w:val="bottom"/>
          </w:tcPr>
          <w:p w14:paraId="61A419A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402" w:type="dxa"/>
            <w:tcBorders>
              <w:top w:val="nil"/>
              <w:left w:val="nil"/>
              <w:bottom w:val="nil"/>
              <w:right w:val="nil"/>
            </w:tcBorders>
            <w:vAlign w:val="bottom"/>
          </w:tcPr>
          <w:p w14:paraId="6F78CBD8"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0.4</w:t>
            </w:r>
          </w:p>
        </w:tc>
        <w:tc>
          <w:tcPr>
            <w:tcW w:w="1046" w:type="dxa"/>
            <w:tcBorders>
              <w:top w:val="nil"/>
              <w:left w:val="nil"/>
              <w:bottom w:val="nil"/>
              <w:right w:val="nil"/>
            </w:tcBorders>
            <w:vAlign w:val="bottom"/>
          </w:tcPr>
          <w:p w14:paraId="083115C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23.8</w:t>
            </w:r>
          </w:p>
        </w:tc>
        <w:tc>
          <w:tcPr>
            <w:tcW w:w="1043" w:type="dxa"/>
            <w:tcBorders>
              <w:top w:val="nil"/>
              <w:left w:val="nil"/>
              <w:bottom w:val="nil"/>
              <w:right w:val="nil"/>
            </w:tcBorders>
            <w:vAlign w:val="bottom"/>
          </w:tcPr>
          <w:p w14:paraId="5E1E4EE2"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7.2</w:t>
            </w:r>
          </w:p>
        </w:tc>
        <w:tc>
          <w:tcPr>
            <w:tcW w:w="1150" w:type="dxa"/>
            <w:tcBorders>
              <w:top w:val="nil"/>
              <w:left w:val="nil"/>
              <w:bottom w:val="nil"/>
              <w:right w:val="nil"/>
            </w:tcBorders>
            <w:vAlign w:val="bottom"/>
          </w:tcPr>
          <w:p w14:paraId="4BC52624"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3.2</w:t>
            </w:r>
          </w:p>
        </w:tc>
        <w:tc>
          <w:tcPr>
            <w:tcW w:w="1033" w:type="dxa"/>
            <w:tcBorders>
              <w:top w:val="nil"/>
              <w:left w:val="nil"/>
              <w:bottom w:val="nil"/>
              <w:right w:val="nil"/>
            </w:tcBorders>
            <w:vAlign w:val="bottom"/>
          </w:tcPr>
          <w:p w14:paraId="65551E73"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55.1</w:t>
            </w:r>
          </w:p>
        </w:tc>
      </w:tr>
      <w:tr w:rsidR="00E359F0" w:rsidRPr="003448D3" w14:paraId="6DA64690" w14:textId="77777777" w:rsidTr="00401B53">
        <w:trPr>
          <w:trHeight w:val="108"/>
          <w:jc w:val="center"/>
        </w:trPr>
        <w:tc>
          <w:tcPr>
            <w:tcW w:w="2520" w:type="dxa"/>
            <w:tcBorders>
              <w:top w:val="nil"/>
              <w:left w:val="nil"/>
              <w:bottom w:val="nil"/>
              <w:right w:val="nil"/>
            </w:tcBorders>
            <w:shd w:val="clear" w:color="auto" w:fill="auto"/>
            <w:noWrap/>
            <w:vAlign w:val="bottom"/>
            <w:hideMark/>
          </w:tcPr>
          <w:p w14:paraId="36D6FACD"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Mushrooms</w:t>
            </w:r>
          </w:p>
        </w:tc>
        <w:tc>
          <w:tcPr>
            <w:tcW w:w="1334" w:type="dxa"/>
            <w:tcBorders>
              <w:top w:val="nil"/>
              <w:left w:val="nil"/>
              <w:bottom w:val="nil"/>
              <w:right w:val="nil"/>
            </w:tcBorders>
            <w:shd w:val="clear" w:color="auto" w:fill="auto"/>
            <w:noWrap/>
            <w:vAlign w:val="bottom"/>
            <w:hideMark/>
          </w:tcPr>
          <w:p w14:paraId="706063A2"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43 (9.6)</w:t>
            </w:r>
          </w:p>
        </w:tc>
        <w:tc>
          <w:tcPr>
            <w:tcW w:w="1167" w:type="dxa"/>
            <w:tcBorders>
              <w:top w:val="nil"/>
              <w:left w:val="nil"/>
              <w:bottom w:val="nil"/>
              <w:right w:val="nil"/>
            </w:tcBorders>
            <w:vAlign w:val="bottom"/>
          </w:tcPr>
          <w:p w14:paraId="3CDB43E6"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0.1</w:t>
            </w:r>
          </w:p>
        </w:tc>
        <w:tc>
          <w:tcPr>
            <w:tcW w:w="1402" w:type="dxa"/>
            <w:tcBorders>
              <w:top w:val="nil"/>
              <w:left w:val="nil"/>
              <w:bottom w:val="nil"/>
              <w:right w:val="nil"/>
            </w:tcBorders>
            <w:vAlign w:val="bottom"/>
          </w:tcPr>
          <w:p w14:paraId="42C8A6BF"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5.0</w:t>
            </w:r>
          </w:p>
        </w:tc>
        <w:tc>
          <w:tcPr>
            <w:tcW w:w="1046" w:type="dxa"/>
            <w:tcBorders>
              <w:top w:val="nil"/>
              <w:left w:val="nil"/>
              <w:bottom w:val="nil"/>
              <w:right w:val="nil"/>
            </w:tcBorders>
            <w:vAlign w:val="bottom"/>
          </w:tcPr>
          <w:p w14:paraId="26B1BF36"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34.3</w:t>
            </w:r>
          </w:p>
        </w:tc>
        <w:tc>
          <w:tcPr>
            <w:tcW w:w="1043" w:type="dxa"/>
            <w:tcBorders>
              <w:top w:val="nil"/>
              <w:left w:val="nil"/>
              <w:bottom w:val="nil"/>
              <w:right w:val="nil"/>
            </w:tcBorders>
            <w:vAlign w:val="bottom"/>
          </w:tcPr>
          <w:p w14:paraId="0C013B95"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8.1</w:t>
            </w:r>
          </w:p>
        </w:tc>
        <w:tc>
          <w:tcPr>
            <w:tcW w:w="1150" w:type="dxa"/>
            <w:tcBorders>
              <w:top w:val="nil"/>
              <w:left w:val="nil"/>
              <w:bottom w:val="nil"/>
              <w:right w:val="nil"/>
            </w:tcBorders>
            <w:vAlign w:val="bottom"/>
          </w:tcPr>
          <w:p w14:paraId="2657891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0.8</w:t>
            </w:r>
          </w:p>
        </w:tc>
        <w:tc>
          <w:tcPr>
            <w:tcW w:w="1033" w:type="dxa"/>
            <w:tcBorders>
              <w:top w:val="nil"/>
              <w:left w:val="nil"/>
              <w:bottom w:val="nil"/>
              <w:right w:val="nil"/>
            </w:tcBorders>
            <w:vAlign w:val="bottom"/>
          </w:tcPr>
          <w:p w14:paraId="0733EA0A"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13.9</w:t>
            </w:r>
          </w:p>
        </w:tc>
      </w:tr>
      <w:tr w:rsidR="00E359F0" w:rsidRPr="003448D3" w14:paraId="2F1FAB0B" w14:textId="77777777" w:rsidTr="00401B53">
        <w:trPr>
          <w:trHeight w:val="57"/>
          <w:jc w:val="center"/>
        </w:trPr>
        <w:tc>
          <w:tcPr>
            <w:tcW w:w="2520" w:type="dxa"/>
            <w:tcBorders>
              <w:top w:val="nil"/>
              <w:left w:val="nil"/>
              <w:bottom w:val="nil"/>
              <w:right w:val="nil"/>
            </w:tcBorders>
            <w:shd w:val="clear" w:color="auto" w:fill="auto"/>
            <w:noWrap/>
            <w:vAlign w:val="bottom"/>
            <w:hideMark/>
          </w:tcPr>
          <w:p w14:paraId="1EEE06B7" w14:textId="77777777" w:rsidR="00E359F0" w:rsidRPr="00430DC8" w:rsidRDefault="00E359F0" w:rsidP="00401B53">
            <w:pPr>
              <w:spacing w:after="0" w:line="240" w:lineRule="auto"/>
              <w:jc w:val="left"/>
              <w:rPr>
                <w:rFonts w:eastAsia="Times New Roman" w:cs="Times New Roman"/>
                <w:bCs/>
                <w:color w:val="000000"/>
                <w:sz w:val="22"/>
                <w:szCs w:val="22"/>
              </w:rPr>
            </w:pPr>
            <w:r w:rsidRPr="00DC2FA0">
              <w:rPr>
                <w:rFonts w:eastAsia="Times New Roman" w:cs="Times New Roman"/>
                <w:bCs/>
                <w:color w:val="000000"/>
                <w:sz w:val="20"/>
                <w:szCs w:val="20"/>
              </w:rPr>
              <w:t>Lysergic acid diethylamide</w:t>
            </w:r>
          </w:p>
        </w:tc>
        <w:tc>
          <w:tcPr>
            <w:tcW w:w="1334" w:type="dxa"/>
            <w:tcBorders>
              <w:top w:val="nil"/>
              <w:left w:val="nil"/>
              <w:bottom w:val="nil"/>
              <w:right w:val="nil"/>
            </w:tcBorders>
            <w:shd w:val="clear" w:color="auto" w:fill="auto"/>
            <w:noWrap/>
            <w:vAlign w:val="bottom"/>
            <w:hideMark/>
          </w:tcPr>
          <w:p w14:paraId="2C844C76"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16 (3.6)</w:t>
            </w:r>
          </w:p>
        </w:tc>
        <w:tc>
          <w:tcPr>
            <w:tcW w:w="1167" w:type="dxa"/>
            <w:tcBorders>
              <w:top w:val="nil"/>
              <w:left w:val="nil"/>
              <w:bottom w:val="nil"/>
              <w:right w:val="nil"/>
            </w:tcBorders>
            <w:vAlign w:val="bottom"/>
          </w:tcPr>
          <w:p w14:paraId="6A760443"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0.2</w:t>
            </w:r>
          </w:p>
        </w:tc>
        <w:tc>
          <w:tcPr>
            <w:tcW w:w="1402" w:type="dxa"/>
            <w:tcBorders>
              <w:top w:val="nil"/>
              <w:left w:val="nil"/>
              <w:bottom w:val="nil"/>
              <w:right w:val="nil"/>
            </w:tcBorders>
            <w:vAlign w:val="bottom"/>
          </w:tcPr>
          <w:p w14:paraId="4C8E5D6C"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0.0</w:t>
            </w:r>
          </w:p>
        </w:tc>
        <w:tc>
          <w:tcPr>
            <w:tcW w:w="1046" w:type="dxa"/>
            <w:tcBorders>
              <w:top w:val="nil"/>
              <w:left w:val="nil"/>
              <w:bottom w:val="nil"/>
              <w:right w:val="nil"/>
            </w:tcBorders>
            <w:vAlign w:val="bottom"/>
          </w:tcPr>
          <w:p w14:paraId="0CA2E555"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15.7</w:t>
            </w:r>
          </w:p>
        </w:tc>
        <w:tc>
          <w:tcPr>
            <w:tcW w:w="1043" w:type="dxa"/>
            <w:tcBorders>
              <w:top w:val="nil"/>
              <w:left w:val="nil"/>
              <w:bottom w:val="nil"/>
              <w:right w:val="nil"/>
            </w:tcBorders>
            <w:vAlign w:val="bottom"/>
          </w:tcPr>
          <w:p w14:paraId="6044B356"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6.3</w:t>
            </w:r>
          </w:p>
        </w:tc>
        <w:tc>
          <w:tcPr>
            <w:tcW w:w="1150" w:type="dxa"/>
            <w:tcBorders>
              <w:top w:val="nil"/>
              <w:left w:val="nil"/>
              <w:bottom w:val="nil"/>
              <w:right w:val="nil"/>
            </w:tcBorders>
            <w:vAlign w:val="bottom"/>
          </w:tcPr>
          <w:p w14:paraId="46A0D2B1"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33" w:type="dxa"/>
            <w:tcBorders>
              <w:top w:val="nil"/>
              <w:left w:val="nil"/>
              <w:bottom w:val="nil"/>
              <w:right w:val="nil"/>
            </w:tcBorders>
            <w:vAlign w:val="bottom"/>
          </w:tcPr>
          <w:p w14:paraId="22BFB216"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11.5</w:t>
            </w:r>
          </w:p>
        </w:tc>
      </w:tr>
      <w:tr w:rsidR="00E359F0" w:rsidRPr="003448D3" w14:paraId="7E8C9A8F" w14:textId="77777777" w:rsidTr="00401B53">
        <w:trPr>
          <w:trHeight w:val="135"/>
          <w:jc w:val="center"/>
        </w:trPr>
        <w:tc>
          <w:tcPr>
            <w:tcW w:w="2520" w:type="dxa"/>
            <w:tcBorders>
              <w:top w:val="nil"/>
              <w:left w:val="nil"/>
              <w:bottom w:val="nil"/>
              <w:right w:val="nil"/>
            </w:tcBorders>
            <w:shd w:val="clear" w:color="auto" w:fill="auto"/>
            <w:noWrap/>
            <w:vAlign w:val="bottom"/>
            <w:hideMark/>
          </w:tcPr>
          <w:p w14:paraId="6CF18F8C"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 xml:space="preserve">Heroin </w:t>
            </w:r>
          </w:p>
        </w:tc>
        <w:tc>
          <w:tcPr>
            <w:tcW w:w="1334" w:type="dxa"/>
            <w:tcBorders>
              <w:top w:val="nil"/>
              <w:left w:val="nil"/>
              <w:bottom w:val="nil"/>
              <w:right w:val="nil"/>
            </w:tcBorders>
            <w:shd w:val="clear" w:color="auto" w:fill="auto"/>
            <w:noWrap/>
            <w:vAlign w:val="bottom"/>
            <w:hideMark/>
          </w:tcPr>
          <w:p w14:paraId="0A1CE3CD"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8 (1.8)</w:t>
            </w:r>
          </w:p>
        </w:tc>
        <w:tc>
          <w:tcPr>
            <w:tcW w:w="1167" w:type="dxa"/>
            <w:tcBorders>
              <w:top w:val="nil"/>
              <w:left w:val="nil"/>
              <w:bottom w:val="nil"/>
              <w:right w:val="nil"/>
            </w:tcBorders>
            <w:vAlign w:val="bottom"/>
          </w:tcPr>
          <w:p w14:paraId="115BDF5B"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402" w:type="dxa"/>
            <w:tcBorders>
              <w:top w:val="nil"/>
              <w:left w:val="nil"/>
              <w:bottom w:val="nil"/>
              <w:right w:val="nil"/>
            </w:tcBorders>
            <w:vAlign w:val="bottom"/>
          </w:tcPr>
          <w:p w14:paraId="0C945C29"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46" w:type="dxa"/>
            <w:tcBorders>
              <w:top w:val="nil"/>
              <w:left w:val="nil"/>
              <w:bottom w:val="nil"/>
              <w:right w:val="nil"/>
            </w:tcBorders>
            <w:vAlign w:val="bottom"/>
          </w:tcPr>
          <w:p w14:paraId="32A049EB"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043" w:type="dxa"/>
            <w:tcBorders>
              <w:top w:val="nil"/>
              <w:left w:val="nil"/>
              <w:bottom w:val="nil"/>
              <w:right w:val="nil"/>
            </w:tcBorders>
            <w:vAlign w:val="bottom"/>
          </w:tcPr>
          <w:p w14:paraId="4A40789D"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150" w:type="dxa"/>
            <w:tcBorders>
              <w:top w:val="nil"/>
              <w:left w:val="nil"/>
              <w:bottom w:val="nil"/>
              <w:right w:val="nil"/>
            </w:tcBorders>
            <w:vAlign w:val="bottom"/>
          </w:tcPr>
          <w:p w14:paraId="265FFA60"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4.1</w:t>
            </w:r>
          </w:p>
        </w:tc>
        <w:tc>
          <w:tcPr>
            <w:tcW w:w="1033" w:type="dxa"/>
            <w:tcBorders>
              <w:top w:val="nil"/>
              <w:left w:val="nil"/>
              <w:bottom w:val="nil"/>
              <w:right w:val="nil"/>
            </w:tcBorders>
            <w:vAlign w:val="bottom"/>
          </w:tcPr>
          <w:p w14:paraId="4B14F876"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8.7</w:t>
            </w:r>
          </w:p>
        </w:tc>
      </w:tr>
      <w:tr w:rsidR="00E359F0" w:rsidRPr="003448D3" w14:paraId="33688660" w14:textId="77777777" w:rsidTr="00401B53">
        <w:trPr>
          <w:trHeight w:val="108"/>
          <w:jc w:val="center"/>
        </w:trPr>
        <w:tc>
          <w:tcPr>
            <w:tcW w:w="2520" w:type="dxa"/>
            <w:tcBorders>
              <w:top w:val="nil"/>
              <w:left w:val="nil"/>
              <w:bottom w:val="nil"/>
              <w:right w:val="nil"/>
            </w:tcBorders>
            <w:shd w:val="clear" w:color="auto" w:fill="auto"/>
            <w:noWrap/>
            <w:vAlign w:val="bottom"/>
            <w:hideMark/>
          </w:tcPr>
          <w:p w14:paraId="73125C07"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Codeine</w:t>
            </w:r>
          </w:p>
        </w:tc>
        <w:tc>
          <w:tcPr>
            <w:tcW w:w="1334" w:type="dxa"/>
            <w:tcBorders>
              <w:top w:val="nil"/>
              <w:left w:val="nil"/>
              <w:bottom w:val="nil"/>
              <w:right w:val="nil"/>
            </w:tcBorders>
            <w:shd w:val="clear" w:color="auto" w:fill="auto"/>
            <w:noWrap/>
            <w:vAlign w:val="bottom"/>
            <w:hideMark/>
          </w:tcPr>
          <w:p w14:paraId="226170F4"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25 (5.6)</w:t>
            </w:r>
          </w:p>
        </w:tc>
        <w:tc>
          <w:tcPr>
            <w:tcW w:w="1167" w:type="dxa"/>
            <w:tcBorders>
              <w:top w:val="nil"/>
              <w:left w:val="nil"/>
              <w:bottom w:val="nil"/>
              <w:right w:val="nil"/>
            </w:tcBorders>
            <w:vAlign w:val="bottom"/>
          </w:tcPr>
          <w:p w14:paraId="0F371696"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1.3</w:t>
            </w:r>
          </w:p>
        </w:tc>
        <w:tc>
          <w:tcPr>
            <w:tcW w:w="1402" w:type="dxa"/>
            <w:tcBorders>
              <w:top w:val="nil"/>
              <w:left w:val="nil"/>
              <w:bottom w:val="nil"/>
              <w:right w:val="nil"/>
            </w:tcBorders>
            <w:vAlign w:val="bottom"/>
          </w:tcPr>
          <w:p w14:paraId="4F6A3914"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1.5</w:t>
            </w:r>
          </w:p>
        </w:tc>
        <w:tc>
          <w:tcPr>
            <w:tcW w:w="1046" w:type="dxa"/>
            <w:tcBorders>
              <w:top w:val="nil"/>
              <w:left w:val="nil"/>
              <w:bottom w:val="nil"/>
              <w:right w:val="nil"/>
            </w:tcBorders>
            <w:vAlign w:val="bottom"/>
          </w:tcPr>
          <w:p w14:paraId="391CA422"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1.4</w:t>
            </w:r>
          </w:p>
        </w:tc>
        <w:tc>
          <w:tcPr>
            <w:tcW w:w="1043" w:type="dxa"/>
            <w:tcBorders>
              <w:top w:val="nil"/>
              <w:left w:val="nil"/>
              <w:bottom w:val="nil"/>
              <w:right w:val="nil"/>
            </w:tcBorders>
            <w:vAlign w:val="bottom"/>
          </w:tcPr>
          <w:p w14:paraId="1AD18D76"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2.9</w:t>
            </w:r>
          </w:p>
        </w:tc>
        <w:tc>
          <w:tcPr>
            <w:tcW w:w="1150" w:type="dxa"/>
            <w:tcBorders>
              <w:top w:val="nil"/>
              <w:left w:val="nil"/>
              <w:bottom w:val="nil"/>
              <w:right w:val="nil"/>
            </w:tcBorders>
            <w:vAlign w:val="bottom"/>
          </w:tcPr>
          <w:p w14:paraId="742CAAED"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10.9</w:t>
            </w:r>
          </w:p>
        </w:tc>
        <w:tc>
          <w:tcPr>
            <w:tcW w:w="1033" w:type="dxa"/>
            <w:tcBorders>
              <w:top w:val="nil"/>
              <w:left w:val="nil"/>
              <w:bottom w:val="nil"/>
              <w:right w:val="nil"/>
            </w:tcBorders>
            <w:vAlign w:val="bottom"/>
          </w:tcPr>
          <w:p w14:paraId="70A635BD"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10.5</w:t>
            </w:r>
          </w:p>
        </w:tc>
      </w:tr>
      <w:tr w:rsidR="00E359F0" w:rsidRPr="003448D3" w14:paraId="1B710129" w14:textId="77777777" w:rsidTr="00401B53">
        <w:trPr>
          <w:trHeight w:val="57"/>
          <w:jc w:val="center"/>
        </w:trPr>
        <w:tc>
          <w:tcPr>
            <w:tcW w:w="2520" w:type="dxa"/>
            <w:tcBorders>
              <w:top w:val="nil"/>
              <w:left w:val="nil"/>
              <w:right w:val="nil"/>
            </w:tcBorders>
            <w:shd w:val="clear" w:color="auto" w:fill="auto"/>
            <w:noWrap/>
            <w:vAlign w:val="bottom"/>
            <w:hideMark/>
          </w:tcPr>
          <w:p w14:paraId="4BF7EE4F" w14:textId="77777777" w:rsidR="00E359F0" w:rsidRPr="00430DC8" w:rsidRDefault="00E359F0" w:rsidP="00401B53">
            <w:pPr>
              <w:spacing w:after="0" w:line="240" w:lineRule="auto"/>
              <w:jc w:val="left"/>
              <w:rPr>
                <w:rFonts w:eastAsia="Times New Roman" w:cs="Times New Roman"/>
                <w:bCs/>
                <w:color w:val="000000"/>
                <w:sz w:val="22"/>
                <w:szCs w:val="22"/>
              </w:rPr>
            </w:pPr>
            <w:r>
              <w:rPr>
                <w:rFonts w:eastAsia="Times New Roman" w:cs="Times New Roman"/>
                <w:bCs/>
                <w:color w:val="000000"/>
                <w:sz w:val="20"/>
                <w:szCs w:val="20"/>
              </w:rPr>
              <w:t>Oxycodone</w:t>
            </w:r>
          </w:p>
        </w:tc>
        <w:tc>
          <w:tcPr>
            <w:tcW w:w="1334" w:type="dxa"/>
            <w:tcBorders>
              <w:top w:val="nil"/>
              <w:left w:val="nil"/>
              <w:right w:val="nil"/>
            </w:tcBorders>
            <w:shd w:val="clear" w:color="auto" w:fill="auto"/>
            <w:noWrap/>
            <w:vAlign w:val="bottom"/>
            <w:hideMark/>
          </w:tcPr>
          <w:p w14:paraId="017E39F3"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17 (3.8)</w:t>
            </w:r>
          </w:p>
        </w:tc>
        <w:tc>
          <w:tcPr>
            <w:tcW w:w="1167" w:type="dxa"/>
            <w:tcBorders>
              <w:top w:val="nil"/>
              <w:left w:val="nil"/>
              <w:right w:val="nil"/>
            </w:tcBorders>
            <w:vAlign w:val="bottom"/>
          </w:tcPr>
          <w:p w14:paraId="6281CC4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0.0</w:t>
            </w:r>
          </w:p>
        </w:tc>
        <w:tc>
          <w:tcPr>
            <w:tcW w:w="1402" w:type="dxa"/>
            <w:tcBorders>
              <w:top w:val="nil"/>
              <w:left w:val="nil"/>
              <w:right w:val="nil"/>
            </w:tcBorders>
            <w:vAlign w:val="bottom"/>
          </w:tcPr>
          <w:p w14:paraId="2887D2E9"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0.8</w:t>
            </w:r>
          </w:p>
        </w:tc>
        <w:tc>
          <w:tcPr>
            <w:tcW w:w="1046" w:type="dxa"/>
            <w:tcBorders>
              <w:top w:val="nil"/>
              <w:left w:val="nil"/>
              <w:right w:val="nil"/>
            </w:tcBorders>
            <w:vAlign w:val="bottom"/>
          </w:tcPr>
          <w:p w14:paraId="7DB2FC46"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4.2</w:t>
            </w:r>
          </w:p>
        </w:tc>
        <w:tc>
          <w:tcPr>
            <w:tcW w:w="1043" w:type="dxa"/>
            <w:tcBorders>
              <w:top w:val="nil"/>
              <w:left w:val="nil"/>
              <w:right w:val="nil"/>
            </w:tcBorders>
            <w:vAlign w:val="bottom"/>
          </w:tcPr>
          <w:p w14:paraId="5684FC25"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0.4</w:t>
            </w:r>
          </w:p>
        </w:tc>
        <w:tc>
          <w:tcPr>
            <w:tcW w:w="1150" w:type="dxa"/>
            <w:tcBorders>
              <w:top w:val="nil"/>
              <w:left w:val="nil"/>
              <w:right w:val="nil"/>
            </w:tcBorders>
            <w:vAlign w:val="bottom"/>
          </w:tcPr>
          <w:p w14:paraId="46C9F4E0"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10.8</w:t>
            </w:r>
          </w:p>
        </w:tc>
        <w:tc>
          <w:tcPr>
            <w:tcW w:w="1033" w:type="dxa"/>
            <w:tcBorders>
              <w:top w:val="nil"/>
              <w:left w:val="nil"/>
              <w:right w:val="nil"/>
            </w:tcBorders>
            <w:vAlign w:val="bottom"/>
          </w:tcPr>
          <w:p w14:paraId="4CC4229F"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11.8</w:t>
            </w:r>
          </w:p>
        </w:tc>
      </w:tr>
      <w:tr w:rsidR="00E359F0" w:rsidRPr="003448D3" w14:paraId="0D7EF035" w14:textId="77777777" w:rsidTr="00401B53">
        <w:trPr>
          <w:trHeight w:val="57"/>
          <w:jc w:val="center"/>
        </w:trPr>
        <w:tc>
          <w:tcPr>
            <w:tcW w:w="2520" w:type="dxa"/>
            <w:tcBorders>
              <w:top w:val="nil"/>
              <w:left w:val="nil"/>
              <w:bottom w:val="single" w:sz="4" w:space="0" w:color="auto"/>
              <w:right w:val="nil"/>
            </w:tcBorders>
            <w:shd w:val="clear" w:color="auto" w:fill="auto"/>
            <w:noWrap/>
            <w:vAlign w:val="bottom"/>
            <w:hideMark/>
          </w:tcPr>
          <w:p w14:paraId="59463BBD" w14:textId="77777777" w:rsidR="00E359F0" w:rsidRPr="00430DC8" w:rsidRDefault="00E359F0" w:rsidP="00401B53">
            <w:pPr>
              <w:spacing w:after="0" w:line="240" w:lineRule="auto"/>
              <w:jc w:val="left"/>
              <w:rPr>
                <w:rFonts w:eastAsia="Times New Roman" w:cs="Times New Roman"/>
                <w:bCs/>
                <w:color w:val="000000"/>
                <w:sz w:val="22"/>
                <w:szCs w:val="22"/>
              </w:rPr>
            </w:pPr>
            <w:r w:rsidRPr="00B10941">
              <w:rPr>
                <w:rFonts w:eastAsia="Times New Roman" w:cs="Times New Roman"/>
                <w:bCs/>
                <w:color w:val="000000"/>
                <w:sz w:val="20"/>
                <w:szCs w:val="20"/>
              </w:rPr>
              <w:t xml:space="preserve">Rx Steroids  </w:t>
            </w:r>
          </w:p>
        </w:tc>
        <w:tc>
          <w:tcPr>
            <w:tcW w:w="1334" w:type="dxa"/>
            <w:tcBorders>
              <w:top w:val="nil"/>
              <w:left w:val="nil"/>
              <w:bottom w:val="single" w:sz="4" w:space="0" w:color="auto"/>
              <w:right w:val="nil"/>
            </w:tcBorders>
            <w:shd w:val="clear" w:color="auto" w:fill="auto"/>
            <w:noWrap/>
            <w:vAlign w:val="bottom"/>
            <w:hideMark/>
          </w:tcPr>
          <w:p w14:paraId="766EA430" w14:textId="77777777" w:rsidR="00E359F0" w:rsidRPr="00430DC8" w:rsidRDefault="00E359F0" w:rsidP="00401B53">
            <w:pPr>
              <w:spacing w:after="0" w:line="240" w:lineRule="auto"/>
              <w:jc w:val="center"/>
              <w:rPr>
                <w:rFonts w:eastAsia="Times New Roman" w:cs="Times New Roman"/>
                <w:bCs/>
                <w:sz w:val="22"/>
                <w:szCs w:val="22"/>
              </w:rPr>
            </w:pPr>
            <w:r w:rsidRPr="003448D3">
              <w:rPr>
                <w:rFonts w:cs="Times New Roman"/>
                <w:color w:val="000000"/>
                <w:sz w:val="22"/>
                <w:szCs w:val="22"/>
              </w:rPr>
              <w:t>18 (4.0)</w:t>
            </w:r>
          </w:p>
        </w:tc>
        <w:tc>
          <w:tcPr>
            <w:tcW w:w="1167" w:type="dxa"/>
            <w:tcBorders>
              <w:top w:val="nil"/>
              <w:left w:val="nil"/>
              <w:bottom w:val="single" w:sz="4" w:space="0" w:color="auto"/>
              <w:right w:val="nil"/>
            </w:tcBorders>
            <w:vAlign w:val="bottom"/>
          </w:tcPr>
          <w:p w14:paraId="0D9DC02C"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0.3</w:t>
            </w:r>
          </w:p>
        </w:tc>
        <w:tc>
          <w:tcPr>
            <w:tcW w:w="1402" w:type="dxa"/>
            <w:tcBorders>
              <w:top w:val="nil"/>
              <w:left w:val="nil"/>
              <w:bottom w:val="single" w:sz="4" w:space="0" w:color="auto"/>
              <w:right w:val="nil"/>
            </w:tcBorders>
            <w:vAlign w:val="bottom"/>
          </w:tcPr>
          <w:p w14:paraId="77E21FD6"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5.7</w:t>
            </w:r>
          </w:p>
        </w:tc>
        <w:tc>
          <w:tcPr>
            <w:tcW w:w="1046" w:type="dxa"/>
            <w:tcBorders>
              <w:top w:val="nil"/>
              <w:left w:val="nil"/>
              <w:bottom w:val="single" w:sz="4" w:space="0" w:color="auto"/>
              <w:right w:val="nil"/>
            </w:tcBorders>
            <w:vAlign w:val="bottom"/>
          </w:tcPr>
          <w:p w14:paraId="38EC5C5D"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0.0</w:t>
            </w:r>
          </w:p>
        </w:tc>
        <w:tc>
          <w:tcPr>
            <w:tcW w:w="1043" w:type="dxa"/>
            <w:tcBorders>
              <w:top w:val="nil"/>
              <w:left w:val="nil"/>
              <w:bottom w:val="single" w:sz="4" w:space="0" w:color="auto"/>
              <w:right w:val="nil"/>
            </w:tcBorders>
            <w:vAlign w:val="bottom"/>
          </w:tcPr>
          <w:p w14:paraId="5EA02CEE" w14:textId="77777777" w:rsidR="00E359F0" w:rsidRPr="00E97F4C" w:rsidRDefault="00E359F0" w:rsidP="00401B53">
            <w:pPr>
              <w:spacing w:after="0" w:line="240" w:lineRule="auto"/>
              <w:jc w:val="center"/>
              <w:rPr>
                <w:rFonts w:cs="Times New Roman"/>
                <w:b/>
                <w:sz w:val="22"/>
                <w:szCs w:val="22"/>
              </w:rPr>
            </w:pPr>
            <w:r w:rsidRPr="00E97F4C">
              <w:rPr>
                <w:rFonts w:cs="Times New Roman"/>
                <w:b/>
                <w:bCs/>
                <w:sz w:val="22"/>
                <w:szCs w:val="22"/>
              </w:rPr>
              <w:t>13.5</w:t>
            </w:r>
          </w:p>
        </w:tc>
        <w:tc>
          <w:tcPr>
            <w:tcW w:w="1150" w:type="dxa"/>
            <w:tcBorders>
              <w:top w:val="nil"/>
              <w:left w:val="nil"/>
              <w:bottom w:val="single" w:sz="4" w:space="0" w:color="auto"/>
              <w:right w:val="nil"/>
            </w:tcBorders>
            <w:vAlign w:val="bottom"/>
          </w:tcPr>
          <w:p w14:paraId="41E89BCD" w14:textId="77777777" w:rsidR="00E359F0" w:rsidRPr="00E97F4C" w:rsidRDefault="00E359F0" w:rsidP="00401B53">
            <w:pPr>
              <w:spacing w:after="0" w:line="240" w:lineRule="auto"/>
              <w:jc w:val="center"/>
              <w:rPr>
                <w:rFonts w:cs="Times New Roman"/>
                <w:bCs/>
                <w:sz w:val="22"/>
                <w:szCs w:val="22"/>
              </w:rPr>
            </w:pPr>
            <w:r w:rsidRPr="00E97F4C">
              <w:rPr>
                <w:rFonts w:cs="Times New Roman"/>
                <w:sz w:val="22"/>
                <w:szCs w:val="22"/>
              </w:rPr>
              <w:t>4.3</w:t>
            </w:r>
          </w:p>
        </w:tc>
        <w:tc>
          <w:tcPr>
            <w:tcW w:w="1033" w:type="dxa"/>
            <w:tcBorders>
              <w:top w:val="nil"/>
              <w:left w:val="nil"/>
              <w:bottom w:val="single" w:sz="4" w:space="0" w:color="auto"/>
              <w:right w:val="nil"/>
            </w:tcBorders>
            <w:vAlign w:val="bottom"/>
          </w:tcPr>
          <w:p w14:paraId="13ADCC2F" w14:textId="77777777" w:rsidR="00E359F0" w:rsidRPr="00E97F4C" w:rsidRDefault="00E359F0" w:rsidP="00401B53">
            <w:pPr>
              <w:spacing w:after="0" w:line="240" w:lineRule="auto"/>
              <w:jc w:val="center"/>
              <w:rPr>
                <w:rFonts w:cs="Times New Roman"/>
                <w:sz w:val="22"/>
                <w:szCs w:val="22"/>
              </w:rPr>
            </w:pPr>
            <w:r w:rsidRPr="00E97F4C">
              <w:rPr>
                <w:rFonts w:cs="Times New Roman"/>
                <w:sz w:val="22"/>
                <w:szCs w:val="22"/>
              </w:rPr>
              <w:t>5.1</w:t>
            </w:r>
          </w:p>
        </w:tc>
      </w:tr>
    </w:tbl>
    <w:p w14:paraId="59D1DF85" w14:textId="77777777" w:rsidR="00E359F0" w:rsidRPr="00C2120E" w:rsidRDefault="00E359F0" w:rsidP="00E359F0">
      <w:pPr>
        <w:spacing w:after="0" w:line="240" w:lineRule="auto"/>
        <w:jc w:val="center"/>
        <w:rPr>
          <w:rFonts w:cs="Times New Roman"/>
          <w:caps/>
          <w:lang w:val="en-CA"/>
        </w:rPr>
      </w:pPr>
      <w:r w:rsidRPr="003448D3">
        <w:rPr>
          <w:rFonts w:cs="Times New Roman"/>
          <w:b/>
        </w:rPr>
        <w:t>BOLDED</w:t>
      </w:r>
      <w:r>
        <w:rPr>
          <w:rFonts w:cs="Times New Roman"/>
        </w:rPr>
        <w:t xml:space="preserve"> values indicate highest row prevalence; LTA=Latent transition analysis; </w:t>
      </w:r>
      <w:r>
        <w:rPr>
          <w:rFonts w:cs="Times New Roman"/>
          <w:vertAlign w:val="superscript"/>
          <w:lang w:val="en-CA"/>
        </w:rPr>
        <w:t xml:space="preserve">A </w:t>
      </w:r>
      <w:r>
        <w:rPr>
          <w:rFonts w:cs="Times New Roman"/>
          <w:caps/>
          <w:lang w:val="en-CA"/>
        </w:rPr>
        <w:t>p</w:t>
      </w:r>
      <w:r>
        <w:rPr>
          <w:rFonts w:cs="Times New Roman"/>
          <w:lang w:val="en-CA"/>
        </w:rPr>
        <w:t>ast</w:t>
      </w:r>
      <w:r>
        <w:rPr>
          <w:rFonts w:cs="Times New Roman"/>
          <w:caps/>
          <w:lang w:val="en-CA"/>
        </w:rPr>
        <w:t xml:space="preserve"> </w:t>
      </w:r>
      <w:r>
        <w:rPr>
          <w:rFonts w:cs="Times New Roman"/>
          <w:lang w:val="en-CA"/>
        </w:rPr>
        <w:t>three</w:t>
      </w:r>
      <w:r>
        <w:rPr>
          <w:rFonts w:cs="Times New Roman"/>
          <w:caps/>
          <w:lang w:val="en-CA"/>
        </w:rPr>
        <w:t xml:space="preserve"> </w:t>
      </w:r>
      <w:r>
        <w:rPr>
          <w:rFonts w:cs="Times New Roman"/>
          <w:lang w:val="en-CA"/>
        </w:rPr>
        <w:t xml:space="preserve">months (All other drugs are reported over the past six months); </w:t>
      </w:r>
      <w:r>
        <w:rPr>
          <w:rFonts w:cs="Times New Roman"/>
          <w:vertAlign w:val="superscript"/>
          <w:lang w:val="en-CA"/>
        </w:rPr>
        <w:t xml:space="preserve">B </w:t>
      </w:r>
      <w:r>
        <w:rPr>
          <w:rFonts w:cs="Times New Roman"/>
          <w:lang w:val="en-CA"/>
        </w:rPr>
        <w:t>Daily</w:t>
      </w:r>
      <w:r>
        <w:rPr>
          <w:rFonts w:cs="Times New Roman"/>
          <w:caps/>
          <w:lang w:val="en-CA"/>
        </w:rPr>
        <w:t xml:space="preserve"> </w:t>
      </w:r>
      <w:r>
        <w:rPr>
          <w:rFonts w:cs="Times New Roman"/>
          <w:lang w:val="en-CA"/>
        </w:rPr>
        <w:t>vs</w:t>
      </w:r>
      <w:r>
        <w:rPr>
          <w:rFonts w:cs="Times New Roman"/>
          <w:caps/>
          <w:lang w:val="en-CA"/>
        </w:rPr>
        <w:t>. L</w:t>
      </w:r>
      <w:r>
        <w:rPr>
          <w:rFonts w:cs="Times New Roman"/>
          <w:lang w:val="en-CA"/>
        </w:rPr>
        <w:t>ess</w:t>
      </w:r>
    </w:p>
    <w:p w14:paraId="6378C8FB" w14:textId="77777777" w:rsidR="00E359F0" w:rsidRDefault="00E359F0" w:rsidP="00E359F0"/>
    <w:p w14:paraId="72E6C88B" w14:textId="32FEB49F" w:rsidR="00E359F0" w:rsidRDefault="00E359F0">
      <w:pPr>
        <w:spacing w:after="0" w:line="240" w:lineRule="auto"/>
        <w:jc w:val="left"/>
      </w:pPr>
      <w:r>
        <w:br w:type="page"/>
      </w:r>
    </w:p>
    <w:p w14:paraId="21B979E8" w14:textId="77777777" w:rsidR="00E359F0" w:rsidRPr="00CA6CDF" w:rsidRDefault="00E359F0" w:rsidP="00E359F0">
      <w:pPr>
        <w:spacing w:after="0" w:line="240" w:lineRule="auto"/>
        <w:jc w:val="left"/>
        <w:rPr>
          <w:rFonts w:cs="Times New Roman"/>
          <w:caps/>
          <w:lang w:val="en-CA"/>
        </w:rPr>
      </w:pPr>
    </w:p>
    <w:p w14:paraId="63866EB4" w14:textId="77777777" w:rsidR="00E359F0" w:rsidRPr="00207141" w:rsidRDefault="00E359F0" w:rsidP="00E359F0">
      <w:pPr>
        <w:spacing w:after="0" w:line="240" w:lineRule="auto"/>
        <w:jc w:val="center"/>
        <w:rPr>
          <w:rFonts w:cs="Times New Roman"/>
          <w:lang w:val="en-CA"/>
        </w:rPr>
      </w:pPr>
      <w:r>
        <w:rPr>
          <w:rFonts w:cs="Times New Roman"/>
          <w:lang w:val="en-CA"/>
        </w:rPr>
        <w:t xml:space="preserve">Table 2. Transition Matrix Aggregating All Transitions Across All Observed Study Visits </w:t>
      </w:r>
    </w:p>
    <w:tbl>
      <w:tblPr>
        <w:tblW w:w="9049" w:type="dxa"/>
        <w:jc w:val="center"/>
        <w:tblLook w:val="04A0" w:firstRow="1" w:lastRow="0" w:firstColumn="1" w:lastColumn="0" w:noHBand="0" w:noVBand="1"/>
      </w:tblPr>
      <w:tblGrid>
        <w:gridCol w:w="734"/>
        <w:gridCol w:w="843"/>
        <w:gridCol w:w="1265"/>
        <w:gridCol w:w="1241"/>
        <w:gridCol w:w="1241"/>
        <w:gridCol w:w="1241"/>
        <w:gridCol w:w="1241"/>
        <w:gridCol w:w="1243"/>
      </w:tblGrid>
      <w:tr w:rsidR="00E359F0" w:rsidRPr="00D9297E" w14:paraId="5E6B10A9" w14:textId="77777777" w:rsidTr="00401B53">
        <w:trPr>
          <w:trHeight w:val="300"/>
          <w:jc w:val="center"/>
        </w:trPr>
        <w:tc>
          <w:tcPr>
            <w:tcW w:w="1577" w:type="dxa"/>
            <w:gridSpan w:val="2"/>
            <w:tcBorders>
              <w:top w:val="single" w:sz="4" w:space="0" w:color="auto"/>
              <w:right w:val="single" w:sz="4" w:space="0" w:color="auto"/>
            </w:tcBorders>
          </w:tcPr>
          <w:p w14:paraId="3751DCC9" w14:textId="77777777" w:rsidR="00E359F0" w:rsidRPr="00D9297E" w:rsidRDefault="00E359F0" w:rsidP="00401B53">
            <w:pPr>
              <w:spacing w:after="0" w:line="240" w:lineRule="auto"/>
              <w:jc w:val="center"/>
              <w:rPr>
                <w:rFonts w:eastAsia="Times New Roman" w:cs="Times New Roman"/>
                <w:b/>
                <w:bCs/>
                <w:color w:val="000000"/>
                <w:sz w:val="20"/>
                <w:szCs w:val="20"/>
              </w:rPr>
            </w:pPr>
            <w:r w:rsidRPr="00D9297E">
              <w:rPr>
                <w:rFonts w:eastAsia="Times New Roman" w:cs="Times New Roman"/>
                <w:b/>
                <w:bCs/>
                <w:color w:val="000000"/>
                <w:sz w:val="20"/>
                <w:szCs w:val="20"/>
              </w:rPr>
              <w:t>Participants</w:t>
            </w:r>
          </w:p>
        </w:tc>
        <w:tc>
          <w:tcPr>
            <w:tcW w:w="7472" w:type="dxa"/>
            <w:gridSpan w:val="6"/>
            <w:tcBorders>
              <w:top w:val="single" w:sz="4" w:space="0" w:color="auto"/>
              <w:left w:val="single" w:sz="4" w:space="0" w:color="auto"/>
            </w:tcBorders>
            <w:shd w:val="clear" w:color="auto" w:fill="auto"/>
            <w:noWrap/>
            <w:vAlign w:val="bottom"/>
          </w:tcPr>
          <w:p w14:paraId="5A8FEC5A" w14:textId="77777777" w:rsidR="00E359F0" w:rsidRPr="00D9297E" w:rsidRDefault="00E359F0" w:rsidP="00401B53">
            <w:pPr>
              <w:spacing w:after="0" w:line="240" w:lineRule="auto"/>
              <w:jc w:val="center"/>
              <w:rPr>
                <w:rFonts w:cs="Times New Roman"/>
                <w:i/>
                <w:sz w:val="20"/>
                <w:szCs w:val="20"/>
                <w:lang w:val="en-CA"/>
              </w:rPr>
            </w:pPr>
            <w:r w:rsidRPr="00D9297E">
              <w:rPr>
                <w:rFonts w:cs="Times New Roman"/>
                <w:i/>
                <w:sz w:val="20"/>
                <w:szCs w:val="20"/>
                <w:lang w:val="en-CA"/>
              </w:rPr>
              <w:t>N = 449</w:t>
            </w:r>
          </w:p>
        </w:tc>
      </w:tr>
      <w:tr w:rsidR="00E359F0" w:rsidRPr="00D9297E" w14:paraId="3536CB35" w14:textId="77777777" w:rsidTr="00401B53">
        <w:trPr>
          <w:trHeight w:val="300"/>
          <w:jc w:val="center"/>
        </w:trPr>
        <w:tc>
          <w:tcPr>
            <w:tcW w:w="1577" w:type="dxa"/>
            <w:gridSpan w:val="2"/>
            <w:tcBorders>
              <w:top w:val="single" w:sz="4" w:space="0" w:color="auto"/>
              <w:right w:val="single" w:sz="4" w:space="0" w:color="auto"/>
            </w:tcBorders>
          </w:tcPr>
          <w:p w14:paraId="4C6B06AD" w14:textId="77777777" w:rsidR="00E359F0" w:rsidRPr="00D9297E" w:rsidRDefault="00E359F0" w:rsidP="00401B53">
            <w:pPr>
              <w:spacing w:after="0" w:line="240" w:lineRule="auto"/>
              <w:jc w:val="center"/>
              <w:rPr>
                <w:rFonts w:eastAsia="Times New Roman" w:cs="Times New Roman"/>
                <w:b/>
                <w:bCs/>
                <w:color w:val="000000"/>
                <w:sz w:val="20"/>
                <w:szCs w:val="20"/>
              </w:rPr>
            </w:pPr>
            <w:r w:rsidRPr="00D9297E">
              <w:rPr>
                <w:rFonts w:eastAsia="Times New Roman" w:cs="Times New Roman"/>
                <w:b/>
                <w:bCs/>
                <w:color w:val="000000"/>
                <w:sz w:val="20"/>
                <w:szCs w:val="20"/>
              </w:rPr>
              <w:t>Observed Visits</w:t>
            </w:r>
          </w:p>
        </w:tc>
        <w:tc>
          <w:tcPr>
            <w:tcW w:w="7472" w:type="dxa"/>
            <w:gridSpan w:val="6"/>
            <w:tcBorders>
              <w:top w:val="single" w:sz="4" w:space="0" w:color="auto"/>
              <w:left w:val="single" w:sz="4" w:space="0" w:color="auto"/>
            </w:tcBorders>
            <w:shd w:val="clear" w:color="auto" w:fill="auto"/>
            <w:noWrap/>
            <w:vAlign w:val="center"/>
          </w:tcPr>
          <w:p w14:paraId="40EBE82D" w14:textId="77777777" w:rsidR="00E359F0" w:rsidRPr="00D9297E" w:rsidRDefault="00E359F0" w:rsidP="00401B53">
            <w:pPr>
              <w:spacing w:after="0" w:line="240" w:lineRule="auto"/>
              <w:jc w:val="center"/>
              <w:rPr>
                <w:rFonts w:cs="Times New Roman"/>
                <w:i/>
                <w:sz w:val="20"/>
                <w:szCs w:val="20"/>
                <w:lang w:val="en-CA"/>
              </w:rPr>
            </w:pPr>
            <w:r w:rsidRPr="00D9297E">
              <w:rPr>
                <w:rFonts w:cs="Times New Roman"/>
                <w:i/>
                <w:sz w:val="20"/>
                <w:szCs w:val="20"/>
                <w:lang w:val="en-CA"/>
              </w:rPr>
              <w:t>N = 1,681</w:t>
            </w:r>
          </w:p>
        </w:tc>
      </w:tr>
      <w:tr w:rsidR="00E359F0" w:rsidRPr="00D9297E" w14:paraId="2B7D63C4" w14:textId="77777777" w:rsidTr="00401B53">
        <w:trPr>
          <w:trHeight w:val="300"/>
          <w:jc w:val="center"/>
        </w:trPr>
        <w:tc>
          <w:tcPr>
            <w:tcW w:w="1577" w:type="dxa"/>
            <w:gridSpan w:val="2"/>
            <w:tcBorders>
              <w:top w:val="single" w:sz="4" w:space="0" w:color="auto"/>
              <w:right w:val="single" w:sz="4" w:space="0" w:color="auto"/>
            </w:tcBorders>
          </w:tcPr>
          <w:p w14:paraId="121E8753" w14:textId="77777777" w:rsidR="00E359F0" w:rsidRPr="00D9297E" w:rsidRDefault="00E359F0" w:rsidP="00401B53">
            <w:pPr>
              <w:spacing w:after="0" w:line="240" w:lineRule="auto"/>
              <w:jc w:val="center"/>
              <w:rPr>
                <w:rFonts w:eastAsia="Times New Roman" w:cs="Times New Roman"/>
                <w:b/>
                <w:bCs/>
                <w:color w:val="000000"/>
                <w:sz w:val="20"/>
                <w:szCs w:val="20"/>
              </w:rPr>
            </w:pPr>
            <w:r w:rsidRPr="00D9297E">
              <w:rPr>
                <w:rFonts w:eastAsia="Times New Roman" w:cs="Times New Roman"/>
                <w:b/>
                <w:bCs/>
                <w:color w:val="000000"/>
                <w:sz w:val="20"/>
                <w:szCs w:val="20"/>
              </w:rPr>
              <w:t>Transitions</w:t>
            </w:r>
          </w:p>
        </w:tc>
        <w:tc>
          <w:tcPr>
            <w:tcW w:w="7472" w:type="dxa"/>
            <w:gridSpan w:val="6"/>
            <w:tcBorders>
              <w:top w:val="single" w:sz="4" w:space="0" w:color="auto"/>
              <w:left w:val="single" w:sz="4" w:space="0" w:color="auto"/>
            </w:tcBorders>
            <w:shd w:val="clear" w:color="auto" w:fill="auto"/>
            <w:noWrap/>
            <w:vAlign w:val="bottom"/>
          </w:tcPr>
          <w:p w14:paraId="383A312D" w14:textId="77777777" w:rsidR="00E359F0" w:rsidRPr="00D9297E" w:rsidRDefault="00E359F0" w:rsidP="00401B53">
            <w:pPr>
              <w:spacing w:after="0" w:line="240" w:lineRule="auto"/>
              <w:jc w:val="center"/>
              <w:rPr>
                <w:rFonts w:eastAsia="Times New Roman" w:cs="Times New Roman"/>
                <w:color w:val="000000"/>
                <w:sz w:val="20"/>
                <w:szCs w:val="20"/>
              </w:rPr>
            </w:pPr>
            <w:r w:rsidRPr="00D9297E">
              <w:rPr>
                <w:rFonts w:eastAsia="Times New Roman" w:cs="Times New Roman"/>
                <w:color w:val="000000"/>
                <w:sz w:val="20"/>
                <w:szCs w:val="20"/>
              </w:rPr>
              <w:t>Transitions To…</w:t>
            </w:r>
          </w:p>
        </w:tc>
      </w:tr>
      <w:tr w:rsidR="00E359F0" w:rsidRPr="00D9297E" w14:paraId="4412D987" w14:textId="77777777" w:rsidTr="00401B53">
        <w:trPr>
          <w:trHeight w:val="300"/>
          <w:jc w:val="center"/>
        </w:trPr>
        <w:tc>
          <w:tcPr>
            <w:tcW w:w="1577" w:type="dxa"/>
            <w:gridSpan w:val="2"/>
            <w:tcBorders>
              <w:right w:val="single" w:sz="4" w:space="0" w:color="auto"/>
            </w:tcBorders>
            <w:textDirection w:val="btLr"/>
          </w:tcPr>
          <w:p w14:paraId="04691692" w14:textId="77777777" w:rsidR="00E359F0" w:rsidRPr="00D9297E" w:rsidRDefault="00E359F0" w:rsidP="00401B53">
            <w:pPr>
              <w:spacing w:after="0" w:line="240" w:lineRule="auto"/>
              <w:jc w:val="left"/>
              <w:rPr>
                <w:rFonts w:eastAsia="Times New Roman" w:cs="Times New Roman"/>
                <w:b/>
                <w:bCs/>
                <w:color w:val="000000"/>
                <w:sz w:val="20"/>
                <w:szCs w:val="20"/>
              </w:rPr>
            </w:pPr>
          </w:p>
        </w:tc>
        <w:tc>
          <w:tcPr>
            <w:tcW w:w="1265" w:type="dxa"/>
            <w:tcBorders>
              <w:left w:val="single" w:sz="4" w:space="0" w:color="auto"/>
              <w:bottom w:val="single" w:sz="4" w:space="0" w:color="auto"/>
            </w:tcBorders>
            <w:shd w:val="clear" w:color="auto" w:fill="auto"/>
            <w:noWrap/>
            <w:vAlign w:val="bottom"/>
            <w:hideMark/>
          </w:tcPr>
          <w:p w14:paraId="4E9393A3"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b/>
                <w:color w:val="000000"/>
                <w:sz w:val="20"/>
                <w:szCs w:val="20"/>
              </w:rPr>
              <w:t>1</w:t>
            </w:r>
          </w:p>
        </w:tc>
        <w:tc>
          <w:tcPr>
            <w:tcW w:w="1241" w:type="dxa"/>
            <w:tcBorders>
              <w:bottom w:val="single" w:sz="4" w:space="0" w:color="auto"/>
            </w:tcBorders>
            <w:shd w:val="clear" w:color="auto" w:fill="auto"/>
            <w:noWrap/>
            <w:vAlign w:val="bottom"/>
            <w:hideMark/>
          </w:tcPr>
          <w:p w14:paraId="0E93C1B0"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b/>
                <w:color w:val="000000"/>
                <w:sz w:val="20"/>
                <w:szCs w:val="20"/>
              </w:rPr>
              <w:t>2</w:t>
            </w:r>
          </w:p>
        </w:tc>
        <w:tc>
          <w:tcPr>
            <w:tcW w:w="1241" w:type="dxa"/>
            <w:tcBorders>
              <w:bottom w:val="single" w:sz="4" w:space="0" w:color="auto"/>
            </w:tcBorders>
            <w:shd w:val="clear" w:color="auto" w:fill="auto"/>
            <w:noWrap/>
            <w:vAlign w:val="bottom"/>
            <w:hideMark/>
          </w:tcPr>
          <w:p w14:paraId="557A3EE0"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b/>
                <w:color w:val="000000"/>
                <w:sz w:val="20"/>
                <w:szCs w:val="20"/>
              </w:rPr>
              <w:t>3</w:t>
            </w:r>
          </w:p>
        </w:tc>
        <w:tc>
          <w:tcPr>
            <w:tcW w:w="1241" w:type="dxa"/>
            <w:tcBorders>
              <w:bottom w:val="single" w:sz="4" w:space="0" w:color="auto"/>
            </w:tcBorders>
            <w:shd w:val="clear" w:color="auto" w:fill="auto"/>
            <w:noWrap/>
            <w:vAlign w:val="bottom"/>
            <w:hideMark/>
          </w:tcPr>
          <w:p w14:paraId="4DCAEB38"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b/>
                <w:color w:val="000000"/>
                <w:sz w:val="20"/>
                <w:szCs w:val="20"/>
              </w:rPr>
              <w:t>4</w:t>
            </w:r>
          </w:p>
        </w:tc>
        <w:tc>
          <w:tcPr>
            <w:tcW w:w="1241" w:type="dxa"/>
            <w:tcBorders>
              <w:bottom w:val="single" w:sz="4" w:space="0" w:color="auto"/>
            </w:tcBorders>
            <w:shd w:val="clear" w:color="auto" w:fill="auto"/>
            <w:noWrap/>
            <w:vAlign w:val="bottom"/>
            <w:hideMark/>
          </w:tcPr>
          <w:p w14:paraId="7CAEA6FF"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b/>
                <w:color w:val="000000"/>
                <w:sz w:val="20"/>
                <w:szCs w:val="20"/>
              </w:rPr>
              <w:t>5</w:t>
            </w:r>
          </w:p>
        </w:tc>
        <w:tc>
          <w:tcPr>
            <w:tcW w:w="1243" w:type="dxa"/>
            <w:tcBorders>
              <w:bottom w:val="single" w:sz="4" w:space="0" w:color="auto"/>
              <w:right w:val="single" w:sz="4" w:space="0" w:color="auto"/>
            </w:tcBorders>
            <w:shd w:val="clear" w:color="auto" w:fill="auto"/>
            <w:noWrap/>
            <w:vAlign w:val="bottom"/>
            <w:hideMark/>
          </w:tcPr>
          <w:p w14:paraId="534974CE"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b/>
                <w:color w:val="000000"/>
                <w:sz w:val="20"/>
                <w:szCs w:val="20"/>
              </w:rPr>
              <w:t>6</w:t>
            </w:r>
          </w:p>
        </w:tc>
      </w:tr>
      <w:tr w:rsidR="00E359F0" w:rsidRPr="00D9297E" w14:paraId="5400D1DD" w14:textId="77777777" w:rsidTr="00401B53">
        <w:trPr>
          <w:trHeight w:val="300"/>
          <w:jc w:val="center"/>
        </w:trPr>
        <w:tc>
          <w:tcPr>
            <w:tcW w:w="1577" w:type="dxa"/>
            <w:gridSpan w:val="2"/>
            <w:tcBorders>
              <w:right w:val="single" w:sz="4" w:space="0" w:color="auto"/>
            </w:tcBorders>
            <w:textDirection w:val="btLr"/>
          </w:tcPr>
          <w:p w14:paraId="222FEFF4" w14:textId="77777777" w:rsidR="00E359F0" w:rsidRPr="00D9297E" w:rsidRDefault="00E359F0" w:rsidP="00401B53">
            <w:pPr>
              <w:spacing w:after="0" w:line="240" w:lineRule="auto"/>
              <w:jc w:val="left"/>
              <w:rPr>
                <w:rFonts w:eastAsia="Times New Roman" w:cs="Times New Roman"/>
                <w:b/>
                <w:bCs/>
                <w:color w:val="000000"/>
                <w:sz w:val="20"/>
                <w:szCs w:val="20"/>
              </w:rPr>
            </w:pPr>
          </w:p>
        </w:tc>
        <w:tc>
          <w:tcPr>
            <w:tcW w:w="1265" w:type="dxa"/>
            <w:tcBorders>
              <w:left w:val="single" w:sz="4" w:space="0" w:color="auto"/>
              <w:bottom w:val="single" w:sz="4" w:space="0" w:color="auto"/>
            </w:tcBorders>
            <w:shd w:val="clear" w:color="auto" w:fill="auto"/>
            <w:noWrap/>
            <w:vAlign w:val="bottom"/>
          </w:tcPr>
          <w:p w14:paraId="24152A4D" w14:textId="77777777" w:rsidR="00E359F0" w:rsidRPr="00D9297E" w:rsidRDefault="00E359F0" w:rsidP="00401B53">
            <w:pPr>
              <w:spacing w:after="0" w:line="240" w:lineRule="auto"/>
              <w:jc w:val="center"/>
              <w:rPr>
                <w:rFonts w:eastAsia="Times New Roman" w:cs="Times New Roman"/>
                <w:color w:val="000000"/>
                <w:sz w:val="20"/>
                <w:szCs w:val="20"/>
              </w:rPr>
            </w:pPr>
            <w:r w:rsidRPr="00D9297E">
              <w:rPr>
                <w:rFonts w:eastAsia="Times New Roman" w:cs="Times New Roman"/>
                <w:color w:val="000000"/>
                <w:sz w:val="20"/>
                <w:szCs w:val="20"/>
              </w:rPr>
              <w:t>N (%)</w:t>
            </w:r>
          </w:p>
        </w:tc>
        <w:tc>
          <w:tcPr>
            <w:tcW w:w="1241" w:type="dxa"/>
            <w:tcBorders>
              <w:bottom w:val="single" w:sz="4" w:space="0" w:color="auto"/>
            </w:tcBorders>
            <w:shd w:val="clear" w:color="auto" w:fill="auto"/>
            <w:noWrap/>
            <w:vAlign w:val="bottom"/>
          </w:tcPr>
          <w:p w14:paraId="5B048A76"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color w:val="000000"/>
                <w:sz w:val="20"/>
                <w:szCs w:val="20"/>
              </w:rPr>
              <w:t>N (%)</w:t>
            </w:r>
          </w:p>
        </w:tc>
        <w:tc>
          <w:tcPr>
            <w:tcW w:w="1241" w:type="dxa"/>
            <w:tcBorders>
              <w:bottom w:val="single" w:sz="4" w:space="0" w:color="auto"/>
            </w:tcBorders>
            <w:shd w:val="clear" w:color="auto" w:fill="auto"/>
            <w:noWrap/>
            <w:vAlign w:val="bottom"/>
          </w:tcPr>
          <w:p w14:paraId="5840BD70"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color w:val="000000"/>
                <w:sz w:val="20"/>
                <w:szCs w:val="20"/>
              </w:rPr>
              <w:t>N (%)</w:t>
            </w:r>
          </w:p>
        </w:tc>
        <w:tc>
          <w:tcPr>
            <w:tcW w:w="1241" w:type="dxa"/>
            <w:tcBorders>
              <w:bottom w:val="single" w:sz="4" w:space="0" w:color="auto"/>
            </w:tcBorders>
            <w:shd w:val="clear" w:color="auto" w:fill="auto"/>
            <w:noWrap/>
            <w:vAlign w:val="bottom"/>
          </w:tcPr>
          <w:p w14:paraId="46B05318"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color w:val="000000"/>
                <w:sz w:val="20"/>
                <w:szCs w:val="20"/>
              </w:rPr>
              <w:t>N (%)</w:t>
            </w:r>
          </w:p>
        </w:tc>
        <w:tc>
          <w:tcPr>
            <w:tcW w:w="1241" w:type="dxa"/>
            <w:tcBorders>
              <w:bottom w:val="single" w:sz="4" w:space="0" w:color="auto"/>
            </w:tcBorders>
            <w:shd w:val="clear" w:color="auto" w:fill="auto"/>
            <w:noWrap/>
            <w:vAlign w:val="bottom"/>
          </w:tcPr>
          <w:p w14:paraId="75709EA6"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color w:val="000000"/>
                <w:sz w:val="20"/>
                <w:szCs w:val="20"/>
              </w:rPr>
              <w:t>N (%)</w:t>
            </w:r>
          </w:p>
        </w:tc>
        <w:tc>
          <w:tcPr>
            <w:tcW w:w="1243" w:type="dxa"/>
            <w:tcBorders>
              <w:bottom w:val="single" w:sz="4" w:space="0" w:color="auto"/>
              <w:right w:val="single" w:sz="4" w:space="0" w:color="auto"/>
            </w:tcBorders>
            <w:shd w:val="clear" w:color="auto" w:fill="auto"/>
            <w:noWrap/>
            <w:vAlign w:val="bottom"/>
          </w:tcPr>
          <w:p w14:paraId="7C834BD3" w14:textId="77777777" w:rsidR="00E359F0" w:rsidRPr="00D9297E" w:rsidRDefault="00E359F0" w:rsidP="00401B53">
            <w:pPr>
              <w:spacing w:after="0" w:line="240" w:lineRule="auto"/>
              <w:jc w:val="center"/>
              <w:rPr>
                <w:rFonts w:eastAsia="Times New Roman" w:cs="Times New Roman"/>
                <w:b/>
                <w:color w:val="000000"/>
                <w:sz w:val="20"/>
                <w:szCs w:val="20"/>
              </w:rPr>
            </w:pPr>
            <w:r w:rsidRPr="00D9297E">
              <w:rPr>
                <w:rFonts w:eastAsia="Times New Roman" w:cs="Times New Roman"/>
                <w:color w:val="000000"/>
                <w:sz w:val="20"/>
                <w:szCs w:val="20"/>
              </w:rPr>
              <w:t>N (%)</w:t>
            </w:r>
          </w:p>
        </w:tc>
      </w:tr>
      <w:tr w:rsidR="00E359F0" w:rsidRPr="00D9297E" w14:paraId="71779E1F" w14:textId="77777777" w:rsidTr="00401B53">
        <w:trPr>
          <w:trHeight w:val="434"/>
          <w:jc w:val="center"/>
        </w:trPr>
        <w:tc>
          <w:tcPr>
            <w:tcW w:w="734" w:type="dxa"/>
            <w:vMerge w:val="restart"/>
            <w:tcBorders>
              <w:bottom w:val="single" w:sz="4" w:space="0" w:color="auto"/>
            </w:tcBorders>
            <w:textDirection w:val="btLr"/>
          </w:tcPr>
          <w:p w14:paraId="3E8000FF" w14:textId="77777777" w:rsidR="00E359F0" w:rsidRPr="00D9297E" w:rsidRDefault="00E359F0" w:rsidP="00401B53">
            <w:pPr>
              <w:spacing w:after="0" w:line="240" w:lineRule="auto"/>
              <w:ind w:left="113" w:right="113"/>
              <w:jc w:val="center"/>
              <w:rPr>
                <w:rFonts w:eastAsia="Times New Roman" w:cs="Times New Roman"/>
                <w:color w:val="000000"/>
                <w:sz w:val="20"/>
                <w:szCs w:val="20"/>
              </w:rPr>
            </w:pPr>
            <w:r w:rsidRPr="00D9297E">
              <w:rPr>
                <w:rFonts w:eastAsia="Times New Roman" w:cs="Times New Roman"/>
                <w:color w:val="000000"/>
                <w:sz w:val="20"/>
                <w:szCs w:val="20"/>
              </w:rPr>
              <w:t>Transitions From…</w:t>
            </w:r>
          </w:p>
        </w:tc>
        <w:tc>
          <w:tcPr>
            <w:tcW w:w="843" w:type="dxa"/>
            <w:tcBorders>
              <w:right w:val="single" w:sz="4" w:space="0" w:color="auto"/>
            </w:tcBorders>
            <w:shd w:val="clear" w:color="auto" w:fill="auto"/>
            <w:noWrap/>
            <w:vAlign w:val="bottom"/>
            <w:hideMark/>
          </w:tcPr>
          <w:p w14:paraId="4FB31E30" w14:textId="77777777" w:rsidR="00E359F0" w:rsidRPr="00D9297E" w:rsidRDefault="00E359F0" w:rsidP="00401B53">
            <w:pPr>
              <w:spacing w:after="0" w:line="240" w:lineRule="auto"/>
              <w:jc w:val="right"/>
              <w:rPr>
                <w:rFonts w:eastAsia="Times New Roman" w:cs="Times New Roman"/>
                <w:b/>
                <w:color w:val="000000"/>
                <w:sz w:val="20"/>
                <w:szCs w:val="20"/>
              </w:rPr>
            </w:pPr>
            <w:r w:rsidRPr="00D9297E">
              <w:rPr>
                <w:rFonts w:eastAsia="Times New Roman" w:cs="Times New Roman"/>
                <w:b/>
                <w:color w:val="000000"/>
                <w:sz w:val="20"/>
                <w:szCs w:val="20"/>
              </w:rPr>
              <w:t>1</w:t>
            </w:r>
          </w:p>
        </w:tc>
        <w:tc>
          <w:tcPr>
            <w:tcW w:w="1265" w:type="dxa"/>
            <w:tcBorders>
              <w:left w:val="single" w:sz="4" w:space="0" w:color="auto"/>
            </w:tcBorders>
            <w:shd w:val="clear" w:color="auto" w:fill="auto"/>
            <w:noWrap/>
            <w:vAlign w:val="bottom"/>
          </w:tcPr>
          <w:p w14:paraId="2599F254"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445 (99.1)</w:t>
            </w:r>
          </w:p>
        </w:tc>
        <w:tc>
          <w:tcPr>
            <w:tcW w:w="1241" w:type="dxa"/>
            <w:shd w:val="clear" w:color="auto" w:fill="auto"/>
            <w:noWrap/>
            <w:vAlign w:val="bottom"/>
          </w:tcPr>
          <w:p w14:paraId="1DF240A8"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 (0.2)</w:t>
            </w:r>
          </w:p>
        </w:tc>
        <w:tc>
          <w:tcPr>
            <w:tcW w:w="1241" w:type="dxa"/>
            <w:shd w:val="clear" w:color="auto" w:fill="auto"/>
            <w:noWrap/>
            <w:vAlign w:val="bottom"/>
          </w:tcPr>
          <w:p w14:paraId="71A73316"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3 (0.7)</w:t>
            </w:r>
          </w:p>
        </w:tc>
        <w:tc>
          <w:tcPr>
            <w:tcW w:w="1241" w:type="dxa"/>
            <w:shd w:val="clear" w:color="auto" w:fill="auto"/>
            <w:noWrap/>
            <w:vAlign w:val="bottom"/>
          </w:tcPr>
          <w:p w14:paraId="365FCCD4"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c>
          <w:tcPr>
            <w:tcW w:w="1241" w:type="dxa"/>
            <w:shd w:val="clear" w:color="auto" w:fill="auto"/>
            <w:noWrap/>
            <w:vAlign w:val="bottom"/>
          </w:tcPr>
          <w:p w14:paraId="1441A1FB"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c>
          <w:tcPr>
            <w:tcW w:w="1243" w:type="dxa"/>
            <w:shd w:val="clear" w:color="auto" w:fill="auto"/>
            <w:noWrap/>
            <w:vAlign w:val="bottom"/>
          </w:tcPr>
          <w:p w14:paraId="34EFE02B"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r>
      <w:tr w:rsidR="00E359F0" w:rsidRPr="00D9297E" w14:paraId="5F5F5A8F" w14:textId="77777777" w:rsidTr="00401B53">
        <w:trPr>
          <w:trHeight w:val="434"/>
          <w:jc w:val="center"/>
        </w:trPr>
        <w:tc>
          <w:tcPr>
            <w:tcW w:w="734" w:type="dxa"/>
            <w:vMerge/>
            <w:tcBorders>
              <w:top w:val="single" w:sz="4" w:space="0" w:color="auto"/>
              <w:bottom w:val="single" w:sz="4" w:space="0" w:color="auto"/>
            </w:tcBorders>
          </w:tcPr>
          <w:p w14:paraId="14F9F690" w14:textId="77777777" w:rsidR="00E359F0" w:rsidRPr="00D9297E" w:rsidRDefault="00E359F0" w:rsidP="00401B53">
            <w:pPr>
              <w:spacing w:after="0" w:line="240" w:lineRule="auto"/>
              <w:jc w:val="right"/>
              <w:rPr>
                <w:rFonts w:eastAsia="Times New Roman" w:cs="Times New Roman"/>
                <w:color w:val="000000"/>
                <w:sz w:val="20"/>
                <w:szCs w:val="20"/>
              </w:rPr>
            </w:pPr>
          </w:p>
        </w:tc>
        <w:tc>
          <w:tcPr>
            <w:tcW w:w="843" w:type="dxa"/>
            <w:tcBorders>
              <w:right w:val="single" w:sz="4" w:space="0" w:color="auto"/>
            </w:tcBorders>
            <w:shd w:val="clear" w:color="auto" w:fill="auto"/>
            <w:noWrap/>
            <w:vAlign w:val="bottom"/>
            <w:hideMark/>
          </w:tcPr>
          <w:p w14:paraId="5474A9FC" w14:textId="77777777" w:rsidR="00E359F0" w:rsidRPr="00D9297E" w:rsidRDefault="00E359F0" w:rsidP="00401B53">
            <w:pPr>
              <w:spacing w:after="0" w:line="240" w:lineRule="auto"/>
              <w:jc w:val="right"/>
              <w:rPr>
                <w:rFonts w:eastAsia="Times New Roman" w:cs="Times New Roman"/>
                <w:b/>
                <w:color w:val="000000"/>
                <w:sz w:val="20"/>
                <w:szCs w:val="20"/>
              </w:rPr>
            </w:pPr>
            <w:r w:rsidRPr="00D9297E">
              <w:rPr>
                <w:rFonts w:eastAsia="Times New Roman" w:cs="Times New Roman"/>
                <w:b/>
                <w:color w:val="000000"/>
                <w:sz w:val="20"/>
                <w:szCs w:val="20"/>
              </w:rPr>
              <w:t>2</w:t>
            </w:r>
          </w:p>
        </w:tc>
        <w:tc>
          <w:tcPr>
            <w:tcW w:w="1265" w:type="dxa"/>
            <w:tcBorders>
              <w:left w:val="single" w:sz="4" w:space="0" w:color="auto"/>
            </w:tcBorders>
            <w:shd w:val="clear" w:color="auto" w:fill="auto"/>
            <w:noWrap/>
            <w:vAlign w:val="bottom"/>
          </w:tcPr>
          <w:p w14:paraId="1AAA00D1"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2 (0.4)</w:t>
            </w:r>
          </w:p>
        </w:tc>
        <w:tc>
          <w:tcPr>
            <w:tcW w:w="1241" w:type="dxa"/>
            <w:shd w:val="clear" w:color="auto" w:fill="auto"/>
            <w:noWrap/>
            <w:vAlign w:val="bottom"/>
          </w:tcPr>
          <w:p w14:paraId="06EE045B"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441 (93.4)</w:t>
            </w:r>
          </w:p>
        </w:tc>
        <w:tc>
          <w:tcPr>
            <w:tcW w:w="1241" w:type="dxa"/>
            <w:shd w:val="clear" w:color="auto" w:fill="auto"/>
            <w:noWrap/>
            <w:vAlign w:val="bottom"/>
          </w:tcPr>
          <w:p w14:paraId="7429D3E6"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24 (5.1)</w:t>
            </w:r>
          </w:p>
        </w:tc>
        <w:tc>
          <w:tcPr>
            <w:tcW w:w="1241" w:type="dxa"/>
            <w:shd w:val="clear" w:color="auto" w:fill="auto"/>
            <w:noWrap/>
            <w:vAlign w:val="bottom"/>
          </w:tcPr>
          <w:p w14:paraId="03B30B48"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5 (1.1)</w:t>
            </w:r>
          </w:p>
        </w:tc>
        <w:tc>
          <w:tcPr>
            <w:tcW w:w="1241" w:type="dxa"/>
            <w:shd w:val="clear" w:color="auto" w:fill="auto"/>
            <w:noWrap/>
            <w:vAlign w:val="bottom"/>
          </w:tcPr>
          <w:p w14:paraId="06C46BDA"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c>
          <w:tcPr>
            <w:tcW w:w="1243" w:type="dxa"/>
            <w:shd w:val="clear" w:color="auto" w:fill="auto"/>
            <w:noWrap/>
            <w:vAlign w:val="bottom"/>
          </w:tcPr>
          <w:p w14:paraId="386A417E"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r>
      <w:tr w:rsidR="00E359F0" w:rsidRPr="00D9297E" w14:paraId="518BD2C0" w14:textId="77777777" w:rsidTr="00401B53">
        <w:trPr>
          <w:trHeight w:val="434"/>
          <w:jc w:val="center"/>
        </w:trPr>
        <w:tc>
          <w:tcPr>
            <w:tcW w:w="734" w:type="dxa"/>
            <w:vMerge/>
            <w:tcBorders>
              <w:top w:val="single" w:sz="4" w:space="0" w:color="auto"/>
              <w:bottom w:val="single" w:sz="4" w:space="0" w:color="auto"/>
            </w:tcBorders>
          </w:tcPr>
          <w:p w14:paraId="68220D58" w14:textId="77777777" w:rsidR="00E359F0" w:rsidRPr="00D9297E" w:rsidRDefault="00E359F0" w:rsidP="00401B53">
            <w:pPr>
              <w:spacing w:after="0" w:line="240" w:lineRule="auto"/>
              <w:jc w:val="right"/>
              <w:rPr>
                <w:rFonts w:eastAsia="Times New Roman" w:cs="Times New Roman"/>
                <w:color w:val="000000"/>
                <w:sz w:val="20"/>
                <w:szCs w:val="20"/>
              </w:rPr>
            </w:pPr>
          </w:p>
        </w:tc>
        <w:tc>
          <w:tcPr>
            <w:tcW w:w="843" w:type="dxa"/>
            <w:tcBorders>
              <w:right w:val="single" w:sz="4" w:space="0" w:color="auto"/>
            </w:tcBorders>
            <w:shd w:val="clear" w:color="auto" w:fill="auto"/>
            <w:noWrap/>
            <w:vAlign w:val="bottom"/>
            <w:hideMark/>
          </w:tcPr>
          <w:p w14:paraId="7D66CA4C" w14:textId="77777777" w:rsidR="00E359F0" w:rsidRPr="00D9297E" w:rsidRDefault="00E359F0" w:rsidP="00401B53">
            <w:pPr>
              <w:spacing w:after="0" w:line="240" w:lineRule="auto"/>
              <w:jc w:val="right"/>
              <w:rPr>
                <w:rFonts w:eastAsia="Times New Roman" w:cs="Times New Roman"/>
                <w:b/>
                <w:color w:val="000000"/>
                <w:sz w:val="20"/>
                <w:szCs w:val="20"/>
              </w:rPr>
            </w:pPr>
            <w:r w:rsidRPr="00D9297E">
              <w:rPr>
                <w:rFonts w:eastAsia="Times New Roman" w:cs="Times New Roman"/>
                <w:b/>
                <w:color w:val="000000"/>
                <w:sz w:val="20"/>
                <w:szCs w:val="20"/>
              </w:rPr>
              <w:t>3</w:t>
            </w:r>
          </w:p>
        </w:tc>
        <w:tc>
          <w:tcPr>
            <w:tcW w:w="1265" w:type="dxa"/>
            <w:tcBorders>
              <w:left w:val="single" w:sz="4" w:space="0" w:color="auto"/>
            </w:tcBorders>
            <w:shd w:val="clear" w:color="auto" w:fill="auto"/>
            <w:noWrap/>
            <w:vAlign w:val="bottom"/>
          </w:tcPr>
          <w:p w14:paraId="6B6BC3F0"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6 (3)</w:t>
            </w:r>
          </w:p>
        </w:tc>
        <w:tc>
          <w:tcPr>
            <w:tcW w:w="1241" w:type="dxa"/>
            <w:shd w:val="clear" w:color="auto" w:fill="auto"/>
            <w:noWrap/>
            <w:vAlign w:val="bottom"/>
          </w:tcPr>
          <w:p w14:paraId="2048B19F"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10 (5)</w:t>
            </w:r>
          </w:p>
        </w:tc>
        <w:tc>
          <w:tcPr>
            <w:tcW w:w="1241" w:type="dxa"/>
            <w:shd w:val="clear" w:color="auto" w:fill="auto"/>
            <w:noWrap/>
            <w:vAlign w:val="bottom"/>
          </w:tcPr>
          <w:p w14:paraId="1FD2D5BD"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170 (85)</w:t>
            </w:r>
          </w:p>
        </w:tc>
        <w:tc>
          <w:tcPr>
            <w:tcW w:w="1241" w:type="dxa"/>
            <w:shd w:val="clear" w:color="auto" w:fill="auto"/>
            <w:noWrap/>
            <w:vAlign w:val="bottom"/>
          </w:tcPr>
          <w:p w14:paraId="765E773E"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c>
          <w:tcPr>
            <w:tcW w:w="1241" w:type="dxa"/>
            <w:shd w:val="clear" w:color="auto" w:fill="auto"/>
            <w:noWrap/>
            <w:vAlign w:val="bottom"/>
          </w:tcPr>
          <w:p w14:paraId="21117F95"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5 (2.5)</w:t>
            </w:r>
          </w:p>
        </w:tc>
        <w:tc>
          <w:tcPr>
            <w:tcW w:w="1243" w:type="dxa"/>
            <w:shd w:val="clear" w:color="auto" w:fill="auto"/>
            <w:noWrap/>
            <w:vAlign w:val="bottom"/>
          </w:tcPr>
          <w:p w14:paraId="37584CEC"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9 (4.5)</w:t>
            </w:r>
          </w:p>
        </w:tc>
      </w:tr>
      <w:tr w:rsidR="00E359F0" w:rsidRPr="00D9297E" w14:paraId="714CA288" w14:textId="77777777" w:rsidTr="00401B53">
        <w:trPr>
          <w:trHeight w:val="434"/>
          <w:jc w:val="center"/>
        </w:trPr>
        <w:tc>
          <w:tcPr>
            <w:tcW w:w="734" w:type="dxa"/>
            <w:vMerge/>
            <w:tcBorders>
              <w:top w:val="single" w:sz="4" w:space="0" w:color="auto"/>
              <w:bottom w:val="single" w:sz="4" w:space="0" w:color="auto"/>
            </w:tcBorders>
          </w:tcPr>
          <w:p w14:paraId="7C20E17E" w14:textId="77777777" w:rsidR="00E359F0" w:rsidRPr="00D9297E" w:rsidRDefault="00E359F0" w:rsidP="00401B53">
            <w:pPr>
              <w:spacing w:after="0" w:line="240" w:lineRule="auto"/>
              <w:jc w:val="right"/>
              <w:rPr>
                <w:rFonts w:eastAsia="Times New Roman" w:cs="Times New Roman"/>
                <w:color w:val="000000"/>
                <w:sz w:val="20"/>
                <w:szCs w:val="20"/>
              </w:rPr>
            </w:pPr>
          </w:p>
        </w:tc>
        <w:tc>
          <w:tcPr>
            <w:tcW w:w="843" w:type="dxa"/>
            <w:tcBorders>
              <w:right w:val="single" w:sz="4" w:space="0" w:color="auto"/>
            </w:tcBorders>
            <w:shd w:val="clear" w:color="auto" w:fill="auto"/>
            <w:noWrap/>
            <w:vAlign w:val="bottom"/>
            <w:hideMark/>
          </w:tcPr>
          <w:p w14:paraId="1477A57F" w14:textId="77777777" w:rsidR="00E359F0" w:rsidRPr="00D9297E" w:rsidRDefault="00E359F0" w:rsidP="00401B53">
            <w:pPr>
              <w:spacing w:after="0" w:line="240" w:lineRule="auto"/>
              <w:jc w:val="right"/>
              <w:rPr>
                <w:rFonts w:eastAsia="Times New Roman" w:cs="Times New Roman"/>
                <w:b/>
                <w:color w:val="000000"/>
                <w:sz w:val="20"/>
                <w:szCs w:val="20"/>
              </w:rPr>
            </w:pPr>
            <w:r w:rsidRPr="00D9297E">
              <w:rPr>
                <w:rFonts w:eastAsia="Times New Roman" w:cs="Times New Roman"/>
                <w:b/>
                <w:color w:val="000000"/>
                <w:sz w:val="20"/>
                <w:szCs w:val="20"/>
              </w:rPr>
              <w:t>4</w:t>
            </w:r>
          </w:p>
        </w:tc>
        <w:tc>
          <w:tcPr>
            <w:tcW w:w="1265" w:type="dxa"/>
            <w:tcBorders>
              <w:left w:val="single" w:sz="4" w:space="0" w:color="auto"/>
            </w:tcBorders>
            <w:shd w:val="clear" w:color="auto" w:fill="auto"/>
            <w:noWrap/>
            <w:vAlign w:val="bottom"/>
          </w:tcPr>
          <w:p w14:paraId="4D14C364"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 (0.6)</w:t>
            </w:r>
          </w:p>
        </w:tc>
        <w:tc>
          <w:tcPr>
            <w:tcW w:w="1241" w:type="dxa"/>
            <w:shd w:val="clear" w:color="auto" w:fill="auto"/>
            <w:noWrap/>
            <w:vAlign w:val="bottom"/>
          </w:tcPr>
          <w:p w14:paraId="3098AD65"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8 (4.8)</w:t>
            </w:r>
          </w:p>
        </w:tc>
        <w:tc>
          <w:tcPr>
            <w:tcW w:w="1241" w:type="dxa"/>
            <w:shd w:val="clear" w:color="auto" w:fill="auto"/>
            <w:noWrap/>
            <w:vAlign w:val="bottom"/>
          </w:tcPr>
          <w:p w14:paraId="6C40BBE7"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c>
          <w:tcPr>
            <w:tcW w:w="1241" w:type="dxa"/>
            <w:shd w:val="clear" w:color="auto" w:fill="auto"/>
            <w:noWrap/>
            <w:vAlign w:val="bottom"/>
          </w:tcPr>
          <w:p w14:paraId="0A758050"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155 (93.4)</w:t>
            </w:r>
          </w:p>
        </w:tc>
        <w:tc>
          <w:tcPr>
            <w:tcW w:w="1241" w:type="dxa"/>
            <w:shd w:val="clear" w:color="auto" w:fill="auto"/>
            <w:noWrap/>
            <w:vAlign w:val="bottom"/>
          </w:tcPr>
          <w:p w14:paraId="58C8260C"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0 (0)</w:t>
            </w:r>
          </w:p>
        </w:tc>
        <w:tc>
          <w:tcPr>
            <w:tcW w:w="1243" w:type="dxa"/>
            <w:shd w:val="clear" w:color="auto" w:fill="auto"/>
            <w:noWrap/>
            <w:vAlign w:val="bottom"/>
          </w:tcPr>
          <w:p w14:paraId="116881EA"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2 (1.2)</w:t>
            </w:r>
          </w:p>
        </w:tc>
      </w:tr>
      <w:tr w:rsidR="00E359F0" w:rsidRPr="00D9297E" w14:paraId="144B0B00" w14:textId="77777777" w:rsidTr="00401B53">
        <w:trPr>
          <w:trHeight w:val="434"/>
          <w:jc w:val="center"/>
        </w:trPr>
        <w:tc>
          <w:tcPr>
            <w:tcW w:w="734" w:type="dxa"/>
            <w:vMerge/>
            <w:tcBorders>
              <w:top w:val="single" w:sz="4" w:space="0" w:color="auto"/>
              <w:bottom w:val="single" w:sz="4" w:space="0" w:color="auto"/>
            </w:tcBorders>
          </w:tcPr>
          <w:p w14:paraId="240421E9" w14:textId="77777777" w:rsidR="00E359F0" w:rsidRPr="00D9297E" w:rsidRDefault="00E359F0" w:rsidP="00401B53">
            <w:pPr>
              <w:spacing w:after="0" w:line="240" w:lineRule="auto"/>
              <w:jc w:val="right"/>
              <w:rPr>
                <w:rFonts w:eastAsia="Times New Roman" w:cs="Times New Roman"/>
                <w:color w:val="000000"/>
                <w:sz w:val="20"/>
                <w:szCs w:val="20"/>
              </w:rPr>
            </w:pPr>
          </w:p>
        </w:tc>
        <w:tc>
          <w:tcPr>
            <w:tcW w:w="843" w:type="dxa"/>
            <w:tcBorders>
              <w:right w:val="single" w:sz="4" w:space="0" w:color="auto"/>
            </w:tcBorders>
            <w:shd w:val="clear" w:color="auto" w:fill="auto"/>
            <w:noWrap/>
            <w:vAlign w:val="bottom"/>
            <w:hideMark/>
          </w:tcPr>
          <w:p w14:paraId="4D95ADB4" w14:textId="77777777" w:rsidR="00E359F0" w:rsidRPr="00D9297E" w:rsidRDefault="00E359F0" w:rsidP="00401B53">
            <w:pPr>
              <w:spacing w:after="0" w:line="240" w:lineRule="auto"/>
              <w:jc w:val="right"/>
              <w:rPr>
                <w:rFonts w:eastAsia="Times New Roman" w:cs="Times New Roman"/>
                <w:b/>
                <w:color w:val="000000"/>
                <w:sz w:val="20"/>
                <w:szCs w:val="20"/>
              </w:rPr>
            </w:pPr>
            <w:r w:rsidRPr="00D9297E">
              <w:rPr>
                <w:rFonts w:eastAsia="Times New Roman" w:cs="Times New Roman"/>
                <w:b/>
                <w:color w:val="000000"/>
                <w:sz w:val="20"/>
                <w:szCs w:val="20"/>
              </w:rPr>
              <w:t>5</w:t>
            </w:r>
          </w:p>
        </w:tc>
        <w:tc>
          <w:tcPr>
            <w:tcW w:w="1265" w:type="dxa"/>
            <w:tcBorders>
              <w:left w:val="single" w:sz="4" w:space="0" w:color="auto"/>
            </w:tcBorders>
            <w:shd w:val="clear" w:color="auto" w:fill="auto"/>
            <w:noWrap/>
            <w:vAlign w:val="bottom"/>
          </w:tcPr>
          <w:p w14:paraId="0235A5DD"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11 (5.6)</w:t>
            </w:r>
          </w:p>
        </w:tc>
        <w:tc>
          <w:tcPr>
            <w:tcW w:w="1241" w:type="dxa"/>
            <w:shd w:val="clear" w:color="auto" w:fill="auto"/>
            <w:noWrap/>
            <w:vAlign w:val="bottom"/>
          </w:tcPr>
          <w:p w14:paraId="5F28D019"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8 (4)</w:t>
            </w:r>
          </w:p>
        </w:tc>
        <w:tc>
          <w:tcPr>
            <w:tcW w:w="1241" w:type="dxa"/>
            <w:shd w:val="clear" w:color="auto" w:fill="auto"/>
            <w:noWrap/>
            <w:vAlign w:val="bottom"/>
          </w:tcPr>
          <w:p w14:paraId="3BC42D7F"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 (0.5)</w:t>
            </w:r>
          </w:p>
        </w:tc>
        <w:tc>
          <w:tcPr>
            <w:tcW w:w="1241" w:type="dxa"/>
            <w:shd w:val="clear" w:color="auto" w:fill="auto"/>
            <w:noWrap/>
            <w:vAlign w:val="bottom"/>
          </w:tcPr>
          <w:p w14:paraId="70122685"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4 (2)</w:t>
            </w:r>
          </w:p>
        </w:tc>
        <w:tc>
          <w:tcPr>
            <w:tcW w:w="1241" w:type="dxa"/>
            <w:shd w:val="clear" w:color="auto" w:fill="auto"/>
            <w:noWrap/>
            <w:vAlign w:val="bottom"/>
          </w:tcPr>
          <w:p w14:paraId="035C9DCD"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167 (84.3)</w:t>
            </w:r>
          </w:p>
        </w:tc>
        <w:tc>
          <w:tcPr>
            <w:tcW w:w="1243" w:type="dxa"/>
            <w:shd w:val="clear" w:color="auto" w:fill="auto"/>
            <w:noWrap/>
            <w:vAlign w:val="bottom"/>
          </w:tcPr>
          <w:p w14:paraId="131E8117"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7 (3.5)</w:t>
            </w:r>
          </w:p>
        </w:tc>
      </w:tr>
      <w:tr w:rsidR="00E359F0" w:rsidRPr="00D9297E" w14:paraId="14368EB5" w14:textId="77777777" w:rsidTr="00401B53">
        <w:trPr>
          <w:trHeight w:val="434"/>
          <w:jc w:val="center"/>
        </w:trPr>
        <w:tc>
          <w:tcPr>
            <w:tcW w:w="734" w:type="dxa"/>
            <w:vMerge/>
            <w:tcBorders>
              <w:top w:val="single" w:sz="4" w:space="0" w:color="auto"/>
              <w:bottom w:val="single" w:sz="4" w:space="0" w:color="auto"/>
            </w:tcBorders>
          </w:tcPr>
          <w:p w14:paraId="1DF1C8F5" w14:textId="77777777" w:rsidR="00E359F0" w:rsidRPr="00D9297E" w:rsidRDefault="00E359F0" w:rsidP="00401B53">
            <w:pPr>
              <w:spacing w:after="0" w:line="240" w:lineRule="auto"/>
              <w:jc w:val="right"/>
              <w:rPr>
                <w:rFonts w:eastAsia="Times New Roman" w:cs="Times New Roman"/>
                <w:color w:val="000000"/>
                <w:sz w:val="20"/>
                <w:szCs w:val="20"/>
              </w:rPr>
            </w:pPr>
          </w:p>
        </w:tc>
        <w:tc>
          <w:tcPr>
            <w:tcW w:w="843" w:type="dxa"/>
            <w:tcBorders>
              <w:bottom w:val="single" w:sz="4" w:space="0" w:color="auto"/>
              <w:right w:val="single" w:sz="4" w:space="0" w:color="auto"/>
            </w:tcBorders>
            <w:shd w:val="clear" w:color="auto" w:fill="auto"/>
            <w:noWrap/>
            <w:vAlign w:val="bottom"/>
            <w:hideMark/>
          </w:tcPr>
          <w:p w14:paraId="5FB71D31" w14:textId="77777777" w:rsidR="00E359F0" w:rsidRPr="00D9297E" w:rsidRDefault="00E359F0" w:rsidP="00401B53">
            <w:pPr>
              <w:spacing w:after="0" w:line="240" w:lineRule="auto"/>
              <w:jc w:val="right"/>
              <w:rPr>
                <w:rFonts w:eastAsia="Times New Roman" w:cs="Times New Roman"/>
                <w:b/>
                <w:color w:val="000000"/>
                <w:sz w:val="20"/>
                <w:szCs w:val="20"/>
              </w:rPr>
            </w:pPr>
            <w:r w:rsidRPr="00D9297E">
              <w:rPr>
                <w:rFonts w:eastAsia="Times New Roman" w:cs="Times New Roman"/>
                <w:b/>
                <w:color w:val="000000"/>
                <w:sz w:val="20"/>
                <w:szCs w:val="20"/>
              </w:rPr>
              <w:t>6</w:t>
            </w:r>
          </w:p>
        </w:tc>
        <w:tc>
          <w:tcPr>
            <w:tcW w:w="1265" w:type="dxa"/>
            <w:tcBorders>
              <w:left w:val="single" w:sz="4" w:space="0" w:color="auto"/>
              <w:bottom w:val="single" w:sz="4" w:space="0" w:color="auto"/>
            </w:tcBorders>
            <w:shd w:val="clear" w:color="auto" w:fill="auto"/>
            <w:noWrap/>
            <w:vAlign w:val="bottom"/>
          </w:tcPr>
          <w:p w14:paraId="0EE7D7DD"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 (0.5)</w:t>
            </w:r>
          </w:p>
        </w:tc>
        <w:tc>
          <w:tcPr>
            <w:tcW w:w="1241" w:type="dxa"/>
            <w:tcBorders>
              <w:bottom w:val="single" w:sz="4" w:space="0" w:color="auto"/>
            </w:tcBorders>
            <w:shd w:val="clear" w:color="auto" w:fill="auto"/>
            <w:noWrap/>
            <w:vAlign w:val="bottom"/>
          </w:tcPr>
          <w:p w14:paraId="6F5104CF"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9 (4.6)</w:t>
            </w:r>
          </w:p>
        </w:tc>
        <w:tc>
          <w:tcPr>
            <w:tcW w:w="1241" w:type="dxa"/>
            <w:tcBorders>
              <w:bottom w:val="single" w:sz="4" w:space="0" w:color="auto"/>
            </w:tcBorders>
            <w:shd w:val="clear" w:color="auto" w:fill="auto"/>
            <w:noWrap/>
            <w:vAlign w:val="bottom"/>
          </w:tcPr>
          <w:p w14:paraId="12327D00"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3 (1.5)</w:t>
            </w:r>
          </w:p>
        </w:tc>
        <w:tc>
          <w:tcPr>
            <w:tcW w:w="1241" w:type="dxa"/>
            <w:tcBorders>
              <w:bottom w:val="single" w:sz="4" w:space="0" w:color="auto"/>
            </w:tcBorders>
            <w:shd w:val="clear" w:color="auto" w:fill="auto"/>
            <w:noWrap/>
            <w:vAlign w:val="bottom"/>
          </w:tcPr>
          <w:p w14:paraId="35F22FF5"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2 (1)</w:t>
            </w:r>
          </w:p>
        </w:tc>
        <w:tc>
          <w:tcPr>
            <w:tcW w:w="1241" w:type="dxa"/>
            <w:tcBorders>
              <w:bottom w:val="single" w:sz="4" w:space="0" w:color="auto"/>
            </w:tcBorders>
            <w:shd w:val="clear" w:color="auto" w:fill="auto"/>
            <w:noWrap/>
            <w:vAlign w:val="bottom"/>
          </w:tcPr>
          <w:p w14:paraId="2726A45F"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20 (10.2)</w:t>
            </w:r>
          </w:p>
        </w:tc>
        <w:tc>
          <w:tcPr>
            <w:tcW w:w="1243" w:type="dxa"/>
            <w:tcBorders>
              <w:bottom w:val="single" w:sz="4" w:space="0" w:color="auto"/>
            </w:tcBorders>
            <w:shd w:val="clear" w:color="auto" w:fill="auto"/>
            <w:noWrap/>
            <w:vAlign w:val="bottom"/>
          </w:tcPr>
          <w:p w14:paraId="107C863D" w14:textId="77777777" w:rsidR="00E359F0" w:rsidRPr="00D9297E" w:rsidRDefault="00E359F0" w:rsidP="00401B53">
            <w:pPr>
              <w:spacing w:after="0" w:line="240" w:lineRule="auto"/>
              <w:jc w:val="left"/>
              <w:rPr>
                <w:rFonts w:eastAsia="Times New Roman" w:cs="Times New Roman"/>
                <w:color w:val="000000"/>
                <w:sz w:val="20"/>
                <w:szCs w:val="20"/>
              </w:rPr>
            </w:pPr>
            <w:r w:rsidRPr="00D9297E">
              <w:rPr>
                <w:rFonts w:cs="Times New Roman"/>
                <w:color w:val="000000"/>
                <w:sz w:val="20"/>
                <w:szCs w:val="20"/>
              </w:rPr>
              <w:t>161 (82.1)</w:t>
            </w:r>
          </w:p>
        </w:tc>
      </w:tr>
    </w:tbl>
    <w:p w14:paraId="0C0D603E" w14:textId="77777777" w:rsidR="00E359F0" w:rsidRDefault="00E359F0" w:rsidP="00E359F0">
      <w:pPr>
        <w:spacing w:after="0" w:line="240" w:lineRule="auto"/>
        <w:jc w:val="center"/>
        <w:rPr>
          <w:rFonts w:cs="Times New Roman"/>
          <w:lang w:val="en-CA"/>
        </w:rPr>
      </w:pPr>
    </w:p>
    <w:p w14:paraId="7831DD9F" w14:textId="77777777" w:rsidR="00E359F0" w:rsidRPr="00207141" w:rsidRDefault="00E359F0" w:rsidP="00E359F0">
      <w:pPr>
        <w:spacing w:after="0" w:line="240" w:lineRule="auto"/>
        <w:jc w:val="center"/>
        <w:rPr>
          <w:rFonts w:cs="Times New Roman"/>
          <w:caps/>
          <w:lang w:val="en-CA"/>
        </w:rPr>
      </w:pPr>
      <w:r>
        <w:rPr>
          <w:rFonts w:cs="Times New Roman"/>
          <w:lang w:val="en-CA"/>
        </w:rPr>
        <w:t xml:space="preserve">1 = Limited Drug Use, 2 = Conventional Drug Use, 3 = Club Drug Use, 4 = Sex Drug Use, 5 = Street Drug Use, 6 = Assorted Drug Use; </w:t>
      </w:r>
      <w:r w:rsidRPr="00207141">
        <w:rPr>
          <w:rFonts w:cs="Times New Roman"/>
          <w:lang w:val="en-CA"/>
        </w:rPr>
        <w:t xml:space="preserve">The </w:t>
      </w:r>
      <w:r>
        <w:rPr>
          <w:rFonts w:cs="Times New Roman"/>
          <w:lang w:val="en-CA"/>
        </w:rPr>
        <w:t>c</w:t>
      </w:r>
      <w:r w:rsidRPr="00207141">
        <w:rPr>
          <w:rFonts w:cs="Times New Roman"/>
          <w:lang w:val="en-CA"/>
        </w:rPr>
        <w:t xml:space="preserve">ell values above </w:t>
      </w:r>
      <w:r>
        <w:rPr>
          <w:rFonts w:cs="Times New Roman"/>
          <w:lang w:val="en-CA"/>
        </w:rPr>
        <w:t>are aggregated across all observed visits</w:t>
      </w:r>
      <w:r w:rsidRPr="00207141">
        <w:rPr>
          <w:rFonts w:cs="Times New Roman"/>
          <w:lang w:val="en-CA"/>
        </w:rPr>
        <w:t>. Transitions occurred horizontally across the transition matrix, with each class on the left axis representing the class that a visit started in and each class on the top axis representing the class that a visit ended in.</w:t>
      </w:r>
    </w:p>
    <w:p w14:paraId="2C101852" w14:textId="77777777" w:rsidR="00E359F0" w:rsidRDefault="00E359F0" w:rsidP="00E359F0">
      <w:pPr>
        <w:spacing w:after="0"/>
        <w:jc w:val="left"/>
        <w:rPr>
          <w:rFonts w:cs="Times New Roman"/>
          <w:caps/>
          <w:lang w:val="en-CA"/>
        </w:rPr>
      </w:pPr>
    </w:p>
    <w:p w14:paraId="0081C980" w14:textId="06D3790A" w:rsidR="00E359F0" w:rsidRDefault="00E359F0">
      <w:pPr>
        <w:spacing w:after="0" w:line="240" w:lineRule="auto"/>
        <w:jc w:val="left"/>
      </w:pPr>
      <w:r>
        <w:br w:type="page"/>
      </w:r>
    </w:p>
    <w:p w14:paraId="507AC832" w14:textId="77777777" w:rsidR="00E359F0" w:rsidRPr="000342DA" w:rsidRDefault="00E359F0" w:rsidP="00E359F0">
      <w:pPr>
        <w:spacing w:after="0" w:line="240" w:lineRule="auto"/>
        <w:jc w:val="center"/>
        <w:rPr>
          <w:rFonts w:cs="Times New Roman"/>
          <w:lang w:val="en-CA"/>
        </w:rPr>
      </w:pPr>
      <w:r>
        <w:rPr>
          <w:rFonts w:cs="Times New Roman"/>
          <w:lang w:val="en-CA"/>
        </w:rPr>
        <w:lastRenderedPageBreak/>
        <w:t xml:space="preserve">Table 3. Intraclass correlation coefficients for the longitudinal stability of </w:t>
      </w:r>
      <w:r w:rsidRPr="004F0829">
        <w:rPr>
          <w:rFonts w:cs="Times New Roman"/>
          <w:u w:val="single"/>
          <w:lang w:val="en-CA"/>
        </w:rPr>
        <w:t>&gt;</w:t>
      </w:r>
      <w:r>
        <w:rPr>
          <w:rFonts w:cs="Times New Roman"/>
          <w:lang w:val="en-CA"/>
        </w:rPr>
        <w:t xml:space="preserve"> weekly use of each substance.</w:t>
      </w:r>
    </w:p>
    <w:tbl>
      <w:tblPr>
        <w:tblW w:w="10621" w:type="dxa"/>
        <w:jc w:val="center"/>
        <w:tblLook w:val="04A0" w:firstRow="1" w:lastRow="0" w:firstColumn="1" w:lastColumn="0" w:noHBand="0" w:noVBand="1"/>
      </w:tblPr>
      <w:tblGrid>
        <w:gridCol w:w="1716"/>
        <w:gridCol w:w="1362"/>
        <w:gridCol w:w="605"/>
        <w:gridCol w:w="586"/>
        <w:gridCol w:w="576"/>
        <w:gridCol w:w="576"/>
        <w:gridCol w:w="576"/>
        <w:gridCol w:w="1192"/>
        <w:gridCol w:w="1631"/>
        <w:gridCol w:w="1801"/>
      </w:tblGrid>
      <w:tr w:rsidR="00E359F0" w:rsidRPr="00B10941" w14:paraId="70705B23" w14:textId="77777777" w:rsidTr="00401B53">
        <w:trPr>
          <w:trHeight w:val="251"/>
          <w:jc w:val="center"/>
        </w:trPr>
        <w:tc>
          <w:tcPr>
            <w:tcW w:w="1716" w:type="dxa"/>
            <w:vMerge w:val="restart"/>
            <w:tcBorders>
              <w:top w:val="single" w:sz="4" w:space="0" w:color="auto"/>
              <w:left w:val="nil"/>
              <w:right w:val="nil"/>
            </w:tcBorders>
            <w:shd w:val="clear" w:color="auto" w:fill="auto"/>
            <w:noWrap/>
            <w:vAlign w:val="bottom"/>
          </w:tcPr>
          <w:p w14:paraId="115F08B3" w14:textId="77777777" w:rsidR="00E359F0" w:rsidRPr="000342DA" w:rsidRDefault="00E359F0" w:rsidP="00401B53">
            <w:pPr>
              <w:spacing w:after="0" w:line="240" w:lineRule="auto"/>
              <w:jc w:val="left"/>
              <w:rPr>
                <w:rFonts w:eastAsia="Times New Roman" w:cs="Times New Roman"/>
                <w:color w:val="000000"/>
                <w:sz w:val="20"/>
                <w:szCs w:val="20"/>
              </w:rPr>
            </w:pPr>
          </w:p>
        </w:tc>
        <w:tc>
          <w:tcPr>
            <w:tcW w:w="5473" w:type="dxa"/>
            <w:gridSpan w:val="7"/>
            <w:tcBorders>
              <w:top w:val="single" w:sz="4" w:space="0" w:color="auto"/>
              <w:left w:val="nil"/>
              <w:right w:val="nil"/>
            </w:tcBorders>
          </w:tcPr>
          <w:p w14:paraId="05DD690A" w14:textId="77777777" w:rsidR="00E359F0" w:rsidRPr="003928BE" w:rsidRDefault="00E359F0" w:rsidP="00401B53">
            <w:pPr>
              <w:spacing w:after="0" w:line="240" w:lineRule="auto"/>
              <w:jc w:val="center"/>
              <w:rPr>
                <w:rFonts w:eastAsia="Times New Roman" w:cs="Times New Roman"/>
                <w:b/>
                <w:color w:val="000000"/>
                <w:sz w:val="20"/>
                <w:szCs w:val="20"/>
              </w:rPr>
            </w:pPr>
            <w:r w:rsidRPr="003928BE">
              <w:rPr>
                <w:rFonts w:eastAsia="Times New Roman" w:cs="Times New Roman"/>
                <w:b/>
                <w:color w:val="000000"/>
                <w:sz w:val="20"/>
                <w:szCs w:val="20"/>
              </w:rPr>
              <w:t xml:space="preserve">Proportion </w:t>
            </w:r>
            <w:r>
              <w:rPr>
                <w:rFonts w:eastAsia="Times New Roman" w:cs="Times New Roman"/>
                <w:b/>
                <w:color w:val="000000"/>
                <w:sz w:val="20"/>
                <w:szCs w:val="20"/>
              </w:rPr>
              <w:t xml:space="preserve">of All Participants </w:t>
            </w:r>
            <w:r w:rsidRPr="003928BE">
              <w:rPr>
                <w:rFonts w:eastAsia="Times New Roman" w:cs="Times New Roman"/>
                <w:b/>
                <w:color w:val="000000"/>
                <w:sz w:val="20"/>
                <w:szCs w:val="20"/>
              </w:rPr>
              <w:t xml:space="preserve">Who Used </w:t>
            </w:r>
            <w:r w:rsidRPr="003928BE">
              <w:rPr>
                <w:rFonts w:eastAsia="Times New Roman" w:cs="Times New Roman"/>
                <w:b/>
                <w:color w:val="000000"/>
                <w:sz w:val="20"/>
                <w:szCs w:val="20"/>
                <w:u w:val="single"/>
              </w:rPr>
              <w:t>&gt;</w:t>
            </w:r>
            <w:r w:rsidRPr="003928BE">
              <w:rPr>
                <w:rFonts w:eastAsia="Times New Roman" w:cs="Times New Roman"/>
                <w:b/>
                <w:color w:val="000000"/>
                <w:sz w:val="20"/>
                <w:szCs w:val="20"/>
              </w:rPr>
              <w:t xml:space="preserve"> Weekly at </w:t>
            </w:r>
            <w:r>
              <w:rPr>
                <w:rFonts w:eastAsia="Times New Roman" w:cs="Times New Roman"/>
                <w:b/>
                <w:color w:val="000000"/>
                <w:sz w:val="20"/>
                <w:szCs w:val="20"/>
              </w:rPr>
              <w:t>A</w:t>
            </w:r>
            <w:r w:rsidRPr="003928BE">
              <w:rPr>
                <w:rFonts w:eastAsia="Times New Roman" w:cs="Times New Roman"/>
                <w:b/>
                <w:color w:val="000000"/>
                <w:sz w:val="20"/>
                <w:szCs w:val="20"/>
              </w:rPr>
              <w:t xml:space="preserve">ny </w:t>
            </w:r>
            <w:r>
              <w:rPr>
                <w:rFonts w:eastAsia="Times New Roman" w:cs="Times New Roman"/>
                <w:b/>
                <w:color w:val="000000"/>
                <w:sz w:val="20"/>
                <w:szCs w:val="20"/>
              </w:rPr>
              <w:t xml:space="preserve">Study </w:t>
            </w:r>
            <w:r w:rsidRPr="003928BE">
              <w:rPr>
                <w:rFonts w:eastAsia="Times New Roman" w:cs="Times New Roman"/>
                <w:b/>
                <w:color w:val="000000"/>
                <w:sz w:val="20"/>
                <w:szCs w:val="20"/>
              </w:rPr>
              <w:t>Visit</w:t>
            </w:r>
          </w:p>
        </w:tc>
        <w:tc>
          <w:tcPr>
            <w:tcW w:w="3432" w:type="dxa"/>
            <w:gridSpan w:val="2"/>
            <w:vMerge w:val="restart"/>
            <w:tcBorders>
              <w:top w:val="single" w:sz="4" w:space="0" w:color="auto"/>
              <w:left w:val="nil"/>
              <w:right w:val="nil"/>
            </w:tcBorders>
            <w:vAlign w:val="center"/>
          </w:tcPr>
          <w:p w14:paraId="1A1345FB" w14:textId="77777777" w:rsidR="00E359F0" w:rsidRDefault="00E359F0" w:rsidP="00401B53">
            <w:pPr>
              <w:spacing w:after="0" w:line="240" w:lineRule="auto"/>
              <w:jc w:val="center"/>
              <w:rPr>
                <w:rFonts w:eastAsia="Times New Roman" w:cs="Times New Roman"/>
                <w:color w:val="000000"/>
                <w:sz w:val="20"/>
                <w:szCs w:val="20"/>
              </w:rPr>
            </w:pPr>
            <w:r w:rsidRPr="003928BE">
              <w:rPr>
                <w:rFonts w:eastAsia="Times New Roman" w:cs="Times New Roman"/>
                <w:b/>
                <w:color w:val="000000"/>
                <w:sz w:val="20"/>
                <w:szCs w:val="20"/>
              </w:rPr>
              <w:t xml:space="preserve">Longitudinal Stability of </w:t>
            </w:r>
            <w:r w:rsidRPr="003928BE">
              <w:rPr>
                <w:rFonts w:eastAsia="Times New Roman" w:cs="Times New Roman"/>
                <w:b/>
                <w:color w:val="000000"/>
                <w:sz w:val="20"/>
                <w:szCs w:val="20"/>
              </w:rPr>
              <w:br/>
            </w:r>
            <w:r w:rsidRPr="003928BE">
              <w:rPr>
                <w:rFonts w:eastAsia="Times New Roman" w:cs="Times New Roman"/>
                <w:b/>
                <w:color w:val="000000"/>
                <w:sz w:val="20"/>
                <w:szCs w:val="20"/>
                <w:u w:val="single"/>
              </w:rPr>
              <w:t>&gt;</w:t>
            </w:r>
            <w:r w:rsidRPr="003928BE">
              <w:rPr>
                <w:rFonts w:eastAsia="Times New Roman" w:cs="Times New Roman"/>
                <w:b/>
                <w:color w:val="000000"/>
                <w:sz w:val="20"/>
                <w:szCs w:val="20"/>
              </w:rPr>
              <w:t xml:space="preserve"> Weekly Use</w:t>
            </w:r>
          </w:p>
        </w:tc>
      </w:tr>
      <w:tr w:rsidR="00E359F0" w:rsidRPr="00B10941" w14:paraId="2F880DCE" w14:textId="77777777" w:rsidTr="00401B53">
        <w:trPr>
          <w:trHeight w:val="53"/>
          <w:jc w:val="center"/>
        </w:trPr>
        <w:tc>
          <w:tcPr>
            <w:tcW w:w="1716" w:type="dxa"/>
            <w:vMerge/>
            <w:tcBorders>
              <w:left w:val="nil"/>
              <w:right w:val="nil"/>
            </w:tcBorders>
            <w:shd w:val="clear" w:color="auto" w:fill="auto"/>
            <w:noWrap/>
            <w:vAlign w:val="bottom"/>
            <w:hideMark/>
          </w:tcPr>
          <w:p w14:paraId="21654D52" w14:textId="77777777" w:rsidR="00E359F0" w:rsidRPr="000342DA" w:rsidRDefault="00E359F0" w:rsidP="00401B53">
            <w:pPr>
              <w:spacing w:after="0" w:line="240" w:lineRule="auto"/>
              <w:jc w:val="left"/>
              <w:rPr>
                <w:rFonts w:eastAsia="Times New Roman" w:cs="Times New Roman"/>
                <w:color w:val="000000"/>
                <w:sz w:val="20"/>
                <w:szCs w:val="20"/>
              </w:rPr>
            </w:pPr>
          </w:p>
        </w:tc>
        <w:tc>
          <w:tcPr>
            <w:tcW w:w="1362" w:type="dxa"/>
            <w:vMerge w:val="restart"/>
            <w:tcBorders>
              <w:top w:val="single" w:sz="4" w:space="0" w:color="auto"/>
              <w:left w:val="nil"/>
              <w:bottom w:val="single" w:sz="4" w:space="0" w:color="auto"/>
              <w:right w:val="nil"/>
            </w:tcBorders>
            <w:vAlign w:val="center"/>
          </w:tcPr>
          <w:p w14:paraId="46540327" w14:textId="77777777" w:rsidR="00E359F0" w:rsidRPr="003928BE" w:rsidRDefault="00E359F0" w:rsidP="00401B53">
            <w:pPr>
              <w:spacing w:after="0" w:line="240" w:lineRule="auto"/>
              <w:jc w:val="center"/>
              <w:rPr>
                <w:rFonts w:eastAsia="Times New Roman" w:cs="Times New Roman"/>
                <w:b/>
                <w:color w:val="000000"/>
                <w:sz w:val="20"/>
                <w:szCs w:val="20"/>
              </w:rPr>
            </w:pPr>
            <w:r w:rsidRPr="003928BE">
              <w:rPr>
                <w:rFonts w:eastAsia="Times New Roman" w:cs="Times New Roman"/>
                <w:b/>
                <w:color w:val="000000"/>
                <w:sz w:val="20"/>
                <w:szCs w:val="20"/>
              </w:rPr>
              <w:t>Overall</w:t>
            </w:r>
          </w:p>
        </w:tc>
        <w:tc>
          <w:tcPr>
            <w:tcW w:w="4111" w:type="dxa"/>
            <w:gridSpan w:val="6"/>
            <w:tcBorders>
              <w:top w:val="single" w:sz="4" w:space="0" w:color="auto"/>
              <w:left w:val="nil"/>
              <w:bottom w:val="single" w:sz="4" w:space="0" w:color="auto"/>
              <w:right w:val="nil"/>
            </w:tcBorders>
            <w:shd w:val="clear" w:color="auto" w:fill="auto"/>
            <w:vAlign w:val="center"/>
          </w:tcPr>
          <w:p w14:paraId="2009CA22" w14:textId="77777777" w:rsidR="00E359F0" w:rsidRPr="003928BE" w:rsidRDefault="00E359F0" w:rsidP="00401B53">
            <w:pPr>
              <w:spacing w:after="0" w:line="240" w:lineRule="auto"/>
              <w:jc w:val="center"/>
              <w:rPr>
                <w:rFonts w:eastAsia="Times New Roman" w:cs="Times New Roman"/>
                <w:b/>
                <w:color w:val="000000"/>
                <w:sz w:val="20"/>
                <w:szCs w:val="20"/>
              </w:rPr>
            </w:pPr>
            <w:r w:rsidRPr="003928BE">
              <w:rPr>
                <w:rFonts w:eastAsia="Times New Roman" w:cs="Times New Roman"/>
                <w:b/>
                <w:color w:val="000000"/>
                <w:sz w:val="20"/>
                <w:szCs w:val="20"/>
              </w:rPr>
              <w:t>Latent Class</w:t>
            </w:r>
          </w:p>
        </w:tc>
        <w:tc>
          <w:tcPr>
            <w:tcW w:w="3432" w:type="dxa"/>
            <w:gridSpan w:val="2"/>
            <w:vMerge/>
            <w:tcBorders>
              <w:left w:val="nil"/>
              <w:right w:val="nil"/>
            </w:tcBorders>
          </w:tcPr>
          <w:p w14:paraId="329C4176" w14:textId="77777777" w:rsidR="00E359F0" w:rsidRPr="003928BE" w:rsidRDefault="00E359F0" w:rsidP="00401B53">
            <w:pPr>
              <w:spacing w:after="0" w:line="240" w:lineRule="auto"/>
              <w:jc w:val="center"/>
              <w:rPr>
                <w:rFonts w:eastAsia="Times New Roman" w:cs="Times New Roman"/>
                <w:b/>
                <w:color w:val="000000"/>
                <w:sz w:val="20"/>
                <w:szCs w:val="20"/>
              </w:rPr>
            </w:pPr>
          </w:p>
        </w:tc>
      </w:tr>
      <w:tr w:rsidR="00E359F0" w:rsidRPr="00B10941" w14:paraId="7FD66844" w14:textId="77777777" w:rsidTr="00401B53">
        <w:trPr>
          <w:trHeight w:val="80"/>
          <w:jc w:val="center"/>
        </w:trPr>
        <w:tc>
          <w:tcPr>
            <w:tcW w:w="1716" w:type="dxa"/>
            <w:vMerge/>
            <w:tcBorders>
              <w:left w:val="nil"/>
              <w:bottom w:val="single" w:sz="4" w:space="0" w:color="auto"/>
              <w:right w:val="nil"/>
            </w:tcBorders>
            <w:shd w:val="clear" w:color="auto" w:fill="auto"/>
            <w:noWrap/>
            <w:vAlign w:val="bottom"/>
          </w:tcPr>
          <w:p w14:paraId="11866BAF" w14:textId="77777777" w:rsidR="00E359F0" w:rsidRPr="000342DA" w:rsidRDefault="00E359F0" w:rsidP="00401B53">
            <w:pPr>
              <w:spacing w:after="0" w:line="240" w:lineRule="auto"/>
              <w:jc w:val="center"/>
              <w:rPr>
                <w:rFonts w:eastAsia="Times New Roman" w:cs="Times New Roman"/>
                <w:color w:val="000000"/>
                <w:sz w:val="20"/>
                <w:szCs w:val="20"/>
              </w:rPr>
            </w:pPr>
          </w:p>
        </w:tc>
        <w:tc>
          <w:tcPr>
            <w:tcW w:w="1362" w:type="dxa"/>
            <w:vMerge/>
            <w:tcBorders>
              <w:left w:val="nil"/>
              <w:bottom w:val="single" w:sz="4" w:space="0" w:color="auto"/>
              <w:right w:val="nil"/>
            </w:tcBorders>
          </w:tcPr>
          <w:p w14:paraId="6CDDD5DD" w14:textId="77777777" w:rsidR="00E359F0" w:rsidRPr="003928BE" w:rsidRDefault="00E359F0" w:rsidP="00401B53">
            <w:pPr>
              <w:spacing w:after="0" w:line="240" w:lineRule="auto"/>
              <w:jc w:val="center"/>
              <w:rPr>
                <w:rFonts w:eastAsia="Times New Roman" w:cs="Times New Roman"/>
                <w:b/>
                <w:color w:val="000000"/>
                <w:sz w:val="20"/>
                <w:szCs w:val="20"/>
              </w:rPr>
            </w:pPr>
          </w:p>
        </w:tc>
        <w:tc>
          <w:tcPr>
            <w:tcW w:w="605" w:type="dxa"/>
            <w:tcBorders>
              <w:top w:val="single" w:sz="4" w:space="0" w:color="auto"/>
              <w:left w:val="nil"/>
              <w:bottom w:val="single" w:sz="4" w:space="0" w:color="auto"/>
              <w:right w:val="nil"/>
            </w:tcBorders>
            <w:shd w:val="clear" w:color="auto" w:fill="auto"/>
            <w:vAlign w:val="center"/>
          </w:tcPr>
          <w:p w14:paraId="15626F75"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color w:val="000000"/>
                <w:sz w:val="20"/>
                <w:szCs w:val="20"/>
              </w:rPr>
              <w:t>1</w:t>
            </w:r>
          </w:p>
        </w:tc>
        <w:tc>
          <w:tcPr>
            <w:tcW w:w="586" w:type="dxa"/>
            <w:tcBorders>
              <w:top w:val="single" w:sz="4" w:space="0" w:color="auto"/>
              <w:left w:val="nil"/>
              <w:bottom w:val="single" w:sz="4" w:space="0" w:color="auto"/>
              <w:right w:val="nil"/>
            </w:tcBorders>
            <w:shd w:val="clear" w:color="auto" w:fill="auto"/>
            <w:vAlign w:val="center"/>
          </w:tcPr>
          <w:p w14:paraId="7C5A8BD4"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color w:val="000000"/>
                <w:sz w:val="20"/>
                <w:szCs w:val="20"/>
              </w:rPr>
              <w:t>2</w:t>
            </w:r>
          </w:p>
        </w:tc>
        <w:tc>
          <w:tcPr>
            <w:tcW w:w="576" w:type="dxa"/>
            <w:tcBorders>
              <w:top w:val="single" w:sz="4" w:space="0" w:color="auto"/>
              <w:left w:val="nil"/>
              <w:bottom w:val="single" w:sz="4" w:space="0" w:color="auto"/>
              <w:right w:val="nil"/>
            </w:tcBorders>
            <w:shd w:val="clear" w:color="auto" w:fill="auto"/>
            <w:vAlign w:val="center"/>
          </w:tcPr>
          <w:p w14:paraId="38B34A4A"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color w:val="000000"/>
                <w:sz w:val="20"/>
                <w:szCs w:val="20"/>
              </w:rPr>
              <w:t>3</w:t>
            </w:r>
          </w:p>
        </w:tc>
        <w:tc>
          <w:tcPr>
            <w:tcW w:w="576" w:type="dxa"/>
            <w:tcBorders>
              <w:top w:val="single" w:sz="4" w:space="0" w:color="auto"/>
              <w:left w:val="nil"/>
              <w:bottom w:val="single" w:sz="4" w:space="0" w:color="auto"/>
              <w:right w:val="nil"/>
            </w:tcBorders>
            <w:shd w:val="clear" w:color="auto" w:fill="auto"/>
            <w:vAlign w:val="center"/>
          </w:tcPr>
          <w:p w14:paraId="5135BF8A"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color w:val="000000"/>
                <w:sz w:val="20"/>
                <w:szCs w:val="20"/>
              </w:rPr>
              <w:t>4</w:t>
            </w:r>
          </w:p>
        </w:tc>
        <w:tc>
          <w:tcPr>
            <w:tcW w:w="576" w:type="dxa"/>
            <w:tcBorders>
              <w:top w:val="single" w:sz="4" w:space="0" w:color="auto"/>
              <w:left w:val="nil"/>
              <w:bottom w:val="single" w:sz="4" w:space="0" w:color="auto"/>
              <w:right w:val="nil"/>
            </w:tcBorders>
            <w:shd w:val="clear" w:color="auto" w:fill="auto"/>
            <w:vAlign w:val="center"/>
          </w:tcPr>
          <w:p w14:paraId="1601F5FD"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color w:val="000000"/>
                <w:sz w:val="20"/>
                <w:szCs w:val="20"/>
              </w:rPr>
              <w:t>5</w:t>
            </w:r>
          </w:p>
        </w:tc>
        <w:tc>
          <w:tcPr>
            <w:tcW w:w="1192" w:type="dxa"/>
            <w:tcBorders>
              <w:top w:val="single" w:sz="4" w:space="0" w:color="auto"/>
              <w:left w:val="nil"/>
              <w:bottom w:val="single" w:sz="4" w:space="0" w:color="auto"/>
              <w:right w:val="nil"/>
            </w:tcBorders>
            <w:shd w:val="clear" w:color="auto" w:fill="auto"/>
            <w:vAlign w:val="center"/>
          </w:tcPr>
          <w:p w14:paraId="6446B11E"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color w:val="000000"/>
                <w:sz w:val="20"/>
                <w:szCs w:val="20"/>
              </w:rPr>
              <w:t>6</w:t>
            </w:r>
          </w:p>
        </w:tc>
        <w:tc>
          <w:tcPr>
            <w:tcW w:w="3432" w:type="dxa"/>
            <w:gridSpan w:val="2"/>
            <w:vMerge/>
            <w:tcBorders>
              <w:left w:val="nil"/>
              <w:bottom w:val="single" w:sz="4" w:space="0" w:color="auto"/>
              <w:right w:val="nil"/>
            </w:tcBorders>
          </w:tcPr>
          <w:p w14:paraId="0705AD4F" w14:textId="77777777" w:rsidR="00E359F0" w:rsidRPr="003928BE" w:rsidRDefault="00E359F0" w:rsidP="00401B53">
            <w:pPr>
              <w:spacing w:after="0" w:line="240" w:lineRule="auto"/>
              <w:jc w:val="center"/>
              <w:rPr>
                <w:rFonts w:eastAsia="Times New Roman" w:cs="Times New Roman"/>
                <w:b/>
                <w:color w:val="000000"/>
                <w:sz w:val="20"/>
                <w:szCs w:val="20"/>
              </w:rPr>
            </w:pPr>
          </w:p>
        </w:tc>
      </w:tr>
      <w:tr w:rsidR="00E359F0" w:rsidRPr="00B10941" w14:paraId="591582C9" w14:textId="77777777" w:rsidTr="00401B53">
        <w:trPr>
          <w:trHeight w:val="53"/>
          <w:jc w:val="center"/>
        </w:trPr>
        <w:tc>
          <w:tcPr>
            <w:tcW w:w="1716" w:type="dxa"/>
            <w:tcBorders>
              <w:top w:val="single" w:sz="4" w:space="0" w:color="auto"/>
              <w:left w:val="nil"/>
              <w:bottom w:val="single" w:sz="4" w:space="0" w:color="auto"/>
              <w:right w:val="nil"/>
            </w:tcBorders>
            <w:shd w:val="clear" w:color="auto" w:fill="auto"/>
            <w:noWrap/>
            <w:vAlign w:val="bottom"/>
            <w:hideMark/>
          </w:tcPr>
          <w:p w14:paraId="5F6AFE39" w14:textId="77777777" w:rsidR="00E359F0" w:rsidRPr="000342DA" w:rsidRDefault="00E359F0" w:rsidP="00401B53">
            <w:pPr>
              <w:spacing w:after="0" w:line="240" w:lineRule="auto"/>
              <w:jc w:val="center"/>
              <w:rPr>
                <w:rFonts w:eastAsia="Times New Roman" w:cs="Times New Roman"/>
                <w:color w:val="000000"/>
                <w:sz w:val="20"/>
                <w:szCs w:val="20"/>
              </w:rPr>
            </w:pPr>
          </w:p>
        </w:tc>
        <w:tc>
          <w:tcPr>
            <w:tcW w:w="1362" w:type="dxa"/>
            <w:tcBorders>
              <w:top w:val="single" w:sz="4" w:space="0" w:color="auto"/>
              <w:left w:val="nil"/>
              <w:bottom w:val="single" w:sz="4" w:space="0" w:color="auto"/>
              <w:right w:val="nil"/>
            </w:tcBorders>
          </w:tcPr>
          <w:p w14:paraId="26A7C4EC"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N (%)</w:t>
            </w:r>
          </w:p>
        </w:tc>
        <w:tc>
          <w:tcPr>
            <w:tcW w:w="605" w:type="dxa"/>
            <w:tcBorders>
              <w:top w:val="single" w:sz="4" w:space="0" w:color="auto"/>
              <w:left w:val="nil"/>
              <w:bottom w:val="single" w:sz="4" w:space="0" w:color="auto"/>
              <w:right w:val="nil"/>
            </w:tcBorders>
            <w:shd w:val="clear" w:color="auto" w:fill="auto"/>
            <w:vAlign w:val="bottom"/>
            <w:hideMark/>
          </w:tcPr>
          <w:p w14:paraId="0D3A6103"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w:t>
            </w:r>
          </w:p>
        </w:tc>
        <w:tc>
          <w:tcPr>
            <w:tcW w:w="586" w:type="dxa"/>
            <w:tcBorders>
              <w:top w:val="single" w:sz="4" w:space="0" w:color="auto"/>
              <w:left w:val="nil"/>
              <w:bottom w:val="single" w:sz="4" w:space="0" w:color="auto"/>
              <w:right w:val="nil"/>
            </w:tcBorders>
            <w:shd w:val="clear" w:color="auto" w:fill="auto"/>
            <w:vAlign w:val="bottom"/>
            <w:hideMark/>
          </w:tcPr>
          <w:p w14:paraId="13A86A50"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w:t>
            </w:r>
          </w:p>
        </w:tc>
        <w:tc>
          <w:tcPr>
            <w:tcW w:w="576" w:type="dxa"/>
            <w:tcBorders>
              <w:top w:val="single" w:sz="4" w:space="0" w:color="auto"/>
              <w:left w:val="nil"/>
              <w:bottom w:val="single" w:sz="4" w:space="0" w:color="auto"/>
              <w:right w:val="nil"/>
            </w:tcBorders>
            <w:shd w:val="clear" w:color="auto" w:fill="auto"/>
            <w:vAlign w:val="bottom"/>
            <w:hideMark/>
          </w:tcPr>
          <w:p w14:paraId="3F0337B5"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w:t>
            </w:r>
          </w:p>
        </w:tc>
        <w:tc>
          <w:tcPr>
            <w:tcW w:w="576" w:type="dxa"/>
            <w:tcBorders>
              <w:top w:val="single" w:sz="4" w:space="0" w:color="auto"/>
              <w:left w:val="nil"/>
              <w:bottom w:val="single" w:sz="4" w:space="0" w:color="auto"/>
              <w:right w:val="nil"/>
            </w:tcBorders>
            <w:shd w:val="clear" w:color="auto" w:fill="auto"/>
            <w:vAlign w:val="bottom"/>
            <w:hideMark/>
          </w:tcPr>
          <w:p w14:paraId="797D00E1"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w:t>
            </w:r>
          </w:p>
        </w:tc>
        <w:tc>
          <w:tcPr>
            <w:tcW w:w="576" w:type="dxa"/>
            <w:tcBorders>
              <w:top w:val="single" w:sz="4" w:space="0" w:color="auto"/>
              <w:left w:val="nil"/>
              <w:bottom w:val="single" w:sz="4" w:space="0" w:color="auto"/>
              <w:right w:val="nil"/>
            </w:tcBorders>
            <w:shd w:val="clear" w:color="auto" w:fill="auto"/>
            <w:vAlign w:val="bottom"/>
            <w:hideMark/>
          </w:tcPr>
          <w:p w14:paraId="4B97A7AE"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w:t>
            </w:r>
          </w:p>
        </w:tc>
        <w:tc>
          <w:tcPr>
            <w:tcW w:w="1192" w:type="dxa"/>
            <w:tcBorders>
              <w:top w:val="single" w:sz="4" w:space="0" w:color="auto"/>
              <w:left w:val="nil"/>
              <w:bottom w:val="single" w:sz="4" w:space="0" w:color="auto"/>
              <w:right w:val="nil"/>
            </w:tcBorders>
            <w:shd w:val="clear" w:color="auto" w:fill="auto"/>
            <w:vAlign w:val="bottom"/>
            <w:hideMark/>
          </w:tcPr>
          <w:p w14:paraId="1408A670"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w:t>
            </w:r>
          </w:p>
        </w:tc>
        <w:tc>
          <w:tcPr>
            <w:tcW w:w="1631" w:type="dxa"/>
            <w:tcBorders>
              <w:top w:val="single" w:sz="4" w:space="0" w:color="auto"/>
              <w:left w:val="nil"/>
              <w:bottom w:val="single" w:sz="4" w:space="0" w:color="auto"/>
              <w:right w:val="nil"/>
            </w:tcBorders>
          </w:tcPr>
          <w:p w14:paraId="2AE5E391"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ICC (95%CI)</w:t>
            </w:r>
          </w:p>
        </w:tc>
        <w:tc>
          <w:tcPr>
            <w:tcW w:w="1796" w:type="dxa"/>
            <w:tcBorders>
              <w:top w:val="single" w:sz="4" w:space="0" w:color="auto"/>
              <w:left w:val="nil"/>
              <w:bottom w:val="single" w:sz="4" w:space="0" w:color="auto"/>
              <w:right w:val="nil"/>
            </w:tcBorders>
          </w:tcPr>
          <w:p w14:paraId="5057F316" w14:textId="77777777" w:rsidR="00E359F0" w:rsidRPr="003928BE" w:rsidRDefault="00E359F0" w:rsidP="00401B53">
            <w:pPr>
              <w:spacing w:after="0" w:line="240" w:lineRule="auto"/>
              <w:jc w:val="center"/>
              <w:rPr>
                <w:rFonts w:eastAsia="Times New Roman" w:cs="Times New Roman"/>
                <w:b/>
                <w:bCs/>
                <w:color w:val="000000"/>
                <w:sz w:val="20"/>
                <w:szCs w:val="20"/>
              </w:rPr>
            </w:pPr>
            <w:r w:rsidRPr="003928BE">
              <w:rPr>
                <w:rFonts w:eastAsia="Times New Roman" w:cs="Times New Roman"/>
                <w:b/>
                <w:bCs/>
                <w:color w:val="000000"/>
                <w:sz w:val="20"/>
                <w:szCs w:val="20"/>
              </w:rPr>
              <w:t>Interpretation</w:t>
            </w:r>
          </w:p>
        </w:tc>
      </w:tr>
      <w:tr w:rsidR="00E359F0" w:rsidRPr="00B10941" w14:paraId="04195E0A" w14:textId="77777777" w:rsidTr="00401B53">
        <w:trPr>
          <w:trHeight w:val="53"/>
          <w:jc w:val="center"/>
        </w:trPr>
        <w:tc>
          <w:tcPr>
            <w:tcW w:w="1716" w:type="dxa"/>
            <w:tcBorders>
              <w:top w:val="single" w:sz="4" w:space="0" w:color="auto"/>
              <w:left w:val="nil"/>
              <w:bottom w:val="nil"/>
              <w:right w:val="nil"/>
            </w:tcBorders>
            <w:shd w:val="clear" w:color="auto" w:fill="auto"/>
            <w:noWrap/>
            <w:vAlign w:val="bottom"/>
            <w:hideMark/>
          </w:tcPr>
          <w:p w14:paraId="29473329"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Alcohol</w:t>
            </w:r>
          </w:p>
        </w:tc>
        <w:tc>
          <w:tcPr>
            <w:tcW w:w="1362" w:type="dxa"/>
            <w:tcBorders>
              <w:top w:val="single" w:sz="4" w:space="0" w:color="auto"/>
              <w:left w:val="nil"/>
              <w:bottom w:val="nil"/>
              <w:right w:val="nil"/>
            </w:tcBorders>
            <w:vAlign w:val="bottom"/>
          </w:tcPr>
          <w:p w14:paraId="2B827314" w14:textId="77777777" w:rsidR="00E359F0" w:rsidRPr="003928BE" w:rsidRDefault="00E359F0" w:rsidP="00401B53">
            <w:pPr>
              <w:spacing w:after="0" w:line="240" w:lineRule="auto"/>
              <w:jc w:val="center"/>
              <w:rPr>
                <w:rFonts w:cs="Times New Roman"/>
                <w:b/>
                <w:color w:val="000000"/>
                <w:sz w:val="20"/>
                <w:szCs w:val="20"/>
              </w:rPr>
            </w:pPr>
            <w:r w:rsidRPr="003928BE">
              <w:rPr>
                <w:rFonts w:cs="Times New Roman"/>
                <w:color w:val="000000"/>
                <w:sz w:val="20"/>
                <w:szCs w:val="20"/>
              </w:rPr>
              <w:t>652 (36.6)</w:t>
            </w:r>
          </w:p>
        </w:tc>
        <w:tc>
          <w:tcPr>
            <w:tcW w:w="605" w:type="dxa"/>
            <w:tcBorders>
              <w:top w:val="single" w:sz="4" w:space="0" w:color="auto"/>
              <w:left w:val="nil"/>
              <w:bottom w:val="nil"/>
              <w:right w:val="nil"/>
            </w:tcBorders>
            <w:shd w:val="clear" w:color="auto" w:fill="auto"/>
            <w:vAlign w:val="bottom"/>
            <w:hideMark/>
          </w:tcPr>
          <w:p w14:paraId="46858F2C"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20.4</w:t>
            </w:r>
          </w:p>
        </w:tc>
        <w:tc>
          <w:tcPr>
            <w:tcW w:w="586" w:type="dxa"/>
            <w:tcBorders>
              <w:top w:val="single" w:sz="4" w:space="0" w:color="auto"/>
              <w:left w:val="nil"/>
              <w:bottom w:val="nil"/>
              <w:right w:val="nil"/>
            </w:tcBorders>
            <w:shd w:val="clear" w:color="auto" w:fill="auto"/>
            <w:vAlign w:val="bottom"/>
            <w:hideMark/>
          </w:tcPr>
          <w:p w14:paraId="0CD25AB6"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36.8</w:t>
            </w:r>
          </w:p>
        </w:tc>
        <w:tc>
          <w:tcPr>
            <w:tcW w:w="576" w:type="dxa"/>
            <w:tcBorders>
              <w:top w:val="single" w:sz="4" w:space="0" w:color="auto"/>
              <w:left w:val="nil"/>
              <w:bottom w:val="nil"/>
              <w:right w:val="nil"/>
            </w:tcBorders>
            <w:shd w:val="clear" w:color="auto" w:fill="auto"/>
            <w:vAlign w:val="bottom"/>
            <w:hideMark/>
          </w:tcPr>
          <w:p w14:paraId="7CEEB5C8"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54.3</w:t>
            </w:r>
          </w:p>
        </w:tc>
        <w:tc>
          <w:tcPr>
            <w:tcW w:w="576" w:type="dxa"/>
            <w:tcBorders>
              <w:top w:val="single" w:sz="4" w:space="0" w:color="auto"/>
              <w:left w:val="nil"/>
              <w:bottom w:val="nil"/>
              <w:right w:val="nil"/>
            </w:tcBorders>
            <w:shd w:val="clear" w:color="auto" w:fill="auto"/>
            <w:vAlign w:val="bottom"/>
            <w:hideMark/>
          </w:tcPr>
          <w:p w14:paraId="6CC0A64D"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21.7</w:t>
            </w:r>
          </w:p>
        </w:tc>
        <w:tc>
          <w:tcPr>
            <w:tcW w:w="576" w:type="dxa"/>
            <w:tcBorders>
              <w:top w:val="single" w:sz="4" w:space="0" w:color="auto"/>
              <w:left w:val="nil"/>
              <w:bottom w:val="nil"/>
              <w:right w:val="nil"/>
            </w:tcBorders>
            <w:shd w:val="clear" w:color="auto" w:fill="auto"/>
            <w:vAlign w:val="bottom"/>
            <w:hideMark/>
          </w:tcPr>
          <w:p w14:paraId="35B8C080"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24.6</w:t>
            </w:r>
          </w:p>
        </w:tc>
        <w:tc>
          <w:tcPr>
            <w:tcW w:w="1192" w:type="dxa"/>
            <w:tcBorders>
              <w:top w:val="single" w:sz="4" w:space="0" w:color="auto"/>
              <w:left w:val="nil"/>
              <w:bottom w:val="nil"/>
              <w:right w:val="nil"/>
            </w:tcBorders>
            <w:shd w:val="clear" w:color="auto" w:fill="auto"/>
            <w:vAlign w:val="bottom"/>
            <w:hideMark/>
          </w:tcPr>
          <w:p w14:paraId="0BBDB0F7"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29.6</w:t>
            </w:r>
          </w:p>
        </w:tc>
        <w:tc>
          <w:tcPr>
            <w:tcW w:w="1631" w:type="dxa"/>
            <w:tcBorders>
              <w:top w:val="single" w:sz="4" w:space="0" w:color="auto"/>
              <w:left w:val="nil"/>
              <w:bottom w:val="nil"/>
              <w:right w:val="nil"/>
            </w:tcBorders>
            <w:vAlign w:val="bottom"/>
          </w:tcPr>
          <w:p w14:paraId="073AABA1" w14:textId="77777777" w:rsidR="00E359F0" w:rsidRPr="00245CFE" w:rsidRDefault="00E359F0" w:rsidP="00401B53">
            <w:pPr>
              <w:spacing w:after="0" w:line="240" w:lineRule="auto"/>
              <w:jc w:val="center"/>
              <w:rPr>
                <w:b/>
                <w:color w:val="000000"/>
                <w:sz w:val="20"/>
                <w:szCs w:val="20"/>
              </w:rPr>
            </w:pPr>
            <w:r w:rsidRPr="00245CFE">
              <w:rPr>
                <w:rFonts w:cs="Times New Roman"/>
                <w:color w:val="000000"/>
                <w:sz w:val="20"/>
                <w:szCs w:val="20"/>
              </w:rPr>
              <w:t>0.71 (0.66, 0.77)</w:t>
            </w:r>
          </w:p>
        </w:tc>
        <w:tc>
          <w:tcPr>
            <w:tcW w:w="1796" w:type="dxa"/>
            <w:tcBorders>
              <w:top w:val="single" w:sz="4" w:space="0" w:color="auto"/>
              <w:left w:val="nil"/>
              <w:bottom w:val="nil"/>
              <w:right w:val="nil"/>
            </w:tcBorders>
          </w:tcPr>
          <w:p w14:paraId="70D7064B" w14:textId="77777777" w:rsidR="00E359F0" w:rsidRPr="00245CFE" w:rsidRDefault="00E359F0" w:rsidP="00401B53">
            <w:pPr>
              <w:spacing w:after="0" w:line="240" w:lineRule="auto"/>
              <w:jc w:val="center"/>
              <w:rPr>
                <w:rFonts w:cs="Times New Roman"/>
                <w:color w:val="000000"/>
                <w:sz w:val="20"/>
                <w:szCs w:val="20"/>
              </w:rPr>
            </w:pPr>
            <w:r w:rsidRPr="00245CFE">
              <w:rPr>
                <w:rFonts w:cs="Times New Roman"/>
                <w:color w:val="000000"/>
                <w:sz w:val="20"/>
                <w:szCs w:val="20"/>
              </w:rPr>
              <w:t xml:space="preserve">Moderate – Good </w:t>
            </w:r>
          </w:p>
        </w:tc>
      </w:tr>
      <w:tr w:rsidR="00E359F0" w:rsidRPr="00B10941" w14:paraId="7934A701"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5C396399"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Marijuana</w:t>
            </w:r>
            <w:r>
              <w:rPr>
                <w:rFonts w:eastAsia="Times New Roman" w:cs="Times New Roman"/>
                <w:bCs/>
                <w:color w:val="000000"/>
                <w:sz w:val="20"/>
                <w:szCs w:val="20"/>
                <w:vertAlign w:val="superscript"/>
              </w:rPr>
              <w:t xml:space="preserve"> A</w:t>
            </w:r>
          </w:p>
        </w:tc>
        <w:tc>
          <w:tcPr>
            <w:tcW w:w="1362" w:type="dxa"/>
            <w:tcBorders>
              <w:top w:val="nil"/>
              <w:left w:val="nil"/>
              <w:bottom w:val="nil"/>
              <w:right w:val="nil"/>
            </w:tcBorders>
            <w:vAlign w:val="bottom"/>
          </w:tcPr>
          <w:p w14:paraId="20AEC6BE"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445 (44.6)</w:t>
            </w:r>
          </w:p>
        </w:tc>
        <w:tc>
          <w:tcPr>
            <w:tcW w:w="605" w:type="dxa"/>
            <w:tcBorders>
              <w:top w:val="nil"/>
              <w:left w:val="nil"/>
              <w:bottom w:val="nil"/>
              <w:right w:val="nil"/>
            </w:tcBorders>
            <w:shd w:val="clear" w:color="auto" w:fill="auto"/>
            <w:vAlign w:val="bottom"/>
            <w:hideMark/>
          </w:tcPr>
          <w:p w14:paraId="6C0B188C"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5.3</w:t>
            </w:r>
          </w:p>
        </w:tc>
        <w:tc>
          <w:tcPr>
            <w:tcW w:w="586" w:type="dxa"/>
            <w:tcBorders>
              <w:top w:val="nil"/>
              <w:left w:val="nil"/>
              <w:bottom w:val="nil"/>
              <w:right w:val="nil"/>
            </w:tcBorders>
            <w:shd w:val="clear" w:color="auto" w:fill="auto"/>
            <w:vAlign w:val="bottom"/>
            <w:hideMark/>
          </w:tcPr>
          <w:p w14:paraId="00B9B58A"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25.5</w:t>
            </w:r>
          </w:p>
        </w:tc>
        <w:tc>
          <w:tcPr>
            <w:tcW w:w="576" w:type="dxa"/>
            <w:tcBorders>
              <w:top w:val="nil"/>
              <w:left w:val="nil"/>
              <w:bottom w:val="nil"/>
              <w:right w:val="nil"/>
            </w:tcBorders>
            <w:shd w:val="clear" w:color="auto" w:fill="auto"/>
            <w:vAlign w:val="bottom"/>
            <w:hideMark/>
          </w:tcPr>
          <w:p w14:paraId="6F761A37"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31.6</w:t>
            </w:r>
          </w:p>
        </w:tc>
        <w:tc>
          <w:tcPr>
            <w:tcW w:w="576" w:type="dxa"/>
            <w:tcBorders>
              <w:top w:val="nil"/>
              <w:left w:val="nil"/>
              <w:bottom w:val="nil"/>
              <w:right w:val="nil"/>
            </w:tcBorders>
            <w:shd w:val="clear" w:color="auto" w:fill="auto"/>
            <w:vAlign w:val="bottom"/>
            <w:hideMark/>
          </w:tcPr>
          <w:p w14:paraId="20D89AD5"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38.5</w:t>
            </w:r>
          </w:p>
        </w:tc>
        <w:tc>
          <w:tcPr>
            <w:tcW w:w="576" w:type="dxa"/>
            <w:tcBorders>
              <w:top w:val="nil"/>
              <w:left w:val="nil"/>
              <w:bottom w:val="nil"/>
              <w:right w:val="nil"/>
            </w:tcBorders>
            <w:shd w:val="clear" w:color="auto" w:fill="auto"/>
            <w:vAlign w:val="bottom"/>
            <w:hideMark/>
          </w:tcPr>
          <w:p w14:paraId="30B89D25"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33.6</w:t>
            </w:r>
          </w:p>
        </w:tc>
        <w:tc>
          <w:tcPr>
            <w:tcW w:w="1192" w:type="dxa"/>
            <w:tcBorders>
              <w:top w:val="nil"/>
              <w:left w:val="nil"/>
              <w:bottom w:val="nil"/>
              <w:right w:val="nil"/>
            </w:tcBorders>
            <w:shd w:val="clear" w:color="auto" w:fill="auto"/>
            <w:vAlign w:val="bottom"/>
            <w:hideMark/>
          </w:tcPr>
          <w:p w14:paraId="35715E06"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36.6</w:t>
            </w:r>
          </w:p>
        </w:tc>
        <w:tc>
          <w:tcPr>
            <w:tcW w:w="1631" w:type="dxa"/>
            <w:tcBorders>
              <w:top w:val="nil"/>
              <w:left w:val="nil"/>
              <w:bottom w:val="nil"/>
              <w:right w:val="nil"/>
            </w:tcBorders>
            <w:vAlign w:val="bottom"/>
          </w:tcPr>
          <w:p w14:paraId="5930CDE4" w14:textId="77777777" w:rsidR="00E359F0" w:rsidRPr="00245CFE" w:rsidRDefault="00E359F0" w:rsidP="00401B53">
            <w:pPr>
              <w:spacing w:after="0" w:line="240" w:lineRule="auto"/>
              <w:jc w:val="center"/>
              <w:rPr>
                <w:b/>
                <w:color w:val="000000"/>
                <w:sz w:val="20"/>
                <w:szCs w:val="20"/>
              </w:rPr>
            </w:pPr>
            <w:r w:rsidRPr="00245CFE">
              <w:rPr>
                <w:rFonts w:cs="Times New Roman"/>
                <w:color w:val="000000"/>
                <w:sz w:val="20"/>
                <w:szCs w:val="20"/>
              </w:rPr>
              <w:t>0.82 (0.75, 0.87)</w:t>
            </w:r>
          </w:p>
        </w:tc>
        <w:tc>
          <w:tcPr>
            <w:tcW w:w="1796" w:type="dxa"/>
            <w:tcBorders>
              <w:top w:val="nil"/>
              <w:left w:val="nil"/>
              <w:bottom w:val="nil"/>
              <w:right w:val="nil"/>
            </w:tcBorders>
          </w:tcPr>
          <w:p w14:paraId="40578922" w14:textId="77777777" w:rsidR="00E359F0" w:rsidRPr="00245CFE" w:rsidRDefault="00E359F0" w:rsidP="00401B53">
            <w:pPr>
              <w:spacing w:after="0" w:line="240" w:lineRule="auto"/>
              <w:jc w:val="center"/>
              <w:rPr>
                <w:rFonts w:cs="Times New Roman"/>
                <w:color w:val="000000"/>
                <w:sz w:val="20"/>
                <w:szCs w:val="20"/>
              </w:rPr>
            </w:pPr>
            <w:r w:rsidRPr="00245CFE">
              <w:rPr>
                <w:rFonts w:cs="Times New Roman"/>
                <w:color w:val="000000"/>
                <w:sz w:val="20"/>
                <w:szCs w:val="20"/>
              </w:rPr>
              <w:t>Good</w:t>
            </w:r>
          </w:p>
        </w:tc>
      </w:tr>
      <w:tr w:rsidR="00E359F0" w:rsidRPr="00B10941" w14:paraId="2AC7AA5E"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73F7C067" w14:textId="77777777" w:rsidR="00E359F0" w:rsidRPr="00C2120E" w:rsidRDefault="00E359F0" w:rsidP="00401B53">
            <w:pPr>
              <w:spacing w:after="0" w:line="240" w:lineRule="auto"/>
              <w:jc w:val="left"/>
              <w:rPr>
                <w:rFonts w:eastAsia="Times New Roman" w:cs="Times New Roman"/>
                <w:b/>
                <w:bCs/>
                <w:color w:val="000000"/>
                <w:sz w:val="20"/>
                <w:szCs w:val="20"/>
                <w:vertAlign w:val="superscript"/>
              </w:rPr>
            </w:pPr>
            <w:r w:rsidRPr="00B10941">
              <w:rPr>
                <w:rFonts w:eastAsia="Times New Roman" w:cs="Times New Roman"/>
                <w:bCs/>
                <w:color w:val="000000"/>
                <w:sz w:val="20"/>
                <w:szCs w:val="20"/>
              </w:rPr>
              <w:t>Tobacco</w:t>
            </w:r>
            <w:r>
              <w:rPr>
                <w:rFonts w:eastAsia="Times New Roman" w:cs="Times New Roman"/>
                <w:bCs/>
                <w:color w:val="000000"/>
                <w:sz w:val="20"/>
                <w:szCs w:val="20"/>
                <w:vertAlign w:val="superscript"/>
              </w:rPr>
              <w:t xml:space="preserve"> B</w:t>
            </w:r>
          </w:p>
        </w:tc>
        <w:tc>
          <w:tcPr>
            <w:tcW w:w="1362" w:type="dxa"/>
            <w:tcBorders>
              <w:top w:val="nil"/>
              <w:left w:val="nil"/>
              <w:bottom w:val="nil"/>
              <w:right w:val="nil"/>
            </w:tcBorders>
            <w:vAlign w:val="bottom"/>
          </w:tcPr>
          <w:p w14:paraId="029D371E"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3</w:t>
            </w:r>
            <w:r>
              <w:rPr>
                <w:rFonts w:cs="Times New Roman"/>
                <w:color w:val="000000"/>
                <w:sz w:val="20"/>
                <w:szCs w:val="20"/>
              </w:rPr>
              <w:t>97</w:t>
            </w:r>
            <w:r w:rsidRPr="003928BE">
              <w:rPr>
                <w:rFonts w:cs="Times New Roman"/>
                <w:color w:val="000000"/>
                <w:sz w:val="20"/>
                <w:szCs w:val="20"/>
              </w:rPr>
              <w:t xml:space="preserve"> (</w:t>
            </w:r>
            <w:r>
              <w:rPr>
                <w:rFonts w:cs="Times New Roman"/>
                <w:color w:val="000000"/>
                <w:sz w:val="20"/>
                <w:szCs w:val="20"/>
              </w:rPr>
              <w:t>51.8</w:t>
            </w:r>
            <w:r w:rsidRPr="003928BE">
              <w:rPr>
                <w:rFonts w:cs="Times New Roman"/>
                <w:color w:val="000000"/>
                <w:sz w:val="20"/>
                <w:szCs w:val="20"/>
              </w:rPr>
              <w:t>)</w:t>
            </w:r>
          </w:p>
        </w:tc>
        <w:tc>
          <w:tcPr>
            <w:tcW w:w="605" w:type="dxa"/>
            <w:tcBorders>
              <w:top w:val="nil"/>
              <w:left w:val="nil"/>
              <w:bottom w:val="nil"/>
              <w:right w:val="nil"/>
            </w:tcBorders>
            <w:shd w:val="clear" w:color="auto" w:fill="auto"/>
            <w:vAlign w:val="bottom"/>
            <w:hideMark/>
          </w:tcPr>
          <w:p w14:paraId="64582B9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1.7</w:t>
            </w:r>
          </w:p>
        </w:tc>
        <w:tc>
          <w:tcPr>
            <w:tcW w:w="586" w:type="dxa"/>
            <w:tcBorders>
              <w:top w:val="nil"/>
              <w:left w:val="nil"/>
              <w:bottom w:val="nil"/>
              <w:right w:val="nil"/>
            </w:tcBorders>
            <w:shd w:val="clear" w:color="auto" w:fill="auto"/>
            <w:vAlign w:val="bottom"/>
            <w:hideMark/>
          </w:tcPr>
          <w:p w14:paraId="258C90A8"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16.5</w:t>
            </w:r>
          </w:p>
        </w:tc>
        <w:tc>
          <w:tcPr>
            <w:tcW w:w="576" w:type="dxa"/>
            <w:tcBorders>
              <w:top w:val="nil"/>
              <w:left w:val="nil"/>
              <w:bottom w:val="nil"/>
              <w:right w:val="nil"/>
            </w:tcBorders>
            <w:shd w:val="clear" w:color="auto" w:fill="auto"/>
            <w:vAlign w:val="bottom"/>
            <w:hideMark/>
          </w:tcPr>
          <w:p w14:paraId="1C9636E1"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19.8</w:t>
            </w:r>
          </w:p>
        </w:tc>
        <w:tc>
          <w:tcPr>
            <w:tcW w:w="576" w:type="dxa"/>
            <w:tcBorders>
              <w:top w:val="nil"/>
              <w:left w:val="nil"/>
              <w:bottom w:val="nil"/>
              <w:right w:val="nil"/>
            </w:tcBorders>
            <w:shd w:val="clear" w:color="auto" w:fill="auto"/>
            <w:vAlign w:val="bottom"/>
            <w:hideMark/>
          </w:tcPr>
          <w:p w14:paraId="49C411E8"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0.9</w:t>
            </w:r>
          </w:p>
        </w:tc>
        <w:tc>
          <w:tcPr>
            <w:tcW w:w="576" w:type="dxa"/>
            <w:tcBorders>
              <w:top w:val="nil"/>
              <w:left w:val="nil"/>
              <w:bottom w:val="nil"/>
              <w:right w:val="nil"/>
            </w:tcBorders>
            <w:shd w:val="clear" w:color="auto" w:fill="auto"/>
            <w:vAlign w:val="bottom"/>
            <w:hideMark/>
          </w:tcPr>
          <w:p w14:paraId="01EFC5A8"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56.8</w:t>
            </w:r>
          </w:p>
        </w:tc>
        <w:tc>
          <w:tcPr>
            <w:tcW w:w="1192" w:type="dxa"/>
            <w:tcBorders>
              <w:top w:val="nil"/>
              <w:left w:val="nil"/>
              <w:bottom w:val="nil"/>
              <w:right w:val="nil"/>
            </w:tcBorders>
            <w:shd w:val="clear" w:color="auto" w:fill="auto"/>
            <w:vAlign w:val="bottom"/>
            <w:hideMark/>
          </w:tcPr>
          <w:p w14:paraId="667E5F5F"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39.3</w:t>
            </w:r>
          </w:p>
        </w:tc>
        <w:tc>
          <w:tcPr>
            <w:tcW w:w="1631" w:type="dxa"/>
            <w:tcBorders>
              <w:top w:val="nil"/>
              <w:left w:val="nil"/>
              <w:bottom w:val="nil"/>
              <w:right w:val="nil"/>
            </w:tcBorders>
            <w:vAlign w:val="bottom"/>
          </w:tcPr>
          <w:p w14:paraId="191DB933" w14:textId="77777777" w:rsidR="00E359F0" w:rsidRPr="00245CFE" w:rsidRDefault="00E359F0" w:rsidP="00401B53">
            <w:pPr>
              <w:spacing w:after="0" w:line="240" w:lineRule="auto"/>
              <w:jc w:val="center"/>
              <w:rPr>
                <w:b/>
                <w:color w:val="000000"/>
                <w:sz w:val="20"/>
                <w:szCs w:val="20"/>
              </w:rPr>
            </w:pPr>
            <w:r w:rsidRPr="00245CFE">
              <w:rPr>
                <w:rFonts w:cs="Times New Roman"/>
                <w:color w:val="000000"/>
                <w:sz w:val="20"/>
                <w:szCs w:val="20"/>
              </w:rPr>
              <w:t>0.87 (0.82, 0.97)</w:t>
            </w:r>
          </w:p>
        </w:tc>
        <w:tc>
          <w:tcPr>
            <w:tcW w:w="1796" w:type="dxa"/>
            <w:tcBorders>
              <w:top w:val="nil"/>
              <w:left w:val="nil"/>
              <w:bottom w:val="nil"/>
              <w:right w:val="nil"/>
            </w:tcBorders>
          </w:tcPr>
          <w:p w14:paraId="2456A369" w14:textId="77777777" w:rsidR="00E359F0" w:rsidRPr="00245CFE" w:rsidRDefault="00E359F0" w:rsidP="00401B53">
            <w:pPr>
              <w:spacing w:after="0" w:line="240" w:lineRule="auto"/>
              <w:jc w:val="center"/>
              <w:rPr>
                <w:rFonts w:cs="Times New Roman"/>
                <w:color w:val="000000"/>
                <w:sz w:val="20"/>
                <w:szCs w:val="20"/>
              </w:rPr>
            </w:pPr>
            <w:r w:rsidRPr="00245CFE">
              <w:rPr>
                <w:rFonts w:cs="Times New Roman"/>
                <w:color w:val="000000"/>
                <w:sz w:val="20"/>
                <w:szCs w:val="20"/>
              </w:rPr>
              <w:t xml:space="preserve">Good – Excellent </w:t>
            </w:r>
          </w:p>
        </w:tc>
      </w:tr>
      <w:tr w:rsidR="00E359F0" w:rsidRPr="00B10941" w14:paraId="5D1E2731"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48DFACF8"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Erectile Drugs</w:t>
            </w:r>
          </w:p>
        </w:tc>
        <w:tc>
          <w:tcPr>
            <w:tcW w:w="1362" w:type="dxa"/>
            <w:tcBorders>
              <w:top w:val="nil"/>
              <w:left w:val="nil"/>
              <w:bottom w:val="nil"/>
              <w:right w:val="nil"/>
            </w:tcBorders>
            <w:vAlign w:val="bottom"/>
          </w:tcPr>
          <w:p w14:paraId="47FB713F"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30 (5.8)</w:t>
            </w:r>
          </w:p>
        </w:tc>
        <w:tc>
          <w:tcPr>
            <w:tcW w:w="605" w:type="dxa"/>
            <w:tcBorders>
              <w:top w:val="nil"/>
              <w:left w:val="nil"/>
              <w:bottom w:val="nil"/>
              <w:right w:val="nil"/>
            </w:tcBorders>
            <w:shd w:val="clear" w:color="auto" w:fill="auto"/>
            <w:vAlign w:val="bottom"/>
            <w:hideMark/>
          </w:tcPr>
          <w:p w14:paraId="14345ED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1.2</w:t>
            </w:r>
          </w:p>
        </w:tc>
        <w:tc>
          <w:tcPr>
            <w:tcW w:w="586" w:type="dxa"/>
            <w:tcBorders>
              <w:top w:val="nil"/>
              <w:left w:val="nil"/>
              <w:bottom w:val="nil"/>
              <w:right w:val="nil"/>
            </w:tcBorders>
            <w:shd w:val="clear" w:color="auto" w:fill="auto"/>
            <w:vAlign w:val="bottom"/>
            <w:hideMark/>
          </w:tcPr>
          <w:p w14:paraId="38275FF5"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9990B86"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F5C057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7.0</w:t>
            </w:r>
          </w:p>
        </w:tc>
        <w:tc>
          <w:tcPr>
            <w:tcW w:w="576" w:type="dxa"/>
            <w:tcBorders>
              <w:top w:val="nil"/>
              <w:left w:val="nil"/>
              <w:bottom w:val="nil"/>
              <w:right w:val="nil"/>
            </w:tcBorders>
            <w:shd w:val="clear" w:color="auto" w:fill="auto"/>
            <w:vAlign w:val="bottom"/>
            <w:hideMark/>
          </w:tcPr>
          <w:p w14:paraId="684BAF9A"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0.8</w:t>
            </w:r>
          </w:p>
        </w:tc>
        <w:tc>
          <w:tcPr>
            <w:tcW w:w="1192" w:type="dxa"/>
            <w:tcBorders>
              <w:top w:val="nil"/>
              <w:left w:val="nil"/>
              <w:bottom w:val="nil"/>
              <w:right w:val="nil"/>
            </w:tcBorders>
            <w:shd w:val="clear" w:color="auto" w:fill="auto"/>
            <w:vAlign w:val="bottom"/>
            <w:hideMark/>
          </w:tcPr>
          <w:p w14:paraId="3A9C9850"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2.5</w:t>
            </w:r>
          </w:p>
        </w:tc>
        <w:tc>
          <w:tcPr>
            <w:tcW w:w="1631" w:type="dxa"/>
            <w:tcBorders>
              <w:top w:val="nil"/>
              <w:left w:val="nil"/>
              <w:bottom w:val="nil"/>
              <w:right w:val="nil"/>
            </w:tcBorders>
            <w:vAlign w:val="bottom"/>
          </w:tcPr>
          <w:p w14:paraId="248C0816"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0.95 (0.71, 0.99)</w:t>
            </w:r>
          </w:p>
        </w:tc>
        <w:tc>
          <w:tcPr>
            <w:tcW w:w="1796" w:type="dxa"/>
            <w:tcBorders>
              <w:top w:val="nil"/>
              <w:left w:val="nil"/>
              <w:bottom w:val="nil"/>
              <w:right w:val="nil"/>
            </w:tcBorders>
          </w:tcPr>
          <w:p w14:paraId="2B1EF15C" w14:textId="77777777" w:rsidR="00E359F0" w:rsidRPr="00245CFE" w:rsidRDefault="00E359F0" w:rsidP="00401B53">
            <w:pPr>
              <w:spacing w:after="0" w:line="240" w:lineRule="auto"/>
              <w:jc w:val="center"/>
              <w:rPr>
                <w:rFonts w:cs="Times New Roman"/>
                <w:color w:val="000000"/>
                <w:sz w:val="20"/>
                <w:szCs w:val="20"/>
              </w:rPr>
            </w:pPr>
            <w:r w:rsidRPr="00245CFE">
              <w:rPr>
                <w:rFonts w:cs="Times New Roman"/>
                <w:color w:val="000000"/>
                <w:sz w:val="20"/>
                <w:szCs w:val="20"/>
              </w:rPr>
              <w:t>Moderate - Excellent</w:t>
            </w:r>
          </w:p>
        </w:tc>
      </w:tr>
      <w:tr w:rsidR="00E359F0" w:rsidRPr="00B10941" w14:paraId="34C59001"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68D27BA8"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Poppers</w:t>
            </w:r>
          </w:p>
        </w:tc>
        <w:tc>
          <w:tcPr>
            <w:tcW w:w="1362" w:type="dxa"/>
            <w:tcBorders>
              <w:top w:val="nil"/>
              <w:left w:val="nil"/>
              <w:bottom w:val="nil"/>
              <w:right w:val="nil"/>
            </w:tcBorders>
            <w:vAlign w:val="bottom"/>
          </w:tcPr>
          <w:p w14:paraId="6DDEDBB5"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61 (9)</w:t>
            </w:r>
          </w:p>
        </w:tc>
        <w:tc>
          <w:tcPr>
            <w:tcW w:w="605" w:type="dxa"/>
            <w:tcBorders>
              <w:top w:val="nil"/>
              <w:left w:val="nil"/>
              <w:bottom w:val="nil"/>
              <w:right w:val="nil"/>
            </w:tcBorders>
            <w:shd w:val="clear" w:color="auto" w:fill="auto"/>
            <w:vAlign w:val="bottom"/>
            <w:hideMark/>
          </w:tcPr>
          <w:p w14:paraId="199F9C60"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0.6</w:t>
            </w:r>
          </w:p>
        </w:tc>
        <w:tc>
          <w:tcPr>
            <w:tcW w:w="586" w:type="dxa"/>
            <w:tcBorders>
              <w:top w:val="nil"/>
              <w:left w:val="nil"/>
              <w:bottom w:val="nil"/>
              <w:right w:val="nil"/>
            </w:tcBorders>
            <w:shd w:val="clear" w:color="auto" w:fill="auto"/>
            <w:vAlign w:val="bottom"/>
            <w:hideMark/>
          </w:tcPr>
          <w:p w14:paraId="1B3EDED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1.0</w:t>
            </w:r>
          </w:p>
        </w:tc>
        <w:tc>
          <w:tcPr>
            <w:tcW w:w="576" w:type="dxa"/>
            <w:tcBorders>
              <w:top w:val="nil"/>
              <w:left w:val="nil"/>
              <w:bottom w:val="nil"/>
              <w:right w:val="nil"/>
            </w:tcBorders>
            <w:shd w:val="clear" w:color="auto" w:fill="auto"/>
            <w:vAlign w:val="bottom"/>
            <w:hideMark/>
          </w:tcPr>
          <w:p w14:paraId="55F7173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3.1</w:t>
            </w:r>
          </w:p>
        </w:tc>
        <w:tc>
          <w:tcPr>
            <w:tcW w:w="576" w:type="dxa"/>
            <w:tcBorders>
              <w:top w:val="nil"/>
              <w:left w:val="nil"/>
              <w:bottom w:val="nil"/>
              <w:right w:val="nil"/>
            </w:tcBorders>
            <w:shd w:val="clear" w:color="auto" w:fill="auto"/>
            <w:vAlign w:val="bottom"/>
            <w:hideMark/>
          </w:tcPr>
          <w:p w14:paraId="0342C5FE"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11.1</w:t>
            </w:r>
          </w:p>
        </w:tc>
        <w:tc>
          <w:tcPr>
            <w:tcW w:w="576" w:type="dxa"/>
            <w:tcBorders>
              <w:top w:val="nil"/>
              <w:left w:val="nil"/>
              <w:bottom w:val="nil"/>
              <w:right w:val="nil"/>
            </w:tcBorders>
            <w:shd w:val="clear" w:color="auto" w:fill="auto"/>
            <w:vAlign w:val="bottom"/>
            <w:hideMark/>
          </w:tcPr>
          <w:p w14:paraId="33B2646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1.2</w:t>
            </w:r>
          </w:p>
        </w:tc>
        <w:tc>
          <w:tcPr>
            <w:tcW w:w="1192" w:type="dxa"/>
            <w:tcBorders>
              <w:top w:val="nil"/>
              <w:left w:val="nil"/>
              <w:bottom w:val="nil"/>
              <w:right w:val="nil"/>
            </w:tcBorders>
            <w:shd w:val="clear" w:color="auto" w:fill="auto"/>
            <w:vAlign w:val="bottom"/>
            <w:hideMark/>
          </w:tcPr>
          <w:p w14:paraId="5DC2E065"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6.7</w:t>
            </w:r>
          </w:p>
        </w:tc>
        <w:tc>
          <w:tcPr>
            <w:tcW w:w="1631" w:type="dxa"/>
            <w:tcBorders>
              <w:top w:val="nil"/>
              <w:left w:val="nil"/>
              <w:bottom w:val="nil"/>
              <w:right w:val="nil"/>
            </w:tcBorders>
            <w:vAlign w:val="bottom"/>
          </w:tcPr>
          <w:p w14:paraId="182761C7"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0.59 (0.42, 0.72)</w:t>
            </w:r>
          </w:p>
        </w:tc>
        <w:tc>
          <w:tcPr>
            <w:tcW w:w="1796" w:type="dxa"/>
            <w:tcBorders>
              <w:top w:val="nil"/>
              <w:left w:val="nil"/>
              <w:bottom w:val="nil"/>
              <w:right w:val="nil"/>
            </w:tcBorders>
          </w:tcPr>
          <w:p w14:paraId="39DED607" w14:textId="77777777" w:rsidR="00E359F0" w:rsidRPr="00245CFE" w:rsidRDefault="00E359F0" w:rsidP="00401B53">
            <w:pPr>
              <w:spacing w:after="0" w:line="240" w:lineRule="auto"/>
              <w:jc w:val="center"/>
              <w:rPr>
                <w:rFonts w:cs="Times New Roman"/>
                <w:color w:val="000000"/>
                <w:sz w:val="20"/>
                <w:szCs w:val="20"/>
              </w:rPr>
            </w:pPr>
            <w:r w:rsidRPr="00245CFE">
              <w:rPr>
                <w:rFonts w:cs="Times New Roman"/>
                <w:color w:val="000000"/>
                <w:sz w:val="20"/>
                <w:szCs w:val="20"/>
              </w:rPr>
              <w:t xml:space="preserve">Poor – Moderate </w:t>
            </w:r>
          </w:p>
        </w:tc>
      </w:tr>
      <w:tr w:rsidR="00E359F0" w:rsidRPr="00B10941" w14:paraId="1DB26C39"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1A323874"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Crack</w:t>
            </w:r>
          </w:p>
        </w:tc>
        <w:tc>
          <w:tcPr>
            <w:tcW w:w="1362" w:type="dxa"/>
            <w:tcBorders>
              <w:top w:val="nil"/>
              <w:left w:val="nil"/>
              <w:bottom w:val="nil"/>
              <w:right w:val="nil"/>
            </w:tcBorders>
            <w:vAlign w:val="bottom"/>
          </w:tcPr>
          <w:p w14:paraId="13AC7590"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15 (14.4)</w:t>
            </w:r>
          </w:p>
        </w:tc>
        <w:tc>
          <w:tcPr>
            <w:tcW w:w="605" w:type="dxa"/>
            <w:tcBorders>
              <w:top w:val="nil"/>
              <w:left w:val="nil"/>
              <w:bottom w:val="nil"/>
              <w:right w:val="nil"/>
            </w:tcBorders>
            <w:shd w:val="clear" w:color="auto" w:fill="auto"/>
            <w:vAlign w:val="bottom"/>
            <w:hideMark/>
          </w:tcPr>
          <w:p w14:paraId="5A26CA5C"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1D2E1C5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0D02052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218D8BCE"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4E392C5C"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3.6</w:t>
            </w:r>
          </w:p>
        </w:tc>
        <w:tc>
          <w:tcPr>
            <w:tcW w:w="1192" w:type="dxa"/>
            <w:tcBorders>
              <w:top w:val="nil"/>
              <w:left w:val="nil"/>
              <w:bottom w:val="nil"/>
              <w:right w:val="nil"/>
            </w:tcBorders>
            <w:shd w:val="clear" w:color="auto" w:fill="auto"/>
            <w:vAlign w:val="bottom"/>
            <w:hideMark/>
          </w:tcPr>
          <w:p w14:paraId="0267AD0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2.2</w:t>
            </w:r>
          </w:p>
        </w:tc>
        <w:tc>
          <w:tcPr>
            <w:tcW w:w="1631" w:type="dxa"/>
            <w:tcBorders>
              <w:top w:val="nil"/>
              <w:left w:val="nil"/>
              <w:bottom w:val="nil"/>
              <w:right w:val="nil"/>
            </w:tcBorders>
            <w:vAlign w:val="bottom"/>
          </w:tcPr>
          <w:p w14:paraId="5E668737"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0.57 (0.00, 0.91)</w:t>
            </w:r>
          </w:p>
        </w:tc>
        <w:tc>
          <w:tcPr>
            <w:tcW w:w="1796" w:type="dxa"/>
            <w:tcBorders>
              <w:top w:val="nil"/>
              <w:left w:val="nil"/>
              <w:bottom w:val="nil"/>
              <w:right w:val="nil"/>
            </w:tcBorders>
          </w:tcPr>
          <w:p w14:paraId="1E5E2B5E" w14:textId="77777777" w:rsidR="00E359F0" w:rsidRPr="00245CFE" w:rsidRDefault="00E359F0" w:rsidP="00401B53">
            <w:pPr>
              <w:spacing w:after="0" w:line="240" w:lineRule="auto"/>
              <w:jc w:val="center"/>
              <w:rPr>
                <w:rFonts w:cs="Times New Roman"/>
                <w:color w:val="000000"/>
                <w:sz w:val="20"/>
                <w:szCs w:val="20"/>
              </w:rPr>
            </w:pPr>
            <w:r w:rsidRPr="00245CFE">
              <w:rPr>
                <w:rFonts w:cs="Times New Roman"/>
                <w:color w:val="000000"/>
                <w:sz w:val="20"/>
                <w:szCs w:val="20"/>
              </w:rPr>
              <w:t xml:space="preserve">Poor – Excellent </w:t>
            </w:r>
          </w:p>
        </w:tc>
      </w:tr>
      <w:tr w:rsidR="00E359F0" w:rsidRPr="00B10941" w14:paraId="4A4ED185"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60EE8D96"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Cocaine</w:t>
            </w:r>
          </w:p>
        </w:tc>
        <w:tc>
          <w:tcPr>
            <w:tcW w:w="1362" w:type="dxa"/>
            <w:tcBorders>
              <w:top w:val="nil"/>
              <w:left w:val="nil"/>
              <w:bottom w:val="nil"/>
              <w:right w:val="nil"/>
            </w:tcBorders>
            <w:vAlign w:val="bottom"/>
          </w:tcPr>
          <w:p w14:paraId="3ABAAD40"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11 (2.6)</w:t>
            </w:r>
          </w:p>
        </w:tc>
        <w:tc>
          <w:tcPr>
            <w:tcW w:w="605" w:type="dxa"/>
            <w:tcBorders>
              <w:top w:val="nil"/>
              <w:left w:val="nil"/>
              <w:bottom w:val="nil"/>
              <w:right w:val="nil"/>
            </w:tcBorders>
            <w:shd w:val="clear" w:color="auto" w:fill="auto"/>
            <w:vAlign w:val="bottom"/>
            <w:hideMark/>
          </w:tcPr>
          <w:p w14:paraId="26955076"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493C7B0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0.2</w:t>
            </w:r>
          </w:p>
        </w:tc>
        <w:tc>
          <w:tcPr>
            <w:tcW w:w="576" w:type="dxa"/>
            <w:tcBorders>
              <w:top w:val="nil"/>
              <w:left w:val="nil"/>
              <w:bottom w:val="nil"/>
              <w:right w:val="nil"/>
            </w:tcBorders>
            <w:shd w:val="clear" w:color="auto" w:fill="auto"/>
            <w:vAlign w:val="bottom"/>
            <w:hideMark/>
          </w:tcPr>
          <w:p w14:paraId="3048DCA4"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76454748"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ACC8ED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1.1</w:t>
            </w:r>
          </w:p>
        </w:tc>
        <w:tc>
          <w:tcPr>
            <w:tcW w:w="1192" w:type="dxa"/>
            <w:tcBorders>
              <w:top w:val="nil"/>
              <w:left w:val="nil"/>
              <w:bottom w:val="nil"/>
              <w:right w:val="nil"/>
            </w:tcBorders>
            <w:shd w:val="clear" w:color="auto" w:fill="auto"/>
            <w:vAlign w:val="bottom"/>
            <w:hideMark/>
          </w:tcPr>
          <w:p w14:paraId="7490A758"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3.0</w:t>
            </w:r>
          </w:p>
        </w:tc>
        <w:tc>
          <w:tcPr>
            <w:tcW w:w="1631" w:type="dxa"/>
            <w:tcBorders>
              <w:top w:val="nil"/>
              <w:left w:val="nil"/>
              <w:bottom w:val="nil"/>
              <w:right w:val="nil"/>
            </w:tcBorders>
            <w:vAlign w:val="bottom"/>
          </w:tcPr>
          <w:p w14:paraId="6C70C19E"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0.72 (0.00, 0.97)</w:t>
            </w:r>
          </w:p>
        </w:tc>
        <w:tc>
          <w:tcPr>
            <w:tcW w:w="1796" w:type="dxa"/>
            <w:tcBorders>
              <w:top w:val="nil"/>
              <w:left w:val="nil"/>
              <w:bottom w:val="nil"/>
              <w:right w:val="nil"/>
            </w:tcBorders>
          </w:tcPr>
          <w:p w14:paraId="3CC0C4E8"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r w:rsidR="00E359F0" w:rsidRPr="00B10941" w14:paraId="2E2A95C2"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4CC8C1F8" w14:textId="77777777" w:rsidR="00E359F0" w:rsidRPr="000342DA" w:rsidRDefault="00E359F0" w:rsidP="00401B53">
            <w:pPr>
              <w:spacing w:after="0" w:line="240" w:lineRule="auto"/>
              <w:jc w:val="left"/>
              <w:rPr>
                <w:rFonts w:eastAsia="Times New Roman" w:cs="Times New Roman"/>
                <w:b/>
                <w:bCs/>
                <w:color w:val="000000"/>
                <w:sz w:val="20"/>
                <w:szCs w:val="20"/>
              </w:rPr>
            </w:pPr>
            <w:r>
              <w:rPr>
                <w:rFonts w:eastAsia="Times New Roman" w:cs="Times New Roman"/>
                <w:bCs/>
                <w:color w:val="000000"/>
                <w:sz w:val="20"/>
                <w:szCs w:val="20"/>
              </w:rPr>
              <w:t>Crystal Methamphetamine</w:t>
            </w:r>
          </w:p>
        </w:tc>
        <w:tc>
          <w:tcPr>
            <w:tcW w:w="1362" w:type="dxa"/>
            <w:tcBorders>
              <w:top w:val="nil"/>
              <w:left w:val="nil"/>
              <w:bottom w:val="nil"/>
              <w:right w:val="nil"/>
            </w:tcBorders>
            <w:vAlign w:val="bottom"/>
          </w:tcPr>
          <w:p w14:paraId="4CC61B17"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69 (21.4)</w:t>
            </w:r>
          </w:p>
        </w:tc>
        <w:tc>
          <w:tcPr>
            <w:tcW w:w="605" w:type="dxa"/>
            <w:tcBorders>
              <w:top w:val="nil"/>
              <w:left w:val="nil"/>
              <w:bottom w:val="nil"/>
              <w:right w:val="nil"/>
            </w:tcBorders>
            <w:shd w:val="clear" w:color="auto" w:fill="auto"/>
            <w:vAlign w:val="bottom"/>
            <w:hideMark/>
          </w:tcPr>
          <w:p w14:paraId="670A0C95"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0.2</w:t>
            </w:r>
          </w:p>
        </w:tc>
        <w:tc>
          <w:tcPr>
            <w:tcW w:w="586" w:type="dxa"/>
            <w:tcBorders>
              <w:top w:val="nil"/>
              <w:left w:val="nil"/>
              <w:bottom w:val="nil"/>
              <w:right w:val="nil"/>
            </w:tcBorders>
            <w:shd w:val="clear" w:color="auto" w:fill="auto"/>
            <w:vAlign w:val="bottom"/>
            <w:hideMark/>
          </w:tcPr>
          <w:p w14:paraId="0791980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7783287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0.8</w:t>
            </w:r>
          </w:p>
        </w:tc>
        <w:tc>
          <w:tcPr>
            <w:tcW w:w="576" w:type="dxa"/>
            <w:tcBorders>
              <w:top w:val="nil"/>
              <w:left w:val="nil"/>
              <w:bottom w:val="nil"/>
              <w:right w:val="nil"/>
            </w:tcBorders>
            <w:shd w:val="clear" w:color="auto" w:fill="auto"/>
            <w:vAlign w:val="bottom"/>
            <w:hideMark/>
          </w:tcPr>
          <w:p w14:paraId="7DB3BC0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3.3</w:t>
            </w:r>
          </w:p>
        </w:tc>
        <w:tc>
          <w:tcPr>
            <w:tcW w:w="576" w:type="dxa"/>
            <w:tcBorders>
              <w:top w:val="nil"/>
              <w:left w:val="nil"/>
              <w:bottom w:val="nil"/>
              <w:right w:val="nil"/>
            </w:tcBorders>
            <w:shd w:val="clear" w:color="auto" w:fill="auto"/>
            <w:vAlign w:val="bottom"/>
            <w:hideMark/>
          </w:tcPr>
          <w:p w14:paraId="734193A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6.3</w:t>
            </w:r>
          </w:p>
        </w:tc>
        <w:tc>
          <w:tcPr>
            <w:tcW w:w="1192" w:type="dxa"/>
            <w:tcBorders>
              <w:top w:val="nil"/>
              <w:left w:val="nil"/>
              <w:bottom w:val="nil"/>
              <w:right w:val="nil"/>
            </w:tcBorders>
            <w:shd w:val="clear" w:color="auto" w:fill="auto"/>
            <w:vAlign w:val="bottom"/>
            <w:hideMark/>
          </w:tcPr>
          <w:p w14:paraId="35C9C37C"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sidRPr="00AE2903">
              <w:rPr>
                <w:b/>
                <w:color w:val="000000"/>
                <w:sz w:val="20"/>
                <w:szCs w:val="20"/>
              </w:rPr>
              <w:t>17.8</w:t>
            </w:r>
          </w:p>
        </w:tc>
        <w:tc>
          <w:tcPr>
            <w:tcW w:w="1631" w:type="dxa"/>
            <w:tcBorders>
              <w:top w:val="nil"/>
              <w:left w:val="nil"/>
              <w:bottom w:val="nil"/>
              <w:right w:val="nil"/>
            </w:tcBorders>
            <w:vAlign w:val="bottom"/>
          </w:tcPr>
          <w:p w14:paraId="185D3BD9" w14:textId="77777777" w:rsidR="00E359F0" w:rsidRPr="00245CFE" w:rsidRDefault="00E359F0" w:rsidP="00401B53">
            <w:pPr>
              <w:spacing w:after="0" w:line="240" w:lineRule="auto"/>
              <w:jc w:val="center"/>
              <w:rPr>
                <w:b/>
                <w:color w:val="000000"/>
                <w:sz w:val="20"/>
                <w:szCs w:val="20"/>
              </w:rPr>
            </w:pPr>
            <w:r w:rsidRPr="00245CFE">
              <w:rPr>
                <w:rFonts w:cs="Times New Roman"/>
                <w:color w:val="000000"/>
                <w:sz w:val="20"/>
                <w:szCs w:val="20"/>
              </w:rPr>
              <w:t>0.70 (0.56, 0.79)</w:t>
            </w:r>
          </w:p>
        </w:tc>
        <w:tc>
          <w:tcPr>
            <w:tcW w:w="1796" w:type="dxa"/>
            <w:tcBorders>
              <w:top w:val="nil"/>
              <w:left w:val="nil"/>
              <w:bottom w:val="nil"/>
              <w:right w:val="nil"/>
            </w:tcBorders>
          </w:tcPr>
          <w:p w14:paraId="4BCDB877"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Moderate – Good</w:t>
            </w:r>
          </w:p>
        </w:tc>
      </w:tr>
      <w:tr w:rsidR="00E359F0" w:rsidRPr="00B10941" w14:paraId="5B5CD123"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32BFF5DD" w14:textId="77777777" w:rsidR="00E359F0" w:rsidRPr="000342DA" w:rsidRDefault="00E359F0" w:rsidP="00401B53">
            <w:pPr>
              <w:spacing w:after="0" w:line="240" w:lineRule="auto"/>
              <w:jc w:val="left"/>
              <w:rPr>
                <w:rFonts w:eastAsia="Times New Roman" w:cs="Times New Roman"/>
                <w:b/>
                <w:bCs/>
                <w:color w:val="000000"/>
                <w:sz w:val="20"/>
                <w:szCs w:val="20"/>
              </w:rPr>
            </w:pPr>
            <w:r>
              <w:rPr>
                <w:rFonts w:eastAsia="Times New Roman" w:cs="Times New Roman"/>
                <w:bCs/>
                <w:color w:val="000000"/>
                <w:sz w:val="20"/>
                <w:szCs w:val="20"/>
              </w:rPr>
              <w:t xml:space="preserve">Speed </w:t>
            </w:r>
          </w:p>
        </w:tc>
        <w:tc>
          <w:tcPr>
            <w:tcW w:w="1362" w:type="dxa"/>
            <w:tcBorders>
              <w:top w:val="nil"/>
              <w:left w:val="nil"/>
              <w:bottom w:val="nil"/>
              <w:right w:val="nil"/>
            </w:tcBorders>
            <w:vAlign w:val="bottom"/>
          </w:tcPr>
          <w:p w14:paraId="0947F695"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2 (3.6)</w:t>
            </w:r>
          </w:p>
        </w:tc>
        <w:tc>
          <w:tcPr>
            <w:tcW w:w="605" w:type="dxa"/>
            <w:tcBorders>
              <w:top w:val="nil"/>
              <w:left w:val="nil"/>
              <w:bottom w:val="nil"/>
              <w:right w:val="nil"/>
            </w:tcBorders>
            <w:shd w:val="clear" w:color="auto" w:fill="auto"/>
            <w:vAlign w:val="bottom"/>
            <w:hideMark/>
          </w:tcPr>
          <w:p w14:paraId="28CB56B2"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Pr>
                <w:color w:val="000000"/>
                <w:sz w:val="20"/>
                <w:szCs w:val="20"/>
              </w:rPr>
              <w:t>0.1</w:t>
            </w:r>
          </w:p>
        </w:tc>
        <w:tc>
          <w:tcPr>
            <w:tcW w:w="586" w:type="dxa"/>
            <w:tcBorders>
              <w:top w:val="nil"/>
              <w:left w:val="nil"/>
              <w:bottom w:val="nil"/>
              <w:right w:val="nil"/>
            </w:tcBorders>
            <w:shd w:val="clear" w:color="auto" w:fill="auto"/>
            <w:vAlign w:val="bottom"/>
            <w:hideMark/>
          </w:tcPr>
          <w:p w14:paraId="1BC9B6B8"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24737255"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7BF5F746"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261C34D0"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0.4</w:t>
            </w:r>
          </w:p>
        </w:tc>
        <w:tc>
          <w:tcPr>
            <w:tcW w:w="1192" w:type="dxa"/>
            <w:tcBorders>
              <w:top w:val="nil"/>
              <w:left w:val="nil"/>
              <w:bottom w:val="nil"/>
              <w:right w:val="nil"/>
            </w:tcBorders>
            <w:shd w:val="clear" w:color="auto" w:fill="auto"/>
            <w:vAlign w:val="bottom"/>
            <w:hideMark/>
          </w:tcPr>
          <w:p w14:paraId="2322D71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631" w:type="dxa"/>
            <w:tcBorders>
              <w:top w:val="nil"/>
              <w:left w:val="nil"/>
              <w:bottom w:val="nil"/>
              <w:right w:val="nil"/>
            </w:tcBorders>
            <w:vAlign w:val="bottom"/>
          </w:tcPr>
          <w:p w14:paraId="0AA385A6"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w:t>
            </w:r>
          </w:p>
        </w:tc>
        <w:tc>
          <w:tcPr>
            <w:tcW w:w="1796" w:type="dxa"/>
            <w:tcBorders>
              <w:top w:val="nil"/>
              <w:left w:val="nil"/>
              <w:bottom w:val="nil"/>
              <w:right w:val="nil"/>
            </w:tcBorders>
          </w:tcPr>
          <w:p w14:paraId="3E4AEC6C"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Indeterminant</w:t>
            </w:r>
          </w:p>
        </w:tc>
      </w:tr>
      <w:tr w:rsidR="00E359F0" w:rsidRPr="00B10941" w14:paraId="4AC0EC54"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12D006C1" w14:textId="77777777" w:rsidR="00E359F0" w:rsidRPr="000342DA" w:rsidRDefault="00E359F0" w:rsidP="00401B53">
            <w:pPr>
              <w:spacing w:after="0" w:line="240" w:lineRule="auto"/>
              <w:jc w:val="left"/>
              <w:rPr>
                <w:rFonts w:eastAsia="Times New Roman" w:cs="Times New Roman"/>
                <w:b/>
                <w:bCs/>
                <w:color w:val="000000"/>
                <w:sz w:val="20"/>
                <w:szCs w:val="20"/>
              </w:rPr>
            </w:pPr>
            <w:r w:rsidRPr="00DC2FA0">
              <w:rPr>
                <w:rFonts w:eastAsia="Times New Roman" w:cs="Times New Roman"/>
                <w:bCs/>
                <w:color w:val="000000"/>
                <w:sz w:val="20"/>
                <w:szCs w:val="20"/>
              </w:rPr>
              <w:t>γ-Hydroxybutyric acid</w:t>
            </w:r>
          </w:p>
        </w:tc>
        <w:tc>
          <w:tcPr>
            <w:tcW w:w="1362" w:type="dxa"/>
            <w:tcBorders>
              <w:top w:val="nil"/>
              <w:left w:val="nil"/>
              <w:bottom w:val="nil"/>
              <w:right w:val="nil"/>
            </w:tcBorders>
            <w:vAlign w:val="bottom"/>
          </w:tcPr>
          <w:p w14:paraId="519FE830"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18 (6)</w:t>
            </w:r>
          </w:p>
        </w:tc>
        <w:tc>
          <w:tcPr>
            <w:tcW w:w="605" w:type="dxa"/>
            <w:tcBorders>
              <w:top w:val="nil"/>
              <w:left w:val="nil"/>
              <w:bottom w:val="nil"/>
              <w:right w:val="nil"/>
            </w:tcBorders>
            <w:shd w:val="clear" w:color="auto" w:fill="auto"/>
            <w:vAlign w:val="bottom"/>
            <w:hideMark/>
          </w:tcPr>
          <w:p w14:paraId="7E9B5D9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29634A9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61326F88"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66ED8FF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0.5</w:t>
            </w:r>
          </w:p>
        </w:tc>
        <w:tc>
          <w:tcPr>
            <w:tcW w:w="576" w:type="dxa"/>
            <w:tcBorders>
              <w:top w:val="nil"/>
              <w:left w:val="nil"/>
              <w:bottom w:val="nil"/>
              <w:right w:val="nil"/>
            </w:tcBorders>
            <w:shd w:val="clear" w:color="auto" w:fill="auto"/>
            <w:vAlign w:val="bottom"/>
            <w:hideMark/>
          </w:tcPr>
          <w:p w14:paraId="42B8F596"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192" w:type="dxa"/>
            <w:tcBorders>
              <w:top w:val="nil"/>
              <w:left w:val="nil"/>
              <w:bottom w:val="nil"/>
              <w:right w:val="nil"/>
            </w:tcBorders>
            <w:shd w:val="clear" w:color="auto" w:fill="auto"/>
            <w:vAlign w:val="bottom"/>
            <w:hideMark/>
          </w:tcPr>
          <w:p w14:paraId="4CB242D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7.0</w:t>
            </w:r>
          </w:p>
        </w:tc>
        <w:tc>
          <w:tcPr>
            <w:tcW w:w="1631" w:type="dxa"/>
            <w:tcBorders>
              <w:top w:val="nil"/>
              <w:left w:val="nil"/>
              <w:bottom w:val="nil"/>
              <w:right w:val="nil"/>
            </w:tcBorders>
            <w:vAlign w:val="bottom"/>
          </w:tcPr>
          <w:p w14:paraId="6DBA6F7E"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0.92 (0.05, 0.99)</w:t>
            </w:r>
          </w:p>
        </w:tc>
        <w:tc>
          <w:tcPr>
            <w:tcW w:w="1796" w:type="dxa"/>
            <w:tcBorders>
              <w:top w:val="nil"/>
              <w:left w:val="nil"/>
              <w:bottom w:val="nil"/>
              <w:right w:val="nil"/>
            </w:tcBorders>
          </w:tcPr>
          <w:p w14:paraId="2454229F"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r w:rsidR="00E359F0" w:rsidRPr="00B10941" w14:paraId="2A86DADE"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66371FB1"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Benzodiazepine</w:t>
            </w:r>
          </w:p>
        </w:tc>
        <w:tc>
          <w:tcPr>
            <w:tcW w:w="1362" w:type="dxa"/>
            <w:tcBorders>
              <w:top w:val="nil"/>
              <w:left w:val="nil"/>
              <w:bottom w:val="nil"/>
              <w:right w:val="nil"/>
            </w:tcBorders>
            <w:vAlign w:val="bottom"/>
          </w:tcPr>
          <w:p w14:paraId="6BC7A696"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11 (13.6)</w:t>
            </w:r>
          </w:p>
        </w:tc>
        <w:tc>
          <w:tcPr>
            <w:tcW w:w="605" w:type="dxa"/>
            <w:tcBorders>
              <w:top w:val="nil"/>
              <w:left w:val="nil"/>
              <w:bottom w:val="nil"/>
              <w:right w:val="nil"/>
            </w:tcBorders>
            <w:shd w:val="clear" w:color="auto" w:fill="auto"/>
            <w:vAlign w:val="bottom"/>
            <w:hideMark/>
          </w:tcPr>
          <w:p w14:paraId="654EA7C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15883F1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26E9F4A2"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785AAE0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49D4730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3.0</w:t>
            </w:r>
          </w:p>
        </w:tc>
        <w:tc>
          <w:tcPr>
            <w:tcW w:w="1192" w:type="dxa"/>
            <w:tcBorders>
              <w:top w:val="nil"/>
              <w:left w:val="nil"/>
              <w:bottom w:val="nil"/>
              <w:right w:val="nil"/>
            </w:tcBorders>
            <w:shd w:val="clear" w:color="auto" w:fill="auto"/>
            <w:vAlign w:val="bottom"/>
            <w:hideMark/>
          </w:tcPr>
          <w:p w14:paraId="764DBDD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1.6</w:t>
            </w:r>
          </w:p>
        </w:tc>
        <w:tc>
          <w:tcPr>
            <w:tcW w:w="1631" w:type="dxa"/>
            <w:tcBorders>
              <w:top w:val="nil"/>
              <w:left w:val="nil"/>
              <w:bottom w:val="nil"/>
              <w:right w:val="nil"/>
            </w:tcBorders>
            <w:vAlign w:val="bottom"/>
          </w:tcPr>
          <w:p w14:paraId="1F79BDD3"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0.80 (0.00, 0.99)</w:t>
            </w:r>
          </w:p>
        </w:tc>
        <w:tc>
          <w:tcPr>
            <w:tcW w:w="1796" w:type="dxa"/>
            <w:tcBorders>
              <w:top w:val="nil"/>
              <w:left w:val="nil"/>
              <w:bottom w:val="nil"/>
              <w:right w:val="nil"/>
            </w:tcBorders>
          </w:tcPr>
          <w:p w14:paraId="1C7408EB"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r w:rsidR="00E359F0" w:rsidRPr="00B10941" w14:paraId="519A4176"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128732AB"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Ecstasy</w:t>
            </w:r>
          </w:p>
        </w:tc>
        <w:tc>
          <w:tcPr>
            <w:tcW w:w="1362" w:type="dxa"/>
            <w:tcBorders>
              <w:top w:val="nil"/>
              <w:left w:val="nil"/>
              <w:bottom w:val="nil"/>
              <w:right w:val="nil"/>
            </w:tcBorders>
            <w:vAlign w:val="bottom"/>
          </w:tcPr>
          <w:p w14:paraId="67AF908D"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2 (0.4)</w:t>
            </w:r>
          </w:p>
        </w:tc>
        <w:tc>
          <w:tcPr>
            <w:tcW w:w="605" w:type="dxa"/>
            <w:tcBorders>
              <w:top w:val="nil"/>
              <w:left w:val="nil"/>
              <w:bottom w:val="nil"/>
              <w:right w:val="nil"/>
            </w:tcBorders>
            <w:shd w:val="clear" w:color="auto" w:fill="auto"/>
            <w:vAlign w:val="bottom"/>
            <w:hideMark/>
          </w:tcPr>
          <w:p w14:paraId="5549678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7C15C556"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6A407AE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46B7400A"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7F2096D9"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192" w:type="dxa"/>
            <w:tcBorders>
              <w:top w:val="nil"/>
              <w:left w:val="nil"/>
              <w:bottom w:val="nil"/>
              <w:right w:val="nil"/>
            </w:tcBorders>
            <w:shd w:val="clear" w:color="auto" w:fill="auto"/>
            <w:vAlign w:val="bottom"/>
            <w:hideMark/>
          </w:tcPr>
          <w:p w14:paraId="2047ED28"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0.8</w:t>
            </w:r>
          </w:p>
        </w:tc>
        <w:tc>
          <w:tcPr>
            <w:tcW w:w="1631" w:type="dxa"/>
            <w:tcBorders>
              <w:top w:val="nil"/>
              <w:left w:val="nil"/>
              <w:bottom w:val="nil"/>
              <w:right w:val="nil"/>
            </w:tcBorders>
            <w:vAlign w:val="bottom"/>
          </w:tcPr>
          <w:p w14:paraId="0261E7C9"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w:t>
            </w:r>
          </w:p>
        </w:tc>
        <w:tc>
          <w:tcPr>
            <w:tcW w:w="1796" w:type="dxa"/>
            <w:tcBorders>
              <w:top w:val="nil"/>
              <w:left w:val="nil"/>
              <w:bottom w:val="nil"/>
              <w:right w:val="nil"/>
            </w:tcBorders>
          </w:tcPr>
          <w:p w14:paraId="0105ABBE" w14:textId="77777777" w:rsidR="00E359F0" w:rsidRPr="00245CFE" w:rsidRDefault="00E359F0" w:rsidP="00401B53">
            <w:pPr>
              <w:spacing w:after="0" w:line="240" w:lineRule="auto"/>
              <w:jc w:val="center"/>
              <w:rPr>
                <w:rFonts w:cs="Times New Roman"/>
                <w:color w:val="000000"/>
                <w:sz w:val="20"/>
                <w:szCs w:val="20"/>
              </w:rPr>
            </w:pPr>
            <w:r w:rsidRPr="00B50A7E">
              <w:rPr>
                <w:rFonts w:cs="Times New Roman"/>
                <w:color w:val="000000"/>
                <w:sz w:val="20"/>
                <w:szCs w:val="20"/>
              </w:rPr>
              <w:t>Indeterminant</w:t>
            </w:r>
          </w:p>
        </w:tc>
      </w:tr>
      <w:tr w:rsidR="00E359F0" w:rsidRPr="00B10941" w14:paraId="25D9A26E"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25CE2780"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Ketamine</w:t>
            </w:r>
          </w:p>
        </w:tc>
        <w:tc>
          <w:tcPr>
            <w:tcW w:w="1362" w:type="dxa"/>
            <w:tcBorders>
              <w:top w:val="nil"/>
              <w:left w:val="nil"/>
              <w:bottom w:val="nil"/>
              <w:right w:val="nil"/>
            </w:tcBorders>
            <w:vAlign w:val="bottom"/>
          </w:tcPr>
          <w:p w14:paraId="70CE25D9"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1 (0.5)</w:t>
            </w:r>
          </w:p>
        </w:tc>
        <w:tc>
          <w:tcPr>
            <w:tcW w:w="605" w:type="dxa"/>
            <w:tcBorders>
              <w:top w:val="nil"/>
              <w:left w:val="nil"/>
              <w:bottom w:val="nil"/>
              <w:right w:val="nil"/>
            </w:tcBorders>
            <w:shd w:val="clear" w:color="auto" w:fill="auto"/>
            <w:vAlign w:val="bottom"/>
            <w:hideMark/>
          </w:tcPr>
          <w:p w14:paraId="2F8EF98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1B08A304"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35628F8B"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21299F1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4C8F5CB"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192" w:type="dxa"/>
            <w:tcBorders>
              <w:top w:val="nil"/>
              <w:left w:val="nil"/>
              <w:bottom w:val="nil"/>
              <w:right w:val="nil"/>
            </w:tcBorders>
            <w:shd w:val="clear" w:color="auto" w:fill="auto"/>
            <w:vAlign w:val="bottom"/>
            <w:hideMark/>
          </w:tcPr>
          <w:p w14:paraId="3C8A4EAE"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0.4</w:t>
            </w:r>
          </w:p>
        </w:tc>
        <w:tc>
          <w:tcPr>
            <w:tcW w:w="1631" w:type="dxa"/>
            <w:tcBorders>
              <w:top w:val="nil"/>
              <w:left w:val="nil"/>
              <w:bottom w:val="nil"/>
              <w:right w:val="nil"/>
            </w:tcBorders>
          </w:tcPr>
          <w:p w14:paraId="20F92C33"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w:t>
            </w:r>
          </w:p>
        </w:tc>
        <w:tc>
          <w:tcPr>
            <w:tcW w:w="1796" w:type="dxa"/>
            <w:tcBorders>
              <w:top w:val="nil"/>
              <w:left w:val="nil"/>
              <w:bottom w:val="nil"/>
              <w:right w:val="nil"/>
            </w:tcBorders>
          </w:tcPr>
          <w:p w14:paraId="122162D8" w14:textId="77777777" w:rsidR="00E359F0" w:rsidRPr="00245CFE" w:rsidRDefault="00E359F0" w:rsidP="00401B53">
            <w:pPr>
              <w:spacing w:after="0" w:line="240" w:lineRule="auto"/>
              <w:jc w:val="center"/>
              <w:rPr>
                <w:rFonts w:cs="Times New Roman"/>
                <w:color w:val="000000"/>
                <w:sz w:val="20"/>
                <w:szCs w:val="20"/>
              </w:rPr>
            </w:pPr>
            <w:r w:rsidRPr="00B50A7E">
              <w:rPr>
                <w:rFonts w:cs="Times New Roman"/>
                <w:color w:val="000000"/>
                <w:sz w:val="20"/>
                <w:szCs w:val="20"/>
              </w:rPr>
              <w:t>Indeterminant</w:t>
            </w:r>
          </w:p>
        </w:tc>
      </w:tr>
      <w:tr w:rsidR="00E359F0" w:rsidRPr="00B10941" w14:paraId="35B3AEF1"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29392503"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Mushrooms</w:t>
            </w:r>
          </w:p>
        </w:tc>
        <w:tc>
          <w:tcPr>
            <w:tcW w:w="1362" w:type="dxa"/>
            <w:tcBorders>
              <w:top w:val="nil"/>
              <w:left w:val="nil"/>
              <w:bottom w:val="nil"/>
              <w:right w:val="nil"/>
            </w:tcBorders>
            <w:vAlign w:val="bottom"/>
          </w:tcPr>
          <w:p w14:paraId="104DAFC5"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0 (0)</w:t>
            </w:r>
          </w:p>
        </w:tc>
        <w:tc>
          <w:tcPr>
            <w:tcW w:w="605" w:type="dxa"/>
            <w:tcBorders>
              <w:top w:val="nil"/>
              <w:left w:val="nil"/>
              <w:bottom w:val="nil"/>
              <w:right w:val="nil"/>
            </w:tcBorders>
            <w:shd w:val="clear" w:color="auto" w:fill="auto"/>
            <w:vAlign w:val="bottom"/>
            <w:hideMark/>
          </w:tcPr>
          <w:p w14:paraId="0F5CDD94"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78AD356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27E6AAE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7381F56"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1F170CE5"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192" w:type="dxa"/>
            <w:tcBorders>
              <w:top w:val="nil"/>
              <w:left w:val="nil"/>
              <w:bottom w:val="nil"/>
              <w:right w:val="nil"/>
            </w:tcBorders>
            <w:shd w:val="clear" w:color="auto" w:fill="auto"/>
            <w:vAlign w:val="bottom"/>
            <w:hideMark/>
          </w:tcPr>
          <w:p w14:paraId="5256812F"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631" w:type="dxa"/>
            <w:tcBorders>
              <w:top w:val="nil"/>
              <w:left w:val="nil"/>
              <w:bottom w:val="nil"/>
              <w:right w:val="nil"/>
            </w:tcBorders>
          </w:tcPr>
          <w:p w14:paraId="5BA6D9AA"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w:t>
            </w:r>
          </w:p>
        </w:tc>
        <w:tc>
          <w:tcPr>
            <w:tcW w:w="1796" w:type="dxa"/>
            <w:tcBorders>
              <w:top w:val="nil"/>
              <w:left w:val="nil"/>
              <w:bottom w:val="nil"/>
              <w:right w:val="nil"/>
            </w:tcBorders>
          </w:tcPr>
          <w:p w14:paraId="2AF936AF" w14:textId="77777777" w:rsidR="00E359F0" w:rsidRPr="00245CFE" w:rsidRDefault="00E359F0" w:rsidP="00401B53">
            <w:pPr>
              <w:spacing w:after="0" w:line="240" w:lineRule="auto"/>
              <w:jc w:val="center"/>
              <w:rPr>
                <w:rFonts w:cs="Times New Roman"/>
                <w:color w:val="000000"/>
                <w:sz w:val="20"/>
                <w:szCs w:val="20"/>
              </w:rPr>
            </w:pPr>
            <w:r w:rsidRPr="00B50A7E">
              <w:rPr>
                <w:rFonts w:cs="Times New Roman"/>
                <w:color w:val="000000"/>
                <w:sz w:val="20"/>
                <w:szCs w:val="20"/>
              </w:rPr>
              <w:t>Indeterminant</w:t>
            </w:r>
          </w:p>
        </w:tc>
      </w:tr>
      <w:tr w:rsidR="00E359F0" w:rsidRPr="00B10941" w14:paraId="7CABFA33"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494B2572" w14:textId="77777777" w:rsidR="00E359F0" w:rsidRPr="000342DA" w:rsidRDefault="00E359F0" w:rsidP="00401B53">
            <w:pPr>
              <w:spacing w:after="0" w:line="240" w:lineRule="auto"/>
              <w:jc w:val="left"/>
              <w:rPr>
                <w:rFonts w:eastAsia="Times New Roman" w:cs="Times New Roman"/>
                <w:b/>
                <w:bCs/>
                <w:color w:val="000000"/>
                <w:sz w:val="20"/>
                <w:szCs w:val="20"/>
              </w:rPr>
            </w:pPr>
            <w:r w:rsidRPr="00DC2FA0">
              <w:rPr>
                <w:rFonts w:eastAsia="Times New Roman" w:cs="Times New Roman"/>
                <w:bCs/>
                <w:color w:val="000000"/>
                <w:sz w:val="20"/>
                <w:szCs w:val="20"/>
              </w:rPr>
              <w:t>Lysergic acid diethylamide</w:t>
            </w:r>
          </w:p>
        </w:tc>
        <w:tc>
          <w:tcPr>
            <w:tcW w:w="1362" w:type="dxa"/>
            <w:tcBorders>
              <w:top w:val="nil"/>
              <w:left w:val="nil"/>
              <w:bottom w:val="nil"/>
              <w:right w:val="nil"/>
            </w:tcBorders>
            <w:vAlign w:val="bottom"/>
          </w:tcPr>
          <w:p w14:paraId="62E874B5"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0 (0)</w:t>
            </w:r>
          </w:p>
        </w:tc>
        <w:tc>
          <w:tcPr>
            <w:tcW w:w="605" w:type="dxa"/>
            <w:tcBorders>
              <w:top w:val="nil"/>
              <w:left w:val="nil"/>
              <w:bottom w:val="nil"/>
              <w:right w:val="nil"/>
            </w:tcBorders>
            <w:shd w:val="clear" w:color="auto" w:fill="auto"/>
            <w:vAlign w:val="bottom"/>
            <w:hideMark/>
          </w:tcPr>
          <w:p w14:paraId="0AD22BFC"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3BEE0910"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35DE6C3A"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30EAB680"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376826A4"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192" w:type="dxa"/>
            <w:tcBorders>
              <w:top w:val="nil"/>
              <w:left w:val="nil"/>
              <w:bottom w:val="nil"/>
              <w:right w:val="nil"/>
            </w:tcBorders>
            <w:shd w:val="clear" w:color="auto" w:fill="auto"/>
            <w:vAlign w:val="bottom"/>
            <w:hideMark/>
          </w:tcPr>
          <w:p w14:paraId="319F28C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631" w:type="dxa"/>
            <w:tcBorders>
              <w:top w:val="nil"/>
              <w:left w:val="nil"/>
              <w:bottom w:val="nil"/>
              <w:right w:val="nil"/>
            </w:tcBorders>
          </w:tcPr>
          <w:p w14:paraId="41EB89BF"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w:t>
            </w:r>
          </w:p>
        </w:tc>
        <w:tc>
          <w:tcPr>
            <w:tcW w:w="1796" w:type="dxa"/>
            <w:tcBorders>
              <w:top w:val="nil"/>
              <w:left w:val="nil"/>
              <w:bottom w:val="nil"/>
              <w:right w:val="nil"/>
            </w:tcBorders>
          </w:tcPr>
          <w:p w14:paraId="0410341D" w14:textId="77777777" w:rsidR="00E359F0" w:rsidRPr="00245CFE" w:rsidRDefault="00E359F0" w:rsidP="00401B53">
            <w:pPr>
              <w:spacing w:after="0" w:line="240" w:lineRule="auto"/>
              <w:jc w:val="center"/>
              <w:rPr>
                <w:rFonts w:cs="Times New Roman"/>
                <w:color w:val="000000"/>
                <w:sz w:val="20"/>
                <w:szCs w:val="20"/>
              </w:rPr>
            </w:pPr>
            <w:r w:rsidRPr="00B50A7E">
              <w:rPr>
                <w:rFonts w:cs="Times New Roman"/>
                <w:color w:val="000000"/>
                <w:sz w:val="20"/>
                <w:szCs w:val="20"/>
              </w:rPr>
              <w:t>Indeterminant</w:t>
            </w:r>
          </w:p>
        </w:tc>
      </w:tr>
      <w:tr w:rsidR="00E359F0" w:rsidRPr="00B10941" w14:paraId="52043EAE" w14:textId="77777777" w:rsidTr="00401B53">
        <w:trPr>
          <w:trHeight w:val="63"/>
          <w:jc w:val="center"/>
        </w:trPr>
        <w:tc>
          <w:tcPr>
            <w:tcW w:w="1716" w:type="dxa"/>
            <w:tcBorders>
              <w:top w:val="nil"/>
              <w:left w:val="nil"/>
              <w:bottom w:val="nil"/>
              <w:right w:val="nil"/>
            </w:tcBorders>
            <w:shd w:val="clear" w:color="auto" w:fill="auto"/>
            <w:noWrap/>
            <w:vAlign w:val="bottom"/>
            <w:hideMark/>
          </w:tcPr>
          <w:p w14:paraId="6CAA632C"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 xml:space="preserve">Heroin </w:t>
            </w:r>
          </w:p>
        </w:tc>
        <w:tc>
          <w:tcPr>
            <w:tcW w:w="1362" w:type="dxa"/>
            <w:tcBorders>
              <w:top w:val="nil"/>
              <w:left w:val="nil"/>
              <w:bottom w:val="nil"/>
              <w:right w:val="nil"/>
            </w:tcBorders>
            <w:vAlign w:val="bottom"/>
          </w:tcPr>
          <w:p w14:paraId="5FAB7782"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9 (29)</w:t>
            </w:r>
          </w:p>
        </w:tc>
        <w:tc>
          <w:tcPr>
            <w:tcW w:w="605" w:type="dxa"/>
            <w:tcBorders>
              <w:top w:val="nil"/>
              <w:left w:val="nil"/>
              <w:bottom w:val="nil"/>
              <w:right w:val="nil"/>
            </w:tcBorders>
            <w:shd w:val="clear" w:color="auto" w:fill="auto"/>
            <w:vAlign w:val="bottom"/>
            <w:hideMark/>
          </w:tcPr>
          <w:p w14:paraId="50149F0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bottom w:val="nil"/>
              <w:right w:val="nil"/>
            </w:tcBorders>
            <w:shd w:val="clear" w:color="auto" w:fill="auto"/>
            <w:vAlign w:val="bottom"/>
            <w:hideMark/>
          </w:tcPr>
          <w:p w14:paraId="422693FC"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D07F15A"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14C2FC7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175D0561"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1.6</w:t>
            </w:r>
          </w:p>
        </w:tc>
        <w:tc>
          <w:tcPr>
            <w:tcW w:w="1192" w:type="dxa"/>
            <w:tcBorders>
              <w:top w:val="nil"/>
              <w:left w:val="nil"/>
              <w:bottom w:val="nil"/>
              <w:right w:val="nil"/>
            </w:tcBorders>
            <w:shd w:val="clear" w:color="auto" w:fill="auto"/>
            <w:vAlign w:val="bottom"/>
            <w:hideMark/>
          </w:tcPr>
          <w:p w14:paraId="66A4160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2.1</w:t>
            </w:r>
          </w:p>
        </w:tc>
        <w:tc>
          <w:tcPr>
            <w:tcW w:w="1631" w:type="dxa"/>
            <w:tcBorders>
              <w:top w:val="nil"/>
              <w:left w:val="nil"/>
              <w:bottom w:val="nil"/>
              <w:right w:val="nil"/>
            </w:tcBorders>
            <w:vAlign w:val="bottom"/>
          </w:tcPr>
          <w:p w14:paraId="3FEE08CC"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0.43 (0.00, 0.99)</w:t>
            </w:r>
          </w:p>
        </w:tc>
        <w:tc>
          <w:tcPr>
            <w:tcW w:w="1796" w:type="dxa"/>
            <w:tcBorders>
              <w:top w:val="nil"/>
              <w:left w:val="nil"/>
              <w:bottom w:val="nil"/>
              <w:right w:val="nil"/>
            </w:tcBorders>
          </w:tcPr>
          <w:p w14:paraId="29D4566C"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r w:rsidR="00E359F0" w:rsidRPr="00B10941" w14:paraId="433A7E4E" w14:textId="77777777" w:rsidTr="00401B53">
        <w:trPr>
          <w:trHeight w:val="126"/>
          <w:jc w:val="center"/>
        </w:trPr>
        <w:tc>
          <w:tcPr>
            <w:tcW w:w="1716" w:type="dxa"/>
            <w:tcBorders>
              <w:top w:val="nil"/>
              <w:left w:val="nil"/>
              <w:bottom w:val="nil"/>
              <w:right w:val="nil"/>
            </w:tcBorders>
            <w:shd w:val="clear" w:color="auto" w:fill="auto"/>
            <w:noWrap/>
            <w:vAlign w:val="bottom"/>
            <w:hideMark/>
          </w:tcPr>
          <w:p w14:paraId="07E58410"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Codeine</w:t>
            </w:r>
          </w:p>
        </w:tc>
        <w:tc>
          <w:tcPr>
            <w:tcW w:w="1362" w:type="dxa"/>
            <w:tcBorders>
              <w:top w:val="nil"/>
              <w:left w:val="nil"/>
              <w:bottom w:val="nil"/>
              <w:right w:val="nil"/>
            </w:tcBorders>
            <w:vAlign w:val="bottom"/>
          </w:tcPr>
          <w:p w14:paraId="0B080E0B"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12 (15.6)</w:t>
            </w:r>
          </w:p>
        </w:tc>
        <w:tc>
          <w:tcPr>
            <w:tcW w:w="605" w:type="dxa"/>
            <w:tcBorders>
              <w:top w:val="nil"/>
              <w:left w:val="nil"/>
              <w:bottom w:val="nil"/>
              <w:right w:val="nil"/>
            </w:tcBorders>
            <w:shd w:val="clear" w:color="auto" w:fill="auto"/>
            <w:vAlign w:val="bottom"/>
            <w:hideMark/>
          </w:tcPr>
          <w:p w14:paraId="4F0F604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0.2</w:t>
            </w:r>
          </w:p>
        </w:tc>
        <w:tc>
          <w:tcPr>
            <w:tcW w:w="586" w:type="dxa"/>
            <w:tcBorders>
              <w:top w:val="nil"/>
              <w:left w:val="nil"/>
              <w:bottom w:val="nil"/>
              <w:right w:val="nil"/>
            </w:tcBorders>
            <w:shd w:val="clear" w:color="auto" w:fill="auto"/>
            <w:vAlign w:val="bottom"/>
            <w:hideMark/>
          </w:tcPr>
          <w:p w14:paraId="1BECC0E2"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64B07012"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nil"/>
              <w:right w:val="nil"/>
            </w:tcBorders>
            <w:shd w:val="clear" w:color="auto" w:fill="auto"/>
            <w:vAlign w:val="bottom"/>
            <w:hideMark/>
          </w:tcPr>
          <w:p w14:paraId="5FC857C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0.5</w:t>
            </w:r>
          </w:p>
        </w:tc>
        <w:tc>
          <w:tcPr>
            <w:tcW w:w="576" w:type="dxa"/>
            <w:tcBorders>
              <w:top w:val="nil"/>
              <w:left w:val="nil"/>
              <w:bottom w:val="nil"/>
              <w:right w:val="nil"/>
            </w:tcBorders>
            <w:shd w:val="clear" w:color="auto" w:fill="auto"/>
            <w:vAlign w:val="bottom"/>
            <w:hideMark/>
          </w:tcPr>
          <w:p w14:paraId="23DD3794"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4.2</w:t>
            </w:r>
          </w:p>
        </w:tc>
        <w:tc>
          <w:tcPr>
            <w:tcW w:w="1192" w:type="dxa"/>
            <w:tcBorders>
              <w:top w:val="nil"/>
              <w:left w:val="nil"/>
              <w:bottom w:val="nil"/>
              <w:right w:val="nil"/>
            </w:tcBorders>
            <w:shd w:val="clear" w:color="auto" w:fill="auto"/>
            <w:vAlign w:val="bottom"/>
            <w:hideMark/>
          </w:tcPr>
          <w:p w14:paraId="78A9F60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631" w:type="dxa"/>
            <w:tcBorders>
              <w:top w:val="nil"/>
              <w:left w:val="nil"/>
              <w:bottom w:val="nil"/>
              <w:right w:val="nil"/>
            </w:tcBorders>
            <w:vAlign w:val="bottom"/>
          </w:tcPr>
          <w:p w14:paraId="2B4FDBB5"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0.63 (0.26, 0.99)</w:t>
            </w:r>
          </w:p>
        </w:tc>
        <w:tc>
          <w:tcPr>
            <w:tcW w:w="1796" w:type="dxa"/>
            <w:tcBorders>
              <w:top w:val="nil"/>
              <w:left w:val="nil"/>
              <w:bottom w:val="nil"/>
              <w:right w:val="nil"/>
            </w:tcBorders>
          </w:tcPr>
          <w:p w14:paraId="31AC8A18"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r w:rsidR="00E359F0" w:rsidRPr="00B10941" w14:paraId="6F1061CA" w14:textId="77777777" w:rsidTr="00401B53">
        <w:trPr>
          <w:trHeight w:val="63"/>
          <w:jc w:val="center"/>
        </w:trPr>
        <w:tc>
          <w:tcPr>
            <w:tcW w:w="1716" w:type="dxa"/>
            <w:tcBorders>
              <w:top w:val="nil"/>
              <w:left w:val="nil"/>
              <w:right w:val="nil"/>
            </w:tcBorders>
            <w:shd w:val="clear" w:color="auto" w:fill="auto"/>
            <w:noWrap/>
            <w:vAlign w:val="bottom"/>
            <w:hideMark/>
          </w:tcPr>
          <w:p w14:paraId="360C4A08" w14:textId="77777777" w:rsidR="00E359F0" w:rsidRPr="000342DA" w:rsidRDefault="00E359F0" w:rsidP="00401B53">
            <w:pPr>
              <w:spacing w:after="0" w:line="240" w:lineRule="auto"/>
              <w:jc w:val="left"/>
              <w:rPr>
                <w:rFonts w:eastAsia="Times New Roman" w:cs="Times New Roman"/>
                <w:b/>
                <w:bCs/>
                <w:color w:val="000000"/>
                <w:sz w:val="20"/>
                <w:szCs w:val="20"/>
              </w:rPr>
            </w:pPr>
            <w:r>
              <w:rPr>
                <w:rFonts w:eastAsia="Times New Roman" w:cs="Times New Roman"/>
                <w:bCs/>
                <w:color w:val="000000"/>
                <w:sz w:val="20"/>
                <w:szCs w:val="20"/>
              </w:rPr>
              <w:t>Oxycodone</w:t>
            </w:r>
          </w:p>
        </w:tc>
        <w:tc>
          <w:tcPr>
            <w:tcW w:w="1362" w:type="dxa"/>
            <w:tcBorders>
              <w:top w:val="nil"/>
              <w:left w:val="nil"/>
              <w:right w:val="nil"/>
            </w:tcBorders>
            <w:vAlign w:val="bottom"/>
          </w:tcPr>
          <w:p w14:paraId="1080EAA1"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7 (10.3)</w:t>
            </w:r>
          </w:p>
        </w:tc>
        <w:tc>
          <w:tcPr>
            <w:tcW w:w="605" w:type="dxa"/>
            <w:tcBorders>
              <w:top w:val="nil"/>
              <w:left w:val="nil"/>
              <w:right w:val="nil"/>
            </w:tcBorders>
            <w:shd w:val="clear" w:color="auto" w:fill="auto"/>
            <w:vAlign w:val="bottom"/>
            <w:hideMark/>
          </w:tcPr>
          <w:p w14:paraId="3CB5CE2C"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86" w:type="dxa"/>
            <w:tcBorders>
              <w:top w:val="nil"/>
              <w:left w:val="nil"/>
              <w:right w:val="nil"/>
            </w:tcBorders>
            <w:shd w:val="clear" w:color="auto" w:fill="auto"/>
            <w:vAlign w:val="bottom"/>
            <w:hideMark/>
          </w:tcPr>
          <w:p w14:paraId="25B343DB"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right w:val="nil"/>
            </w:tcBorders>
            <w:shd w:val="clear" w:color="auto" w:fill="auto"/>
            <w:vAlign w:val="bottom"/>
            <w:hideMark/>
          </w:tcPr>
          <w:p w14:paraId="693EE22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right w:val="nil"/>
            </w:tcBorders>
            <w:shd w:val="clear" w:color="auto" w:fill="auto"/>
            <w:vAlign w:val="bottom"/>
            <w:hideMark/>
          </w:tcPr>
          <w:p w14:paraId="2C77CC5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right w:val="nil"/>
            </w:tcBorders>
            <w:shd w:val="clear" w:color="auto" w:fill="auto"/>
            <w:vAlign w:val="bottom"/>
            <w:hideMark/>
          </w:tcPr>
          <w:p w14:paraId="0AE6DFFA"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1.7</w:t>
            </w:r>
          </w:p>
        </w:tc>
        <w:tc>
          <w:tcPr>
            <w:tcW w:w="1192" w:type="dxa"/>
            <w:tcBorders>
              <w:top w:val="nil"/>
              <w:left w:val="nil"/>
              <w:right w:val="nil"/>
            </w:tcBorders>
            <w:shd w:val="clear" w:color="auto" w:fill="auto"/>
            <w:vAlign w:val="bottom"/>
            <w:hideMark/>
          </w:tcPr>
          <w:p w14:paraId="562B4067"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1.3</w:t>
            </w:r>
          </w:p>
        </w:tc>
        <w:tc>
          <w:tcPr>
            <w:tcW w:w="1631" w:type="dxa"/>
            <w:tcBorders>
              <w:top w:val="nil"/>
              <w:left w:val="nil"/>
              <w:right w:val="nil"/>
            </w:tcBorders>
            <w:vAlign w:val="bottom"/>
          </w:tcPr>
          <w:p w14:paraId="54528D4D"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0.41 (0.00, 0.99)</w:t>
            </w:r>
          </w:p>
        </w:tc>
        <w:tc>
          <w:tcPr>
            <w:tcW w:w="1796" w:type="dxa"/>
            <w:tcBorders>
              <w:top w:val="nil"/>
              <w:left w:val="nil"/>
              <w:right w:val="nil"/>
            </w:tcBorders>
          </w:tcPr>
          <w:p w14:paraId="7E03B3A9"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r w:rsidR="00E359F0" w:rsidRPr="00B10941" w14:paraId="506F7168" w14:textId="77777777" w:rsidTr="00401B53">
        <w:trPr>
          <w:trHeight w:val="63"/>
          <w:jc w:val="center"/>
        </w:trPr>
        <w:tc>
          <w:tcPr>
            <w:tcW w:w="1716" w:type="dxa"/>
            <w:tcBorders>
              <w:top w:val="nil"/>
              <w:left w:val="nil"/>
              <w:bottom w:val="single" w:sz="4" w:space="0" w:color="auto"/>
              <w:right w:val="nil"/>
            </w:tcBorders>
            <w:shd w:val="clear" w:color="auto" w:fill="auto"/>
            <w:noWrap/>
            <w:vAlign w:val="bottom"/>
            <w:hideMark/>
          </w:tcPr>
          <w:p w14:paraId="628464E9" w14:textId="77777777" w:rsidR="00E359F0" w:rsidRPr="000342DA" w:rsidRDefault="00E359F0" w:rsidP="00401B53">
            <w:pPr>
              <w:spacing w:after="0" w:line="240" w:lineRule="auto"/>
              <w:jc w:val="left"/>
              <w:rPr>
                <w:rFonts w:eastAsia="Times New Roman" w:cs="Times New Roman"/>
                <w:b/>
                <w:bCs/>
                <w:color w:val="000000"/>
                <w:sz w:val="20"/>
                <w:szCs w:val="20"/>
              </w:rPr>
            </w:pPr>
            <w:r w:rsidRPr="00B10941">
              <w:rPr>
                <w:rFonts w:eastAsia="Times New Roman" w:cs="Times New Roman"/>
                <w:bCs/>
                <w:color w:val="000000"/>
                <w:sz w:val="20"/>
                <w:szCs w:val="20"/>
              </w:rPr>
              <w:t xml:space="preserve">Rx Steroids  </w:t>
            </w:r>
          </w:p>
        </w:tc>
        <w:tc>
          <w:tcPr>
            <w:tcW w:w="1362" w:type="dxa"/>
            <w:tcBorders>
              <w:top w:val="nil"/>
              <w:left w:val="nil"/>
              <w:bottom w:val="single" w:sz="4" w:space="0" w:color="auto"/>
              <w:right w:val="nil"/>
            </w:tcBorders>
            <w:vAlign w:val="bottom"/>
          </w:tcPr>
          <w:p w14:paraId="0C203975" w14:textId="77777777" w:rsidR="00E359F0" w:rsidRPr="003928BE" w:rsidRDefault="00E359F0" w:rsidP="00401B53">
            <w:pPr>
              <w:spacing w:after="0" w:line="240" w:lineRule="auto"/>
              <w:jc w:val="center"/>
              <w:rPr>
                <w:rFonts w:cs="Times New Roman"/>
                <w:color w:val="000000"/>
                <w:sz w:val="20"/>
                <w:szCs w:val="20"/>
              </w:rPr>
            </w:pPr>
            <w:r w:rsidRPr="003928BE">
              <w:rPr>
                <w:rFonts w:cs="Times New Roman"/>
                <w:color w:val="000000"/>
                <w:sz w:val="20"/>
                <w:szCs w:val="20"/>
              </w:rPr>
              <w:t>22 (24.7)</w:t>
            </w:r>
          </w:p>
        </w:tc>
        <w:tc>
          <w:tcPr>
            <w:tcW w:w="605" w:type="dxa"/>
            <w:tcBorders>
              <w:top w:val="nil"/>
              <w:left w:val="nil"/>
              <w:bottom w:val="single" w:sz="4" w:space="0" w:color="auto"/>
              <w:right w:val="nil"/>
            </w:tcBorders>
            <w:shd w:val="clear" w:color="auto" w:fill="auto"/>
            <w:vAlign w:val="bottom"/>
            <w:hideMark/>
          </w:tcPr>
          <w:p w14:paraId="4B48E5D1" w14:textId="77777777" w:rsidR="00E359F0" w:rsidRPr="000342DA" w:rsidRDefault="00E359F0" w:rsidP="00401B53">
            <w:pPr>
              <w:spacing w:after="0" w:line="240" w:lineRule="auto"/>
              <w:jc w:val="center"/>
              <w:rPr>
                <w:rFonts w:eastAsia="Times New Roman" w:cs="Times New Roman"/>
                <w:b/>
                <w:color w:val="000000"/>
                <w:sz w:val="20"/>
                <w:szCs w:val="20"/>
                <w:highlight w:val="yellow"/>
              </w:rPr>
            </w:pPr>
            <w:r>
              <w:rPr>
                <w:color w:val="000000"/>
                <w:sz w:val="20"/>
                <w:szCs w:val="20"/>
              </w:rPr>
              <w:t>0.3</w:t>
            </w:r>
          </w:p>
        </w:tc>
        <w:tc>
          <w:tcPr>
            <w:tcW w:w="586" w:type="dxa"/>
            <w:tcBorders>
              <w:top w:val="nil"/>
              <w:left w:val="nil"/>
              <w:bottom w:val="single" w:sz="4" w:space="0" w:color="auto"/>
              <w:right w:val="nil"/>
            </w:tcBorders>
            <w:shd w:val="clear" w:color="auto" w:fill="auto"/>
            <w:vAlign w:val="bottom"/>
            <w:hideMark/>
          </w:tcPr>
          <w:p w14:paraId="46A55220"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1.3</w:t>
            </w:r>
          </w:p>
        </w:tc>
        <w:tc>
          <w:tcPr>
            <w:tcW w:w="576" w:type="dxa"/>
            <w:tcBorders>
              <w:top w:val="nil"/>
              <w:left w:val="nil"/>
              <w:bottom w:val="single" w:sz="4" w:space="0" w:color="auto"/>
              <w:right w:val="nil"/>
            </w:tcBorders>
            <w:shd w:val="clear" w:color="auto" w:fill="auto"/>
            <w:vAlign w:val="bottom"/>
            <w:hideMark/>
          </w:tcPr>
          <w:p w14:paraId="4F4C6F3D"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576" w:type="dxa"/>
            <w:tcBorders>
              <w:top w:val="nil"/>
              <w:left w:val="nil"/>
              <w:bottom w:val="single" w:sz="4" w:space="0" w:color="auto"/>
              <w:right w:val="nil"/>
            </w:tcBorders>
            <w:shd w:val="clear" w:color="auto" w:fill="auto"/>
            <w:vAlign w:val="bottom"/>
            <w:hideMark/>
          </w:tcPr>
          <w:p w14:paraId="42545A4A"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4.6</w:t>
            </w:r>
          </w:p>
        </w:tc>
        <w:tc>
          <w:tcPr>
            <w:tcW w:w="576" w:type="dxa"/>
            <w:tcBorders>
              <w:top w:val="nil"/>
              <w:left w:val="nil"/>
              <w:bottom w:val="single" w:sz="4" w:space="0" w:color="auto"/>
              <w:right w:val="nil"/>
            </w:tcBorders>
            <w:shd w:val="clear" w:color="auto" w:fill="auto"/>
            <w:vAlign w:val="bottom"/>
            <w:hideMark/>
          </w:tcPr>
          <w:p w14:paraId="3918AEA3"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0.0</w:t>
            </w:r>
          </w:p>
        </w:tc>
        <w:tc>
          <w:tcPr>
            <w:tcW w:w="1192" w:type="dxa"/>
            <w:tcBorders>
              <w:top w:val="nil"/>
              <w:left w:val="nil"/>
              <w:bottom w:val="single" w:sz="4" w:space="0" w:color="auto"/>
              <w:right w:val="nil"/>
            </w:tcBorders>
            <w:shd w:val="clear" w:color="auto" w:fill="auto"/>
            <w:vAlign w:val="bottom"/>
            <w:hideMark/>
          </w:tcPr>
          <w:p w14:paraId="02F07052" w14:textId="77777777" w:rsidR="00E359F0" w:rsidRPr="000342DA" w:rsidRDefault="00E359F0" w:rsidP="00401B53">
            <w:pPr>
              <w:spacing w:after="0" w:line="240" w:lineRule="auto"/>
              <w:jc w:val="center"/>
              <w:rPr>
                <w:rFonts w:eastAsia="Times New Roman" w:cs="Times New Roman"/>
                <w:color w:val="000000"/>
                <w:sz w:val="20"/>
                <w:szCs w:val="20"/>
                <w:highlight w:val="yellow"/>
              </w:rPr>
            </w:pPr>
            <w:r>
              <w:rPr>
                <w:color w:val="000000"/>
                <w:sz w:val="20"/>
                <w:szCs w:val="20"/>
              </w:rPr>
              <w:t>0.9</w:t>
            </w:r>
          </w:p>
        </w:tc>
        <w:tc>
          <w:tcPr>
            <w:tcW w:w="1631" w:type="dxa"/>
            <w:tcBorders>
              <w:top w:val="nil"/>
              <w:left w:val="nil"/>
              <w:bottom w:val="single" w:sz="4" w:space="0" w:color="auto"/>
              <w:right w:val="nil"/>
            </w:tcBorders>
            <w:vAlign w:val="bottom"/>
          </w:tcPr>
          <w:p w14:paraId="5D11A9BE" w14:textId="77777777" w:rsidR="00E359F0" w:rsidRPr="00245CFE" w:rsidRDefault="00E359F0" w:rsidP="00401B53">
            <w:pPr>
              <w:spacing w:after="0" w:line="240" w:lineRule="auto"/>
              <w:jc w:val="center"/>
              <w:rPr>
                <w:color w:val="000000"/>
                <w:sz w:val="20"/>
                <w:szCs w:val="20"/>
              </w:rPr>
            </w:pPr>
            <w:r w:rsidRPr="00245CFE">
              <w:rPr>
                <w:rFonts w:cs="Times New Roman"/>
                <w:color w:val="000000"/>
                <w:sz w:val="20"/>
                <w:szCs w:val="20"/>
              </w:rPr>
              <w:t>0.80 (0.43, 0.99)</w:t>
            </w:r>
          </w:p>
        </w:tc>
        <w:tc>
          <w:tcPr>
            <w:tcW w:w="1796" w:type="dxa"/>
            <w:tcBorders>
              <w:top w:val="nil"/>
              <w:left w:val="nil"/>
              <w:bottom w:val="single" w:sz="4" w:space="0" w:color="auto"/>
              <w:right w:val="nil"/>
            </w:tcBorders>
          </w:tcPr>
          <w:p w14:paraId="09A9C176" w14:textId="77777777" w:rsidR="00E359F0" w:rsidRPr="00245CFE" w:rsidRDefault="00E359F0" w:rsidP="00401B53">
            <w:pPr>
              <w:spacing w:after="0" w:line="240" w:lineRule="auto"/>
              <w:jc w:val="center"/>
              <w:rPr>
                <w:rFonts w:cs="Times New Roman"/>
                <w:color w:val="000000"/>
                <w:sz w:val="20"/>
                <w:szCs w:val="20"/>
              </w:rPr>
            </w:pPr>
            <w:r>
              <w:rPr>
                <w:rFonts w:cs="Times New Roman"/>
                <w:color w:val="000000"/>
                <w:sz w:val="20"/>
                <w:szCs w:val="20"/>
              </w:rPr>
              <w:t>Poor – Excellent</w:t>
            </w:r>
          </w:p>
        </w:tc>
      </w:tr>
    </w:tbl>
    <w:p w14:paraId="5E5E7CB2" w14:textId="77777777" w:rsidR="00E359F0" w:rsidRPr="00C2120E" w:rsidRDefault="00E359F0" w:rsidP="00E359F0">
      <w:pPr>
        <w:spacing w:after="0" w:line="240" w:lineRule="auto"/>
        <w:jc w:val="center"/>
        <w:rPr>
          <w:rFonts w:cs="Times New Roman"/>
          <w:caps/>
          <w:lang w:val="en-CA"/>
        </w:rPr>
      </w:pPr>
      <w:r>
        <w:rPr>
          <w:rFonts w:cs="Times New Roman"/>
          <w:caps/>
          <w:lang w:val="en-CA"/>
        </w:rPr>
        <w:t xml:space="preserve">ICC = </w:t>
      </w:r>
      <w:r>
        <w:rPr>
          <w:rFonts w:cs="Times New Roman"/>
          <w:lang w:val="en-CA"/>
        </w:rPr>
        <w:t>intraclass correlation coefficient</w:t>
      </w:r>
      <w:r>
        <w:rPr>
          <w:rFonts w:cs="Times New Roman"/>
          <w:caps/>
          <w:lang w:val="en-CA"/>
        </w:rPr>
        <w:t>; B</w:t>
      </w:r>
      <w:r>
        <w:rPr>
          <w:rFonts w:cs="Times New Roman"/>
          <w:lang w:val="en-CA"/>
        </w:rPr>
        <w:t xml:space="preserve">lanks indicate insufficient number of </w:t>
      </w:r>
      <w:r w:rsidRPr="00BA548C">
        <w:rPr>
          <w:rFonts w:cs="Times New Roman"/>
          <w:u w:val="single"/>
          <w:lang w:val="en-CA"/>
        </w:rPr>
        <w:t>&gt;</w:t>
      </w:r>
      <w:r>
        <w:rPr>
          <w:rFonts w:cs="Times New Roman"/>
          <w:lang w:val="en-CA"/>
        </w:rPr>
        <w:t xml:space="preserve"> weekly users to calculate ICC; </w:t>
      </w:r>
      <w:r>
        <w:rPr>
          <w:rFonts w:cs="Times New Roman"/>
          <w:b/>
          <w:lang w:val="en-CA"/>
        </w:rPr>
        <w:t>Bolded</w:t>
      </w:r>
      <w:r>
        <w:rPr>
          <w:rFonts w:cs="Times New Roman"/>
          <w:lang w:val="en-CA"/>
        </w:rPr>
        <w:t xml:space="preserve"> values indicated that more than 10% of the class engaged in </w:t>
      </w:r>
      <w:r w:rsidRPr="00AE2903">
        <w:rPr>
          <w:rFonts w:cs="Times New Roman"/>
          <w:u w:val="single"/>
          <w:lang w:val="en-CA"/>
        </w:rPr>
        <w:t>&gt;</w:t>
      </w:r>
      <w:r>
        <w:rPr>
          <w:rFonts w:cs="Times New Roman"/>
          <w:lang w:val="en-CA"/>
        </w:rPr>
        <w:t xml:space="preserve"> weekly use for the given substance; GHB = </w:t>
      </w:r>
      <w:r w:rsidRPr="00DC2FA0">
        <w:rPr>
          <w:rFonts w:cs="Times New Roman"/>
          <w:lang w:val="en-CA"/>
        </w:rPr>
        <w:t>gamma-</w:t>
      </w:r>
      <w:r>
        <w:rPr>
          <w:rFonts w:cs="Times New Roman"/>
          <w:lang w:val="en-CA"/>
        </w:rPr>
        <w:t>h</w:t>
      </w:r>
      <w:r w:rsidRPr="00DC2FA0">
        <w:rPr>
          <w:rFonts w:cs="Times New Roman"/>
          <w:lang w:val="en-CA"/>
        </w:rPr>
        <w:t>ydroxybutyric acid</w:t>
      </w:r>
      <w:r>
        <w:rPr>
          <w:rFonts w:cs="Times New Roman"/>
          <w:lang w:val="en-CA"/>
        </w:rPr>
        <w:t>; LSD = l</w:t>
      </w:r>
      <w:r w:rsidRPr="00DC2FA0">
        <w:rPr>
          <w:rFonts w:cs="Times New Roman"/>
          <w:lang w:val="en-CA"/>
        </w:rPr>
        <w:t>ysergic acid diethylamide</w:t>
      </w:r>
      <w:r>
        <w:rPr>
          <w:rFonts w:cs="Times New Roman"/>
          <w:lang w:val="en-CA"/>
        </w:rPr>
        <w:t xml:space="preserve">; Stability Interpretation based on 95% Confidence Interval: &lt; 0.5 (poor), 0.50 - 0.75 (moderate), 0.75 - 0.90 (good), </w:t>
      </w:r>
      <w:r w:rsidRPr="00245CFE">
        <w:rPr>
          <w:rFonts w:cs="Times New Roman"/>
          <w:u w:val="single"/>
          <w:lang w:val="en-CA"/>
        </w:rPr>
        <w:t>&gt;</w:t>
      </w:r>
      <w:r>
        <w:rPr>
          <w:rFonts w:cs="Times New Roman"/>
          <w:lang w:val="en-CA"/>
        </w:rPr>
        <w:t xml:space="preserve"> 0.90 (excellent).</w:t>
      </w:r>
      <w:r w:rsidRPr="004069BA">
        <w:rPr>
          <w:rFonts w:cs="Times New Roman"/>
          <w:lang w:val="en-CA"/>
        </w:rPr>
        <w:t xml:space="preserve"> </w:t>
      </w:r>
      <w:r>
        <w:rPr>
          <w:rFonts w:cs="Times New Roman"/>
          <w:lang w:val="en-CA"/>
        </w:rPr>
        <w:t xml:space="preserve">1 = Limited Drug Use, 2 = Conventional Drug Use, 3 = Club Drug Use, 4 = Sex Drug Use, 5 = Street Drug Use, 6 = Assorted Drug Use; </w:t>
      </w:r>
      <w:r>
        <w:rPr>
          <w:rFonts w:cs="Times New Roman"/>
          <w:vertAlign w:val="superscript"/>
          <w:lang w:val="en-CA"/>
        </w:rPr>
        <w:t xml:space="preserve">A </w:t>
      </w:r>
      <w:r>
        <w:rPr>
          <w:rFonts w:cs="Times New Roman"/>
          <w:caps/>
          <w:lang w:val="en-CA"/>
        </w:rPr>
        <w:t>p</w:t>
      </w:r>
      <w:r>
        <w:rPr>
          <w:rFonts w:cs="Times New Roman"/>
          <w:lang w:val="en-CA"/>
        </w:rPr>
        <w:t>ast</w:t>
      </w:r>
      <w:r>
        <w:rPr>
          <w:rFonts w:cs="Times New Roman"/>
          <w:caps/>
          <w:lang w:val="en-CA"/>
        </w:rPr>
        <w:t xml:space="preserve"> </w:t>
      </w:r>
      <w:r>
        <w:rPr>
          <w:rFonts w:cs="Times New Roman"/>
          <w:lang w:val="en-CA"/>
        </w:rPr>
        <w:t>three</w:t>
      </w:r>
      <w:r>
        <w:rPr>
          <w:rFonts w:cs="Times New Roman"/>
          <w:caps/>
          <w:lang w:val="en-CA"/>
        </w:rPr>
        <w:t xml:space="preserve"> </w:t>
      </w:r>
      <w:r>
        <w:rPr>
          <w:rFonts w:cs="Times New Roman"/>
          <w:lang w:val="en-CA"/>
        </w:rPr>
        <w:t xml:space="preserve">months (All other drugs are reported over the past six months); </w:t>
      </w:r>
      <w:r>
        <w:rPr>
          <w:rFonts w:cs="Times New Roman"/>
          <w:vertAlign w:val="superscript"/>
          <w:lang w:val="en-CA"/>
        </w:rPr>
        <w:t xml:space="preserve">B </w:t>
      </w:r>
      <w:r>
        <w:rPr>
          <w:rFonts w:cs="Times New Roman"/>
          <w:lang w:val="en-CA"/>
        </w:rPr>
        <w:t>Daily</w:t>
      </w:r>
      <w:r>
        <w:rPr>
          <w:rFonts w:cs="Times New Roman"/>
          <w:caps/>
          <w:lang w:val="en-CA"/>
        </w:rPr>
        <w:t xml:space="preserve"> </w:t>
      </w:r>
      <w:r>
        <w:rPr>
          <w:rFonts w:cs="Times New Roman"/>
          <w:lang w:val="en-CA"/>
        </w:rPr>
        <w:t>vs</w:t>
      </w:r>
      <w:r>
        <w:rPr>
          <w:rFonts w:cs="Times New Roman"/>
          <w:caps/>
          <w:lang w:val="en-CA"/>
        </w:rPr>
        <w:t>. L</w:t>
      </w:r>
      <w:r>
        <w:rPr>
          <w:rFonts w:cs="Times New Roman"/>
          <w:lang w:val="en-CA"/>
        </w:rPr>
        <w:t>ess</w:t>
      </w:r>
    </w:p>
    <w:p w14:paraId="69E2914D" w14:textId="77777777" w:rsidR="00E359F0" w:rsidRDefault="00E359F0" w:rsidP="00E359F0">
      <w:pPr>
        <w:spacing w:after="0" w:line="240" w:lineRule="auto"/>
        <w:jc w:val="center"/>
        <w:rPr>
          <w:rFonts w:cs="Times New Roman"/>
          <w:lang w:val="en-CA"/>
        </w:rPr>
      </w:pPr>
    </w:p>
    <w:p w14:paraId="33ED329B" w14:textId="77777777" w:rsidR="00E359F0" w:rsidRPr="00E3655C" w:rsidRDefault="00E359F0" w:rsidP="00E359F0">
      <w:pPr>
        <w:spacing w:after="0" w:line="240" w:lineRule="auto"/>
        <w:jc w:val="left"/>
        <w:rPr>
          <w:rFonts w:cs="Times New Roman"/>
          <w:lang w:val="en-CA"/>
        </w:rPr>
      </w:pPr>
    </w:p>
    <w:p w14:paraId="2DBB32E9" w14:textId="77777777" w:rsidR="00E359F0" w:rsidRDefault="00E359F0" w:rsidP="00E359F0">
      <w:pPr>
        <w:spacing w:after="0" w:line="240" w:lineRule="auto"/>
        <w:jc w:val="left"/>
        <w:rPr>
          <w:rFonts w:cs="Times New Roman"/>
          <w:caps/>
          <w:lang w:val="en-CA"/>
        </w:rPr>
      </w:pPr>
    </w:p>
    <w:p w14:paraId="019CDCE1" w14:textId="77777777" w:rsidR="00E359F0" w:rsidRDefault="00E359F0" w:rsidP="00E359F0"/>
    <w:p w14:paraId="79D7378B" w14:textId="79D25B1B" w:rsidR="00E359F0" w:rsidRDefault="00E359F0">
      <w:pPr>
        <w:spacing w:after="0" w:line="240" w:lineRule="auto"/>
        <w:jc w:val="left"/>
      </w:pPr>
      <w:r>
        <w:br w:type="page"/>
      </w:r>
    </w:p>
    <w:p w14:paraId="784EAD82" w14:textId="77777777" w:rsidR="00E359F0" w:rsidRDefault="00E359F0" w:rsidP="00E359F0">
      <w:pPr>
        <w:spacing w:after="0"/>
        <w:jc w:val="center"/>
        <w:rPr>
          <w:rFonts w:cs="Times New Roman"/>
          <w:caps/>
          <w:lang w:val="en-CA"/>
        </w:rPr>
      </w:pPr>
      <w:r>
        <w:rPr>
          <w:noProof/>
        </w:rPr>
        <w:lastRenderedPageBreak/>
        <w:drawing>
          <wp:inline distT="0" distB="0" distL="0" distR="0" wp14:anchorId="34AD7687" wp14:editId="7DA8E2C5">
            <wp:extent cx="5943600" cy="5255895"/>
            <wp:effectExtent l="0" t="0" r="0" b="1905"/>
            <wp:docPr id="2" name="Chart 2">
              <a:extLst xmlns:a="http://schemas.openxmlformats.org/drawingml/2006/main">
                <a:ext uri="{FF2B5EF4-FFF2-40B4-BE49-F238E27FC236}">
                  <a16:creationId xmlns:a16="http://schemas.microsoft.com/office/drawing/2014/main" id="{84E521F9-9D4B-4701-B885-0D34F5908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4C217C" w14:textId="3E472BE7" w:rsidR="00E359F0" w:rsidRPr="00E359F0" w:rsidRDefault="00E359F0" w:rsidP="00E359F0">
      <w:pPr>
        <w:spacing w:after="160" w:line="259" w:lineRule="auto"/>
        <w:jc w:val="left"/>
        <w:rPr>
          <w:rFonts w:cs="Times New Roman"/>
          <w:lang w:val="en-CA"/>
        </w:rPr>
      </w:pPr>
      <w:r w:rsidRPr="0086583E">
        <w:rPr>
          <w:rFonts w:cs="Times New Roman"/>
          <w:lang w:val="en-CA"/>
        </w:rPr>
        <w:t xml:space="preserve">Supplemental Figure </w:t>
      </w:r>
      <w:r>
        <w:rPr>
          <w:rFonts w:cs="Times New Roman"/>
          <w:lang w:val="en-CA"/>
        </w:rPr>
        <w:t>S</w:t>
      </w:r>
      <w:r w:rsidRPr="0086583E">
        <w:rPr>
          <w:rFonts w:cs="Times New Roman"/>
          <w:lang w:val="en-CA"/>
        </w:rPr>
        <w:t>1. Fit Indices Used in Specifying the Number of Latent Classes</w:t>
      </w:r>
    </w:p>
    <w:p w14:paraId="15FE23EE" w14:textId="77777777" w:rsidR="00E359F0" w:rsidRDefault="00E359F0" w:rsidP="00E359F0"/>
    <w:p w14:paraId="70640490" w14:textId="77777777" w:rsidR="00E359F0" w:rsidRDefault="00E359F0" w:rsidP="00E359F0"/>
    <w:p w14:paraId="568EAD71" w14:textId="7A9A30C3" w:rsidR="00E359F0" w:rsidRDefault="00E359F0">
      <w:pPr>
        <w:spacing w:after="0" w:line="240" w:lineRule="auto"/>
        <w:jc w:val="left"/>
        <w:rPr>
          <w:rFonts w:cs="Times New Roman"/>
          <w:lang w:val="en-CA"/>
        </w:rPr>
      </w:pPr>
      <w:r>
        <w:rPr>
          <w:rFonts w:cs="Times New Roman"/>
          <w:lang w:val="en-CA"/>
        </w:rPr>
        <w:br w:type="page"/>
      </w:r>
    </w:p>
    <w:p w14:paraId="244CD456" w14:textId="77777777" w:rsidR="00E359F0" w:rsidRDefault="00E359F0" w:rsidP="00E359F0">
      <w:pPr>
        <w:spacing w:after="0" w:line="240" w:lineRule="auto"/>
        <w:jc w:val="center"/>
        <w:rPr>
          <w:rFonts w:cs="Times New Roman"/>
          <w:lang w:val="en-CA"/>
        </w:rPr>
      </w:pPr>
      <w:r w:rsidRPr="00D841A8">
        <w:rPr>
          <w:rFonts w:cs="Times New Roman"/>
          <w:lang w:val="en-CA"/>
        </w:rPr>
        <w:lastRenderedPageBreak/>
        <w:t>Supplemental Table S1. Distribution of missing visits by visit number and by latent class</w:t>
      </w:r>
    </w:p>
    <w:p w14:paraId="327AB385" w14:textId="77777777" w:rsidR="00E359F0" w:rsidRPr="000342DA" w:rsidRDefault="00E359F0" w:rsidP="00E359F0">
      <w:pPr>
        <w:spacing w:after="0" w:line="240" w:lineRule="auto"/>
        <w:jc w:val="center"/>
        <w:rPr>
          <w:rFonts w:cs="Times New Roman"/>
          <w:lang w:val="en-CA"/>
        </w:rPr>
      </w:pPr>
    </w:p>
    <w:tbl>
      <w:tblPr>
        <w:tblW w:w="3510" w:type="dxa"/>
        <w:jc w:val="center"/>
        <w:tblLook w:val="04A0" w:firstRow="1" w:lastRow="0" w:firstColumn="1" w:lastColumn="0" w:noHBand="0" w:noVBand="1"/>
      </w:tblPr>
      <w:tblGrid>
        <w:gridCol w:w="2520"/>
        <w:gridCol w:w="416"/>
        <w:gridCol w:w="666"/>
      </w:tblGrid>
      <w:tr w:rsidR="00E359F0" w:rsidRPr="00D841A8" w14:paraId="2FA31E0E" w14:textId="77777777" w:rsidTr="00401B53">
        <w:trPr>
          <w:trHeight w:val="54"/>
          <w:jc w:val="center"/>
        </w:trPr>
        <w:tc>
          <w:tcPr>
            <w:tcW w:w="2520" w:type="dxa"/>
            <w:tcBorders>
              <w:top w:val="single" w:sz="4" w:space="0" w:color="auto"/>
              <w:left w:val="nil"/>
              <w:bottom w:val="single" w:sz="4" w:space="0" w:color="auto"/>
              <w:right w:val="nil"/>
            </w:tcBorders>
            <w:shd w:val="clear" w:color="auto" w:fill="auto"/>
            <w:noWrap/>
            <w:vAlign w:val="bottom"/>
            <w:hideMark/>
          </w:tcPr>
          <w:p w14:paraId="2845CBB6" w14:textId="77777777" w:rsidR="00E359F0" w:rsidRPr="00D841A8" w:rsidRDefault="00E359F0" w:rsidP="00401B53">
            <w:pPr>
              <w:spacing w:after="0" w:line="240" w:lineRule="auto"/>
              <w:jc w:val="left"/>
              <w:rPr>
                <w:rFonts w:eastAsia="Times New Roman" w:cs="Times New Roman"/>
                <w:color w:val="000000"/>
                <w:sz w:val="20"/>
                <w:szCs w:val="20"/>
              </w:rPr>
            </w:pPr>
            <w:bookmarkStart w:id="17" w:name="_Hlk506932571"/>
            <w:r w:rsidRPr="00D841A8">
              <w:rPr>
                <w:rFonts w:eastAsia="Times New Roman" w:cs="Times New Roman"/>
                <w:color w:val="000000"/>
                <w:sz w:val="20"/>
                <w:szCs w:val="20"/>
              </w:rPr>
              <w:t> </w:t>
            </w:r>
          </w:p>
        </w:tc>
        <w:tc>
          <w:tcPr>
            <w:tcW w:w="416" w:type="dxa"/>
            <w:tcBorders>
              <w:top w:val="single" w:sz="4" w:space="0" w:color="auto"/>
              <w:left w:val="nil"/>
              <w:bottom w:val="single" w:sz="4" w:space="0" w:color="auto"/>
              <w:right w:val="nil"/>
            </w:tcBorders>
            <w:shd w:val="clear" w:color="auto" w:fill="auto"/>
            <w:noWrap/>
            <w:vAlign w:val="bottom"/>
            <w:hideMark/>
          </w:tcPr>
          <w:p w14:paraId="18A4C928" w14:textId="77777777" w:rsidR="00E359F0" w:rsidRPr="00D841A8" w:rsidRDefault="00E359F0" w:rsidP="00401B53">
            <w:pPr>
              <w:spacing w:after="0" w:line="240" w:lineRule="auto"/>
              <w:jc w:val="center"/>
              <w:rPr>
                <w:rFonts w:eastAsia="Times New Roman" w:cs="Times New Roman"/>
                <w:b/>
                <w:bCs/>
                <w:color w:val="000000"/>
                <w:sz w:val="20"/>
                <w:szCs w:val="20"/>
              </w:rPr>
            </w:pPr>
            <w:r w:rsidRPr="00D841A8">
              <w:rPr>
                <w:rFonts w:eastAsia="Times New Roman" w:cs="Times New Roman"/>
                <w:b/>
                <w:bCs/>
                <w:color w:val="000000"/>
                <w:sz w:val="20"/>
                <w:szCs w:val="20"/>
              </w:rPr>
              <w:t>n</w:t>
            </w:r>
          </w:p>
        </w:tc>
        <w:tc>
          <w:tcPr>
            <w:tcW w:w="574" w:type="dxa"/>
            <w:tcBorders>
              <w:top w:val="single" w:sz="4" w:space="0" w:color="auto"/>
              <w:left w:val="nil"/>
              <w:bottom w:val="single" w:sz="4" w:space="0" w:color="auto"/>
              <w:right w:val="nil"/>
            </w:tcBorders>
            <w:shd w:val="clear" w:color="auto" w:fill="auto"/>
            <w:noWrap/>
            <w:vAlign w:val="bottom"/>
            <w:hideMark/>
          </w:tcPr>
          <w:p w14:paraId="04C5B450" w14:textId="77777777" w:rsidR="00E359F0" w:rsidRPr="00D841A8" w:rsidRDefault="00E359F0" w:rsidP="00401B53">
            <w:pPr>
              <w:spacing w:after="0" w:line="240" w:lineRule="auto"/>
              <w:jc w:val="center"/>
              <w:rPr>
                <w:rFonts w:eastAsia="Times New Roman" w:cs="Times New Roman"/>
                <w:b/>
                <w:bCs/>
                <w:color w:val="000000"/>
                <w:sz w:val="20"/>
                <w:szCs w:val="20"/>
              </w:rPr>
            </w:pPr>
            <w:r w:rsidRPr="00D841A8">
              <w:rPr>
                <w:rFonts w:eastAsia="Times New Roman" w:cs="Times New Roman"/>
                <w:b/>
                <w:bCs/>
                <w:color w:val="000000"/>
                <w:sz w:val="20"/>
                <w:szCs w:val="20"/>
              </w:rPr>
              <w:t>%</w:t>
            </w:r>
          </w:p>
        </w:tc>
      </w:tr>
      <w:tr w:rsidR="00E359F0" w:rsidRPr="00D841A8" w14:paraId="31C6713A" w14:textId="77777777" w:rsidTr="00401B53">
        <w:trPr>
          <w:trHeight w:val="54"/>
          <w:jc w:val="center"/>
        </w:trPr>
        <w:tc>
          <w:tcPr>
            <w:tcW w:w="2520" w:type="dxa"/>
            <w:tcBorders>
              <w:top w:val="nil"/>
              <w:left w:val="nil"/>
              <w:bottom w:val="nil"/>
              <w:right w:val="nil"/>
            </w:tcBorders>
            <w:shd w:val="clear" w:color="auto" w:fill="auto"/>
            <w:noWrap/>
            <w:vAlign w:val="bottom"/>
            <w:hideMark/>
          </w:tcPr>
          <w:p w14:paraId="1FC4D362" w14:textId="77777777" w:rsidR="00E359F0" w:rsidRPr="00D841A8" w:rsidRDefault="00E359F0" w:rsidP="00401B53">
            <w:pPr>
              <w:spacing w:after="0" w:line="240" w:lineRule="auto"/>
              <w:jc w:val="left"/>
              <w:rPr>
                <w:rFonts w:eastAsia="Times New Roman" w:cs="Times New Roman"/>
                <w:b/>
                <w:bCs/>
                <w:color w:val="000000"/>
                <w:sz w:val="20"/>
                <w:szCs w:val="20"/>
              </w:rPr>
            </w:pPr>
            <w:r w:rsidRPr="00D841A8">
              <w:rPr>
                <w:rFonts w:eastAsia="Times New Roman" w:cs="Times New Roman"/>
                <w:b/>
                <w:bCs/>
                <w:color w:val="000000"/>
                <w:sz w:val="20"/>
                <w:szCs w:val="20"/>
              </w:rPr>
              <w:t>By Visit Number</w:t>
            </w:r>
          </w:p>
        </w:tc>
        <w:tc>
          <w:tcPr>
            <w:tcW w:w="416" w:type="dxa"/>
            <w:tcBorders>
              <w:top w:val="nil"/>
              <w:left w:val="nil"/>
              <w:bottom w:val="nil"/>
              <w:right w:val="nil"/>
            </w:tcBorders>
            <w:shd w:val="clear" w:color="auto" w:fill="auto"/>
            <w:noWrap/>
            <w:vAlign w:val="bottom"/>
            <w:hideMark/>
          </w:tcPr>
          <w:p w14:paraId="5CEE1757" w14:textId="77777777" w:rsidR="00E359F0" w:rsidRPr="00D841A8" w:rsidRDefault="00E359F0" w:rsidP="00401B53">
            <w:pPr>
              <w:spacing w:after="0" w:line="240" w:lineRule="auto"/>
              <w:jc w:val="left"/>
              <w:rPr>
                <w:rFonts w:eastAsia="Times New Roman" w:cs="Times New Roman"/>
                <w:b/>
                <w:bCs/>
                <w:color w:val="000000"/>
                <w:sz w:val="20"/>
                <w:szCs w:val="20"/>
              </w:rPr>
            </w:pPr>
          </w:p>
        </w:tc>
        <w:tc>
          <w:tcPr>
            <w:tcW w:w="574" w:type="dxa"/>
            <w:tcBorders>
              <w:top w:val="nil"/>
              <w:left w:val="nil"/>
              <w:bottom w:val="nil"/>
              <w:right w:val="nil"/>
            </w:tcBorders>
            <w:shd w:val="clear" w:color="auto" w:fill="auto"/>
            <w:noWrap/>
            <w:vAlign w:val="bottom"/>
            <w:hideMark/>
          </w:tcPr>
          <w:p w14:paraId="35023C0C" w14:textId="77777777" w:rsidR="00E359F0" w:rsidRPr="00D841A8" w:rsidRDefault="00E359F0" w:rsidP="00401B53">
            <w:pPr>
              <w:spacing w:after="0" w:line="240" w:lineRule="auto"/>
              <w:jc w:val="left"/>
              <w:rPr>
                <w:rFonts w:eastAsia="Times New Roman" w:cs="Times New Roman"/>
                <w:sz w:val="20"/>
                <w:szCs w:val="20"/>
              </w:rPr>
            </w:pPr>
          </w:p>
        </w:tc>
      </w:tr>
      <w:tr w:rsidR="00E359F0" w:rsidRPr="00D841A8" w14:paraId="6CFF1F89"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24F281E2"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Visit 2</w:t>
            </w:r>
          </w:p>
        </w:tc>
        <w:tc>
          <w:tcPr>
            <w:tcW w:w="416" w:type="dxa"/>
            <w:tcBorders>
              <w:top w:val="nil"/>
              <w:left w:val="nil"/>
              <w:bottom w:val="nil"/>
              <w:right w:val="nil"/>
            </w:tcBorders>
            <w:shd w:val="clear" w:color="auto" w:fill="auto"/>
            <w:noWrap/>
            <w:vAlign w:val="bottom"/>
            <w:hideMark/>
          </w:tcPr>
          <w:p w14:paraId="066D7D58"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27</w:t>
            </w:r>
          </w:p>
        </w:tc>
        <w:tc>
          <w:tcPr>
            <w:tcW w:w="574" w:type="dxa"/>
            <w:tcBorders>
              <w:top w:val="nil"/>
              <w:left w:val="nil"/>
              <w:bottom w:val="nil"/>
              <w:right w:val="nil"/>
            </w:tcBorders>
            <w:shd w:val="clear" w:color="auto" w:fill="auto"/>
            <w:noWrap/>
            <w:vAlign w:val="bottom"/>
            <w:hideMark/>
          </w:tcPr>
          <w:p w14:paraId="316E3BF6"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23.48</w:t>
            </w:r>
          </w:p>
        </w:tc>
      </w:tr>
      <w:tr w:rsidR="00E359F0" w:rsidRPr="00D841A8" w14:paraId="3E7D5D05"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1269BC70"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Visit 3</w:t>
            </w:r>
          </w:p>
        </w:tc>
        <w:tc>
          <w:tcPr>
            <w:tcW w:w="416" w:type="dxa"/>
            <w:tcBorders>
              <w:top w:val="nil"/>
              <w:left w:val="nil"/>
              <w:bottom w:val="nil"/>
              <w:right w:val="nil"/>
            </w:tcBorders>
            <w:shd w:val="clear" w:color="auto" w:fill="auto"/>
            <w:noWrap/>
            <w:vAlign w:val="bottom"/>
            <w:hideMark/>
          </w:tcPr>
          <w:p w14:paraId="7D6EDD4A"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23</w:t>
            </w:r>
          </w:p>
        </w:tc>
        <w:tc>
          <w:tcPr>
            <w:tcW w:w="574" w:type="dxa"/>
            <w:tcBorders>
              <w:top w:val="nil"/>
              <w:left w:val="nil"/>
              <w:bottom w:val="nil"/>
              <w:right w:val="nil"/>
            </w:tcBorders>
            <w:shd w:val="clear" w:color="auto" w:fill="auto"/>
            <w:noWrap/>
            <w:vAlign w:val="bottom"/>
            <w:hideMark/>
          </w:tcPr>
          <w:p w14:paraId="212C6076"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20</w:t>
            </w:r>
            <w:r>
              <w:rPr>
                <w:rFonts w:eastAsia="Times New Roman" w:cs="Times New Roman"/>
                <w:color w:val="000000"/>
                <w:sz w:val="20"/>
                <w:szCs w:val="20"/>
              </w:rPr>
              <w:t>.00</w:t>
            </w:r>
          </w:p>
        </w:tc>
      </w:tr>
      <w:tr w:rsidR="00E359F0" w:rsidRPr="00D841A8" w14:paraId="78F45FE7" w14:textId="77777777" w:rsidTr="00401B53">
        <w:trPr>
          <w:trHeight w:val="126"/>
          <w:jc w:val="center"/>
        </w:trPr>
        <w:tc>
          <w:tcPr>
            <w:tcW w:w="2520" w:type="dxa"/>
            <w:tcBorders>
              <w:top w:val="nil"/>
              <w:left w:val="nil"/>
              <w:bottom w:val="nil"/>
              <w:right w:val="nil"/>
            </w:tcBorders>
            <w:shd w:val="clear" w:color="auto" w:fill="auto"/>
            <w:noWrap/>
            <w:vAlign w:val="bottom"/>
            <w:hideMark/>
          </w:tcPr>
          <w:p w14:paraId="6A664D99"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Visit 4</w:t>
            </w:r>
          </w:p>
        </w:tc>
        <w:tc>
          <w:tcPr>
            <w:tcW w:w="416" w:type="dxa"/>
            <w:tcBorders>
              <w:top w:val="nil"/>
              <w:left w:val="nil"/>
              <w:bottom w:val="nil"/>
              <w:right w:val="nil"/>
            </w:tcBorders>
            <w:shd w:val="clear" w:color="auto" w:fill="auto"/>
            <w:noWrap/>
            <w:vAlign w:val="bottom"/>
            <w:hideMark/>
          </w:tcPr>
          <w:p w14:paraId="71BBDD0A"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31</w:t>
            </w:r>
          </w:p>
        </w:tc>
        <w:tc>
          <w:tcPr>
            <w:tcW w:w="574" w:type="dxa"/>
            <w:tcBorders>
              <w:top w:val="nil"/>
              <w:left w:val="nil"/>
              <w:bottom w:val="nil"/>
              <w:right w:val="nil"/>
            </w:tcBorders>
            <w:shd w:val="clear" w:color="auto" w:fill="auto"/>
            <w:noWrap/>
            <w:vAlign w:val="bottom"/>
            <w:hideMark/>
          </w:tcPr>
          <w:p w14:paraId="4F1BCF81"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26.96</w:t>
            </w:r>
          </w:p>
        </w:tc>
      </w:tr>
      <w:tr w:rsidR="00E359F0" w:rsidRPr="00D841A8" w14:paraId="61202193"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52100B2A"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Visit 5</w:t>
            </w:r>
          </w:p>
        </w:tc>
        <w:tc>
          <w:tcPr>
            <w:tcW w:w="416" w:type="dxa"/>
            <w:tcBorders>
              <w:top w:val="nil"/>
              <w:left w:val="nil"/>
              <w:bottom w:val="nil"/>
              <w:right w:val="nil"/>
            </w:tcBorders>
            <w:shd w:val="clear" w:color="auto" w:fill="auto"/>
            <w:noWrap/>
            <w:vAlign w:val="bottom"/>
            <w:hideMark/>
          </w:tcPr>
          <w:p w14:paraId="4C8939FA"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34</w:t>
            </w:r>
          </w:p>
        </w:tc>
        <w:tc>
          <w:tcPr>
            <w:tcW w:w="574" w:type="dxa"/>
            <w:tcBorders>
              <w:top w:val="nil"/>
              <w:left w:val="nil"/>
              <w:bottom w:val="nil"/>
              <w:right w:val="nil"/>
            </w:tcBorders>
            <w:shd w:val="clear" w:color="auto" w:fill="auto"/>
            <w:noWrap/>
            <w:vAlign w:val="bottom"/>
            <w:hideMark/>
          </w:tcPr>
          <w:p w14:paraId="4781FEFE"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29.57</w:t>
            </w:r>
          </w:p>
        </w:tc>
      </w:tr>
      <w:tr w:rsidR="00E359F0" w:rsidRPr="00D841A8" w14:paraId="23340BCA"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28B4F34C" w14:textId="77777777" w:rsidR="00E359F0" w:rsidRPr="00D841A8" w:rsidRDefault="00E359F0" w:rsidP="00401B53">
            <w:pPr>
              <w:spacing w:after="0" w:line="240" w:lineRule="auto"/>
              <w:jc w:val="left"/>
              <w:rPr>
                <w:rFonts w:eastAsia="Times New Roman" w:cs="Times New Roman"/>
                <w:b/>
                <w:bCs/>
                <w:color w:val="000000"/>
                <w:sz w:val="20"/>
                <w:szCs w:val="20"/>
              </w:rPr>
            </w:pPr>
            <w:r w:rsidRPr="00D841A8">
              <w:rPr>
                <w:rFonts w:eastAsia="Times New Roman" w:cs="Times New Roman"/>
                <w:b/>
                <w:bCs/>
                <w:color w:val="000000"/>
                <w:sz w:val="20"/>
                <w:szCs w:val="20"/>
              </w:rPr>
              <w:t>By Latent Class</w:t>
            </w:r>
          </w:p>
        </w:tc>
        <w:tc>
          <w:tcPr>
            <w:tcW w:w="416" w:type="dxa"/>
            <w:tcBorders>
              <w:top w:val="nil"/>
              <w:left w:val="nil"/>
              <w:bottom w:val="nil"/>
              <w:right w:val="nil"/>
            </w:tcBorders>
            <w:shd w:val="clear" w:color="auto" w:fill="auto"/>
            <w:noWrap/>
            <w:vAlign w:val="bottom"/>
            <w:hideMark/>
          </w:tcPr>
          <w:p w14:paraId="40E67DDB" w14:textId="77777777" w:rsidR="00E359F0" w:rsidRPr="00D841A8" w:rsidRDefault="00E359F0" w:rsidP="00401B53">
            <w:pPr>
              <w:spacing w:after="0" w:line="240" w:lineRule="auto"/>
              <w:jc w:val="left"/>
              <w:rPr>
                <w:rFonts w:eastAsia="Times New Roman" w:cs="Times New Roman"/>
                <w:b/>
                <w:bCs/>
                <w:color w:val="000000"/>
                <w:sz w:val="20"/>
                <w:szCs w:val="20"/>
              </w:rPr>
            </w:pPr>
          </w:p>
        </w:tc>
        <w:tc>
          <w:tcPr>
            <w:tcW w:w="574" w:type="dxa"/>
            <w:tcBorders>
              <w:top w:val="nil"/>
              <w:left w:val="nil"/>
              <w:bottom w:val="nil"/>
              <w:right w:val="nil"/>
            </w:tcBorders>
            <w:shd w:val="clear" w:color="auto" w:fill="auto"/>
            <w:noWrap/>
            <w:vAlign w:val="bottom"/>
            <w:hideMark/>
          </w:tcPr>
          <w:p w14:paraId="65770CD4" w14:textId="77777777" w:rsidR="00E359F0" w:rsidRPr="00D841A8" w:rsidRDefault="00E359F0" w:rsidP="00401B53">
            <w:pPr>
              <w:spacing w:after="0" w:line="240" w:lineRule="auto"/>
              <w:jc w:val="center"/>
              <w:rPr>
                <w:rFonts w:eastAsia="Times New Roman" w:cs="Times New Roman"/>
                <w:sz w:val="20"/>
                <w:szCs w:val="20"/>
              </w:rPr>
            </w:pPr>
          </w:p>
        </w:tc>
      </w:tr>
      <w:tr w:rsidR="00E359F0" w:rsidRPr="00D841A8" w14:paraId="729059E2"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1EB51801"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Limited Drug Use</w:t>
            </w:r>
          </w:p>
        </w:tc>
        <w:tc>
          <w:tcPr>
            <w:tcW w:w="416" w:type="dxa"/>
            <w:tcBorders>
              <w:top w:val="nil"/>
              <w:left w:val="nil"/>
              <w:bottom w:val="nil"/>
              <w:right w:val="nil"/>
            </w:tcBorders>
            <w:shd w:val="clear" w:color="auto" w:fill="auto"/>
            <w:noWrap/>
            <w:vAlign w:val="bottom"/>
            <w:hideMark/>
          </w:tcPr>
          <w:p w14:paraId="2466AD1D"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21</w:t>
            </w:r>
          </w:p>
        </w:tc>
        <w:tc>
          <w:tcPr>
            <w:tcW w:w="574" w:type="dxa"/>
            <w:tcBorders>
              <w:top w:val="nil"/>
              <w:left w:val="nil"/>
              <w:bottom w:val="nil"/>
              <w:right w:val="nil"/>
            </w:tcBorders>
            <w:shd w:val="clear" w:color="auto" w:fill="auto"/>
            <w:noWrap/>
            <w:vAlign w:val="bottom"/>
            <w:hideMark/>
          </w:tcPr>
          <w:p w14:paraId="120C07B5"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18.26</w:t>
            </w:r>
          </w:p>
        </w:tc>
      </w:tr>
      <w:tr w:rsidR="00E359F0" w:rsidRPr="00D841A8" w14:paraId="2A8A2E77"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26D5169C"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Conventional Drug Use</w:t>
            </w:r>
          </w:p>
        </w:tc>
        <w:tc>
          <w:tcPr>
            <w:tcW w:w="416" w:type="dxa"/>
            <w:tcBorders>
              <w:top w:val="nil"/>
              <w:left w:val="nil"/>
              <w:bottom w:val="nil"/>
              <w:right w:val="nil"/>
            </w:tcBorders>
            <w:shd w:val="clear" w:color="auto" w:fill="auto"/>
            <w:noWrap/>
            <w:vAlign w:val="bottom"/>
            <w:hideMark/>
          </w:tcPr>
          <w:p w14:paraId="57D11A8A"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32</w:t>
            </w:r>
          </w:p>
        </w:tc>
        <w:tc>
          <w:tcPr>
            <w:tcW w:w="574" w:type="dxa"/>
            <w:tcBorders>
              <w:top w:val="nil"/>
              <w:left w:val="nil"/>
              <w:bottom w:val="nil"/>
              <w:right w:val="nil"/>
            </w:tcBorders>
            <w:shd w:val="clear" w:color="auto" w:fill="auto"/>
            <w:noWrap/>
            <w:vAlign w:val="bottom"/>
            <w:hideMark/>
          </w:tcPr>
          <w:p w14:paraId="0BF3FEFF"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27.83</w:t>
            </w:r>
          </w:p>
        </w:tc>
      </w:tr>
      <w:tr w:rsidR="00E359F0" w:rsidRPr="00D841A8" w14:paraId="2CCEBF42"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12255D0E"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Club Drug Use</w:t>
            </w:r>
          </w:p>
        </w:tc>
        <w:tc>
          <w:tcPr>
            <w:tcW w:w="416" w:type="dxa"/>
            <w:tcBorders>
              <w:top w:val="nil"/>
              <w:left w:val="nil"/>
              <w:bottom w:val="nil"/>
              <w:right w:val="nil"/>
            </w:tcBorders>
            <w:shd w:val="clear" w:color="auto" w:fill="auto"/>
            <w:noWrap/>
            <w:vAlign w:val="bottom"/>
            <w:hideMark/>
          </w:tcPr>
          <w:p w14:paraId="3E6FA30D"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14</w:t>
            </w:r>
          </w:p>
        </w:tc>
        <w:tc>
          <w:tcPr>
            <w:tcW w:w="574" w:type="dxa"/>
            <w:tcBorders>
              <w:top w:val="nil"/>
              <w:left w:val="nil"/>
              <w:bottom w:val="nil"/>
              <w:right w:val="nil"/>
            </w:tcBorders>
            <w:shd w:val="clear" w:color="auto" w:fill="auto"/>
            <w:noWrap/>
            <w:vAlign w:val="bottom"/>
            <w:hideMark/>
          </w:tcPr>
          <w:p w14:paraId="5BCEEFB4"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12.17</w:t>
            </w:r>
          </w:p>
        </w:tc>
      </w:tr>
      <w:tr w:rsidR="00E359F0" w:rsidRPr="00D841A8" w14:paraId="6CA4BF1C"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128C0BEA"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Sex Drug Use</w:t>
            </w:r>
          </w:p>
        </w:tc>
        <w:tc>
          <w:tcPr>
            <w:tcW w:w="416" w:type="dxa"/>
            <w:tcBorders>
              <w:top w:val="nil"/>
              <w:left w:val="nil"/>
              <w:bottom w:val="nil"/>
              <w:right w:val="nil"/>
            </w:tcBorders>
            <w:shd w:val="clear" w:color="auto" w:fill="auto"/>
            <w:noWrap/>
            <w:vAlign w:val="bottom"/>
            <w:hideMark/>
          </w:tcPr>
          <w:p w14:paraId="21B1C7AF"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14</w:t>
            </w:r>
          </w:p>
        </w:tc>
        <w:tc>
          <w:tcPr>
            <w:tcW w:w="574" w:type="dxa"/>
            <w:tcBorders>
              <w:top w:val="nil"/>
              <w:left w:val="nil"/>
              <w:bottom w:val="nil"/>
              <w:right w:val="nil"/>
            </w:tcBorders>
            <w:shd w:val="clear" w:color="auto" w:fill="auto"/>
            <w:noWrap/>
            <w:vAlign w:val="bottom"/>
            <w:hideMark/>
          </w:tcPr>
          <w:p w14:paraId="3C46367A"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12.17</w:t>
            </w:r>
          </w:p>
        </w:tc>
      </w:tr>
      <w:tr w:rsidR="00E359F0" w:rsidRPr="00D841A8" w14:paraId="30F9E801" w14:textId="77777777" w:rsidTr="00401B53">
        <w:trPr>
          <w:trHeight w:val="64"/>
          <w:jc w:val="center"/>
        </w:trPr>
        <w:tc>
          <w:tcPr>
            <w:tcW w:w="2520" w:type="dxa"/>
            <w:tcBorders>
              <w:top w:val="nil"/>
              <w:left w:val="nil"/>
              <w:bottom w:val="nil"/>
              <w:right w:val="nil"/>
            </w:tcBorders>
            <w:shd w:val="clear" w:color="auto" w:fill="auto"/>
            <w:noWrap/>
            <w:vAlign w:val="bottom"/>
            <w:hideMark/>
          </w:tcPr>
          <w:p w14:paraId="07447861"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Street Drug Use</w:t>
            </w:r>
          </w:p>
        </w:tc>
        <w:tc>
          <w:tcPr>
            <w:tcW w:w="416" w:type="dxa"/>
            <w:tcBorders>
              <w:top w:val="nil"/>
              <w:left w:val="nil"/>
              <w:bottom w:val="nil"/>
              <w:right w:val="nil"/>
            </w:tcBorders>
            <w:shd w:val="clear" w:color="auto" w:fill="auto"/>
            <w:noWrap/>
            <w:vAlign w:val="bottom"/>
            <w:hideMark/>
          </w:tcPr>
          <w:p w14:paraId="68CAE798"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22</w:t>
            </w:r>
          </w:p>
        </w:tc>
        <w:tc>
          <w:tcPr>
            <w:tcW w:w="574" w:type="dxa"/>
            <w:tcBorders>
              <w:top w:val="nil"/>
              <w:left w:val="nil"/>
              <w:bottom w:val="nil"/>
              <w:right w:val="nil"/>
            </w:tcBorders>
            <w:shd w:val="clear" w:color="auto" w:fill="auto"/>
            <w:noWrap/>
            <w:vAlign w:val="bottom"/>
            <w:hideMark/>
          </w:tcPr>
          <w:p w14:paraId="4B23A190"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19.13</w:t>
            </w:r>
          </w:p>
        </w:tc>
      </w:tr>
      <w:tr w:rsidR="00E359F0" w:rsidRPr="00D841A8" w14:paraId="33F984E9" w14:textId="77777777" w:rsidTr="00401B53">
        <w:trPr>
          <w:trHeight w:val="64"/>
          <w:jc w:val="center"/>
        </w:trPr>
        <w:tc>
          <w:tcPr>
            <w:tcW w:w="2520" w:type="dxa"/>
            <w:tcBorders>
              <w:top w:val="nil"/>
              <w:left w:val="nil"/>
              <w:bottom w:val="single" w:sz="4" w:space="0" w:color="auto"/>
              <w:right w:val="nil"/>
            </w:tcBorders>
            <w:shd w:val="clear" w:color="auto" w:fill="auto"/>
            <w:noWrap/>
            <w:vAlign w:val="bottom"/>
            <w:hideMark/>
          </w:tcPr>
          <w:p w14:paraId="7E464E45" w14:textId="77777777" w:rsidR="00E359F0" w:rsidRPr="00D841A8" w:rsidRDefault="00E359F0" w:rsidP="00401B53">
            <w:pPr>
              <w:spacing w:after="0" w:line="240" w:lineRule="auto"/>
              <w:jc w:val="left"/>
              <w:rPr>
                <w:rFonts w:eastAsia="Times New Roman" w:cs="Times New Roman"/>
                <w:color w:val="000000"/>
                <w:sz w:val="20"/>
                <w:szCs w:val="20"/>
              </w:rPr>
            </w:pPr>
            <w:r w:rsidRPr="00D841A8">
              <w:rPr>
                <w:rFonts w:eastAsia="Times New Roman" w:cs="Times New Roman"/>
                <w:color w:val="000000"/>
                <w:sz w:val="20"/>
                <w:szCs w:val="20"/>
              </w:rPr>
              <w:t xml:space="preserve">  Assorted Drug Use</w:t>
            </w:r>
          </w:p>
        </w:tc>
        <w:tc>
          <w:tcPr>
            <w:tcW w:w="416" w:type="dxa"/>
            <w:tcBorders>
              <w:top w:val="nil"/>
              <w:left w:val="nil"/>
              <w:bottom w:val="single" w:sz="4" w:space="0" w:color="auto"/>
              <w:right w:val="nil"/>
            </w:tcBorders>
            <w:shd w:val="clear" w:color="auto" w:fill="auto"/>
            <w:noWrap/>
            <w:vAlign w:val="bottom"/>
            <w:hideMark/>
          </w:tcPr>
          <w:p w14:paraId="6A359A16"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12</w:t>
            </w:r>
          </w:p>
        </w:tc>
        <w:tc>
          <w:tcPr>
            <w:tcW w:w="574" w:type="dxa"/>
            <w:tcBorders>
              <w:top w:val="nil"/>
              <w:left w:val="nil"/>
              <w:bottom w:val="single" w:sz="4" w:space="0" w:color="auto"/>
              <w:right w:val="nil"/>
            </w:tcBorders>
            <w:shd w:val="clear" w:color="auto" w:fill="auto"/>
            <w:noWrap/>
            <w:vAlign w:val="bottom"/>
            <w:hideMark/>
          </w:tcPr>
          <w:p w14:paraId="256522EC" w14:textId="77777777" w:rsidR="00E359F0" w:rsidRPr="00D841A8" w:rsidRDefault="00E359F0" w:rsidP="00401B53">
            <w:pPr>
              <w:spacing w:after="0" w:line="240" w:lineRule="auto"/>
              <w:jc w:val="center"/>
              <w:rPr>
                <w:rFonts w:eastAsia="Times New Roman" w:cs="Times New Roman"/>
                <w:color w:val="000000"/>
                <w:sz w:val="20"/>
                <w:szCs w:val="20"/>
              </w:rPr>
            </w:pPr>
            <w:r w:rsidRPr="00D841A8">
              <w:rPr>
                <w:rFonts w:eastAsia="Times New Roman" w:cs="Times New Roman"/>
                <w:color w:val="000000"/>
                <w:sz w:val="20"/>
                <w:szCs w:val="20"/>
              </w:rPr>
              <w:t>10.43</w:t>
            </w:r>
          </w:p>
        </w:tc>
      </w:tr>
      <w:bookmarkEnd w:id="17"/>
    </w:tbl>
    <w:p w14:paraId="066CBBEF" w14:textId="77777777" w:rsidR="00E359F0" w:rsidRDefault="00E359F0" w:rsidP="00E359F0">
      <w:pPr>
        <w:spacing w:after="0" w:line="240" w:lineRule="auto"/>
        <w:jc w:val="left"/>
        <w:rPr>
          <w:rFonts w:cs="Times New Roman"/>
          <w:caps/>
          <w:lang w:val="en-CA"/>
        </w:rPr>
      </w:pPr>
    </w:p>
    <w:p w14:paraId="147278C6" w14:textId="77777777" w:rsidR="00E359F0" w:rsidRDefault="00E359F0" w:rsidP="00E359F0"/>
    <w:p w14:paraId="084D9B56" w14:textId="77777777" w:rsidR="00B9709D" w:rsidRPr="00CA4BCA" w:rsidRDefault="00B9709D">
      <w:pPr>
        <w:spacing w:after="0" w:line="240" w:lineRule="auto"/>
        <w:jc w:val="left"/>
        <w:rPr>
          <w:rFonts w:cs="Times New Roman"/>
          <w:lang w:val="en-CA"/>
        </w:rPr>
      </w:pPr>
      <w:bookmarkStart w:id="18" w:name="_GoBack"/>
      <w:bookmarkEnd w:id="18"/>
    </w:p>
    <w:sectPr w:rsidR="00B9709D" w:rsidRPr="00CA4BCA" w:rsidSect="002E6B20">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3D77" w14:textId="77777777" w:rsidR="00E03690" w:rsidRDefault="00E03690" w:rsidP="0059774F">
      <w:pPr>
        <w:spacing w:line="240" w:lineRule="auto"/>
      </w:pPr>
      <w:r>
        <w:separator/>
      </w:r>
    </w:p>
    <w:p w14:paraId="1B42D719" w14:textId="77777777" w:rsidR="00E03690" w:rsidRDefault="00E03690"/>
  </w:endnote>
  <w:endnote w:type="continuationSeparator" w:id="0">
    <w:p w14:paraId="0CB01C6E" w14:textId="77777777" w:rsidR="00E03690" w:rsidRDefault="00E03690" w:rsidP="0059774F">
      <w:pPr>
        <w:spacing w:line="240" w:lineRule="auto"/>
      </w:pPr>
      <w:r>
        <w:continuationSeparator/>
      </w:r>
    </w:p>
    <w:p w14:paraId="5B3F7150" w14:textId="77777777" w:rsidR="00E03690" w:rsidRDefault="00E0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A498" w14:textId="77777777" w:rsidR="00A70191" w:rsidRDefault="00A70191" w:rsidP="00654A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D320F" w14:textId="77777777" w:rsidR="00A70191" w:rsidRDefault="00A70191">
    <w:pPr>
      <w:pStyle w:val="Footer"/>
    </w:pPr>
  </w:p>
  <w:p w14:paraId="38AB80C3" w14:textId="77777777" w:rsidR="00A70191" w:rsidRDefault="00A701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D2C" w14:textId="66952673" w:rsidR="00A70191" w:rsidRDefault="00A70191" w:rsidP="006C6D19">
    <w:pPr>
      <w:pStyle w:val="Footer"/>
      <w:framePr w:wrap="none" w:vAnchor="text" w:hAnchor="margin" w:xAlign="center" w:y="1"/>
      <w:spacing w:after="0"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680A81">
      <w:rPr>
        <w:rStyle w:val="PageNumber"/>
        <w:noProof/>
      </w:rPr>
      <w:t>20</w:t>
    </w:r>
    <w:r>
      <w:rPr>
        <w:rStyle w:val="PageNumber"/>
      </w:rPr>
      <w:fldChar w:fldCharType="end"/>
    </w:r>
  </w:p>
  <w:p w14:paraId="1ED58345" w14:textId="77777777" w:rsidR="00A70191" w:rsidRDefault="00A70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A7FA" w14:textId="77777777" w:rsidR="00E03690" w:rsidRDefault="00E03690" w:rsidP="0059774F">
      <w:pPr>
        <w:spacing w:line="240" w:lineRule="auto"/>
      </w:pPr>
      <w:r>
        <w:separator/>
      </w:r>
    </w:p>
    <w:p w14:paraId="11630DDF" w14:textId="77777777" w:rsidR="00E03690" w:rsidRDefault="00E03690"/>
  </w:footnote>
  <w:footnote w:type="continuationSeparator" w:id="0">
    <w:p w14:paraId="4D4B2CBD" w14:textId="77777777" w:rsidR="00E03690" w:rsidRDefault="00E03690" w:rsidP="0059774F">
      <w:pPr>
        <w:spacing w:line="240" w:lineRule="auto"/>
      </w:pPr>
      <w:r>
        <w:continuationSeparator/>
      </w:r>
    </w:p>
    <w:p w14:paraId="580022F4" w14:textId="77777777" w:rsidR="00E03690" w:rsidRDefault="00E03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76D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4430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1495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F3AE9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E430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3622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1E48F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A8B3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EE88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C4E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9AD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415C5"/>
    <w:multiLevelType w:val="hybridMultilevel"/>
    <w:tmpl w:val="12BABAF2"/>
    <w:lvl w:ilvl="0" w:tplc="4C248B3A">
      <w:start w:val="1"/>
      <w:numFmt w:val="decimal"/>
      <w:pStyle w:val="Affiliation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06069"/>
    <w:multiLevelType w:val="hybridMultilevel"/>
    <w:tmpl w:val="74AED5C4"/>
    <w:lvl w:ilvl="0" w:tplc="EBE65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F2755"/>
    <w:multiLevelType w:val="hybridMultilevel"/>
    <w:tmpl w:val="D88C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A1ACF"/>
    <w:multiLevelType w:val="hybridMultilevel"/>
    <w:tmpl w:val="73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F0736"/>
    <w:multiLevelType w:val="hybridMultilevel"/>
    <w:tmpl w:val="E2DEECB4"/>
    <w:lvl w:ilvl="0" w:tplc="94C82EF6">
      <w:start w:val="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3C6DD9"/>
    <w:multiLevelType w:val="hybridMultilevel"/>
    <w:tmpl w:val="E9D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F3A92"/>
    <w:multiLevelType w:val="hybridMultilevel"/>
    <w:tmpl w:val="A1F4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63123"/>
    <w:multiLevelType w:val="hybridMultilevel"/>
    <w:tmpl w:val="5A56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18"/>
  </w:num>
  <w:num w:numId="5">
    <w:abstractNumId w:val="17"/>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16"/>
    <w:rsid w:val="000062FB"/>
    <w:rsid w:val="00011960"/>
    <w:rsid w:val="00013F06"/>
    <w:rsid w:val="00015F53"/>
    <w:rsid w:val="0001794A"/>
    <w:rsid w:val="000207A1"/>
    <w:rsid w:val="0002280D"/>
    <w:rsid w:val="00024DD2"/>
    <w:rsid w:val="00031BF4"/>
    <w:rsid w:val="000342DA"/>
    <w:rsid w:val="00034E99"/>
    <w:rsid w:val="00044294"/>
    <w:rsid w:val="000456A2"/>
    <w:rsid w:val="0004715D"/>
    <w:rsid w:val="00051466"/>
    <w:rsid w:val="00051600"/>
    <w:rsid w:val="00051EA7"/>
    <w:rsid w:val="0006025D"/>
    <w:rsid w:val="00066A87"/>
    <w:rsid w:val="000716AE"/>
    <w:rsid w:val="00073E55"/>
    <w:rsid w:val="0007647A"/>
    <w:rsid w:val="00092BFA"/>
    <w:rsid w:val="000B3DFF"/>
    <w:rsid w:val="000D4B62"/>
    <w:rsid w:val="000D67A2"/>
    <w:rsid w:val="000D76A3"/>
    <w:rsid w:val="000E4E7B"/>
    <w:rsid w:val="000E51BE"/>
    <w:rsid w:val="000F23AE"/>
    <w:rsid w:val="000F2C35"/>
    <w:rsid w:val="00100CED"/>
    <w:rsid w:val="0010283F"/>
    <w:rsid w:val="00103246"/>
    <w:rsid w:val="00106ACB"/>
    <w:rsid w:val="00111E14"/>
    <w:rsid w:val="00114769"/>
    <w:rsid w:val="00117671"/>
    <w:rsid w:val="00117C5E"/>
    <w:rsid w:val="001225AD"/>
    <w:rsid w:val="00124EEE"/>
    <w:rsid w:val="00127B65"/>
    <w:rsid w:val="001309EE"/>
    <w:rsid w:val="0014571C"/>
    <w:rsid w:val="00146F60"/>
    <w:rsid w:val="00147F5B"/>
    <w:rsid w:val="00150725"/>
    <w:rsid w:val="001547F2"/>
    <w:rsid w:val="0015766D"/>
    <w:rsid w:val="0016116E"/>
    <w:rsid w:val="001642BD"/>
    <w:rsid w:val="00165363"/>
    <w:rsid w:val="00165647"/>
    <w:rsid w:val="00165DAD"/>
    <w:rsid w:val="00172587"/>
    <w:rsid w:val="00183048"/>
    <w:rsid w:val="001852FA"/>
    <w:rsid w:val="001854FD"/>
    <w:rsid w:val="00185B3A"/>
    <w:rsid w:val="001906ED"/>
    <w:rsid w:val="00190C23"/>
    <w:rsid w:val="00197CDE"/>
    <w:rsid w:val="00197F7C"/>
    <w:rsid w:val="001A1073"/>
    <w:rsid w:val="001B3DD7"/>
    <w:rsid w:val="001C713F"/>
    <w:rsid w:val="001C71A6"/>
    <w:rsid w:val="001D0792"/>
    <w:rsid w:val="001E3778"/>
    <w:rsid w:val="00207141"/>
    <w:rsid w:val="00207D2D"/>
    <w:rsid w:val="002125DF"/>
    <w:rsid w:val="00214922"/>
    <w:rsid w:val="002152C7"/>
    <w:rsid w:val="002260F3"/>
    <w:rsid w:val="002331CA"/>
    <w:rsid w:val="00236FDF"/>
    <w:rsid w:val="0024110D"/>
    <w:rsid w:val="002418AE"/>
    <w:rsid w:val="002418EE"/>
    <w:rsid w:val="00245CFE"/>
    <w:rsid w:val="00253EA2"/>
    <w:rsid w:val="002551E1"/>
    <w:rsid w:val="00255698"/>
    <w:rsid w:val="00261A2C"/>
    <w:rsid w:val="00263747"/>
    <w:rsid w:val="00270336"/>
    <w:rsid w:val="0027095F"/>
    <w:rsid w:val="00271F1C"/>
    <w:rsid w:val="002761A5"/>
    <w:rsid w:val="00276F00"/>
    <w:rsid w:val="00280DFD"/>
    <w:rsid w:val="002938CB"/>
    <w:rsid w:val="002952C3"/>
    <w:rsid w:val="00295821"/>
    <w:rsid w:val="002960A8"/>
    <w:rsid w:val="00297AD7"/>
    <w:rsid w:val="002A11F4"/>
    <w:rsid w:val="002A564C"/>
    <w:rsid w:val="002B3786"/>
    <w:rsid w:val="002C0A49"/>
    <w:rsid w:val="002C0CB8"/>
    <w:rsid w:val="002C7CA9"/>
    <w:rsid w:val="002E23F8"/>
    <w:rsid w:val="002E6B20"/>
    <w:rsid w:val="002E71C5"/>
    <w:rsid w:val="002E71D2"/>
    <w:rsid w:val="002F4BE2"/>
    <w:rsid w:val="0030317F"/>
    <w:rsid w:val="00303ABA"/>
    <w:rsid w:val="003075BE"/>
    <w:rsid w:val="00310FD7"/>
    <w:rsid w:val="00311DA1"/>
    <w:rsid w:val="003207C1"/>
    <w:rsid w:val="00322E35"/>
    <w:rsid w:val="00325867"/>
    <w:rsid w:val="00325FB8"/>
    <w:rsid w:val="00330CE3"/>
    <w:rsid w:val="00332D77"/>
    <w:rsid w:val="00343725"/>
    <w:rsid w:val="00344897"/>
    <w:rsid w:val="003448D3"/>
    <w:rsid w:val="00356A53"/>
    <w:rsid w:val="00357E97"/>
    <w:rsid w:val="003735C0"/>
    <w:rsid w:val="00375DC6"/>
    <w:rsid w:val="003928BE"/>
    <w:rsid w:val="00392D49"/>
    <w:rsid w:val="003A272C"/>
    <w:rsid w:val="003A4776"/>
    <w:rsid w:val="003A7E0B"/>
    <w:rsid w:val="003B1DF9"/>
    <w:rsid w:val="003B2BE9"/>
    <w:rsid w:val="003B3D6E"/>
    <w:rsid w:val="003C1B35"/>
    <w:rsid w:val="003C5057"/>
    <w:rsid w:val="003D4CE2"/>
    <w:rsid w:val="003D4DB2"/>
    <w:rsid w:val="003E7BDB"/>
    <w:rsid w:val="003F2260"/>
    <w:rsid w:val="003F2EDC"/>
    <w:rsid w:val="003F5425"/>
    <w:rsid w:val="00400D6D"/>
    <w:rsid w:val="00403366"/>
    <w:rsid w:val="00404604"/>
    <w:rsid w:val="004069BA"/>
    <w:rsid w:val="004158E2"/>
    <w:rsid w:val="00422147"/>
    <w:rsid w:val="004249D8"/>
    <w:rsid w:val="00426BB6"/>
    <w:rsid w:val="00430DC8"/>
    <w:rsid w:val="004321EE"/>
    <w:rsid w:val="00436C44"/>
    <w:rsid w:val="00447C10"/>
    <w:rsid w:val="00455AFE"/>
    <w:rsid w:val="004562FE"/>
    <w:rsid w:val="0045788D"/>
    <w:rsid w:val="00460943"/>
    <w:rsid w:val="0046153D"/>
    <w:rsid w:val="0046495E"/>
    <w:rsid w:val="00466B3C"/>
    <w:rsid w:val="00466DFD"/>
    <w:rsid w:val="00467076"/>
    <w:rsid w:val="00470809"/>
    <w:rsid w:val="004710DE"/>
    <w:rsid w:val="00472484"/>
    <w:rsid w:val="004739C1"/>
    <w:rsid w:val="0047548F"/>
    <w:rsid w:val="00475E17"/>
    <w:rsid w:val="0047697B"/>
    <w:rsid w:val="00477EE8"/>
    <w:rsid w:val="00486D76"/>
    <w:rsid w:val="0049189C"/>
    <w:rsid w:val="00494133"/>
    <w:rsid w:val="004A0359"/>
    <w:rsid w:val="004A3BD9"/>
    <w:rsid w:val="004D00A1"/>
    <w:rsid w:val="004D177D"/>
    <w:rsid w:val="004D1804"/>
    <w:rsid w:val="004D1E24"/>
    <w:rsid w:val="004D3193"/>
    <w:rsid w:val="004D4DE9"/>
    <w:rsid w:val="004E0CF5"/>
    <w:rsid w:val="004F0829"/>
    <w:rsid w:val="004F29AF"/>
    <w:rsid w:val="005030DB"/>
    <w:rsid w:val="005034F5"/>
    <w:rsid w:val="005108AC"/>
    <w:rsid w:val="00511514"/>
    <w:rsid w:val="00511C12"/>
    <w:rsid w:val="00513058"/>
    <w:rsid w:val="0051604C"/>
    <w:rsid w:val="00521B10"/>
    <w:rsid w:val="00530ED5"/>
    <w:rsid w:val="00533368"/>
    <w:rsid w:val="005341E6"/>
    <w:rsid w:val="00544ECB"/>
    <w:rsid w:val="00546596"/>
    <w:rsid w:val="00555DB2"/>
    <w:rsid w:val="00561EDB"/>
    <w:rsid w:val="00564FC9"/>
    <w:rsid w:val="0056500D"/>
    <w:rsid w:val="005710FF"/>
    <w:rsid w:val="00585BBD"/>
    <w:rsid w:val="0059079F"/>
    <w:rsid w:val="00594B0C"/>
    <w:rsid w:val="0059774F"/>
    <w:rsid w:val="005A48CF"/>
    <w:rsid w:val="005B5F23"/>
    <w:rsid w:val="005C0237"/>
    <w:rsid w:val="005C51B1"/>
    <w:rsid w:val="005D067A"/>
    <w:rsid w:val="005D194F"/>
    <w:rsid w:val="005E3936"/>
    <w:rsid w:val="005E44CC"/>
    <w:rsid w:val="005E6644"/>
    <w:rsid w:val="005E7832"/>
    <w:rsid w:val="005F7547"/>
    <w:rsid w:val="0061142B"/>
    <w:rsid w:val="006114F0"/>
    <w:rsid w:val="0061294E"/>
    <w:rsid w:val="00621365"/>
    <w:rsid w:val="0062284D"/>
    <w:rsid w:val="006279F0"/>
    <w:rsid w:val="00632F1F"/>
    <w:rsid w:val="00634BB2"/>
    <w:rsid w:val="006422B6"/>
    <w:rsid w:val="006424DE"/>
    <w:rsid w:val="00642CF2"/>
    <w:rsid w:val="0064369F"/>
    <w:rsid w:val="00647D0F"/>
    <w:rsid w:val="00647DE3"/>
    <w:rsid w:val="00651673"/>
    <w:rsid w:val="00654AF0"/>
    <w:rsid w:val="00656408"/>
    <w:rsid w:val="00657A74"/>
    <w:rsid w:val="00661BA8"/>
    <w:rsid w:val="00664EE1"/>
    <w:rsid w:val="006673E0"/>
    <w:rsid w:val="006752F0"/>
    <w:rsid w:val="00675F66"/>
    <w:rsid w:val="00676ECD"/>
    <w:rsid w:val="006801C5"/>
    <w:rsid w:val="00680A81"/>
    <w:rsid w:val="00683DB0"/>
    <w:rsid w:val="00687D09"/>
    <w:rsid w:val="00691E1F"/>
    <w:rsid w:val="00694D93"/>
    <w:rsid w:val="006A23A6"/>
    <w:rsid w:val="006A36E7"/>
    <w:rsid w:val="006A3B0D"/>
    <w:rsid w:val="006B0FB1"/>
    <w:rsid w:val="006B29B0"/>
    <w:rsid w:val="006B3DC7"/>
    <w:rsid w:val="006B7628"/>
    <w:rsid w:val="006C0DAB"/>
    <w:rsid w:val="006C6D19"/>
    <w:rsid w:val="006D0505"/>
    <w:rsid w:val="006D6005"/>
    <w:rsid w:val="006E5B48"/>
    <w:rsid w:val="006E7B9F"/>
    <w:rsid w:val="006F40A7"/>
    <w:rsid w:val="00707B39"/>
    <w:rsid w:val="0071026F"/>
    <w:rsid w:val="00711F02"/>
    <w:rsid w:val="00712B48"/>
    <w:rsid w:val="00713921"/>
    <w:rsid w:val="007157FC"/>
    <w:rsid w:val="00717FCB"/>
    <w:rsid w:val="007200EB"/>
    <w:rsid w:val="0072052A"/>
    <w:rsid w:val="00720EEA"/>
    <w:rsid w:val="00722265"/>
    <w:rsid w:val="00722576"/>
    <w:rsid w:val="007250A5"/>
    <w:rsid w:val="0074150F"/>
    <w:rsid w:val="00745676"/>
    <w:rsid w:val="007545F0"/>
    <w:rsid w:val="007579E7"/>
    <w:rsid w:val="007631E8"/>
    <w:rsid w:val="007718E5"/>
    <w:rsid w:val="00771A74"/>
    <w:rsid w:val="00771C97"/>
    <w:rsid w:val="007759DD"/>
    <w:rsid w:val="00776271"/>
    <w:rsid w:val="00776C9F"/>
    <w:rsid w:val="0078211A"/>
    <w:rsid w:val="007828DC"/>
    <w:rsid w:val="00786B7A"/>
    <w:rsid w:val="00793573"/>
    <w:rsid w:val="00793BE9"/>
    <w:rsid w:val="007957E0"/>
    <w:rsid w:val="00795EEE"/>
    <w:rsid w:val="007A0109"/>
    <w:rsid w:val="007A65B6"/>
    <w:rsid w:val="007C6D3F"/>
    <w:rsid w:val="007C7BAD"/>
    <w:rsid w:val="007D37DD"/>
    <w:rsid w:val="007D4D64"/>
    <w:rsid w:val="007D7010"/>
    <w:rsid w:val="007E1ACE"/>
    <w:rsid w:val="007E69C5"/>
    <w:rsid w:val="007F4522"/>
    <w:rsid w:val="00804C36"/>
    <w:rsid w:val="00807DEE"/>
    <w:rsid w:val="00813870"/>
    <w:rsid w:val="00820E32"/>
    <w:rsid w:val="0082180D"/>
    <w:rsid w:val="0082296A"/>
    <w:rsid w:val="00831144"/>
    <w:rsid w:val="008364A0"/>
    <w:rsid w:val="0084230E"/>
    <w:rsid w:val="008536DC"/>
    <w:rsid w:val="00855D28"/>
    <w:rsid w:val="00855DCD"/>
    <w:rsid w:val="00862584"/>
    <w:rsid w:val="00873B83"/>
    <w:rsid w:val="00882440"/>
    <w:rsid w:val="00887E36"/>
    <w:rsid w:val="00891459"/>
    <w:rsid w:val="00891EA7"/>
    <w:rsid w:val="0089254D"/>
    <w:rsid w:val="00892858"/>
    <w:rsid w:val="00893615"/>
    <w:rsid w:val="008944ED"/>
    <w:rsid w:val="008A00BD"/>
    <w:rsid w:val="008A28C5"/>
    <w:rsid w:val="008A54FD"/>
    <w:rsid w:val="008A7C4B"/>
    <w:rsid w:val="008B0F2E"/>
    <w:rsid w:val="008B2C8C"/>
    <w:rsid w:val="008B485D"/>
    <w:rsid w:val="008C0184"/>
    <w:rsid w:val="008D20A7"/>
    <w:rsid w:val="008D7AFA"/>
    <w:rsid w:val="008E1ADA"/>
    <w:rsid w:val="008F0A73"/>
    <w:rsid w:val="008F6649"/>
    <w:rsid w:val="009020E0"/>
    <w:rsid w:val="009031C3"/>
    <w:rsid w:val="00904174"/>
    <w:rsid w:val="009079D5"/>
    <w:rsid w:val="00907C94"/>
    <w:rsid w:val="00907EA1"/>
    <w:rsid w:val="00912F46"/>
    <w:rsid w:val="00913DF3"/>
    <w:rsid w:val="00916062"/>
    <w:rsid w:val="00920D9F"/>
    <w:rsid w:val="00926143"/>
    <w:rsid w:val="00934E68"/>
    <w:rsid w:val="00935B7B"/>
    <w:rsid w:val="00941297"/>
    <w:rsid w:val="009424D3"/>
    <w:rsid w:val="009440BA"/>
    <w:rsid w:val="0095279E"/>
    <w:rsid w:val="009610EF"/>
    <w:rsid w:val="00964233"/>
    <w:rsid w:val="00971DAA"/>
    <w:rsid w:val="009721BF"/>
    <w:rsid w:val="009743C3"/>
    <w:rsid w:val="00974902"/>
    <w:rsid w:val="00982EC2"/>
    <w:rsid w:val="00985A5A"/>
    <w:rsid w:val="009906D0"/>
    <w:rsid w:val="009933BE"/>
    <w:rsid w:val="009A0599"/>
    <w:rsid w:val="009A3B0F"/>
    <w:rsid w:val="009C533F"/>
    <w:rsid w:val="009C538C"/>
    <w:rsid w:val="009C6C33"/>
    <w:rsid w:val="009D572E"/>
    <w:rsid w:val="009E278E"/>
    <w:rsid w:val="009E7F25"/>
    <w:rsid w:val="009F2113"/>
    <w:rsid w:val="009F4B3E"/>
    <w:rsid w:val="009F4EE0"/>
    <w:rsid w:val="00A0088A"/>
    <w:rsid w:val="00A02B36"/>
    <w:rsid w:val="00A03C84"/>
    <w:rsid w:val="00A05CB4"/>
    <w:rsid w:val="00A20C6A"/>
    <w:rsid w:val="00A227C5"/>
    <w:rsid w:val="00A244A7"/>
    <w:rsid w:val="00A356BE"/>
    <w:rsid w:val="00A43D02"/>
    <w:rsid w:val="00A46899"/>
    <w:rsid w:val="00A52DB6"/>
    <w:rsid w:val="00A53600"/>
    <w:rsid w:val="00A54C3D"/>
    <w:rsid w:val="00A54DC4"/>
    <w:rsid w:val="00A5535B"/>
    <w:rsid w:val="00A6518B"/>
    <w:rsid w:val="00A67D12"/>
    <w:rsid w:val="00A70191"/>
    <w:rsid w:val="00A727D4"/>
    <w:rsid w:val="00A8191B"/>
    <w:rsid w:val="00A91EC2"/>
    <w:rsid w:val="00A92239"/>
    <w:rsid w:val="00AA2CA2"/>
    <w:rsid w:val="00AB15B1"/>
    <w:rsid w:val="00AB2EA2"/>
    <w:rsid w:val="00AC53AF"/>
    <w:rsid w:val="00AD591C"/>
    <w:rsid w:val="00AD76DE"/>
    <w:rsid w:val="00AE09AB"/>
    <w:rsid w:val="00AE2903"/>
    <w:rsid w:val="00AE449E"/>
    <w:rsid w:val="00AE6BC8"/>
    <w:rsid w:val="00AF0EAD"/>
    <w:rsid w:val="00B040F2"/>
    <w:rsid w:val="00B10941"/>
    <w:rsid w:val="00B21FE3"/>
    <w:rsid w:val="00B24239"/>
    <w:rsid w:val="00B24399"/>
    <w:rsid w:val="00B25FE1"/>
    <w:rsid w:val="00B2675E"/>
    <w:rsid w:val="00B3040B"/>
    <w:rsid w:val="00B35909"/>
    <w:rsid w:val="00B35BEE"/>
    <w:rsid w:val="00B367C4"/>
    <w:rsid w:val="00B378DA"/>
    <w:rsid w:val="00B40A69"/>
    <w:rsid w:val="00B50350"/>
    <w:rsid w:val="00B50415"/>
    <w:rsid w:val="00B52349"/>
    <w:rsid w:val="00B544F0"/>
    <w:rsid w:val="00B551D8"/>
    <w:rsid w:val="00B5549D"/>
    <w:rsid w:val="00B55686"/>
    <w:rsid w:val="00B577E9"/>
    <w:rsid w:val="00B60415"/>
    <w:rsid w:val="00B63955"/>
    <w:rsid w:val="00B66CF5"/>
    <w:rsid w:val="00B73730"/>
    <w:rsid w:val="00B7667B"/>
    <w:rsid w:val="00B8499F"/>
    <w:rsid w:val="00B851D0"/>
    <w:rsid w:val="00B85DAB"/>
    <w:rsid w:val="00B86984"/>
    <w:rsid w:val="00B86C7F"/>
    <w:rsid w:val="00B9709D"/>
    <w:rsid w:val="00BA548C"/>
    <w:rsid w:val="00BA5854"/>
    <w:rsid w:val="00BA7143"/>
    <w:rsid w:val="00BB19BD"/>
    <w:rsid w:val="00BB2EB3"/>
    <w:rsid w:val="00BB3059"/>
    <w:rsid w:val="00BB43C9"/>
    <w:rsid w:val="00BC05A1"/>
    <w:rsid w:val="00BC3408"/>
    <w:rsid w:val="00BC4F0D"/>
    <w:rsid w:val="00BC65AE"/>
    <w:rsid w:val="00BC7234"/>
    <w:rsid w:val="00BD1F51"/>
    <w:rsid w:val="00BE6E99"/>
    <w:rsid w:val="00BF29C4"/>
    <w:rsid w:val="00BF29FB"/>
    <w:rsid w:val="00BF681E"/>
    <w:rsid w:val="00C025B0"/>
    <w:rsid w:val="00C04E29"/>
    <w:rsid w:val="00C07526"/>
    <w:rsid w:val="00C12FEE"/>
    <w:rsid w:val="00C14406"/>
    <w:rsid w:val="00C14E75"/>
    <w:rsid w:val="00C2120E"/>
    <w:rsid w:val="00C24608"/>
    <w:rsid w:val="00C27807"/>
    <w:rsid w:val="00C35ED9"/>
    <w:rsid w:val="00C426E2"/>
    <w:rsid w:val="00C46EB5"/>
    <w:rsid w:val="00C51280"/>
    <w:rsid w:val="00C546F5"/>
    <w:rsid w:val="00C55969"/>
    <w:rsid w:val="00C62488"/>
    <w:rsid w:val="00C630B3"/>
    <w:rsid w:val="00C71DCC"/>
    <w:rsid w:val="00C80170"/>
    <w:rsid w:val="00C908DE"/>
    <w:rsid w:val="00CA337A"/>
    <w:rsid w:val="00CA3C4E"/>
    <w:rsid w:val="00CA4090"/>
    <w:rsid w:val="00CA463A"/>
    <w:rsid w:val="00CA4BCA"/>
    <w:rsid w:val="00CA6CDF"/>
    <w:rsid w:val="00CB00B8"/>
    <w:rsid w:val="00CB1D00"/>
    <w:rsid w:val="00CB3FFC"/>
    <w:rsid w:val="00CC2756"/>
    <w:rsid w:val="00CC390F"/>
    <w:rsid w:val="00CC4B3C"/>
    <w:rsid w:val="00CC55B1"/>
    <w:rsid w:val="00CC5CC2"/>
    <w:rsid w:val="00CD37ED"/>
    <w:rsid w:val="00CD39ED"/>
    <w:rsid w:val="00CD775D"/>
    <w:rsid w:val="00CE0FB7"/>
    <w:rsid w:val="00CF2E5B"/>
    <w:rsid w:val="00CF5AE0"/>
    <w:rsid w:val="00CF7BCB"/>
    <w:rsid w:val="00D00006"/>
    <w:rsid w:val="00D02E13"/>
    <w:rsid w:val="00D050A7"/>
    <w:rsid w:val="00D071FB"/>
    <w:rsid w:val="00D16B0B"/>
    <w:rsid w:val="00D33324"/>
    <w:rsid w:val="00D336A6"/>
    <w:rsid w:val="00D42D37"/>
    <w:rsid w:val="00D51D6B"/>
    <w:rsid w:val="00D52C79"/>
    <w:rsid w:val="00D52F0A"/>
    <w:rsid w:val="00D5526E"/>
    <w:rsid w:val="00D63A9C"/>
    <w:rsid w:val="00D63B2C"/>
    <w:rsid w:val="00D6483A"/>
    <w:rsid w:val="00D655BC"/>
    <w:rsid w:val="00D67BFA"/>
    <w:rsid w:val="00D7194D"/>
    <w:rsid w:val="00D73F49"/>
    <w:rsid w:val="00D74652"/>
    <w:rsid w:val="00D83CF7"/>
    <w:rsid w:val="00D9297E"/>
    <w:rsid w:val="00D94A4B"/>
    <w:rsid w:val="00D957EA"/>
    <w:rsid w:val="00D96378"/>
    <w:rsid w:val="00DA101A"/>
    <w:rsid w:val="00DA27A3"/>
    <w:rsid w:val="00DA41A0"/>
    <w:rsid w:val="00DA6FD0"/>
    <w:rsid w:val="00DA779C"/>
    <w:rsid w:val="00DA790E"/>
    <w:rsid w:val="00DB1FBC"/>
    <w:rsid w:val="00DB2385"/>
    <w:rsid w:val="00DB4C93"/>
    <w:rsid w:val="00DB6F43"/>
    <w:rsid w:val="00DC0D66"/>
    <w:rsid w:val="00DC2E64"/>
    <w:rsid w:val="00DC2FA0"/>
    <w:rsid w:val="00DC635F"/>
    <w:rsid w:val="00DC7A09"/>
    <w:rsid w:val="00DD702B"/>
    <w:rsid w:val="00DE1C84"/>
    <w:rsid w:val="00DF547E"/>
    <w:rsid w:val="00DF69CF"/>
    <w:rsid w:val="00E03690"/>
    <w:rsid w:val="00E05283"/>
    <w:rsid w:val="00E07A97"/>
    <w:rsid w:val="00E10EB1"/>
    <w:rsid w:val="00E117CE"/>
    <w:rsid w:val="00E11A2A"/>
    <w:rsid w:val="00E17DAD"/>
    <w:rsid w:val="00E243FD"/>
    <w:rsid w:val="00E2443D"/>
    <w:rsid w:val="00E24B4C"/>
    <w:rsid w:val="00E31173"/>
    <w:rsid w:val="00E31975"/>
    <w:rsid w:val="00E34947"/>
    <w:rsid w:val="00E35542"/>
    <w:rsid w:val="00E359F0"/>
    <w:rsid w:val="00E35A8D"/>
    <w:rsid w:val="00E3655C"/>
    <w:rsid w:val="00E367E0"/>
    <w:rsid w:val="00E37150"/>
    <w:rsid w:val="00E4164D"/>
    <w:rsid w:val="00E452B7"/>
    <w:rsid w:val="00E4733F"/>
    <w:rsid w:val="00E53086"/>
    <w:rsid w:val="00E53E80"/>
    <w:rsid w:val="00E5591E"/>
    <w:rsid w:val="00E61BE4"/>
    <w:rsid w:val="00E62191"/>
    <w:rsid w:val="00E70382"/>
    <w:rsid w:val="00E70BB6"/>
    <w:rsid w:val="00E739CE"/>
    <w:rsid w:val="00E74802"/>
    <w:rsid w:val="00E8096C"/>
    <w:rsid w:val="00E90AF6"/>
    <w:rsid w:val="00E94B99"/>
    <w:rsid w:val="00E97877"/>
    <w:rsid w:val="00E97F4C"/>
    <w:rsid w:val="00EA15EB"/>
    <w:rsid w:val="00EA6402"/>
    <w:rsid w:val="00EB1F9B"/>
    <w:rsid w:val="00EB43D4"/>
    <w:rsid w:val="00EB46ED"/>
    <w:rsid w:val="00EB52CC"/>
    <w:rsid w:val="00EC3D5C"/>
    <w:rsid w:val="00ED4926"/>
    <w:rsid w:val="00ED7390"/>
    <w:rsid w:val="00EE0765"/>
    <w:rsid w:val="00EE2C64"/>
    <w:rsid w:val="00EE3ED2"/>
    <w:rsid w:val="00EE5E8E"/>
    <w:rsid w:val="00EF7394"/>
    <w:rsid w:val="00F0325A"/>
    <w:rsid w:val="00F0467F"/>
    <w:rsid w:val="00F103D3"/>
    <w:rsid w:val="00F108E1"/>
    <w:rsid w:val="00F157E3"/>
    <w:rsid w:val="00F17384"/>
    <w:rsid w:val="00F21DC1"/>
    <w:rsid w:val="00F2652C"/>
    <w:rsid w:val="00F325DF"/>
    <w:rsid w:val="00F40C4D"/>
    <w:rsid w:val="00F46DDB"/>
    <w:rsid w:val="00F51851"/>
    <w:rsid w:val="00F53ADC"/>
    <w:rsid w:val="00F54229"/>
    <w:rsid w:val="00F578D1"/>
    <w:rsid w:val="00F63116"/>
    <w:rsid w:val="00F66D30"/>
    <w:rsid w:val="00F66E2A"/>
    <w:rsid w:val="00F67607"/>
    <w:rsid w:val="00F740FD"/>
    <w:rsid w:val="00F75CF8"/>
    <w:rsid w:val="00F77097"/>
    <w:rsid w:val="00F77668"/>
    <w:rsid w:val="00F820DF"/>
    <w:rsid w:val="00F83DF3"/>
    <w:rsid w:val="00F8682C"/>
    <w:rsid w:val="00F90F4E"/>
    <w:rsid w:val="00F94437"/>
    <w:rsid w:val="00F96419"/>
    <w:rsid w:val="00FA099D"/>
    <w:rsid w:val="00FA4A16"/>
    <w:rsid w:val="00FA549B"/>
    <w:rsid w:val="00FA6808"/>
    <w:rsid w:val="00FA765E"/>
    <w:rsid w:val="00FA7B70"/>
    <w:rsid w:val="00FB0E2C"/>
    <w:rsid w:val="00FB1E6B"/>
    <w:rsid w:val="00FB48E0"/>
    <w:rsid w:val="00FB5FB9"/>
    <w:rsid w:val="00FC34C8"/>
    <w:rsid w:val="00FC3B0A"/>
    <w:rsid w:val="00FC3F4F"/>
    <w:rsid w:val="00FC63C9"/>
    <w:rsid w:val="00FC72A7"/>
    <w:rsid w:val="00FC7CA8"/>
    <w:rsid w:val="00FD4972"/>
    <w:rsid w:val="00FE4686"/>
    <w:rsid w:val="00FE668C"/>
    <w:rsid w:val="00FE71A3"/>
    <w:rsid w:val="00FF3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F80E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11A"/>
    <w:pPr>
      <w:spacing w:after="120" w:line="480" w:lineRule="auto"/>
      <w:jc w:val="both"/>
    </w:pPr>
    <w:rPr>
      <w:rFonts w:ascii="Times New Roman" w:hAnsi="Times New Roman"/>
    </w:rPr>
  </w:style>
  <w:style w:type="paragraph" w:styleId="Heading1">
    <w:name w:val="heading 1"/>
    <w:basedOn w:val="Normal"/>
    <w:next w:val="Normal"/>
    <w:link w:val="Heading1Char"/>
    <w:uiPriority w:val="9"/>
    <w:qFormat/>
    <w:rsid w:val="0047548F"/>
    <w:pPr>
      <w:tabs>
        <w:tab w:val="left" w:pos="9270"/>
      </w:tabs>
      <w:spacing w:before="360" w:after="360" w:line="240" w:lineRule="auto"/>
      <w:outlineLvl w:val="0"/>
    </w:pPr>
    <w:rPr>
      <w:rFonts w:ascii="Arial" w:hAnsi="Arial" w:cs="Arial"/>
      <w:b/>
      <w:caps/>
      <w:lang w:val="en-CA"/>
    </w:rPr>
  </w:style>
  <w:style w:type="paragraph" w:styleId="Heading2">
    <w:name w:val="heading 2"/>
    <w:basedOn w:val="Normal"/>
    <w:next w:val="Normal"/>
    <w:link w:val="Heading2Char"/>
    <w:uiPriority w:val="9"/>
    <w:unhideWhenUsed/>
    <w:qFormat/>
    <w:rsid w:val="0047548F"/>
    <w:pPr>
      <w:spacing w:before="360" w:after="240" w:line="240" w:lineRule="auto"/>
      <w:outlineLvl w:val="1"/>
    </w:pPr>
    <w:rPr>
      <w:rFonts w:ascii="Arial" w:hAnsi="Arial" w:cs="Arial"/>
      <w:b/>
      <w:lang w:val="en-CA"/>
    </w:rPr>
  </w:style>
  <w:style w:type="paragraph" w:styleId="Heading3">
    <w:name w:val="heading 3"/>
    <w:basedOn w:val="Normal"/>
    <w:next w:val="Normal"/>
    <w:link w:val="Heading3Char"/>
    <w:uiPriority w:val="9"/>
    <w:unhideWhenUsed/>
    <w:qFormat/>
    <w:rsid w:val="00F578D1"/>
    <w:pPr>
      <w:spacing w:before="240" w:after="0"/>
      <w:outlineLvl w:val="2"/>
    </w:pPr>
    <w:rPr>
      <w:rFonts w:ascii="Arial" w:hAnsi="Arial" w:cs="Arial"/>
      <w:b/>
      <w:i/>
      <w:lang w:val="en-CA"/>
    </w:rPr>
  </w:style>
  <w:style w:type="paragraph" w:styleId="Heading4">
    <w:name w:val="heading 4"/>
    <w:basedOn w:val="Normal"/>
    <w:link w:val="Heading4Char"/>
    <w:uiPriority w:val="9"/>
    <w:qFormat/>
    <w:rsid w:val="00FA4A16"/>
    <w:pPr>
      <w:spacing w:before="100" w:beforeAutospacing="1" w:after="100" w:afterAutospacing="1" w:line="240" w:lineRule="auto"/>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113"/>
    <w:pPr>
      <w:ind w:left="720"/>
      <w:contextualSpacing/>
    </w:pPr>
  </w:style>
  <w:style w:type="character" w:styleId="Hyperlink">
    <w:name w:val="Hyperlink"/>
    <w:basedOn w:val="DefaultParagraphFont"/>
    <w:uiPriority w:val="99"/>
    <w:unhideWhenUsed/>
    <w:rsid w:val="009F2113"/>
    <w:rPr>
      <w:color w:val="0563C1" w:themeColor="hyperlink"/>
      <w:u w:val="single"/>
    </w:rPr>
  </w:style>
  <w:style w:type="paragraph" w:styleId="Header">
    <w:name w:val="header"/>
    <w:basedOn w:val="Normal"/>
    <w:link w:val="HeaderChar"/>
    <w:uiPriority w:val="99"/>
    <w:unhideWhenUsed/>
    <w:rsid w:val="0059774F"/>
    <w:pPr>
      <w:tabs>
        <w:tab w:val="center" w:pos="4680"/>
        <w:tab w:val="right" w:pos="9360"/>
      </w:tabs>
    </w:pPr>
  </w:style>
  <w:style w:type="character" w:customStyle="1" w:styleId="HeaderChar">
    <w:name w:val="Header Char"/>
    <w:basedOn w:val="DefaultParagraphFont"/>
    <w:link w:val="Header"/>
    <w:uiPriority w:val="99"/>
    <w:rsid w:val="0059774F"/>
  </w:style>
  <w:style w:type="paragraph" w:styleId="Footer">
    <w:name w:val="footer"/>
    <w:basedOn w:val="Normal"/>
    <w:link w:val="FooterChar"/>
    <w:uiPriority w:val="99"/>
    <w:unhideWhenUsed/>
    <w:rsid w:val="0059774F"/>
    <w:pPr>
      <w:tabs>
        <w:tab w:val="center" w:pos="4680"/>
        <w:tab w:val="right" w:pos="9360"/>
      </w:tabs>
    </w:pPr>
  </w:style>
  <w:style w:type="character" w:customStyle="1" w:styleId="FooterChar">
    <w:name w:val="Footer Char"/>
    <w:basedOn w:val="DefaultParagraphFont"/>
    <w:link w:val="Footer"/>
    <w:uiPriority w:val="99"/>
    <w:rsid w:val="0059774F"/>
  </w:style>
  <w:style w:type="paragraph" w:styleId="Title">
    <w:name w:val="Title"/>
    <w:basedOn w:val="Normal"/>
    <w:next w:val="Normal"/>
    <w:link w:val="TitleChar"/>
    <w:uiPriority w:val="10"/>
    <w:qFormat/>
    <w:rsid w:val="00DD702B"/>
    <w:pPr>
      <w:spacing w:line="240" w:lineRule="auto"/>
    </w:pPr>
    <w:rPr>
      <w:rFonts w:ascii="Arial" w:hAnsi="Arial" w:cs="Arial"/>
      <w:b/>
      <w:sz w:val="36"/>
      <w:szCs w:val="28"/>
      <w:lang w:val="en-CA"/>
    </w:rPr>
  </w:style>
  <w:style w:type="character" w:customStyle="1" w:styleId="TitleChar">
    <w:name w:val="Title Char"/>
    <w:basedOn w:val="DefaultParagraphFont"/>
    <w:link w:val="Title"/>
    <w:uiPriority w:val="10"/>
    <w:rsid w:val="00DD702B"/>
    <w:rPr>
      <w:rFonts w:ascii="Arial" w:hAnsi="Arial" w:cs="Arial"/>
      <w:b/>
      <w:sz w:val="36"/>
      <w:szCs w:val="28"/>
      <w:lang w:val="en-CA"/>
    </w:rPr>
  </w:style>
  <w:style w:type="character" w:customStyle="1" w:styleId="Heading1Char">
    <w:name w:val="Heading 1 Char"/>
    <w:basedOn w:val="DefaultParagraphFont"/>
    <w:link w:val="Heading1"/>
    <w:uiPriority w:val="9"/>
    <w:rsid w:val="0047548F"/>
    <w:rPr>
      <w:rFonts w:ascii="Arial" w:hAnsi="Arial" w:cs="Arial"/>
      <w:b/>
      <w:caps/>
      <w:lang w:val="en-CA"/>
    </w:rPr>
  </w:style>
  <w:style w:type="character" w:customStyle="1" w:styleId="Heading2Char">
    <w:name w:val="Heading 2 Char"/>
    <w:basedOn w:val="DefaultParagraphFont"/>
    <w:link w:val="Heading2"/>
    <w:uiPriority w:val="9"/>
    <w:rsid w:val="0047548F"/>
    <w:rPr>
      <w:rFonts w:ascii="Arial" w:hAnsi="Arial" w:cs="Arial"/>
      <w:b/>
      <w:lang w:val="en-CA"/>
    </w:rPr>
  </w:style>
  <w:style w:type="character" w:customStyle="1" w:styleId="Heading3Char">
    <w:name w:val="Heading 3 Char"/>
    <w:basedOn w:val="DefaultParagraphFont"/>
    <w:link w:val="Heading3"/>
    <w:uiPriority w:val="9"/>
    <w:rsid w:val="00F578D1"/>
    <w:rPr>
      <w:rFonts w:ascii="Arial" w:hAnsi="Arial" w:cs="Arial"/>
      <w:b/>
      <w:i/>
      <w:lang w:val="en-CA"/>
    </w:rPr>
  </w:style>
  <w:style w:type="paragraph" w:customStyle="1" w:styleId="Affiliations">
    <w:name w:val="Affiliations"/>
    <w:basedOn w:val="ListParagraph"/>
    <w:qFormat/>
    <w:rsid w:val="00FA4A16"/>
    <w:pPr>
      <w:numPr>
        <w:numId w:val="2"/>
      </w:numPr>
      <w:spacing w:line="240" w:lineRule="auto"/>
    </w:pPr>
    <w:rPr>
      <w:rFonts w:cs="Times New Roman"/>
      <w:sz w:val="20"/>
      <w:szCs w:val="20"/>
    </w:rPr>
  </w:style>
  <w:style w:type="paragraph" w:styleId="Bibliography">
    <w:name w:val="Bibliography"/>
    <w:basedOn w:val="Normal"/>
    <w:next w:val="Normal"/>
    <w:uiPriority w:val="37"/>
    <w:unhideWhenUsed/>
    <w:rsid w:val="00FA4A16"/>
    <w:pPr>
      <w:spacing w:after="0" w:line="240" w:lineRule="auto"/>
      <w:ind w:left="720" w:hanging="720"/>
    </w:pPr>
  </w:style>
  <w:style w:type="character" w:customStyle="1" w:styleId="Heading4Char">
    <w:name w:val="Heading 4 Char"/>
    <w:basedOn w:val="DefaultParagraphFont"/>
    <w:link w:val="Heading4"/>
    <w:uiPriority w:val="9"/>
    <w:rsid w:val="00FA4A16"/>
    <w:rPr>
      <w:rFonts w:ascii="Times New Roman" w:hAnsi="Times New Roman" w:cs="Times New Roman"/>
      <w:b/>
      <w:bCs/>
    </w:rPr>
  </w:style>
  <w:style w:type="paragraph" w:styleId="Caption">
    <w:name w:val="caption"/>
    <w:basedOn w:val="Normal"/>
    <w:next w:val="Normal"/>
    <w:uiPriority w:val="35"/>
    <w:unhideWhenUsed/>
    <w:rsid w:val="00FA4A16"/>
    <w:pPr>
      <w:spacing w:after="200" w:line="240" w:lineRule="auto"/>
    </w:pPr>
    <w:rPr>
      <w:rFonts w:asciiTheme="minorHAnsi" w:hAnsiTheme="minorHAnsi"/>
      <w:i/>
      <w:iCs/>
      <w:color w:val="44546A" w:themeColor="text2"/>
      <w:sz w:val="18"/>
      <w:szCs w:val="18"/>
    </w:rPr>
  </w:style>
  <w:style w:type="paragraph" w:customStyle="1" w:styleId="EndNoteBibliography">
    <w:name w:val="EndNote Bibliography"/>
    <w:basedOn w:val="Normal"/>
    <w:rsid w:val="00FA4A16"/>
    <w:pPr>
      <w:spacing w:line="240" w:lineRule="auto"/>
    </w:pPr>
    <w:rPr>
      <w:rFonts w:ascii="Arial" w:eastAsia="Times New Roman" w:hAnsi="Arial" w:cs="Arial"/>
      <w:sz w:val="22"/>
      <w:szCs w:val="22"/>
    </w:rPr>
  </w:style>
  <w:style w:type="character" w:styleId="CommentReference">
    <w:name w:val="annotation reference"/>
    <w:basedOn w:val="DefaultParagraphFont"/>
    <w:uiPriority w:val="99"/>
    <w:semiHidden/>
    <w:unhideWhenUsed/>
    <w:rsid w:val="00FA4A16"/>
    <w:rPr>
      <w:sz w:val="18"/>
      <w:szCs w:val="18"/>
    </w:rPr>
  </w:style>
  <w:style w:type="paragraph" w:styleId="CommentText">
    <w:name w:val="annotation text"/>
    <w:basedOn w:val="Normal"/>
    <w:link w:val="CommentTextChar"/>
    <w:uiPriority w:val="99"/>
    <w:semiHidden/>
    <w:unhideWhenUsed/>
    <w:rsid w:val="00FA4A16"/>
    <w:pPr>
      <w:spacing w:line="240" w:lineRule="auto"/>
    </w:pPr>
    <w:rPr>
      <w:rFonts w:asciiTheme="minorHAnsi" w:hAnsiTheme="minorHAnsi"/>
    </w:rPr>
  </w:style>
  <w:style w:type="character" w:customStyle="1" w:styleId="CommentTextChar">
    <w:name w:val="Comment Text Char"/>
    <w:basedOn w:val="DefaultParagraphFont"/>
    <w:link w:val="CommentText"/>
    <w:uiPriority w:val="99"/>
    <w:semiHidden/>
    <w:rsid w:val="00FA4A16"/>
  </w:style>
  <w:style w:type="paragraph" w:styleId="CommentSubject">
    <w:name w:val="annotation subject"/>
    <w:basedOn w:val="CommentText"/>
    <w:next w:val="CommentText"/>
    <w:link w:val="CommentSubjectChar"/>
    <w:uiPriority w:val="99"/>
    <w:semiHidden/>
    <w:unhideWhenUsed/>
    <w:rsid w:val="00FA4A16"/>
    <w:rPr>
      <w:b/>
      <w:bCs/>
      <w:sz w:val="20"/>
      <w:szCs w:val="20"/>
    </w:rPr>
  </w:style>
  <w:style w:type="character" w:customStyle="1" w:styleId="CommentSubjectChar">
    <w:name w:val="Comment Subject Char"/>
    <w:basedOn w:val="CommentTextChar"/>
    <w:link w:val="CommentSubject"/>
    <w:uiPriority w:val="99"/>
    <w:semiHidden/>
    <w:rsid w:val="00FA4A16"/>
    <w:rPr>
      <w:b/>
      <w:bCs/>
      <w:sz w:val="20"/>
      <w:szCs w:val="20"/>
    </w:rPr>
  </w:style>
  <w:style w:type="paragraph" w:styleId="BalloonText">
    <w:name w:val="Balloon Text"/>
    <w:basedOn w:val="Normal"/>
    <w:link w:val="BalloonTextChar"/>
    <w:uiPriority w:val="99"/>
    <w:semiHidden/>
    <w:unhideWhenUsed/>
    <w:rsid w:val="00FA4A1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A4A16"/>
    <w:rPr>
      <w:rFonts w:ascii="Times New Roman" w:hAnsi="Times New Roman" w:cs="Times New Roman"/>
      <w:sz w:val="18"/>
      <w:szCs w:val="18"/>
    </w:rPr>
  </w:style>
  <w:style w:type="table" w:styleId="TableGrid">
    <w:name w:val="Table Grid"/>
    <w:basedOn w:val="TableNormal"/>
    <w:uiPriority w:val="39"/>
    <w:rsid w:val="00FA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FA4A16"/>
    <w:pPr>
      <w:spacing w:before="100" w:beforeAutospacing="1" w:after="100" w:afterAutospacing="1" w:line="240" w:lineRule="auto"/>
    </w:pPr>
    <w:rPr>
      <w:rFonts w:cs="Times New Roman"/>
    </w:rPr>
  </w:style>
  <w:style w:type="paragraph" w:styleId="NormalWeb">
    <w:name w:val="Normal (Web)"/>
    <w:basedOn w:val="Normal"/>
    <w:uiPriority w:val="99"/>
    <w:semiHidden/>
    <w:unhideWhenUsed/>
    <w:rsid w:val="00FA4A16"/>
    <w:pPr>
      <w:spacing w:before="100" w:beforeAutospacing="1" w:after="100" w:afterAutospacing="1" w:line="240" w:lineRule="auto"/>
    </w:pPr>
    <w:rPr>
      <w:rFonts w:cs="Times New Roman"/>
    </w:rPr>
  </w:style>
  <w:style w:type="character" w:customStyle="1" w:styleId="highlight">
    <w:name w:val="highlight"/>
    <w:basedOn w:val="DefaultParagraphFont"/>
    <w:rsid w:val="00FA4A16"/>
  </w:style>
  <w:style w:type="character" w:customStyle="1" w:styleId="apple-converted-space">
    <w:name w:val="apple-converted-space"/>
    <w:basedOn w:val="DefaultParagraphFont"/>
    <w:rsid w:val="00FA4A16"/>
  </w:style>
  <w:style w:type="paragraph" w:styleId="NoSpacing">
    <w:name w:val="No Spacing"/>
    <w:uiPriority w:val="1"/>
    <w:rsid w:val="00FA4A16"/>
  </w:style>
  <w:style w:type="paragraph" w:customStyle="1" w:styleId="Authors">
    <w:name w:val="Authors"/>
    <w:basedOn w:val="Normal"/>
    <w:qFormat/>
    <w:rsid w:val="00FA4A16"/>
    <w:rPr>
      <w:i/>
    </w:rPr>
  </w:style>
  <w:style w:type="paragraph" w:customStyle="1" w:styleId="Metadata">
    <w:name w:val="Metadata"/>
    <w:basedOn w:val="Normal"/>
    <w:qFormat/>
    <w:rsid w:val="00FA4A16"/>
    <w:pPr>
      <w:spacing w:line="240" w:lineRule="auto"/>
    </w:pPr>
    <w:rPr>
      <w:rFonts w:cs="Times New Roman"/>
    </w:rPr>
  </w:style>
  <w:style w:type="paragraph" w:customStyle="1" w:styleId="AbstractText">
    <w:name w:val="Abstract Text"/>
    <w:basedOn w:val="Metadata"/>
    <w:qFormat/>
    <w:rsid w:val="00FA4A16"/>
  </w:style>
  <w:style w:type="character" w:styleId="PageNumber">
    <w:name w:val="page number"/>
    <w:basedOn w:val="DefaultParagraphFont"/>
    <w:uiPriority w:val="99"/>
    <w:semiHidden/>
    <w:unhideWhenUsed/>
    <w:rsid w:val="00D02E13"/>
  </w:style>
  <w:style w:type="paragraph" w:styleId="Revision">
    <w:name w:val="Revision"/>
    <w:hidden/>
    <w:uiPriority w:val="99"/>
    <w:semiHidden/>
    <w:rsid w:val="00BD1F51"/>
    <w:rPr>
      <w:rFonts w:ascii="Times New Roman" w:hAnsi="Times New Roman"/>
    </w:rPr>
  </w:style>
  <w:style w:type="character" w:styleId="Strong">
    <w:name w:val="Strong"/>
    <w:basedOn w:val="DefaultParagraphFont"/>
    <w:uiPriority w:val="22"/>
    <w:qFormat/>
    <w:rsid w:val="00E35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495">
      <w:bodyDiv w:val="1"/>
      <w:marLeft w:val="0"/>
      <w:marRight w:val="0"/>
      <w:marTop w:val="0"/>
      <w:marBottom w:val="0"/>
      <w:divBdr>
        <w:top w:val="none" w:sz="0" w:space="0" w:color="auto"/>
        <w:left w:val="none" w:sz="0" w:space="0" w:color="auto"/>
        <w:bottom w:val="none" w:sz="0" w:space="0" w:color="auto"/>
        <w:right w:val="none" w:sz="0" w:space="0" w:color="auto"/>
      </w:divBdr>
    </w:div>
    <w:div w:id="191459900">
      <w:bodyDiv w:val="1"/>
      <w:marLeft w:val="0"/>
      <w:marRight w:val="0"/>
      <w:marTop w:val="0"/>
      <w:marBottom w:val="0"/>
      <w:divBdr>
        <w:top w:val="none" w:sz="0" w:space="0" w:color="auto"/>
        <w:left w:val="none" w:sz="0" w:space="0" w:color="auto"/>
        <w:bottom w:val="none" w:sz="0" w:space="0" w:color="auto"/>
        <w:right w:val="none" w:sz="0" w:space="0" w:color="auto"/>
      </w:divBdr>
    </w:div>
    <w:div w:id="345060288">
      <w:bodyDiv w:val="1"/>
      <w:marLeft w:val="0"/>
      <w:marRight w:val="0"/>
      <w:marTop w:val="0"/>
      <w:marBottom w:val="0"/>
      <w:divBdr>
        <w:top w:val="none" w:sz="0" w:space="0" w:color="auto"/>
        <w:left w:val="none" w:sz="0" w:space="0" w:color="auto"/>
        <w:bottom w:val="none" w:sz="0" w:space="0" w:color="auto"/>
        <w:right w:val="none" w:sz="0" w:space="0" w:color="auto"/>
      </w:divBdr>
    </w:div>
    <w:div w:id="487745952">
      <w:bodyDiv w:val="1"/>
      <w:marLeft w:val="0"/>
      <w:marRight w:val="0"/>
      <w:marTop w:val="0"/>
      <w:marBottom w:val="0"/>
      <w:divBdr>
        <w:top w:val="none" w:sz="0" w:space="0" w:color="auto"/>
        <w:left w:val="none" w:sz="0" w:space="0" w:color="auto"/>
        <w:bottom w:val="none" w:sz="0" w:space="0" w:color="auto"/>
        <w:right w:val="none" w:sz="0" w:space="0" w:color="auto"/>
      </w:divBdr>
    </w:div>
    <w:div w:id="673342343">
      <w:bodyDiv w:val="1"/>
      <w:marLeft w:val="0"/>
      <w:marRight w:val="0"/>
      <w:marTop w:val="0"/>
      <w:marBottom w:val="0"/>
      <w:divBdr>
        <w:top w:val="none" w:sz="0" w:space="0" w:color="auto"/>
        <w:left w:val="none" w:sz="0" w:space="0" w:color="auto"/>
        <w:bottom w:val="none" w:sz="0" w:space="0" w:color="auto"/>
        <w:right w:val="none" w:sz="0" w:space="0" w:color="auto"/>
      </w:divBdr>
    </w:div>
    <w:div w:id="757018246">
      <w:bodyDiv w:val="1"/>
      <w:marLeft w:val="0"/>
      <w:marRight w:val="0"/>
      <w:marTop w:val="0"/>
      <w:marBottom w:val="0"/>
      <w:divBdr>
        <w:top w:val="none" w:sz="0" w:space="0" w:color="auto"/>
        <w:left w:val="none" w:sz="0" w:space="0" w:color="auto"/>
        <w:bottom w:val="none" w:sz="0" w:space="0" w:color="auto"/>
        <w:right w:val="none" w:sz="0" w:space="0" w:color="auto"/>
      </w:divBdr>
    </w:div>
    <w:div w:id="869227042">
      <w:bodyDiv w:val="1"/>
      <w:marLeft w:val="0"/>
      <w:marRight w:val="0"/>
      <w:marTop w:val="0"/>
      <w:marBottom w:val="0"/>
      <w:divBdr>
        <w:top w:val="none" w:sz="0" w:space="0" w:color="auto"/>
        <w:left w:val="none" w:sz="0" w:space="0" w:color="auto"/>
        <w:bottom w:val="none" w:sz="0" w:space="0" w:color="auto"/>
        <w:right w:val="none" w:sz="0" w:space="0" w:color="auto"/>
      </w:divBdr>
    </w:div>
    <w:div w:id="1043409921">
      <w:bodyDiv w:val="1"/>
      <w:marLeft w:val="0"/>
      <w:marRight w:val="0"/>
      <w:marTop w:val="0"/>
      <w:marBottom w:val="0"/>
      <w:divBdr>
        <w:top w:val="none" w:sz="0" w:space="0" w:color="auto"/>
        <w:left w:val="none" w:sz="0" w:space="0" w:color="auto"/>
        <w:bottom w:val="none" w:sz="0" w:space="0" w:color="auto"/>
        <w:right w:val="none" w:sz="0" w:space="0" w:color="auto"/>
      </w:divBdr>
    </w:div>
    <w:div w:id="1234895700">
      <w:bodyDiv w:val="1"/>
      <w:marLeft w:val="0"/>
      <w:marRight w:val="0"/>
      <w:marTop w:val="0"/>
      <w:marBottom w:val="0"/>
      <w:divBdr>
        <w:top w:val="none" w:sz="0" w:space="0" w:color="auto"/>
        <w:left w:val="none" w:sz="0" w:space="0" w:color="auto"/>
        <w:bottom w:val="none" w:sz="0" w:space="0" w:color="auto"/>
        <w:right w:val="none" w:sz="0" w:space="0" w:color="auto"/>
      </w:divBdr>
    </w:div>
    <w:div w:id="1309897466">
      <w:bodyDiv w:val="1"/>
      <w:marLeft w:val="0"/>
      <w:marRight w:val="0"/>
      <w:marTop w:val="0"/>
      <w:marBottom w:val="0"/>
      <w:divBdr>
        <w:top w:val="none" w:sz="0" w:space="0" w:color="auto"/>
        <w:left w:val="none" w:sz="0" w:space="0" w:color="auto"/>
        <w:bottom w:val="none" w:sz="0" w:space="0" w:color="auto"/>
        <w:right w:val="none" w:sz="0" w:space="0" w:color="auto"/>
      </w:divBdr>
    </w:div>
    <w:div w:id="14724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rd@sfu.ca" TargetMode="External"/><Relationship Id="rId13" Type="http://schemas.openxmlformats.org/officeDocument/2006/relationships/hyperlink" Target="mailto:jzhu@cfenet.ubc.ca"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wang@cfenet.ubc.ca" TargetMode="External"/><Relationship Id="rId17" Type="http://schemas.openxmlformats.org/officeDocument/2006/relationships/hyperlink" Target="mailto:ericroth@uvic.ca" TargetMode="External"/><Relationship Id="rId2" Type="http://schemas.openxmlformats.org/officeDocument/2006/relationships/numbering" Target="numbering.xml"/><Relationship Id="rId16" Type="http://schemas.openxmlformats.org/officeDocument/2006/relationships/hyperlink" Target="mailto:rhogg@sfu.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cui@cfenet.ubc.ca" TargetMode="External"/><Relationship Id="rId5" Type="http://schemas.openxmlformats.org/officeDocument/2006/relationships/webSettings" Target="webSettings.xml"/><Relationship Id="rId15" Type="http://schemas.openxmlformats.org/officeDocument/2006/relationships/hyperlink" Target="mailto:dmoore@cfenet.ubc.ca" TargetMode="External"/><Relationship Id="rId23" Type="http://schemas.openxmlformats.org/officeDocument/2006/relationships/theme" Target="theme/theme1.xml"/><Relationship Id="rId10" Type="http://schemas.openxmlformats.org/officeDocument/2006/relationships/hyperlink" Target="mailto:allison_carter@sfu.ca"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harmstrong@cfenet.ubc.ca" TargetMode="External"/><Relationship Id="rId14" Type="http://schemas.openxmlformats.org/officeDocument/2006/relationships/hyperlink" Target="mailto:nlachowsky@uvic.c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iffer\Dropbox\Vancouver\Momentum%20I\DAR%20-%20ANALYSES\583.636%20-%20Substance%20Use%20LCA\Old%20Data\636biuse2017083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iffer\Dropbox\Vancouver\Momentum%20I\DAR%20-%20ANALYSES\583.636%20-%20Substance%20Use%20LCA\LTA_Drug%20and%20Alcohol%20Dependence%20Submission\636biuse2017083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LTA!$R$2</c:f>
              <c:strCache>
                <c:ptCount val="1"/>
                <c:pt idx="0">
                  <c:v>Street Drug Use</c:v>
                </c:pt>
              </c:strCache>
            </c:strRef>
          </c:tx>
          <c:spPr>
            <a:ln w="76200" cap="rnd" cmpd="dbl">
              <a:solidFill>
                <a:schemeClr val="tx1">
                  <a:lumMod val="95000"/>
                  <a:lumOff val="5000"/>
                  <a:alpha val="63000"/>
                </a:schemeClr>
              </a:solidFill>
              <a:prstDash val="solid"/>
              <a:round/>
            </a:ln>
            <a:effectLst/>
          </c:spPr>
          <c:marker>
            <c:symbol val="none"/>
          </c:marker>
          <c:dLbls>
            <c:dLbl>
              <c:idx val="0"/>
              <c:layout>
                <c:manualLayout>
                  <c:x val="-7.8536815189432313E-2"/>
                  <c:y val="-1.0641127959563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3D-AA48-9A2A-4535667534C1}"/>
                </c:ext>
              </c:extLst>
            </c:dLbl>
            <c:dLbl>
              <c:idx val="4"/>
              <c:layout>
                <c:manualLayout>
                  <c:x val="0"/>
                  <c:y val="-1.33014099494547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3D-AA48-9A2A-4535667534C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LTA!$Q$3:$Q$7</c:f>
              <c:strCache>
                <c:ptCount val="5"/>
                <c:pt idx="0">
                  <c:v>Visit 1</c:v>
                </c:pt>
                <c:pt idx="1">
                  <c:v>Visit 2</c:v>
                </c:pt>
                <c:pt idx="2">
                  <c:v>Visit 3</c:v>
                </c:pt>
                <c:pt idx="3">
                  <c:v>Visit 4</c:v>
                </c:pt>
                <c:pt idx="4">
                  <c:v>Visit 5</c:v>
                </c:pt>
              </c:strCache>
            </c:strRef>
          </c:cat>
          <c:val>
            <c:numRef>
              <c:f>LTA!$R$3:$R$7</c:f>
              <c:numCache>
                <c:formatCode>0%</c:formatCode>
                <c:ptCount val="5"/>
                <c:pt idx="0">
                  <c:v>0.12249443207126949</c:v>
                </c:pt>
                <c:pt idx="1">
                  <c:v>0.11581291759465479</c:v>
                </c:pt>
                <c:pt idx="2">
                  <c:v>0.133630289532294</c:v>
                </c:pt>
                <c:pt idx="3">
                  <c:v>0.11804008908685969</c:v>
                </c:pt>
                <c:pt idx="4">
                  <c:v>0.10913140311804009</c:v>
                </c:pt>
              </c:numCache>
            </c:numRef>
          </c:val>
          <c:smooth val="0"/>
          <c:extLst>
            <c:ext xmlns:c16="http://schemas.microsoft.com/office/drawing/2014/chart" uri="{C3380CC4-5D6E-409C-BE32-E72D297353CC}">
              <c16:uniqueId val="{00000002-593D-AA48-9A2A-4535667534C1}"/>
            </c:ext>
          </c:extLst>
        </c:ser>
        <c:ser>
          <c:idx val="1"/>
          <c:order val="1"/>
          <c:tx>
            <c:strRef>
              <c:f>LTA!$S$2</c:f>
              <c:strCache>
                <c:ptCount val="1"/>
                <c:pt idx="0">
                  <c:v>Limited Drug Use</c:v>
                </c:pt>
              </c:strCache>
            </c:strRef>
          </c:tx>
          <c:spPr>
            <a:ln w="76200" cap="rnd" cmpd="sng">
              <a:solidFill>
                <a:schemeClr val="bg1">
                  <a:lumMod val="85000"/>
                </a:schemeClr>
              </a:solidFill>
              <a:prstDash val="solid"/>
              <a:round/>
            </a:ln>
            <a:effectLst/>
          </c:spPr>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3D-AA48-9A2A-4535667534C1}"/>
                </c:ext>
              </c:extLst>
            </c:dLbl>
            <c:dLbl>
              <c:idx val="4"/>
              <c:layout>
                <c:manualLayout>
                  <c:x val="0"/>
                  <c:y val="1.06411279595637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3D-AA48-9A2A-4535667534C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6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LTA!$Q$3:$Q$7</c:f>
              <c:strCache>
                <c:ptCount val="5"/>
                <c:pt idx="0">
                  <c:v>Visit 1</c:v>
                </c:pt>
                <c:pt idx="1">
                  <c:v>Visit 2</c:v>
                </c:pt>
                <c:pt idx="2">
                  <c:v>Visit 3</c:v>
                </c:pt>
                <c:pt idx="3">
                  <c:v>Visit 4</c:v>
                </c:pt>
                <c:pt idx="4">
                  <c:v>Visit 5</c:v>
                </c:pt>
              </c:strCache>
            </c:strRef>
          </c:cat>
          <c:val>
            <c:numRef>
              <c:f>LTA!$S$3:$S$7</c:f>
              <c:numCache>
                <c:formatCode>0%</c:formatCode>
                <c:ptCount val="5"/>
                <c:pt idx="0">
                  <c:v>0.24498886414253898</c:v>
                </c:pt>
                <c:pt idx="1">
                  <c:v>0.25835189309576839</c:v>
                </c:pt>
                <c:pt idx="2">
                  <c:v>0.26948775055679286</c:v>
                </c:pt>
                <c:pt idx="3">
                  <c:v>0.27394209354120269</c:v>
                </c:pt>
                <c:pt idx="4">
                  <c:v>0.2828507795100223</c:v>
                </c:pt>
              </c:numCache>
            </c:numRef>
          </c:val>
          <c:smooth val="0"/>
          <c:extLst>
            <c:ext xmlns:c16="http://schemas.microsoft.com/office/drawing/2014/chart" uri="{C3380CC4-5D6E-409C-BE32-E72D297353CC}">
              <c16:uniqueId val="{00000005-593D-AA48-9A2A-4535667534C1}"/>
            </c:ext>
          </c:extLst>
        </c:ser>
        <c:ser>
          <c:idx val="2"/>
          <c:order val="2"/>
          <c:tx>
            <c:strRef>
              <c:f>LTA!$T$2</c:f>
              <c:strCache>
                <c:ptCount val="1"/>
                <c:pt idx="0">
                  <c:v>Club Drug Use</c:v>
                </c:pt>
              </c:strCache>
            </c:strRef>
          </c:tx>
          <c:spPr>
            <a:ln w="63500" cap="rnd" cmpd="sng">
              <a:solidFill>
                <a:schemeClr val="bg1">
                  <a:lumMod val="85000"/>
                </a:schemeClr>
              </a:solidFill>
              <a:prstDash val="sysDash"/>
              <a:round/>
            </a:ln>
            <a:effectLst/>
          </c:spPr>
          <c:marker>
            <c:symbol val="none"/>
          </c:marker>
          <c:dLbls>
            <c:dLbl>
              <c:idx val="0"/>
              <c:layout>
                <c:manualLayout>
                  <c:x val="-7.638835670839246E-2"/>
                  <c:y val="5.32056397978185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3D-AA48-9A2A-4535667534C1}"/>
                </c:ext>
              </c:extLst>
            </c:dLbl>
            <c:dLbl>
              <c:idx val="4"/>
              <c:layout>
                <c:manualLayout>
                  <c:x val="0"/>
                  <c:y val="-1.0641127959563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3D-AA48-9A2A-4535667534C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LTA!$Q$3:$Q$7</c:f>
              <c:strCache>
                <c:ptCount val="5"/>
                <c:pt idx="0">
                  <c:v>Visit 1</c:v>
                </c:pt>
                <c:pt idx="1">
                  <c:v>Visit 2</c:v>
                </c:pt>
                <c:pt idx="2">
                  <c:v>Visit 3</c:v>
                </c:pt>
                <c:pt idx="3">
                  <c:v>Visit 4</c:v>
                </c:pt>
                <c:pt idx="4">
                  <c:v>Visit 5</c:v>
                </c:pt>
              </c:strCache>
            </c:strRef>
          </c:cat>
          <c:val>
            <c:numRef>
              <c:f>LTA!$T$3:$T$7</c:f>
              <c:numCache>
                <c:formatCode>0%</c:formatCode>
                <c:ptCount val="5"/>
                <c:pt idx="0">
                  <c:v>0.11804008908685969</c:v>
                </c:pt>
                <c:pt idx="1">
                  <c:v>0.11581291759465479</c:v>
                </c:pt>
                <c:pt idx="2">
                  <c:v>0.11358574610244988</c:v>
                </c:pt>
                <c:pt idx="3">
                  <c:v>0.1291759465478842</c:v>
                </c:pt>
                <c:pt idx="4">
                  <c:v>0.12026726057906459</c:v>
                </c:pt>
              </c:numCache>
            </c:numRef>
          </c:val>
          <c:smooth val="0"/>
          <c:extLst>
            <c:ext xmlns:c16="http://schemas.microsoft.com/office/drawing/2014/chart" uri="{C3380CC4-5D6E-409C-BE32-E72D297353CC}">
              <c16:uniqueId val="{00000008-593D-AA48-9A2A-4535667534C1}"/>
            </c:ext>
          </c:extLst>
        </c:ser>
        <c:ser>
          <c:idx val="3"/>
          <c:order val="3"/>
          <c:tx>
            <c:strRef>
              <c:f>LTA!$U$2</c:f>
              <c:strCache>
                <c:ptCount val="1"/>
                <c:pt idx="0">
                  <c:v>Sex Drug Use</c:v>
                </c:pt>
              </c:strCache>
            </c:strRef>
          </c:tx>
          <c:spPr>
            <a:ln w="76200" cap="rnd" cmpd="sng">
              <a:solidFill>
                <a:schemeClr val="tx1">
                  <a:lumMod val="75000"/>
                  <a:lumOff val="25000"/>
                </a:schemeClr>
              </a:solidFill>
              <a:round/>
            </a:ln>
            <a:effectLst/>
          </c:spPr>
          <c:marker>
            <c:symbol val="none"/>
          </c:marker>
          <c:dLbls>
            <c:dLbl>
              <c:idx val="0"/>
              <c:layout>
                <c:manualLayout>
                  <c:x val="-7.638835670839246E-2"/>
                  <c:y val="7.980845969672687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3D-AA48-9A2A-4535667534C1}"/>
                </c:ext>
              </c:extLst>
            </c:dLbl>
            <c:dLbl>
              <c:idx val="4"/>
              <c:layout>
                <c:manualLayout>
                  <c:x val="0"/>
                  <c:y val="5.32056397978175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3D-AA48-9A2A-4535667534C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LTA!$Q$3:$Q$7</c:f>
              <c:strCache>
                <c:ptCount val="5"/>
                <c:pt idx="0">
                  <c:v>Visit 1</c:v>
                </c:pt>
                <c:pt idx="1">
                  <c:v>Visit 2</c:v>
                </c:pt>
                <c:pt idx="2">
                  <c:v>Visit 3</c:v>
                </c:pt>
                <c:pt idx="3">
                  <c:v>Visit 4</c:v>
                </c:pt>
                <c:pt idx="4">
                  <c:v>Visit 5</c:v>
                </c:pt>
              </c:strCache>
            </c:strRef>
          </c:cat>
          <c:val>
            <c:numRef>
              <c:f>LTA!$U$3:$U$7</c:f>
              <c:numCache>
                <c:formatCode>0%</c:formatCode>
                <c:ptCount val="5"/>
                <c:pt idx="0">
                  <c:v>0.10690423162583519</c:v>
                </c:pt>
                <c:pt idx="1">
                  <c:v>9.3541202672605794E-2</c:v>
                </c:pt>
                <c:pt idx="2">
                  <c:v>9.3541202672605794E-2</c:v>
                </c:pt>
                <c:pt idx="3">
                  <c:v>0.10690423162583519</c:v>
                </c:pt>
                <c:pt idx="4">
                  <c:v>0.10690423162583519</c:v>
                </c:pt>
              </c:numCache>
            </c:numRef>
          </c:val>
          <c:smooth val="0"/>
          <c:extLst>
            <c:ext xmlns:c16="http://schemas.microsoft.com/office/drawing/2014/chart" uri="{C3380CC4-5D6E-409C-BE32-E72D297353CC}">
              <c16:uniqueId val="{0000000B-593D-AA48-9A2A-4535667534C1}"/>
            </c:ext>
          </c:extLst>
        </c:ser>
        <c:ser>
          <c:idx val="4"/>
          <c:order val="4"/>
          <c:tx>
            <c:strRef>
              <c:f>LTA!$V$2</c:f>
              <c:strCache>
                <c:ptCount val="1"/>
                <c:pt idx="0">
                  <c:v>Conventional Drug Use</c:v>
                </c:pt>
              </c:strCache>
            </c:strRef>
          </c:tx>
          <c:spPr>
            <a:ln w="76200" cap="rnd" cmpd="dbl">
              <a:solidFill>
                <a:schemeClr val="tx1">
                  <a:lumMod val="75000"/>
                  <a:lumOff val="25000"/>
                </a:schemeClr>
              </a:solidFill>
              <a:prstDash val="sysDot"/>
              <a:round/>
            </a:ln>
            <a:effectLst/>
          </c:spPr>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3D-AA48-9A2A-4535667534C1}"/>
                </c:ext>
              </c:extLst>
            </c:dLbl>
            <c:dLbl>
              <c:idx val="4"/>
              <c:layout>
                <c:manualLayout>
                  <c:x val="0"/>
                  <c:y val="-1.33014099494546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3D-AA48-9A2A-4535667534C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LTA!$Q$3:$Q$7</c:f>
              <c:strCache>
                <c:ptCount val="5"/>
                <c:pt idx="0">
                  <c:v>Visit 1</c:v>
                </c:pt>
                <c:pt idx="1">
                  <c:v>Visit 2</c:v>
                </c:pt>
                <c:pt idx="2">
                  <c:v>Visit 3</c:v>
                </c:pt>
                <c:pt idx="3">
                  <c:v>Visit 4</c:v>
                </c:pt>
                <c:pt idx="4">
                  <c:v>Visit 5</c:v>
                </c:pt>
              </c:strCache>
            </c:strRef>
          </c:cat>
          <c:val>
            <c:numRef>
              <c:f>LTA!$V$3:$V$7</c:f>
              <c:numCache>
                <c:formatCode>0%</c:formatCode>
                <c:ptCount val="5"/>
                <c:pt idx="0">
                  <c:v>0.27394209354120269</c:v>
                </c:pt>
                <c:pt idx="1">
                  <c:v>0.2984409799554566</c:v>
                </c:pt>
                <c:pt idx="2">
                  <c:v>0.28730512249443207</c:v>
                </c:pt>
                <c:pt idx="3">
                  <c:v>0.26280623608017817</c:v>
                </c:pt>
                <c:pt idx="4">
                  <c:v>0.28507795100222716</c:v>
                </c:pt>
              </c:numCache>
            </c:numRef>
          </c:val>
          <c:smooth val="0"/>
          <c:extLst>
            <c:ext xmlns:c16="http://schemas.microsoft.com/office/drawing/2014/chart" uri="{C3380CC4-5D6E-409C-BE32-E72D297353CC}">
              <c16:uniqueId val="{0000000E-593D-AA48-9A2A-4535667534C1}"/>
            </c:ext>
          </c:extLst>
        </c:ser>
        <c:ser>
          <c:idx val="5"/>
          <c:order val="5"/>
          <c:tx>
            <c:strRef>
              <c:f>LTA!$W$2</c:f>
              <c:strCache>
                <c:ptCount val="1"/>
                <c:pt idx="0">
                  <c:v>Assorted Drug Use</c:v>
                </c:pt>
              </c:strCache>
            </c:strRef>
          </c:tx>
          <c:spPr>
            <a:ln w="76200" cap="rnd" cmpd="dbl">
              <a:solidFill>
                <a:schemeClr val="bg1">
                  <a:lumMod val="65000"/>
                  <a:alpha val="88000"/>
                </a:schemeClr>
              </a:solidFill>
              <a:prstDash val="sysDot"/>
              <a:round/>
            </a:ln>
            <a:effectLst/>
          </c:spPr>
          <c:marker>
            <c:symbol val="none"/>
          </c:marker>
          <c:dLbls>
            <c:dLbl>
              <c:idx val="0"/>
              <c:layout>
                <c:manualLayout>
                  <c:x val="-7.4239898227352608E-2"/>
                  <c:y val="-1.5961691939345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3D-AA48-9A2A-4535667534C1}"/>
                </c:ext>
              </c:extLst>
            </c:dLbl>
            <c:dLbl>
              <c:idx val="4"/>
              <c:layout>
                <c:manualLayout>
                  <c:x val="0"/>
                  <c:y val="1.0641127959563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3D-AA48-9A2A-4535667534C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6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LTA!$Q$3:$Q$7</c:f>
              <c:strCache>
                <c:ptCount val="5"/>
                <c:pt idx="0">
                  <c:v>Visit 1</c:v>
                </c:pt>
                <c:pt idx="1">
                  <c:v>Visit 2</c:v>
                </c:pt>
                <c:pt idx="2">
                  <c:v>Visit 3</c:v>
                </c:pt>
                <c:pt idx="3">
                  <c:v>Visit 4</c:v>
                </c:pt>
                <c:pt idx="4">
                  <c:v>Visit 5</c:v>
                </c:pt>
              </c:strCache>
            </c:strRef>
          </c:cat>
          <c:val>
            <c:numRef>
              <c:f>LTA!$W$3:$W$7</c:f>
              <c:numCache>
                <c:formatCode>0%</c:formatCode>
                <c:ptCount val="5"/>
                <c:pt idx="0">
                  <c:v>0.133630289532294</c:v>
                </c:pt>
                <c:pt idx="1">
                  <c:v>0.11804008908685969</c:v>
                </c:pt>
                <c:pt idx="2">
                  <c:v>0.10244988864142539</c:v>
                </c:pt>
                <c:pt idx="3">
                  <c:v>0.10913140311804009</c:v>
                </c:pt>
                <c:pt idx="4">
                  <c:v>9.5768374164810696E-2</c:v>
                </c:pt>
              </c:numCache>
            </c:numRef>
          </c:val>
          <c:smooth val="0"/>
          <c:extLst>
            <c:ext xmlns:c16="http://schemas.microsoft.com/office/drawing/2014/chart" uri="{C3380CC4-5D6E-409C-BE32-E72D297353CC}">
              <c16:uniqueId val="{00000011-593D-AA48-9A2A-4535667534C1}"/>
            </c:ext>
          </c:extLst>
        </c:ser>
        <c:dLbls>
          <c:showLegendKey val="0"/>
          <c:showVal val="0"/>
          <c:showCatName val="0"/>
          <c:showSerName val="0"/>
          <c:showPercent val="0"/>
          <c:showBubbleSize val="0"/>
        </c:dLbls>
        <c:smooth val="0"/>
        <c:axId val="635908944"/>
        <c:axId val="635910904"/>
      </c:lineChart>
      <c:catAx>
        <c:axId val="63590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35910904"/>
        <c:crosses val="autoZero"/>
        <c:auto val="1"/>
        <c:lblAlgn val="ctr"/>
        <c:lblOffset val="100"/>
        <c:noMultiLvlLbl val="0"/>
      </c:catAx>
      <c:valAx>
        <c:axId val="635910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Proportion (%) of participants in each class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3590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'[636biuse20170830.xlsx]LTA'!$A$4</c:f>
              <c:strCache>
                <c:ptCount val="1"/>
                <c:pt idx="0">
                  <c:v>G-squared</c:v>
                </c:pt>
              </c:strCache>
            </c:strRef>
          </c:tx>
          <c:spPr>
            <a:ln w="34925" cap="rnd" cmpd="sng">
              <a:solidFill>
                <a:schemeClr val="tx1">
                  <a:lumMod val="85000"/>
                  <a:lumOff val="15000"/>
                </a:schemeClr>
              </a:solidFill>
              <a:prstDash val="dash"/>
              <a:round/>
            </a:ln>
            <a:effectLst/>
          </c:spPr>
          <c:marker>
            <c:symbol val="none"/>
          </c:marker>
          <c:dPt>
            <c:idx val="5"/>
            <c:marker>
              <c:symbol val="circle"/>
              <c:size val="11"/>
              <c:spPr>
                <a:solidFill>
                  <a:schemeClr val="tx1">
                    <a:lumMod val="95000"/>
                    <a:lumOff val="5000"/>
                  </a:schemeClr>
                </a:solidFill>
                <a:ln w="9525">
                  <a:noFill/>
                </a:ln>
                <a:effectLst/>
              </c:spPr>
            </c:marker>
            <c:bubble3D val="0"/>
            <c:extLst>
              <c:ext xmlns:c16="http://schemas.microsoft.com/office/drawing/2014/chart" uri="{C3380CC4-5D6E-409C-BE32-E72D297353CC}">
                <c16:uniqueId val="{00000000-A318-6B4E-8AFD-9D90EEB1FA77}"/>
              </c:ext>
            </c:extLst>
          </c:dPt>
          <c:xVal>
            <c:numRef>
              <c:f>'[636biuse20170830.xlsx]LTA'!$B$3:$G$3</c:f>
              <c:numCache>
                <c:formatCode>General</c:formatCode>
                <c:ptCount val="6"/>
                <c:pt idx="0">
                  <c:v>2</c:v>
                </c:pt>
                <c:pt idx="1">
                  <c:v>3</c:v>
                </c:pt>
                <c:pt idx="2">
                  <c:v>4</c:v>
                </c:pt>
                <c:pt idx="3">
                  <c:v>5</c:v>
                </c:pt>
                <c:pt idx="4">
                  <c:v>6</c:v>
                </c:pt>
                <c:pt idx="5">
                  <c:v>7</c:v>
                </c:pt>
              </c:numCache>
            </c:numRef>
          </c:xVal>
          <c:yVal>
            <c:numRef>
              <c:f>'[636biuse20170830.xlsx]LTA'!$B$4:$G$4</c:f>
              <c:numCache>
                <c:formatCode>0</c:formatCode>
                <c:ptCount val="6"/>
                <c:pt idx="0">
                  <c:v>20217.189999999999</c:v>
                </c:pt>
                <c:pt idx="1">
                  <c:v>19144.57</c:v>
                </c:pt>
                <c:pt idx="2">
                  <c:v>18321.740000000002</c:v>
                </c:pt>
                <c:pt idx="3">
                  <c:v>17694.82</c:v>
                </c:pt>
                <c:pt idx="4">
                  <c:v>17117.64</c:v>
                </c:pt>
                <c:pt idx="5">
                  <c:v>16736.63</c:v>
                </c:pt>
              </c:numCache>
            </c:numRef>
          </c:yVal>
          <c:smooth val="1"/>
          <c:extLst>
            <c:ext xmlns:c16="http://schemas.microsoft.com/office/drawing/2014/chart" uri="{C3380CC4-5D6E-409C-BE32-E72D297353CC}">
              <c16:uniqueId val="{00000001-A318-6B4E-8AFD-9D90EEB1FA77}"/>
            </c:ext>
          </c:extLst>
        </c:ser>
        <c:ser>
          <c:idx val="1"/>
          <c:order val="1"/>
          <c:tx>
            <c:strRef>
              <c:f>'[636biuse20170830.xlsx]LTA'!$A$5</c:f>
              <c:strCache>
                <c:ptCount val="1"/>
                <c:pt idx="0">
                  <c:v>AIC</c:v>
                </c:pt>
              </c:strCache>
            </c:strRef>
          </c:tx>
          <c:spPr>
            <a:ln w="41275" cap="rnd">
              <a:solidFill>
                <a:schemeClr val="bg1">
                  <a:lumMod val="50000"/>
                </a:schemeClr>
              </a:solidFill>
              <a:round/>
            </a:ln>
            <a:effectLst/>
          </c:spPr>
          <c:marker>
            <c:symbol val="none"/>
          </c:marker>
          <c:dPt>
            <c:idx val="5"/>
            <c:marker>
              <c:symbol val="circle"/>
              <c:size val="9"/>
              <c:spPr>
                <a:solidFill>
                  <a:schemeClr val="bg1">
                    <a:lumMod val="50000"/>
                  </a:schemeClr>
                </a:solidFill>
                <a:ln w="9525">
                  <a:noFill/>
                </a:ln>
                <a:effectLst/>
              </c:spPr>
            </c:marker>
            <c:bubble3D val="0"/>
            <c:extLst>
              <c:ext xmlns:c16="http://schemas.microsoft.com/office/drawing/2014/chart" uri="{C3380CC4-5D6E-409C-BE32-E72D297353CC}">
                <c16:uniqueId val="{00000002-A318-6B4E-8AFD-9D90EEB1FA77}"/>
              </c:ext>
            </c:extLst>
          </c:dPt>
          <c:xVal>
            <c:numRef>
              <c:f>'[636biuse20170830.xlsx]LTA'!$B$3:$G$3</c:f>
              <c:numCache>
                <c:formatCode>General</c:formatCode>
                <c:ptCount val="6"/>
                <c:pt idx="0">
                  <c:v>2</c:v>
                </c:pt>
                <c:pt idx="1">
                  <c:v>3</c:v>
                </c:pt>
                <c:pt idx="2">
                  <c:v>4</c:v>
                </c:pt>
                <c:pt idx="3">
                  <c:v>5</c:v>
                </c:pt>
                <c:pt idx="4">
                  <c:v>6</c:v>
                </c:pt>
                <c:pt idx="5">
                  <c:v>7</c:v>
                </c:pt>
              </c:numCache>
            </c:numRef>
          </c:xVal>
          <c:yVal>
            <c:numRef>
              <c:f>'[636biuse20170830.xlsx]LTA'!$B$5:$G$5</c:f>
              <c:numCache>
                <c:formatCode>0</c:formatCode>
                <c:ptCount val="6"/>
                <c:pt idx="0">
                  <c:v>20311.189999999999</c:v>
                </c:pt>
                <c:pt idx="1">
                  <c:v>19310.57</c:v>
                </c:pt>
                <c:pt idx="2">
                  <c:v>18575.740000000002</c:v>
                </c:pt>
                <c:pt idx="3">
                  <c:v>18052.82</c:v>
                </c:pt>
                <c:pt idx="4">
                  <c:v>17595.64</c:v>
                </c:pt>
                <c:pt idx="5">
                  <c:v>17350.63</c:v>
                </c:pt>
              </c:numCache>
            </c:numRef>
          </c:yVal>
          <c:smooth val="1"/>
          <c:extLst>
            <c:ext xmlns:c16="http://schemas.microsoft.com/office/drawing/2014/chart" uri="{C3380CC4-5D6E-409C-BE32-E72D297353CC}">
              <c16:uniqueId val="{00000003-A318-6B4E-8AFD-9D90EEB1FA77}"/>
            </c:ext>
          </c:extLst>
        </c:ser>
        <c:ser>
          <c:idx val="2"/>
          <c:order val="2"/>
          <c:tx>
            <c:strRef>
              <c:f>'[636biuse20170830.xlsx]LTA'!$A$6</c:f>
              <c:strCache>
                <c:ptCount val="1"/>
                <c:pt idx="0">
                  <c:v>BIC</c:v>
                </c:pt>
              </c:strCache>
            </c:strRef>
          </c:tx>
          <c:spPr>
            <a:ln w="66675" cap="rnd">
              <a:solidFill>
                <a:schemeClr val="accent3"/>
              </a:solidFill>
              <a:prstDash val="sysDot"/>
              <a:round/>
            </a:ln>
            <a:effectLst/>
          </c:spPr>
          <c:marker>
            <c:symbol val="none"/>
          </c:marker>
          <c:dPt>
            <c:idx val="4"/>
            <c:marker>
              <c:symbol val="circle"/>
              <c:size val="11"/>
              <c:spPr>
                <a:solidFill>
                  <a:schemeClr val="accent3"/>
                </a:solidFill>
                <a:ln w="9525">
                  <a:solidFill>
                    <a:schemeClr val="accent3"/>
                  </a:solidFill>
                </a:ln>
                <a:effectLst/>
              </c:spPr>
            </c:marker>
            <c:bubble3D val="0"/>
            <c:extLst>
              <c:ext xmlns:c16="http://schemas.microsoft.com/office/drawing/2014/chart" uri="{C3380CC4-5D6E-409C-BE32-E72D297353CC}">
                <c16:uniqueId val="{00000004-A318-6B4E-8AFD-9D90EEB1FA77}"/>
              </c:ext>
            </c:extLst>
          </c:dPt>
          <c:xVal>
            <c:numRef>
              <c:f>'[636biuse20170830.xlsx]LTA'!$B$3:$G$3</c:f>
              <c:numCache>
                <c:formatCode>General</c:formatCode>
                <c:ptCount val="6"/>
                <c:pt idx="0">
                  <c:v>2</c:v>
                </c:pt>
                <c:pt idx="1">
                  <c:v>3</c:v>
                </c:pt>
                <c:pt idx="2">
                  <c:v>4</c:v>
                </c:pt>
                <c:pt idx="3">
                  <c:v>5</c:v>
                </c:pt>
                <c:pt idx="4">
                  <c:v>6</c:v>
                </c:pt>
                <c:pt idx="5">
                  <c:v>7</c:v>
                </c:pt>
              </c:numCache>
            </c:numRef>
          </c:xVal>
          <c:yVal>
            <c:numRef>
              <c:f>'[636biuse20170830.xlsx]LTA'!$B$6:$G$6</c:f>
              <c:numCache>
                <c:formatCode>0</c:formatCode>
                <c:ptCount val="6"/>
                <c:pt idx="0">
                  <c:v>20504.22</c:v>
                </c:pt>
                <c:pt idx="1">
                  <c:v>19651.45</c:v>
                </c:pt>
                <c:pt idx="2">
                  <c:v>19097.330000000002</c:v>
                </c:pt>
                <c:pt idx="3">
                  <c:v>18787.97</c:v>
                </c:pt>
                <c:pt idx="4">
                  <c:v>18577.22</c:v>
                </c:pt>
                <c:pt idx="5">
                  <c:v>18611.48</c:v>
                </c:pt>
              </c:numCache>
            </c:numRef>
          </c:yVal>
          <c:smooth val="1"/>
          <c:extLst>
            <c:ext xmlns:c16="http://schemas.microsoft.com/office/drawing/2014/chart" uri="{C3380CC4-5D6E-409C-BE32-E72D297353CC}">
              <c16:uniqueId val="{00000005-A318-6B4E-8AFD-9D90EEB1FA77}"/>
            </c:ext>
          </c:extLst>
        </c:ser>
        <c:dLbls>
          <c:showLegendKey val="0"/>
          <c:showVal val="0"/>
          <c:showCatName val="0"/>
          <c:showSerName val="0"/>
          <c:showPercent val="0"/>
          <c:showBubbleSize val="0"/>
        </c:dLbls>
        <c:axId val="406220864"/>
        <c:axId val="406231032"/>
      </c:scatterChart>
      <c:valAx>
        <c:axId val="406220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231032"/>
        <c:crosses val="autoZero"/>
        <c:crossBetween val="midCat"/>
      </c:valAx>
      <c:valAx>
        <c:axId val="406231032"/>
        <c:scaling>
          <c:orientation val="minMax"/>
          <c:min val="16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06220864"/>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492AC7-BB57-3843-89B5-0936B85D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40006</Words>
  <Characters>228039</Characters>
  <Application>Microsoft Office Word</Application>
  <DocSecurity>0</DocSecurity>
  <Lines>1900</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Kiffer Card</dc:creator>
  <cp:keywords/>
  <dc:description/>
  <cp:lastModifiedBy>Microsoft Office User</cp:lastModifiedBy>
  <cp:revision>3</cp:revision>
  <dcterms:created xsi:type="dcterms:W3CDTF">2019-05-10T10:37:00Z</dcterms:created>
  <dcterms:modified xsi:type="dcterms:W3CDTF">2019-05-10T10:43:00Z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id="vkVciNi7"/&gt;&lt;style id="http://www.zotero.org/styles/drug-and-alcohol-dependence" hasBibliography="1" bibliographyStyleHasBeenSet="1"/&gt;&lt;prefs&gt;&lt;pref name="fieldType" value="Field"/&gt;&lt;pref name="aut</vt:lpwstr>
  </property>
  <property fmtid="{D5CDD505-2E9C-101B-9397-08002B2CF9AE}" pid="3" name="ZOTERO_PREF_2">
    <vt:lpwstr>omaticJournalAbbreviations" value="true"/&gt;&lt;pref name="noteType" value="0"/&gt;&lt;/prefs&gt;&lt;/data&gt;</vt:lpwstr>
  </property>
</Properties>
</file>