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C300B7" w14:textId="77777777" w:rsidR="0087316F" w:rsidRDefault="0087316F" w:rsidP="0087316F">
      <w:pPr>
        <w:spacing w:before="100" w:beforeAutospacing="1" w:after="100" w:afterAutospacing="1"/>
        <w:ind w:firstLine="0"/>
        <w:rPr>
          <w:rFonts w:ascii="Calibri" w:eastAsia="Times New Roman" w:hAnsi="Calibri" w:cs="Calibri"/>
        </w:rPr>
      </w:pPr>
      <w:r>
        <w:rPr>
          <w:rFonts w:ascii="Calibri" w:eastAsia="Times New Roman" w:hAnsi="Calibri" w:cs="Calibri"/>
          <w:sz w:val="28"/>
          <w:szCs w:val="28"/>
        </w:rPr>
        <w:t>Agricultural shocks and drivers of livelihood precariousness across Indian rural communities</w:t>
      </w:r>
    </w:p>
    <w:p w14:paraId="5CFF31B6" w14:textId="77777777" w:rsidR="0087316F" w:rsidRDefault="0087316F" w:rsidP="0087316F">
      <w:pPr>
        <w:spacing w:before="100" w:beforeAutospacing="1" w:after="100" w:afterAutospacing="1"/>
        <w:ind w:firstLine="0"/>
        <w:rPr>
          <w:rFonts w:ascii="Calibri" w:eastAsia="Times New Roman" w:hAnsi="Calibri" w:cs="Calibri"/>
        </w:rPr>
      </w:pPr>
      <w:r>
        <w:rPr>
          <w:rFonts w:ascii="Calibri" w:eastAsia="Times New Roman" w:hAnsi="Calibri" w:cs="Calibri"/>
          <w:sz w:val="20"/>
          <w:szCs w:val="20"/>
        </w:rPr>
        <w:t>Tristan Berchoux (corresponding author)</w:t>
      </w:r>
      <w:r>
        <w:rPr>
          <w:rFonts w:ascii="Calibri" w:eastAsia="Times New Roman" w:hAnsi="Calibri" w:cs="Calibri"/>
        </w:rPr>
        <w:br/>
      </w:r>
      <w:hyperlink r:id="rId10" w:history="1">
        <w:r>
          <w:rPr>
            <w:rStyle w:val="Hyperlink"/>
            <w:rFonts w:ascii="Calibri" w:eastAsia="Times New Roman" w:hAnsi="Calibri" w:cs="Calibri"/>
            <w:sz w:val="20"/>
            <w:szCs w:val="20"/>
          </w:rPr>
          <w:t>t.berchoux@soton.ac.uk</w:t>
        </w:r>
      </w:hyperlink>
      <w:r>
        <w:rPr>
          <w:rFonts w:ascii="Calibri" w:eastAsia="Times New Roman" w:hAnsi="Calibri" w:cs="Calibri"/>
          <w:color w:val="027C91"/>
          <w:sz w:val="20"/>
          <w:szCs w:val="20"/>
        </w:rPr>
        <w:br/>
      </w:r>
      <w:r>
        <w:rPr>
          <w:rFonts w:ascii="Calibri" w:eastAsia="Times New Roman" w:hAnsi="Calibri" w:cs="Calibri"/>
          <w:i/>
          <w:iCs/>
          <w:sz w:val="16"/>
          <w:szCs w:val="16"/>
        </w:rPr>
        <w:t xml:space="preserve">Geography &amp; Environment, University of Southampton, United Kingdom 44/2035, University Road, Southampton SO17 1BJ </w:t>
      </w:r>
    </w:p>
    <w:p w14:paraId="45230D07" w14:textId="77777777" w:rsidR="0087316F" w:rsidRDefault="0087316F" w:rsidP="0087316F">
      <w:pPr>
        <w:spacing w:before="100" w:beforeAutospacing="1" w:after="100" w:afterAutospacing="1"/>
        <w:ind w:firstLine="0"/>
        <w:rPr>
          <w:rFonts w:ascii="Calibri" w:eastAsia="Times New Roman" w:hAnsi="Calibri" w:cs="Calibri"/>
        </w:rPr>
      </w:pPr>
      <w:r>
        <w:rPr>
          <w:rFonts w:ascii="Calibri" w:eastAsia="Times New Roman" w:hAnsi="Calibri" w:cs="Calibri"/>
          <w:sz w:val="20"/>
          <w:szCs w:val="20"/>
        </w:rPr>
        <w:t xml:space="preserve">Gary R. </w:t>
      </w:r>
      <w:proofErr w:type="spellStart"/>
      <w:r>
        <w:rPr>
          <w:rFonts w:ascii="Calibri" w:eastAsia="Times New Roman" w:hAnsi="Calibri" w:cs="Calibri"/>
          <w:sz w:val="20"/>
          <w:szCs w:val="20"/>
        </w:rPr>
        <w:t>Watmough</w:t>
      </w:r>
      <w:proofErr w:type="spellEnd"/>
      <w:r>
        <w:rPr>
          <w:rFonts w:ascii="Calibri" w:eastAsia="Times New Roman" w:hAnsi="Calibri" w:cs="Calibri"/>
          <w:sz w:val="20"/>
          <w:szCs w:val="20"/>
        </w:rPr>
        <w:br/>
      </w:r>
      <w:hyperlink r:id="rId11" w:history="1">
        <w:r>
          <w:rPr>
            <w:rStyle w:val="Hyperlink"/>
            <w:rFonts w:ascii="Calibri" w:eastAsia="Times New Roman" w:hAnsi="Calibri" w:cs="Calibri"/>
            <w:sz w:val="20"/>
            <w:szCs w:val="20"/>
          </w:rPr>
          <w:t>gary.watmough@ed.ac.uk</w:t>
        </w:r>
      </w:hyperlink>
      <w:r>
        <w:rPr>
          <w:rFonts w:ascii="Calibri" w:eastAsia="Times New Roman" w:hAnsi="Calibri" w:cs="Calibri"/>
          <w:color w:val="027C91"/>
          <w:sz w:val="20"/>
          <w:szCs w:val="20"/>
        </w:rPr>
        <w:br/>
      </w:r>
      <w:r>
        <w:rPr>
          <w:rFonts w:ascii="Calibri" w:eastAsia="Times New Roman" w:hAnsi="Calibri" w:cs="Calibri"/>
          <w:i/>
          <w:iCs/>
          <w:sz w:val="16"/>
          <w:szCs w:val="16"/>
        </w:rPr>
        <w:t xml:space="preserve">School of </w:t>
      </w:r>
      <w:proofErr w:type="spellStart"/>
      <w:r>
        <w:rPr>
          <w:rFonts w:ascii="Calibri" w:eastAsia="Times New Roman" w:hAnsi="Calibri" w:cs="Calibri"/>
          <w:i/>
          <w:iCs/>
          <w:sz w:val="16"/>
          <w:szCs w:val="16"/>
        </w:rPr>
        <w:t>GeoSciences</w:t>
      </w:r>
      <w:proofErr w:type="spellEnd"/>
      <w:r>
        <w:rPr>
          <w:rFonts w:ascii="Calibri" w:eastAsia="Times New Roman" w:hAnsi="Calibri" w:cs="Calibri"/>
          <w:i/>
          <w:iCs/>
          <w:sz w:val="16"/>
          <w:szCs w:val="16"/>
        </w:rPr>
        <w:t xml:space="preserve">, University of Edinburgh, United Kingdom Surgeon’s Square, Drummond Street, Edinburgh EH8 9XP </w:t>
      </w:r>
    </w:p>
    <w:p w14:paraId="6CB78D52" w14:textId="77777777" w:rsidR="0087316F" w:rsidRDefault="0087316F" w:rsidP="0087316F">
      <w:pPr>
        <w:spacing w:before="100" w:beforeAutospacing="1" w:after="100" w:afterAutospacing="1"/>
        <w:ind w:firstLine="0"/>
        <w:rPr>
          <w:rFonts w:ascii="Calibri" w:eastAsia="Times New Roman" w:hAnsi="Calibri" w:cs="Calibri"/>
        </w:rPr>
      </w:pPr>
      <w:r>
        <w:rPr>
          <w:rFonts w:ascii="Calibri" w:eastAsia="Times New Roman" w:hAnsi="Calibri" w:cs="Calibri"/>
          <w:sz w:val="20"/>
          <w:szCs w:val="20"/>
        </w:rPr>
        <w:t>Craig W. Hutton</w:t>
      </w:r>
      <w:r>
        <w:rPr>
          <w:rFonts w:ascii="Calibri" w:eastAsia="Times New Roman" w:hAnsi="Calibri" w:cs="Calibri"/>
          <w:sz w:val="20"/>
          <w:szCs w:val="20"/>
        </w:rPr>
        <w:br/>
      </w:r>
      <w:hyperlink r:id="rId12" w:history="1">
        <w:r>
          <w:rPr>
            <w:rStyle w:val="Hyperlink"/>
            <w:rFonts w:ascii="Calibri" w:eastAsia="Times New Roman" w:hAnsi="Calibri" w:cs="Calibri"/>
            <w:sz w:val="20"/>
            <w:szCs w:val="20"/>
          </w:rPr>
          <w:t>cwh@geodata.soton.ac.uk</w:t>
        </w:r>
      </w:hyperlink>
      <w:r>
        <w:rPr>
          <w:rFonts w:ascii="Calibri" w:eastAsia="Times New Roman" w:hAnsi="Calibri" w:cs="Calibri"/>
          <w:color w:val="027C91"/>
          <w:sz w:val="20"/>
          <w:szCs w:val="20"/>
        </w:rPr>
        <w:br/>
      </w:r>
      <w:proofErr w:type="spellStart"/>
      <w:r>
        <w:rPr>
          <w:rFonts w:ascii="Calibri" w:eastAsia="Times New Roman" w:hAnsi="Calibri" w:cs="Calibri"/>
          <w:i/>
          <w:iCs/>
          <w:sz w:val="16"/>
          <w:szCs w:val="16"/>
        </w:rPr>
        <w:t>GeoData</w:t>
      </w:r>
      <w:proofErr w:type="spellEnd"/>
      <w:r>
        <w:rPr>
          <w:rFonts w:ascii="Calibri" w:eastAsia="Times New Roman" w:hAnsi="Calibri" w:cs="Calibri"/>
          <w:i/>
          <w:iCs/>
          <w:sz w:val="16"/>
          <w:szCs w:val="16"/>
        </w:rPr>
        <w:t xml:space="preserve"> Institute, University of Southampton, United Kingdom 44/2091, University Road, Southampton SO17 1BJ </w:t>
      </w:r>
    </w:p>
    <w:p w14:paraId="58B58371" w14:textId="77777777" w:rsidR="0087316F" w:rsidRDefault="0087316F" w:rsidP="0087316F">
      <w:pPr>
        <w:spacing w:before="100" w:beforeAutospacing="1" w:after="100" w:afterAutospacing="1"/>
        <w:ind w:firstLine="0"/>
        <w:rPr>
          <w:rFonts w:ascii="Calibri" w:eastAsia="Times New Roman" w:hAnsi="Calibri" w:cs="Calibri"/>
        </w:rPr>
      </w:pPr>
      <w:r>
        <w:rPr>
          <w:rFonts w:ascii="Calibri" w:eastAsia="Times New Roman" w:hAnsi="Calibri" w:cs="Calibri"/>
          <w:sz w:val="20"/>
          <w:szCs w:val="20"/>
        </w:rPr>
        <w:t>Peter M. Atkinson</w:t>
      </w:r>
      <w:r>
        <w:rPr>
          <w:rFonts w:ascii="Calibri" w:eastAsia="Times New Roman" w:hAnsi="Calibri" w:cs="Calibri"/>
          <w:sz w:val="20"/>
          <w:szCs w:val="20"/>
        </w:rPr>
        <w:br/>
      </w:r>
      <w:hyperlink r:id="rId13" w:history="1">
        <w:r>
          <w:rPr>
            <w:rStyle w:val="Hyperlink"/>
            <w:rFonts w:ascii="Calibri" w:eastAsia="Times New Roman" w:hAnsi="Calibri" w:cs="Calibri"/>
            <w:sz w:val="20"/>
            <w:szCs w:val="20"/>
          </w:rPr>
          <w:t>pma@lancaster.ac.uk</w:t>
        </w:r>
      </w:hyperlink>
      <w:r>
        <w:rPr>
          <w:rFonts w:ascii="Calibri" w:eastAsia="Times New Roman" w:hAnsi="Calibri" w:cs="Calibri"/>
          <w:color w:val="027C91"/>
          <w:sz w:val="20"/>
          <w:szCs w:val="20"/>
        </w:rPr>
        <w:br/>
      </w:r>
      <w:r>
        <w:rPr>
          <w:rFonts w:ascii="Calibri" w:eastAsia="Times New Roman" w:hAnsi="Calibri" w:cs="Calibri"/>
          <w:i/>
          <w:iCs/>
          <w:sz w:val="16"/>
          <w:szCs w:val="16"/>
        </w:rPr>
        <w:t xml:space="preserve">Lancaster Environment Centre, Lancaster University, United Kingdom Lancaster University, Lancaster LA1 4YQ </w:t>
      </w:r>
    </w:p>
    <w:p w14:paraId="57E28628" w14:textId="77777777" w:rsidR="0087316F" w:rsidRDefault="0087316F">
      <w:pPr>
        <w:rPr>
          <w:rStyle w:val="BookTitle"/>
          <w:lang w:val="en-GB"/>
        </w:rPr>
      </w:pPr>
      <w:r>
        <w:rPr>
          <w:rStyle w:val="BookTitle"/>
          <w:lang w:val="en-GB"/>
        </w:rPr>
        <w:br w:type="page"/>
      </w:r>
    </w:p>
    <w:p w14:paraId="3671DA4C" w14:textId="686A7A4B" w:rsidR="00091864" w:rsidRPr="006E32E9" w:rsidRDefault="00091864" w:rsidP="00737A6E">
      <w:pPr>
        <w:pStyle w:val="Header"/>
        <w:rPr>
          <w:rStyle w:val="BookTitle"/>
          <w:lang w:val="en-GB"/>
        </w:rPr>
      </w:pPr>
      <w:bookmarkStart w:id="0" w:name="_GoBack"/>
      <w:bookmarkEnd w:id="0"/>
      <w:r w:rsidRPr="006E32E9">
        <w:rPr>
          <w:rStyle w:val="BookTitle"/>
          <w:lang w:val="en-GB"/>
        </w:rPr>
        <w:lastRenderedPageBreak/>
        <w:t>Abstract</w:t>
      </w:r>
    </w:p>
    <w:p w14:paraId="70E4FEFA" w14:textId="77777777" w:rsidR="00737A6E" w:rsidRPr="006E32E9" w:rsidRDefault="00737A6E" w:rsidP="00581C88">
      <w:pPr>
        <w:pStyle w:val="Header"/>
        <w:suppressLineNumbers/>
        <w:rPr>
          <w:rStyle w:val="SubtleEmphasis"/>
          <w:lang w:val="en-GB"/>
        </w:rPr>
      </w:pPr>
    </w:p>
    <w:p w14:paraId="2C2ABFBF" w14:textId="632BBEA2" w:rsidR="009D31AD" w:rsidRPr="006E32E9" w:rsidRDefault="00074D6F" w:rsidP="004E6BDB">
      <w:pPr>
        <w:ind w:firstLine="0"/>
        <w:rPr>
          <w:rFonts w:ascii="Times New Roman" w:hAnsi="Times New Roman" w:cs="Times New Roman"/>
          <w:lang w:val="en-GB"/>
        </w:rPr>
      </w:pPr>
      <w:r w:rsidRPr="006E32E9">
        <w:rPr>
          <w:rFonts w:ascii="Times New Roman" w:hAnsi="Times New Roman" w:cs="Times New Roman"/>
          <w:lang w:val="en-GB"/>
        </w:rPr>
        <w:t xml:space="preserve">Spatial factors, such as environmental conditions, distance to natural resources and access to services </w:t>
      </w:r>
      <w:r w:rsidR="00F47AFA" w:rsidRPr="006E32E9">
        <w:rPr>
          <w:rFonts w:ascii="Times New Roman" w:hAnsi="Times New Roman" w:cs="Times New Roman"/>
          <w:lang w:val="en-GB"/>
        </w:rPr>
        <w:t>can</w:t>
      </w:r>
      <w:r w:rsidRPr="006E32E9">
        <w:rPr>
          <w:rFonts w:ascii="Times New Roman" w:hAnsi="Times New Roman" w:cs="Times New Roman"/>
          <w:lang w:val="en-GB"/>
        </w:rPr>
        <w:t xml:space="preserve"> influence the impacts of climate change on rural household</w:t>
      </w:r>
      <w:r w:rsidR="00F47AFA" w:rsidRPr="006E32E9">
        <w:rPr>
          <w:rFonts w:ascii="Times New Roman" w:hAnsi="Times New Roman" w:cs="Times New Roman"/>
          <w:lang w:val="en-GB"/>
        </w:rPr>
        <w:t xml:space="preserve"> livelihood activities</w:t>
      </w:r>
      <w:r w:rsidRPr="006E32E9">
        <w:rPr>
          <w:rFonts w:ascii="Times New Roman" w:hAnsi="Times New Roman" w:cs="Times New Roman"/>
          <w:lang w:val="en-GB"/>
        </w:rPr>
        <w:t xml:space="preserve">. But neither the determinants of precarious livelihoods nor their </w:t>
      </w:r>
      <w:r w:rsidR="00B40E8C">
        <w:rPr>
          <w:rFonts w:ascii="Times New Roman" w:hAnsi="Times New Roman" w:cs="Times New Roman"/>
          <w:lang w:val="en-GB"/>
        </w:rPr>
        <w:t>spatial</w:t>
      </w:r>
      <w:r w:rsidRPr="006E32E9">
        <w:rPr>
          <w:rFonts w:ascii="Times New Roman" w:hAnsi="Times New Roman" w:cs="Times New Roman"/>
          <w:lang w:val="en-GB"/>
        </w:rPr>
        <w:t xml:space="preserve"> context has been well understood. </w:t>
      </w:r>
      <w:r w:rsidR="00F47AFA" w:rsidRPr="006E32E9">
        <w:rPr>
          <w:rFonts w:ascii="Times New Roman" w:hAnsi="Times New Roman" w:cs="Times New Roman"/>
          <w:lang w:val="en-GB"/>
        </w:rPr>
        <w:t>T</w:t>
      </w:r>
      <w:r w:rsidRPr="006E32E9">
        <w:rPr>
          <w:rFonts w:ascii="Times New Roman" w:hAnsi="Times New Roman" w:cs="Times New Roman"/>
          <w:lang w:val="en-GB"/>
        </w:rPr>
        <w:t>his paper investigates the drivers of livelihood precariousness</w:t>
      </w:r>
      <w:r w:rsidR="0090273B" w:rsidRPr="006E32E9">
        <w:rPr>
          <w:rFonts w:ascii="Times New Roman" w:hAnsi="Times New Roman" w:cs="Times New Roman"/>
          <w:lang w:val="en-GB"/>
        </w:rPr>
        <w:t xml:space="preserve"> </w:t>
      </w:r>
      <w:r w:rsidR="00B267DA" w:rsidRPr="006E32E9">
        <w:rPr>
          <w:rFonts w:ascii="Times New Roman" w:hAnsi="Times New Roman" w:cs="Times New Roman"/>
          <w:lang w:val="en-GB"/>
        </w:rPr>
        <w:t>using a place-based approach</w:t>
      </w:r>
      <w:r w:rsidRPr="006E32E9">
        <w:rPr>
          <w:rFonts w:ascii="Times New Roman" w:hAnsi="Times New Roman" w:cs="Times New Roman"/>
          <w:lang w:val="en-GB"/>
        </w:rPr>
        <w:t xml:space="preserve">. We </w:t>
      </w:r>
      <w:r w:rsidR="00F47AFA" w:rsidRPr="006E32E9">
        <w:rPr>
          <w:rFonts w:ascii="Times New Roman" w:hAnsi="Times New Roman" w:cs="Times New Roman"/>
          <w:lang w:val="en-GB"/>
        </w:rPr>
        <w:t>identify five community types in rural regions of the Mahanadi Delta, India</w:t>
      </w:r>
      <w:r w:rsidR="000B65B0" w:rsidRPr="006E32E9">
        <w:rPr>
          <w:rFonts w:ascii="Times New Roman" w:hAnsi="Times New Roman" w:cs="Times New Roman"/>
          <w:lang w:val="en-GB"/>
        </w:rPr>
        <w:t>;</w:t>
      </w:r>
      <w:r w:rsidR="00F47AFA" w:rsidRPr="006E32E9">
        <w:rPr>
          <w:rFonts w:ascii="Times New Roman" w:hAnsi="Times New Roman" w:cs="Times New Roman"/>
          <w:lang w:val="en-GB"/>
        </w:rPr>
        <w:t xml:space="preserve"> </w:t>
      </w:r>
      <w:r w:rsidR="009700C8" w:rsidRPr="006E32E9">
        <w:rPr>
          <w:rFonts w:ascii="Times New Roman" w:hAnsi="Times New Roman" w:cs="Times New Roman"/>
          <w:lang w:val="en-GB"/>
        </w:rPr>
        <w:t>e</w:t>
      </w:r>
      <w:r w:rsidR="00F47AFA" w:rsidRPr="006E32E9">
        <w:rPr>
          <w:rFonts w:ascii="Times New Roman" w:hAnsi="Times New Roman" w:cs="Times New Roman"/>
          <w:lang w:val="en-GB"/>
        </w:rPr>
        <w:t xml:space="preserve">xurban, </w:t>
      </w:r>
      <w:r w:rsidR="009700C8" w:rsidRPr="006E32E9">
        <w:rPr>
          <w:rFonts w:ascii="Times New Roman" w:hAnsi="Times New Roman" w:cs="Times New Roman"/>
          <w:lang w:val="en-GB"/>
        </w:rPr>
        <w:t>a</w:t>
      </w:r>
      <w:r w:rsidR="00F47AFA" w:rsidRPr="006E32E9">
        <w:rPr>
          <w:rFonts w:ascii="Times New Roman" w:hAnsi="Times New Roman" w:cs="Times New Roman"/>
          <w:lang w:val="en-GB"/>
        </w:rPr>
        <w:t xml:space="preserve">gro-industrial, </w:t>
      </w:r>
      <w:proofErr w:type="spellStart"/>
      <w:r w:rsidR="009700C8" w:rsidRPr="006E32E9">
        <w:rPr>
          <w:rFonts w:ascii="Times New Roman" w:hAnsi="Times New Roman" w:cs="Times New Roman"/>
          <w:lang w:val="en-GB"/>
        </w:rPr>
        <w:t>r</w:t>
      </w:r>
      <w:r w:rsidR="00F47AFA" w:rsidRPr="006E32E9">
        <w:rPr>
          <w:rFonts w:ascii="Times New Roman" w:hAnsi="Times New Roman" w:cs="Times New Roman"/>
          <w:lang w:val="en-GB"/>
        </w:rPr>
        <w:t>ainfed</w:t>
      </w:r>
      <w:proofErr w:type="spellEnd"/>
      <w:r w:rsidR="00F47AFA" w:rsidRPr="006E32E9">
        <w:rPr>
          <w:rFonts w:ascii="Times New Roman" w:hAnsi="Times New Roman" w:cs="Times New Roman"/>
          <w:lang w:val="en-GB"/>
        </w:rPr>
        <w:t xml:space="preserve"> agriculture, irrigated agriculture and resource periphery</w:t>
      </w:r>
      <w:r w:rsidR="000B65B0" w:rsidRPr="006E32E9">
        <w:rPr>
          <w:rFonts w:ascii="Times New Roman" w:hAnsi="Times New Roman" w:cs="Times New Roman"/>
          <w:lang w:val="en-GB"/>
        </w:rPr>
        <w:t xml:space="preserve"> </w:t>
      </w:r>
      <w:r w:rsidRPr="006E32E9">
        <w:rPr>
          <w:rFonts w:ascii="Times New Roman" w:hAnsi="Times New Roman" w:cs="Times New Roman"/>
          <w:lang w:val="en-GB"/>
        </w:rPr>
        <w:t xml:space="preserve">by clustering </w:t>
      </w:r>
      <w:r w:rsidR="00F47AFA" w:rsidRPr="006E32E9">
        <w:rPr>
          <w:rFonts w:ascii="Times New Roman" w:hAnsi="Times New Roman" w:cs="Times New Roman"/>
          <w:lang w:val="en-GB"/>
        </w:rPr>
        <w:t xml:space="preserve">three types of </w:t>
      </w:r>
      <w:r w:rsidRPr="006E32E9">
        <w:rPr>
          <w:rFonts w:ascii="Times New Roman" w:hAnsi="Times New Roman" w:cs="Times New Roman"/>
          <w:lang w:val="en-GB"/>
        </w:rPr>
        <w:t>community capitals</w:t>
      </w:r>
      <w:r w:rsidR="00F47AFA" w:rsidRPr="006E32E9">
        <w:rPr>
          <w:rFonts w:ascii="Times New Roman" w:hAnsi="Times New Roman" w:cs="Times New Roman"/>
          <w:lang w:val="en-GB"/>
        </w:rPr>
        <w:t xml:space="preserve"> (natural, social and physical)</w:t>
      </w:r>
      <w:r w:rsidRPr="006E32E9">
        <w:rPr>
          <w:rFonts w:ascii="Times New Roman" w:hAnsi="Times New Roman" w:cs="Times New Roman"/>
          <w:lang w:val="en-GB"/>
        </w:rPr>
        <w:t xml:space="preserve">. Based on this typology, we characterise the associations between </w:t>
      </w:r>
      <w:r w:rsidR="00F47AFA" w:rsidRPr="006E32E9">
        <w:rPr>
          <w:rFonts w:ascii="Times New Roman" w:hAnsi="Times New Roman" w:cs="Times New Roman"/>
          <w:lang w:val="en-GB"/>
        </w:rPr>
        <w:t xml:space="preserve">precarious livelihood activities (unemployment or engagement in agricultural labour) with </w:t>
      </w:r>
      <w:r w:rsidRPr="006E32E9">
        <w:rPr>
          <w:rFonts w:ascii="Times New Roman" w:hAnsi="Times New Roman" w:cs="Times New Roman"/>
          <w:lang w:val="en-GB"/>
        </w:rPr>
        <w:t>agricultural shocks</w:t>
      </w:r>
      <w:r w:rsidR="00F47AFA" w:rsidRPr="006E32E9">
        <w:rPr>
          <w:rFonts w:ascii="Times New Roman" w:hAnsi="Times New Roman" w:cs="Times New Roman"/>
          <w:lang w:val="en-GB"/>
        </w:rPr>
        <w:t xml:space="preserve"> and </w:t>
      </w:r>
      <w:r w:rsidRPr="006E32E9">
        <w:rPr>
          <w:rFonts w:ascii="Times New Roman" w:hAnsi="Times New Roman" w:cs="Times New Roman"/>
          <w:lang w:val="en-GB"/>
        </w:rPr>
        <w:t>household capitals</w:t>
      </w:r>
      <w:r w:rsidR="00F47AFA" w:rsidRPr="006E32E9">
        <w:rPr>
          <w:rFonts w:ascii="Times New Roman" w:hAnsi="Times New Roman" w:cs="Times New Roman"/>
          <w:lang w:val="en-GB"/>
        </w:rPr>
        <w:t xml:space="preserve">. </w:t>
      </w:r>
      <w:r w:rsidR="000B65B0" w:rsidRPr="006E32E9">
        <w:rPr>
          <w:rFonts w:ascii="Times New Roman" w:hAnsi="Times New Roman" w:cs="Times New Roman"/>
          <w:lang w:val="en-GB"/>
        </w:rPr>
        <w:t xml:space="preserve">Results demonstrate that, </w:t>
      </w:r>
      <w:r w:rsidRPr="006E32E9">
        <w:rPr>
          <w:rFonts w:ascii="Times New Roman" w:hAnsi="Times New Roman" w:cs="Times New Roman"/>
          <w:lang w:val="en-GB"/>
        </w:rPr>
        <w:t xml:space="preserve">the type of community influences the impact of </w:t>
      </w:r>
      <w:r w:rsidR="00AD10DC">
        <w:rPr>
          <w:rFonts w:ascii="Times New Roman" w:hAnsi="Times New Roman" w:cs="Times New Roman"/>
          <w:lang w:val="en-GB"/>
        </w:rPr>
        <w:t>agricultural</w:t>
      </w:r>
      <w:r w:rsidRPr="006E32E9">
        <w:rPr>
          <w:rFonts w:ascii="Times New Roman" w:hAnsi="Times New Roman" w:cs="Times New Roman"/>
          <w:lang w:val="en-GB"/>
        </w:rPr>
        <w:t xml:space="preserve"> shocks on livelihoods </w:t>
      </w:r>
      <w:r w:rsidR="000B65B0" w:rsidRPr="006E32E9">
        <w:rPr>
          <w:rFonts w:ascii="Times New Roman" w:hAnsi="Times New Roman" w:cs="Times New Roman"/>
          <w:lang w:val="en-GB"/>
        </w:rPr>
        <w:t xml:space="preserve">as four of the five community types had increased likelihoods of precarious livelihoods being pursued when </w:t>
      </w:r>
      <w:r w:rsidR="00AD10DC">
        <w:rPr>
          <w:rFonts w:ascii="Times New Roman" w:hAnsi="Times New Roman" w:cs="Times New Roman"/>
          <w:lang w:val="en-GB"/>
        </w:rPr>
        <w:t>agricultural</w:t>
      </w:r>
      <w:r w:rsidR="000B65B0" w:rsidRPr="006E32E9">
        <w:rPr>
          <w:rFonts w:ascii="Times New Roman" w:hAnsi="Times New Roman" w:cs="Times New Roman"/>
          <w:lang w:val="en-GB"/>
        </w:rPr>
        <w:t xml:space="preserve"> shocks increased</w:t>
      </w:r>
      <w:r w:rsidRPr="006E32E9">
        <w:rPr>
          <w:rFonts w:ascii="Times New Roman" w:hAnsi="Times New Roman" w:cs="Times New Roman"/>
          <w:lang w:val="en-GB"/>
        </w:rPr>
        <w:t>. Our research demonstrates that the bundle of locally available community capitals influences households' coping strategies and livelihood opportunities</w:t>
      </w:r>
      <w:r w:rsidR="000B65B0" w:rsidRPr="006E32E9">
        <w:rPr>
          <w:rFonts w:ascii="Times New Roman" w:hAnsi="Times New Roman" w:cs="Times New Roman"/>
          <w:lang w:val="en-GB"/>
        </w:rPr>
        <w:t>. For example, higher levels of physical capital were associated with a lower likelihood of precarious livelihoods in agro-industrial communities but had no significant impact in the other four</w:t>
      </w:r>
      <w:r w:rsidRPr="006E32E9">
        <w:rPr>
          <w:rFonts w:ascii="Times New Roman" w:hAnsi="Times New Roman" w:cs="Times New Roman"/>
          <w:lang w:val="en-GB"/>
        </w:rPr>
        <w:t xml:space="preserve">. </w:t>
      </w:r>
      <w:r w:rsidR="000B65B0" w:rsidRPr="006E32E9">
        <w:rPr>
          <w:rFonts w:ascii="Times New Roman" w:hAnsi="Times New Roman" w:cs="Times New Roman"/>
          <w:lang w:val="en-GB"/>
        </w:rPr>
        <w:t xml:space="preserve">Results also indicate that </w:t>
      </w:r>
      <w:r w:rsidRPr="006E32E9">
        <w:rPr>
          <w:rFonts w:ascii="Times New Roman" w:hAnsi="Times New Roman" w:cs="Times New Roman"/>
          <w:lang w:val="en-GB"/>
        </w:rPr>
        <w:t>agricultural shocks drive livelihood precariousness</w:t>
      </w:r>
      <w:r w:rsidR="000B65B0" w:rsidRPr="006E32E9">
        <w:rPr>
          <w:rFonts w:ascii="Times New Roman" w:hAnsi="Times New Roman" w:cs="Times New Roman"/>
          <w:lang w:val="en-GB"/>
        </w:rPr>
        <w:t xml:space="preserve"> (odds ratios between 1.03 and 1.07) for all but the </w:t>
      </w:r>
      <w:r w:rsidR="009700C8" w:rsidRPr="006E32E9">
        <w:rPr>
          <w:rFonts w:ascii="Times New Roman" w:hAnsi="Times New Roman" w:cs="Times New Roman"/>
          <w:lang w:val="en-GB"/>
        </w:rPr>
        <w:t>best-connected</w:t>
      </w:r>
      <w:r w:rsidR="000B65B0" w:rsidRPr="006E32E9">
        <w:rPr>
          <w:rFonts w:ascii="Times New Roman" w:hAnsi="Times New Roman" w:cs="Times New Roman"/>
          <w:lang w:val="en-GB"/>
        </w:rPr>
        <w:t xml:space="preserve"> communities</w:t>
      </w:r>
      <w:r w:rsidRPr="006E32E9">
        <w:rPr>
          <w:rFonts w:ascii="Times New Roman" w:hAnsi="Times New Roman" w:cs="Times New Roman"/>
          <w:lang w:val="en-GB"/>
        </w:rPr>
        <w:t xml:space="preserve">, while access to </w:t>
      </w:r>
      <w:r w:rsidR="000B65B0" w:rsidRPr="006E32E9">
        <w:rPr>
          <w:rFonts w:ascii="Times New Roman" w:hAnsi="Times New Roman" w:cs="Times New Roman"/>
          <w:lang w:val="en-GB"/>
        </w:rPr>
        <w:t xml:space="preserve">household </w:t>
      </w:r>
      <w:r w:rsidRPr="006E32E9">
        <w:rPr>
          <w:rFonts w:ascii="Times New Roman" w:hAnsi="Times New Roman" w:cs="Times New Roman"/>
          <w:lang w:val="en-GB"/>
        </w:rPr>
        <w:t xml:space="preserve">capitals tends to reduce it. Our results suggest that poverty alleviation programmes should include </w:t>
      </w:r>
      <w:r w:rsidR="0084391E">
        <w:rPr>
          <w:rFonts w:ascii="Times New Roman" w:hAnsi="Times New Roman" w:cs="Times New Roman"/>
          <w:lang w:val="en-GB"/>
        </w:rPr>
        <w:t>community</w:t>
      </w:r>
      <w:r w:rsidR="0084391E" w:rsidRPr="006E32E9">
        <w:rPr>
          <w:rFonts w:ascii="Times New Roman" w:hAnsi="Times New Roman" w:cs="Times New Roman"/>
          <w:lang w:val="en-GB"/>
        </w:rPr>
        <w:t xml:space="preserve"> </w:t>
      </w:r>
      <w:r w:rsidRPr="006E32E9">
        <w:rPr>
          <w:rFonts w:ascii="Times New Roman" w:hAnsi="Times New Roman" w:cs="Times New Roman"/>
          <w:lang w:val="en-GB"/>
        </w:rPr>
        <w:t>typologies in their approach to provide place-specific interventions that would strengthen context-specific household capitals, thus reducing livelihood precariousness.</w:t>
      </w:r>
    </w:p>
    <w:p w14:paraId="47531875" w14:textId="2D6276CF" w:rsidR="00074D6F" w:rsidRDefault="009A52EF" w:rsidP="00074D6F">
      <w:pPr>
        <w:rPr>
          <w:rFonts w:ascii="Times New Roman" w:hAnsi="Times New Roman" w:cs="Times New Roman"/>
          <w:lang w:val="en-GB"/>
        </w:rPr>
      </w:pPr>
      <w:r w:rsidRPr="006E32E9">
        <w:rPr>
          <w:rFonts w:ascii="Times New Roman" w:hAnsi="Times New Roman" w:cs="Times New Roman"/>
          <w:b/>
          <w:lang w:val="en-GB"/>
        </w:rPr>
        <w:lastRenderedPageBreak/>
        <w:t>Keywords:</w:t>
      </w:r>
      <w:r w:rsidRPr="006E32E9">
        <w:rPr>
          <w:rFonts w:ascii="Times New Roman" w:hAnsi="Times New Roman" w:cs="Times New Roman"/>
          <w:lang w:val="en-GB"/>
        </w:rPr>
        <w:t xml:space="preserve"> livelihoods, </w:t>
      </w:r>
      <w:r w:rsidR="0084391E">
        <w:rPr>
          <w:rFonts w:ascii="Times New Roman" w:hAnsi="Times New Roman" w:cs="Times New Roman"/>
          <w:lang w:val="en-GB"/>
        </w:rPr>
        <w:t>community</w:t>
      </w:r>
      <w:r w:rsidR="0084391E" w:rsidRPr="006E32E9">
        <w:rPr>
          <w:rFonts w:ascii="Times New Roman" w:hAnsi="Times New Roman" w:cs="Times New Roman"/>
          <w:lang w:val="en-GB"/>
        </w:rPr>
        <w:t xml:space="preserve"> </w:t>
      </w:r>
      <w:r w:rsidR="00074D6F" w:rsidRPr="006E32E9">
        <w:rPr>
          <w:rFonts w:ascii="Times New Roman" w:hAnsi="Times New Roman" w:cs="Times New Roman"/>
          <w:lang w:val="en-GB"/>
        </w:rPr>
        <w:t>typologies</w:t>
      </w:r>
      <w:r w:rsidRPr="006E32E9">
        <w:rPr>
          <w:rFonts w:ascii="Times New Roman" w:hAnsi="Times New Roman" w:cs="Times New Roman"/>
          <w:lang w:val="en-GB"/>
        </w:rPr>
        <w:t>,</w:t>
      </w:r>
      <w:r w:rsidR="00B8313F" w:rsidRPr="006E32E9">
        <w:rPr>
          <w:rFonts w:ascii="Times New Roman" w:hAnsi="Times New Roman" w:cs="Times New Roman"/>
          <w:lang w:val="en-GB"/>
        </w:rPr>
        <w:t xml:space="preserve"> </w:t>
      </w:r>
      <w:r w:rsidR="00074D6F" w:rsidRPr="006E32E9">
        <w:rPr>
          <w:rFonts w:ascii="Times New Roman" w:hAnsi="Times New Roman" w:cs="Times New Roman"/>
          <w:lang w:val="en-GB"/>
        </w:rPr>
        <w:t>rural development</w:t>
      </w:r>
      <w:r w:rsidR="00B8313F" w:rsidRPr="006E32E9">
        <w:rPr>
          <w:rFonts w:ascii="Times New Roman" w:hAnsi="Times New Roman" w:cs="Times New Roman"/>
          <w:lang w:val="en-GB"/>
        </w:rPr>
        <w:t xml:space="preserve">, </w:t>
      </w:r>
      <w:r w:rsidR="00B40E8C">
        <w:rPr>
          <w:rFonts w:ascii="Times New Roman" w:hAnsi="Times New Roman" w:cs="Times New Roman"/>
          <w:lang w:val="en-GB"/>
        </w:rPr>
        <w:t xml:space="preserve">agricultural shocks, </w:t>
      </w:r>
      <w:r w:rsidR="00074D6F" w:rsidRPr="006E32E9">
        <w:rPr>
          <w:rFonts w:ascii="Times New Roman" w:hAnsi="Times New Roman" w:cs="Times New Roman"/>
          <w:lang w:val="en-GB"/>
        </w:rPr>
        <w:t>chronic poverty</w:t>
      </w:r>
      <w:r w:rsidR="00B8313F" w:rsidRPr="006E32E9">
        <w:rPr>
          <w:rFonts w:ascii="Times New Roman" w:hAnsi="Times New Roman" w:cs="Times New Roman"/>
          <w:lang w:val="en-GB"/>
        </w:rPr>
        <w:t>, India</w:t>
      </w:r>
    </w:p>
    <w:p w14:paraId="0BAC0F01" w14:textId="77777777" w:rsidR="0087316F" w:rsidRDefault="0087316F" w:rsidP="00074D6F">
      <w:pPr>
        <w:rPr>
          <w:rFonts w:ascii="Times New Roman" w:hAnsi="Times New Roman" w:cs="Times New Roman"/>
          <w:lang w:val="en-GB"/>
        </w:rPr>
      </w:pPr>
    </w:p>
    <w:p w14:paraId="1AF14DEA" w14:textId="77777777" w:rsidR="0087316F" w:rsidRPr="009F1521" w:rsidRDefault="0087316F" w:rsidP="0087316F">
      <w:pPr>
        <w:rPr>
          <w:b/>
        </w:rPr>
      </w:pPr>
      <w:r w:rsidRPr="009F1521">
        <w:rPr>
          <w:b/>
        </w:rPr>
        <w:t>Acknowledgement</w:t>
      </w:r>
    </w:p>
    <w:p w14:paraId="3646CC18" w14:textId="77777777" w:rsidR="0087316F" w:rsidRDefault="0087316F" w:rsidP="0087316F"/>
    <w:p w14:paraId="55109680" w14:textId="77777777" w:rsidR="0087316F" w:rsidRPr="009F1521" w:rsidRDefault="0087316F" w:rsidP="0087316F">
      <w:r w:rsidRPr="009F1521">
        <w:t xml:space="preserve">This work was carried out under the Deltas, vulnerability and Climate Change: Migration and Adaptation (DECCMA) project under the Collaborative Adaptation Research Initiative in Africa and Asia (CARIAA) </w:t>
      </w:r>
      <w:proofErr w:type="spellStart"/>
      <w:r w:rsidRPr="009F1521">
        <w:t>programme</w:t>
      </w:r>
      <w:proofErr w:type="spellEnd"/>
      <w:r w:rsidRPr="009F1521">
        <w:t xml:space="preserve">, with financial support from the UK Government’s Department for International Development (DFID), the International Development Research Centre (IDRC) (Canada) [grant number 107642] and the UK Economic and Social Research Council [grant number 1501613]. The views expressed in this work are those of the creators and do not necessarily represent those of DFID, IDRC, ESRC or its Boards of Governors. Prior to commencing the study, ethical clearance was obtained from the University of Southampton [ERGO number 15234]. Data used in this research come from the Census of India provided by the Office of the Registrar General &amp; Census Commissioner of India. The authors acknowledge the use of the IRIDIS High Performance Computing Facility, and associated support services at the University of Southampton, in the completion of this work. The authors wish to thank all participants for providing their time and knowledge. Additional gratitude goes to </w:t>
      </w:r>
      <w:proofErr w:type="spellStart"/>
      <w:r w:rsidRPr="009F1521">
        <w:t>Shubashree</w:t>
      </w:r>
      <w:proofErr w:type="spellEnd"/>
      <w:r w:rsidRPr="009F1521">
        <w:t xml:space="preserve"> </w:t>
      </w:r>
      <w:proofErr w:type="spellStart"/>
      <w:r w:rsidRPr="009F1521">
        <w:t>Samal</w:t>
      </w:r>
      <w:proofErr w:type="spellEnd"/>
      <w:r w:rsidRPr="009F1521">
        <w:t xml:space="preserve"> and </w:t>
      </w:r>
      <w:proofErr w:type="spellStart"/>
      <w:r w:rsidRPr="009F1521">
        <w:t>Pratap</w:t>
      </w:r>
      <w:proofErr w:type="spellEnd"/>
      <w:r w:rsidRPr="009F1521">
        <w:t xml:space="preserve"> </w:t>
      </w:r>
      <w:proofErr w:type="spellStart"/>
      <w:r w:rsidRPr="009F1521">
        <w:t>Malla</w:t>
      </w:r>
      <w:proofErr w:type="spellEnd"/>
      <w:r w:rsidRPr="009F1521">
        <w:t xml:space="preserve"> who both helped in the </w:t>
      </w:r>
      <w:proofErr w:type="spellStart"/>
      <w:r w:rsidRPr="009F1521">
        <w:t>organisation</w:t>
      </w:r>
      <w:proofErr w:type="spellEnd"/>
      <w:r w:rsidRPr="009F1521">
        <w:t xml:space="preserve">, planning and interpretation of field visits. </w:t>
      </w:r>
    </w:p>
    <w:p w14:paraId="287CC687" w14:textId="77777777" w:rsidR="0087316F" w:rsidRPr="0087316F" w:rsidRDefault="0087316F" w:rsidP="00074D6F">
      <w:pPr>
        <w:rPr>
          <w:rFonts w:ascii="Times New Roman" w:hAnsi="Times New Roman" w:cs="Times New Roman"/>
        </w:rPr>
      </w:pPr>
    </w:p>
    <w:p w14:paraId="158DA284" w14:textId="77777777" w:rsidR="00396C38" w:rsidRPr="006E32E9" w:rsidRDefault="00396C38" w:rsidP="00396C38">
      <w:pPr>
        <w:pStyle w:val="Heading1"/>
        <w:rPr>
          <w:rFonts w:ascii="Times New Roman" w:hAnsi="Times New Roman" w:cs="Times New Roman"/>
          <w:lang w:val="en-GB"/>
        </w:rPr>
      </w:pPr>
      <w:r w:rsidRPr="006E32E9">
        <w:rPr>
          <w:rFonts w:ascii="Times New Roman" w:hAnsi="Times New Roman" w:cs="Times New Roman"/>
          <w:lang w:val="en-GB"/>
        </w:rPr>
        <w:lastRenderedPageBreak/>
        <w:t>Introduction</w:t>
      </w:r>
    </w:p>
    <w:p w14:paraId="296BCF77" w14:textId="6C5748C4" w:rsidR="00A8561B" w:rsidRPr="006E32E9" w:rsidRDefault="00A8561B" w:rsidP="00A8561B">
      <w:pPr>
        <w:ind w:firstLine="0"/>
        <w:rPr>
          <w:rFonts w:ascii="Times New Roman" w:hAnsi="Times New Roman" w:cs="Times New Roman"/>
          <w:lang w:val="en-GB"/>
        </w:rPr>
      </w:pPr>
      <w:r w:rsidRPr="006E32E9">
        <w:rPr>
          <w:rFonts w:ascii="Times New Roman" w:hAnsi="Times New Roman" w:cs="Times New Roman"/>
          <w:lang w:val="en-GB"/>
        </w:rPr>
        <w:t xml:space="preserve">Investigating the impacts of climate change on rural livelihoods and rural poverty is a continuing concern within environmental sciences and development studies. Repeated exposure to climatic stresses can undermine current and future coping capacity, which can lead to shifts from transient to chronic poverty </w:t>
      </w:r>
      <w:r w:rsidRPr="006E32E9">
        <w:rPr>
          <w:rFonts w:ascii="Times New Roman" w:hAnsi="Times New Roman" w:cs="Times New Roman"/>
          <w:lang w:val="en-GB"/>
        </w:rPr>
        <w:fldChar w:fldCharType="begin" w:fldLock="1"/>
      </w:r>
      <w:r w:rsidRPr="006E32E9">
        <w:rPr>
          <w:rFonts w:ascii="Times New Roman" w:hAnsi="Times New Roman" w:cs="Times New Roman"/>
          <w:lang w:val="en-GB"/>
        </w:rPr>
        <w:instrText>ADDIN CSL_CITATION {"citationItems":[{"id":"ITEM-1","itemData":{"DOI":"10.1088/1748-9326/4/3/034004","author":[{"dropping-particle":"","family":"Ahmed","given":"Syud A","non-dropping-particle":"","parse-names":false,"suffix":""},{"dropping-particle":"","family":"Diffenbaugh","given":"Noah S","non-dropping-particle":"","parse-names":false,"suffix":""},{"dropping-particle":"","family":"Hertel","given":"Thomas W","non-dropping-particle":"","parse-names":false,"suffix":""}],"container-title":"Environmental Research Letters","id":"ITEM-1","issued":{"date-parts":[["2009"]]},"title":"Climate volatility deepens poverty vulnerability in developing countries","type":"article-journal","volume":"4"},"uris":["http://www.mendeley.com/documents/?uuid=0d9ebcac-8c6c-483b-9bc7-964c9f0d4c3a"]}],"mendeley":{"formattedCitation":"(Ahmed, Diffenbaugh, &amp; Hertel, 2009)","plainTextFormattedCitation":"(Ahmed, Diffenbaugh, &amp; Hertel, 2009)","previouslyFormattedCitation":"(Ahmed, Diffenbaugh, &amp; Hertel, 2009)"},"properties":{"noteIndex":0},"schema":"https://github.com/citation-style-language/schema/raw/master/csl-citation.json"}</w:instrText>
      </w:r>
      <w:r w:rsidRPr="006E32E9">
        <w:rPr>
          <w:rFonts w:ascii="Times New Roman" w:hAnsi="Times New Roman" w:cs="Times New Roman"/>
          <w:lang w:val="en-GB"/>
        </w:rPr>
        <w:fldChar w:fldCharType="separate"/>
      </w:r>
      <w:r w:rsidRPr="006E32E9">
        <w:rPr>
          <w:rFonts w:ascii="Times New Roman" w:hAnsi="Times New Roman" w:cs="Times New Roman"/>
          <w:noProof/>
          <w:lang w:val="en-GB"/>
        </w:rPr>
        <w:t>(Ahmed, Diffenbaugh, &amp; Hertel, 2009)</w:t>
      </w:r>
      <w:r w:rsidRPr="006E32E9">
        <w:rPr>
          <w:rFonts w:ascii="Times New Roman" w:hAnsi="Times New Roman" w:cs="Times New Roman"/>
          <w:lang w:val="en-GB"/>
        </w:rPr>
        <w:fldChar w:fldCharType="end"/>
      </w:r>
      <w:r w:rsidRPr="006E32E9">
        <w:rPr>
          <w:rFonts w:ascii="Times New Roman" w:hAnsi="Times New Roman" w:cs="Times New Roman"/>
          <w:lang w:val="en-GB"/>
        </w:rPr>
        <w:t xml:space="preserve">. However, the impacts of climate shocks on rural households depend on coping strategies and livelihood opportunities and cannot be explained by income-based approaches alone </w:t>
      </w:r>
      <w:r w:rsidRPr="006E32E9">
        <w:rPr>
          <w:rFonts w:ascii="Times New Roman" w:hAnsi="Times New Roman" w:cs="Times New Roman"/>
          <w:lang w:val="en-GB"/>
        </w:rPr>
        <w:fldChar w:fldCharType="begin" w:fldLock="1"/>
      </w:r>
      <w:r w:rsidRPr="006E32E9">
        <w:rPr>
          <w:rFonts w:ascii="Times New Roman" w:hAnsi="Times New Roman" w:cs="Times New Roman"/>
          <w:lang w:val="en-GB"/>
        </w:rPr>
        <w:instrText>ADDIN CSL_CITATION {"citationItems":[{"id":"ITEM-1","itemData":{"ISBN":"1853398748","author":[{"dropping-particle":"","family":"Scoones","given":"Ian","non-dropping-particle":"","parse-names":false,"suffix":""}],"id":"ITEM-1","issued":{"date-parts":[["2015"]]},"publisher":"Practical Action Publishing","title":"Sustainable livelihoods and rural development","type":"book"},"uris":["http://www.mendeley.com/documents/?uuid=f707393a-3183-41d3-8ce6-261c76957ef1"]}],"mendeley":{"formattedCitation":"(Scoones, 2015)","plainTextFormattedCitation":"(Scoones, 2015)","previouslyFormattedCitation":"(Scoones, 2015)"},"properties":{"noteIndex":0},"schema":"https://github.com/citation-style-language/schema/raw/master/csl-citation.json"}</w:instrText>
      </w:r>
      <w:r w:rsidRPr="006E32E9">
        <w:rPr>
          <w:rFonts w:ascii="Times New Roman" w:hAnsi="Times New Roman" w:cs="Times New Roman"/>
          <w:lang w:val="en-GB"/>
        </w:rPr>
        <w:fldChar w:fldCharType="separate"/>
      </w:r>
      <w:r w:rsidRPr="006E32E9">
        <w:rPr>
          <w:rFonts w:ascii="Times New Roman" w:hAnsi="Times New Roman" w:cs="Times New Roman"/>
          <w:noProof/>
          <w:lang w:val="en-GB"/>
        </w:rPr>
        <w:t>(Scoones, 2015)</w:t>
      </w:r>
      <w:r w:rsidRPr="006E32E9">
        <w:rPr>
          <w:rFonts w:ascii="Times New Roman" w:hAnsi="Times New Roman" w:cs="Times New Roman"/>
          <w:lang w:val="en-GB"/>
        </w:rPr>
        <w:fldChar w:fldCharType="end"/>
      </w:r>
      <w:r w:rsidRPr="006E32E9">
        <w:rPr>
          <w:rFonts w:ascii="Times New Roman" w:hAnsi="Times New Roman" w:cs="Times New Roman"/>
          <w:lang w:val="en-GB"/>
        </w:rPr>
        <w:t xml:space="preserve">. Livelihood approaches reveal that inequalities in access to livelihood capitals and in livelihood opportunities are spatially dependent and that they perpetuate poverty and undermine households' ability to cope with external shocks </w:t>
      </w:r>
      <w:r w:rsidRPr="006E32E9">
        <w:rPr>
          <w:rFonts w:ascii="Times New Roman" w:hAnsi="Times New Roman" w:cs="Times New Roman"/>
          <w:lang w:val="en-GB"/>
        </w:rPr>
        <w:fldChar w:fldCharType="begin" w:fldLock="1"/>
      </w:r>
      <w:r w:rsidRPr="006E32E9">
        <w:rPr>
          <w:rFonts w:ascii="Times New Roman" w:hAnsi="Times New Roman" w:cs="Times New Roman"/>
          <w:lang w:val="en-GB"/>
        </w:rPr>
        <w:instrText>ADDIN CSL_CITATION {"citationItems":[{"id":"ITEM-1","itemData":{"DOI":"10.1016/j.gloenvcha.2007.05.005","ISBN":"0959-3780","ISSN":"09593780","PMID":"19190718","abstract":"This paper reviews and synthesizes findings from scholarly work on linkages among rural household demographics, livelihoods and the environment. Using the livelihood approach as an organizing framework, we examine evidence on the multiple pathways linking environmental variables and the following demographic variables: fertility, migration, morbidity and mortality, and lifecycles. Although the review draws on studies from the entire developing world, we find the majority of microlevel studies have been conducted in either marginal (mountainous or arid) or frontier environments, especially Amazonia. Though the linkages are mediated by many complex and often context-specific factors, there is strong evidence that dependence on natural resources intensifies when households lose human and social capital through adult morbidity and mortality, and qualified evidence for the influence of environmental factors on household decision-making regarding fertility and migration. Two decades of research on lifecycles and land cover change at the farm level have yielded a number of insights about how households make use of different land-use and natural resource management strategies at different stages. A thread running throughout the review is the importance of managing risk through livelihood diversification, ensuring future income security, and culture-specific norms regarding appropriate and desirable activities and demographic responses. Recommendations for future research are provided. © 2007 Elsevier Ltd. All rights reserved.","author":[{"dropping-particle":"","family":"Sherbinin","given":"Alex","non-dropping-particle":"de","parse-names":false,"suffix":""},{"dropping-particle":"","family":"VanWey","given":"Leah K.","non-dropping-particle":"","parse-names":false,"suffix":""},{"dropping-particle":"","family":"McSweeney","given":"Kendra","non-dropping-particle":"","parse-names":false,"suffix":""},{"dropping-particle":"","family":"Aggarwal","given":"Rimjhim","non-dropping-particle":"","parse-names":false,"suffix":""},{"dropping-particle":"","family":"Barbieri","given":"Alisson","non-dropping-particle":"","parse-names":false,"suffix":""},{"dropping-particle":"","family":"Henry","given":"Sabine","non-dropping-particle":"","parse-names":false,"suffix":""},{"dropping-particle":"","family":"Hunter","given":"Lori M.","non-dropping-particle":"","parse-names":false,"suffix":""},{"dropping-particle":"","family":"Twine","given":"Wayne","non-dropping-particle":"","parse-names":false,"suffix":""},{"dropping-particle":"","family":"Walker","given":"Robert","non-dropping-particle":"","parse-names":false,"suffix":""}],"container-title":"Global Environmental Change","id":"ITEM-1","issued":{"date-parts":[["2008"]]},"page":"38-53","title":"Rural household demographics, livelihoods and the environment","type":"article-journal","volume":"18"},"uris":["http://www.mendeley.com/documents/?uuid=1fff82ed-8c0c-4cb4-8bf5-6b4106d00b80"]}],"mendeley":{"formattedCitation":"(de Sherbinin et al., 2008)","plainTextFormattedCitation":"(de Sherbinin et al., 2008)","previouslyFormattedCitation":"(de Sherbinin et al., 2008)"},"properties":{"noteIndex":0},"schema":"https://github.com/citation-style-language/schema/raw/master/csl-citation.json"}</w:instrText>
      </w:r>
      <w:r w:rsidRPr="006E32E9">
        <w:rPr>
          <w:rFonts w:ascii="Times New Roman" w:hAnsi="Times New Roman" w:cs="Times New Roman"/>
          <w:lang w:val="en-GB"/>
        </w:rPr>
        <w:fldChar w:fldCharType="separate"/>
      </w:r>
      <w:r w:rsidRPr="006E32E9">
        <w:rPr>
          <w:rFonts w:ascii="Times New Roman" w:hAnsi="Times New Roman" w:cs="Times New Roman"/>
          <w:noProof/>
          <w:lang w:val="en-GB"/>
        </w:rPr>
        <w:t>(de Sherbinin et al., 2008)</w:t>
      </w:r>
      <w:r w:rsidRPr="006E32E9">
        <w:rPr>
          <w:rFonts w:ascii="Times New Roman" w:hAnsi="Times New Roman" w:cs="Times New Roman"/>
          <w:lang w:val="en-GB"/>
        </w:rPr>
        <w:fldChar w:fldCharType="end"/>
      </w:r>
      <w:r w:rsidRPr="006E32E9">
        <w:rPr>
          <w:rFonts w:ascii="Times New Roman" w:hAnsi="Times New Roman" w:cs="Times New Roman"/>
          <w:lang w:val="en-GB"/>
        </w:rPr>
        <w:t xml:space="preserve">. Understanding the links between multiple stressors and livelihoods is central to achieving sustainable development pathways. However, insufficient work assesses the spatial distribution of livelihoods as a consequence of </w:t>
      </w:r>
      <w:r w:rsidR="009E2455">
        <w:rPr>
          <w:rFonts w:ascii="Times New Roman" w:hAnsi="Times New Roman" w:cs="Times New Roman"/>
          <w:lang w:val="en-GB"/>
        </w:rPr>
        <w:t>weather shocks</w:t>
      </w:r>
      <w:r w:rsidRPr="006E32E9">
        <w:rPr>
          <w:rFonts w:ascii="Times New Roman" w:hAnsi="Times New Roman" w:cs="Times New Roman"/>
          <w:lang w:val="en-GB"/>
        </w:rPr>
        <w:t xml:space="preserve">. This paper aimed to bridge this gap by conducting a place-based analysis of the associations between </w:t>
      </w:r>
      <w:r w:rsidR="00602BB3">
        <w:rPr>
          <w:rFonts w:ascii="Times New Roman" w:hAnsi="Times New Roman" w:cs="Times New Roman"/>
          <w:lang w:val="en-GB"/>
        </w:rPr>
        <w:t>livelihood strategies, agricultural shocks and livelihood capitals.</w:t>
      </w:r>
      <w:r w:rsidRPr="006E32E9">
        <w:rPr>
          <w:rFonts w:ascii="Times New Roman" w:hAnsi="Times New Roman" w:cs="Times New Roman"/>
          <w:lang w:val="en-GB"/>
        </w:rPr>
        <w:t xml:space="preserve"> The objective of this paper was to demonstrate how the type of rural community in which households are situated modifies the relationships between </w:t>
      </w:r>
      <w:r w:rsidR="004D0800">
        <w:rPr>
          <w:rFonts w:ascii="Times New Roman" w:hAnsi="Times New Roman" w:cs="Times New Roman"/>
          <w:lang w:val="en-GB"/>
        </w:rPr>
        <w:t>livelihood strategies</w:t>
      </w:r>
      <w:r w:rsidR="00F167EC">
        <w:rPr>
          <w:rFonts w:ascii="Times New Roman" w:hAnsi="Times New Roman" w:cs="Times New Roman"/>
          <w:lang w:val="en-GB"/>
        </w:rPr>
        <w:t xml:space="preserve">, </w:t>
      </w:r>
      <w:r w:rsidR="004D0800" w:rsidRPr="006E32E9">
        <w:rPr>
          <w:rFonts w:ascii="Times New Roman" w:hAnsi="Times New Roman" w:cs="Times New Roman"/>
          <w:lang w:val="en-GB"/>
        </w:rPr>
        <w:t>agricultural shocks and access to livelihood capitals</w:t>
      </w:r>
      <w:r w:rsidRPr="006E32E9">
        <w:rPr>
          <w:rFonts w:ascii="Times New Roman" w:hAnsi="Times New Roman" w:cs="Times New Roman"/>
          <w:lang w:val="en-GB"/>
        </w:rPr>
        <w:t>.</w:t>
      </w:r>
    </w:p>
    <w:p w14:paraId="2802D2DC" w14:textId="109B3163" w:rsidR="00A8561B" w:rsidRDefault="00A8561B" w:rsidP="00A8561B">
      <w:pPr>
        <w:ind w:firstLine="0"/>
        <w:rPr>
          <w:rFonts w:ascii="Times New Roman" w:hAnsi="Times New Roman" w:cs="Times New Roman"/>
          <w:lang w:val="en-GB"/>
        </w:rPr>
      </w:pPr>
    </w:p>
    <w:p w14:paraId="02229145" w14:textId="77777777" w:rsidR="0001330C" w:rsidRPr="006E32E9" w:rsidRDefault="0001330C" w:rsidP="0001330C">
      <w:pPr>
        <w:ind w:firstLine="0"/>
        <w:rPr>
          <w:rFonts w:ascii="Times New Roman" w:hAnsi="Times New Roman" w:cs="Times New Roman"/>
          <w:lang w:val="en-GB"/>
        </w:rPr>
      </w:pPr>
      <w:r w:rsidRPr="006E32E9">
        <w:rPr>
          <w:rFonts w:ascii="Times New Roman" w:hAnsi="Times New Roman" w:cs="Times New Roman"/>
          <w:lang w:val="en-GB"/>
        </w:rPr>
        <w:t>Our research demonstrates that the bundle of locally available community capitals influences households' coping strategies and livelihood opportunities, thus influencing the drivers of rural poverty. We also argue that agricultural shocks drive livelihood precariousness, while access to capitals tends to reduce it. Our results suggest that poverty alleviation programmes should include community typologies in their approach to provide place-specific interventions that would strengthen context-specific household capitals, thus reducing livelihood precariousness.</w:t>
      </w:r>
    </w:p>
    <w:p w14:paraId="6150190C" w14:textId="77777777" w:rsidR="0001330C" w:rsidRPr="006E32E9" w:rsidRDefault="0001330C" w:rsidP="00A8561B">
      <w:pPr>
        <w:ind w:firstLine="0"/>
        <w:rPr>
          <w:rFonts w:ascii="Times New Roman" w:hAnsi="Times New Roman" w:cs="Times New Roman"/>
          <w:lang w:val="en-GB"/>
        </w:rPr>
      </w:pPr>
    </w:p>
    <w:p w14:paraId="0F601878" w14:textId="773FC2FE" w:rsidR="00A8561B" w:rsidRPr="006E32E9" w:rsidRDefault="00A8561B" w:rsidP="00A8561B">
      <w:pPr>
        <w:ind w:firstLine="0"/>
        <w:rPr>
          <w:rFonts w:ascii="Times New Roman" w:hAnsi="Times New Roman" w:cs="Times New Roman"/>
          <w:b/>
          <w:lang w:val="en-GB"/>
        </w:rPr>
      </w:pPr>
      <w:r w:rsidRPr="006E32E9">
        <w:rPr>
          <w:rFonts w:ascii="Times New Roman" w:hAnsi="Times New Roman" w:cs="Times New Roman"/>
          <w:b/>
          <w:lang w:val="en-GB"/>
        </w:rPr>
        <w:t>1.1 Access to Community Capitals and Household Livelihood Activities</w:t>
      </w:r>
    </w:p>
    <w:p w14:paraId="74975F33" w14:textId="2E886321" w:rsidR="00A8561B" w:rsidRPr="006E32E9" w:rsidRDefault="00A8561B" w:rsidP="00A8561B">
      <w:pPr>
        <w:ind w:firstLine="0"/>
        <w:rPr>
          <w:rFonts w:ascii="Times New Roman" w:hAnsi="Times New Roman" w:cs="Times New Roman"/>
          <w:lang w:val="en-GB"/>
        </w:rPr>
      </w:pPr>
      <w:r w:rsidRPr="006E32E9">
        <w:rPr>
          <w:rFonts w:ascii="Times New Roman" w:hAnsi="Times New Roman" w:cs="Times New Roman"/>
          <w:lang w:val="en-GB"/>
        </w:rPr>
        <w:t>A major theoretical issue that has dominated the field of livelihood studies for many years concerns the use of quantitative methods to characterise rural livelihoods and their dynamics</w:t>
      </w:r>
      <w:r w:rsidR="00A40D1D">
        <w:rPr>
          <w:rFonts w:ascii="Times New Roman" w:hAnsi="Times New Roman" w:cs="Times New Roman"/>
          <w:lang w:val="en-GB"/>
        </w:rPr>
        <w:t xml:space="preserve"> </w:t>
      </w:r>
      <w:r w:rsidR="00A40D1D">
        <w:rPr>
          <w:rFonts w:ascii="Times New Roman" w:hAnsi="Times New Roman" w:cs="Times New Roman"/>
          <w:lang w:val="en-GB"/>
        </w:rPr>
        <w:fldChar w:fldCharType="begin" w:fldLock="1"/>
      </w:r>
      <w:r w:rsidR="009C5482">
        <w:rPr>
          <w:rFonts w:ascii="Times New Roman" w:hAnsi="Times New Roman" w:cs="Times New Roman"/>
          <w:lang w:val="en-GB"/>
        </w:rPr>
        <w:instrText>ADDIN CSL_CITATION {"citationItems":[{"id":"ITEM-1","itemData":{"DOI":"10.1016/j.worlddev.2017.04.019","ISSN":"0305-750X","abstract":"This paper addresses one of the major challenges in rural livelihood analysis to quantitatively examine the dynamics of household livelihood strategies. It investigates the interactions between livelihood assets, activities, and outcomes, and captures the dynamics of long-term changes and their underlying factors. The study aims to identify the classification of rural livelihood strategies, their transitions and factors influencing these processes and changes. We employ the dynamic livelihood strategy framework, and use panel data for 2008 and 2012 covering 464 households in 15 villages in Cambodia, for latent class cluster analysis and regression esti-mation. In this paper, livelihood strategies are quantified based on allocation of available resources, which overcomes the limitations of income-based analysis. Our study identifies five household livelihood strategies pursued in the study areas, and the results show that over 70% of households change livelihood strategies over time in response to evolving pressures, incentives and opportunities. The study iden-tifies covariates that shape the choices of livelihood strategies and affects the households' access to more remunerative strategies, such as education, ownership of physical assets, and access to infrastructure. These findings suggest policy implications for improving the range of livelihood choices available to lower income groups to move out of poverty trap.","author":[{"dropping-particle":"","family":"Jiao","given":"X I","non-dropping-particle":"","parse-names":false,"suffix":""},{"dropping-particle":"","family":"Pouliot","given":"Mariève","non-dropping-particle":"","parse-names":false,"suffix":""},{"dropping-particle":"","family":"Walelign","given":"Solomon Zena","non-dropping-particle":"","parse-names":false,"suffix":""}],"container-title":"World Development","id":"ITEM-1","issue":"May","issued":{"date-parts":[["2017"]]},"title":"Livelihood Strategies and Dynamics in Rural","type":"article-journal"},"uris":["http://www.mendeley.com/documents/?uuid=060a921c-5c9d-45c2-9bf7-e0861cda83e9"]}],"mendeley":{"formattedCitation":"(Jiao, Pouliot, &amp; Walelign, 2017)","plainTextFormattedCitation":"(Jiao, Pouliot, &amp; Walelign, 2017)","previouslyFormattedCitation":"(Jiao, Pouliot, &amp; Walelign, 2017)"},"properties":{"noteIndex":0},"schema":"https://github.com/citation-style-language/schema/raw/master/csl-citation.json"}</w:instrText>
      </w:r>
      <w:r w:rsidR="00A40D1D">
        <w:rPr>
          <w:rFonts w:ascii="Times New Roman" w:hAnsi="Times New Roman" w:cs="Times New Roman"/>
          <w:lang w:val="en-GB"/>
        </w:rPr>
        <w:fldChar w:fldCharType="separate"/>
      </w:r>
      <w:r w:rsidR="00A40D1D" w:rsidRPr="00A40D1D">
        <w:rPr>
          <w:rFonts w:ascii="Times New Roman" w:hAnsi="Times New Roman" w:cs="Times New Roman"/>
          <w:noProof/>
          <w:lang w:val="en-GB"/>
        </w:rPr>
        <w:t>(Jiao, Pouliot, &amp; Walelign, 2017)</w:t>
      </w:r>
      <w:r w:rsidR="00A40D1D">
        <w:rPr>
          <w:rFonts w:ascii="Times New Roman" w:hAnsi="Times New Roman" w:cs="Times New Roman"/>
          <w:lang w:val="en-GB"/>
        </w:rPr>
        <w:fldChar w:fldCharType="end"/>
      </w:r>
      <w:r w:rsidRPr="006E32E9">
        <w:rPr>
          <w:rFonts w:ascii="Times New Roman" w:hAnsi="Times New Roman" w:cs="Times New Roman"/>
          <w:lang w:val="en-GB"/>
        </w:rPr>
        <w:t>. However, most of these studies have considered that the effect of capitals on livelihood strategies is constant across space, without considering community-level effects</w:t>
      </w:r>
      <w:r w:rsidR="009C5482">
        <w:rPr>
          <w:rFonts w:ascii="Times New Roman" w:hAnsi="Times New Roman" w:cs="Times New Roman"/>
          <w:lang w:val="en-GB"/>
        </w:rPr>
        <w:t xml:space="preserve"> </w:t>
      </w:r>
      <w:r w:rsidR="009C5482">
        <w:rPr>
          <w:rFonts w:ascii="Times New Roman" w:hAnsi="Times New Roman" w:cs="Times New Roman"/>
          <w:lang w:val="en-GB"/>
        </w:rPr>
        <w:fldChar w:fldCharType="begin" w:fldLock="1"/>
      </w:r>
      <w:r w:rsidR="00CF1676">
        <w:rPr>
          <w:rFonts w:ascii="Times New Roman" w:hAnsi="Times New Roman" w:cs="Times New Roman"/>
          <w:lang w:val="en-GB"/>
        </w:rPr>
        <w:instrText>ADDIN CSL_CITATION {"citationItems":[{"id":"ITEM-1","itemData":{"DOI":"10.1016/j.jrurstud.2013.05.001","ISSN":"0743-0167","PMID":"24043919","author":[{"dropping-particle":"","family":"Bhandari","given":"Prem B","non-dropping-particle":"","parse-names":false,"suffix":""}],"container-title":"Journal of rural studies","id":"ITEM-1","issued":{"date-parts":[["2013","10","1"]]},"page":"126-136","publisher":"Elsevier Ltd","title":"Rural livelihood change? Household capital, community resources and livelihood transition.","type":"article-journal","volume":"32"},"uris":["http://www.mendeley.com/documents/?uuid=bd713331-8282-489f-a95e-7d8a87b30978"]},{"id":"ITEM-2","itemData":{"DOI":"10.1016/j.apgeog.2019.01.002","ISSN":"01436228","author":[{"dropping-particle":"","family":"Berchoux","given":"Tristan","non-dropping-particle":"","parse-names":false,"suffix":""},{"dropping-particle":"","family":"Hutton","given":"Craig W.","non-dropping-particle":"","parse-names":false,"suffix":""}],"container-title":"Applied Geography","id":"ITEM-2","issue":"February","issued":{"date-parts":[["2019"]]},"page":"98-111","publisher":"Elsevier Ltd","title":"Spatial associations between household and community livelihood capitals in rural territories: An example from the Mahanadi Delta, India","type":"article-journal","volume":"103"},"uris":["http://www.mendeley.com/documents/?uuid=705a8a8a-be6b-461e-b5d9-18e60554e342"]}],"mendeley":{"formattedCitation":"(Berchoux &amp; Hutton, 2019; Bhandari, 2013)","plainTextFormattedCitation":"(Berchoux &amp; Hutton, 2019; Bhandari, 2013)","previouslyFormattedCitation":"(Berchoux &amp; Hutton, 2019; Bhandari, 2013)"},"properties":{"noteIndex":0},"schema":"https://github.com/citation-style-language/schema/raw/master/csl-citation.json"}</w:instrText>
      </w:r>
      <w:r w:rsidR="009C5482">
        <w:rPr>
          <w:rFonts w:ascii="Times New Roman" w:hAnsi="Times New Roman" w:cs="Times New Roman"/>
          <w:lang w:val="en-GB"/>
        </w:rPr>
        <w:fldChar w:fldCharType="separate"/>
      </w:r>
      <w:r w:rsidR="009D1885" w:rsidRPr="009D1885">
        <w:rPr>
          <w:rFonts w:ascii="Times New Roman" w:hAnsi="Times New Roman" w:cs="Times New Roman"/>
          <w:noProof/>
          <w:lang w:val="en-GB"/>
        </w:rPr>
        <w:t>(Berchoux &amp; Hutton, 2019; Bhandari, 2013)</w:t>
      </w:r>
      <w:r w:rsidR="009C5482">
        <w:rPr>
          <w:rFonts w:ascii="Times New Roman" w:hAnsi="Times New Roman" w:cs="Times New Roman"/>
          <w:lang w:val="en-GB"/>
        </w:rPr>
        <w:fldChar w:fldCharType="end"/>
      </w:r>
      <w:r w:rsidRPr="006E32E9">
        <w:rPr>
          <w:rFonts w:ascii="Times New Roman" w:hAnsi="Times New Roman" w:cs="Times New Roman"/>
          <w:lang w:val="en-GB"/>
        </w:rPr>
        <w:t xml:space="preserve">. For example, access to a common agricultural area in the village can have a positive effect on livelihoods as it can create synergies between farmers to invest into agricultural equipment or irrigation infrastructure and it can increase their bargaining power </w:t>
      </w:r>
      <w:r w:rsidRPr="006E32E9">
        <w:rPr>
          <w:rFonts w:ascii="Times New Roman" w:hAnsi="Times New Roman" w:cs="Times New Roman"/>
          <w:lang w:val="en-GB"/>
        </w:rPr>
        <w:fldChar w:fldCharType="begin" w:fldLock="1"/>
      </w:r>
      <w:r w:rsidRPr="006E32E9">
        <w:rPr>
          <w:rFonts w:ascii="Times New Roman" w:hAnsi="Times New Roman" w:cs="Times New Roman"/>
          <w:lang w:val="en-GB"/>
        </w:rPr>
        <w:instrText>ADDIN CSL_CITATION {"citationItems":[{"id":"ITEM-1","itemData":{"DOI":"10.1016/j.worlddev.2018.03.010","ISBN":"0305-750X","ISSN":"0305750X","abstract":"Is there an alternative model to small family farming that could provide sustainable livelihoods to mil- lions of resource-constrained and often non-viable smallholders in developing countries? Could group farming constitute such an alternative, wherein smallholders voluntarily pool land, labour and capital to create larger farms that they manage collectively? In South Asia, for instance, over 85% of farmers are small and increasingly female. Potentially, group farming could provide them economies of scale, a dependable labour force, more investible funds and skills, and greater bargaining power with govern- ments and markets. But can this potential be realised in practice? In particular, can group farms econom- ically outperform small family farms? A rare opportunity to test this is provided by two experiments begun in the 2000s in the Indian states of Kerala and Telangana. Constituted only of women, the groups lease in land to farm collectively, sharing labour, the cost of inputs, and the returns. But the states differ in several respects, including the technical support the groups receive, and their institutional base, compo- sition, land access and cropping patterns. Based on the author’s primary sample surveys in both states, this paper compares the productivity and profitability of group farms with that of small individual family farms in the same state. Kerala’s groups perform strikingly better than the predominantly male-managed individual farms, both in their annual value of output per hectare and annual net returns per farm, while in Telangana group farms perform much worse than individual farms in annual output, but are equivalent in net returns. In both states, groups do much better in commercial crops than in traditional foodgrains, where the largely male-managed individual farms, owning good quality land and with longer farm man- agement experience, have an advantage. The factors underlying the differential performances of Kerala and Telangana, and the lessons learnt for possible replication, are also discussed. Overall, the paper demonstrates that group farming can provide an effective alternative, subject to specified conditions and adaptation of the model to the local context.","author":[{"dropping-particle":"","family":"Agarwal","given":"Bina","non-dropping-particle":"","parse-names":false,"suffix":""}],"container-title":"World Development","id":"ITEM-1","issued":{"date-parts":[["2018"]]},"page":"57-73","publisher":"The Author","title":"Can group farms outperform individual family farms? Empirical insights from India","type":"article-journal","volume":"108"},"uris":["http://www.mendeley.com/documents/?uuid=571d3b25-f222-4792-8fa3-e04df30d0a00"]}],"mendeley":{"formattedCitation":"(Agarwal, 2018)","plainTextFormattedCitation":"(Agarwal, 2018)","previouslyFormattedCitation":"(Agarwal, 2018)"},"properties":{"noteIndex":0},"schema":"https://github.com/citation-style-language/schema/raw/master/csl-citation.json"}</w:instrText>
      </w:r>
      <w:r w:rsidRPr="006E32E9">
        <w:rPr>
          <w:rFonts w:ascii="Times New Roman" w:hAnsi="Times New Roman" w:cs="Times New Roman"/>
          <w:lang w:val="en-GB"/>
        </w:rPr>
        <w:fldChar w:fldCharType="separate"/>
      </w:r>
      <w:r w:rsidRPr="006E32E9">
        <w:rPr>
          <w:rFonts w:ascii="Times New Roman" w:hAnsi="Times New Roman" w:cs="Times New Roman"/>
          <w:noProof/>
          <w:lang w:val="en-GB"/>
        </w:rPr>
        <w:t>(Agarwal, 2018)</w:t>
      </w:r>
      <w:r w:rsidRPr="006E32E9">
        <w:rPr>
          <w:rFonts w:ascii="Times New Roman" w:hAnsi="Times New Roman" w:cs="Times New Roman"/>
          <w:lang w:val="en-GB"/>
        </w:rPr>
        <w:fldChar w:fldCharType="end"/>
      </w:r>
      <w:r w:rsidRPr="006E32E9">
        <w:rPr>
          <w:rFonts w:ascii="Times New Roman" w:hAnsi="Times New Roman" w:cs="Times New Roman"/>
          <w:lang w:val="en-GB"/>
        </w:rPr>
        <w:t xml:space="preserve">. Community-level studies that paid particular attention to the spatial component of livelihoods led to descriptive results, such as the creation of indices (e.g. </w:t>
      </w:r>
      <w:r w:rsidRPr="006E32E9">
        <w:rPr>
          <w:rFonts w:ascii="Times New Roman" w:hAnsi="Times New Roman" w:cs="Times New Roman"/>
          <w:lang w:val="en-GB"/>
        </w:rPr>
        <w:fldChar w:fldCharType="begin" w:fldLock="1"/>
      </w:r>
      <w:r w:rsidRPr="006E32E9">
        <w:rPr>
          <w:rFonts w:ascii="Times New Roman" w:hAnsi="Times New Roman" w:cs="Times New Roman"/>
          <w:lang w:val="en-GB"/>
        </w:rPr>
        <w:instrText>ADDIN CSL_CITATION {"citationItems":[{"id":"ITEM-1","itemData":{"DOI":"10.1016/j.ecolind.2009.07.015","ISSN":"1470160X","author":[{"dropping-particle":"","family":"Singh","given":"Pramod K.","non-dropping-particle":"","parse-names":false,"suffix":""},{"dropping-particle":"","family":"Hiremath","given":"B.N.","non-dropping-particle":"","parse-names":false,"suffix":""}],"container-title":"Ecological Indicators","id":"ITEM-1","issue":"2","issued":{"date-parts":[["2010","3"]]},"page":"442-451","title":"Sustainable livelihood security index in a developing country: A tool for development planning","type":"article-journal","volume":"10"},"uris":["http://www.mendeley.com/documents/?uuid=a3270172-5802-4b42-8607-6f1650e0957f"]}],"mendeley":{"formattedCitation":"(Singh &amp; Hiremath, 2010)","manualFormatting":"Singh and Hiremath, 2010)","plainTextFormattedCitation":"(Singh &amp; Hiremath, 2010)","previouslyFormattedCitation":"(Singh &amp; Hiremath, 2010)"},"properties":{"noteIndex":0},"schema":"https://github.com/citation-style-language/schema/raw/master/csl-citation.json"}</w:instrText>
      </w:r>
      <w:r w:rsidRPr="006E32E9">
        <w:rPr>
          <w:rFonts w:ascii="Times New Roman" w:hAnsi="Times New Roman" w:cs="Times New Roman"/>
          <w:lang w:val="en-GB"/>
        </w:rPr>
        <w:fldChar w:fldCharType="separate"/>
      </w:r>
      <w:r w:rsidRPr="006E32E9">
        <w:rPr>
          <w:rFonts w:ascii="Times New Roman" w:hAnsi="Times New Roman" w:cs="Times New Roman"/>
          <w:noProof/>
          <w:lang w:val="en-GB"/>
        </w:rPr>
        <w:t>Singh and Hiremath, 2010)</w:t>
      </w:r>
      <w:r w:rsidRPr="006E32E9">
        <w:rPr>
          <w:rFonts w:ascii="Times New Roman" w:hAnsi="Times New Roman" w:cs="Times New Roman"/>
          <w:lang w:val="en-GB"/>
        </w:rPr>
        <w:fldChar w:fldCharType="end"/>
      </w:r>
      <w:r w:rsidRPr="006E32E9">
        <w:rPr>
          <w:rFonts w:ascii="Times New Roman" w:hAnsi="Times New Roman" w:cs="Times New Roman"/>
          <w:lang w:val="en-GB"/>
        </w:rPr>
        <w:t xml:space="preserve">. Although such indices are a useful mapping tool for policy makers, they fail to break down the different livelihood components and thus characterise the place-based dimensions of rural poverty. </w:t>
      </w:r>
    </w:p>
    <w:p w14:paraId="6E2C1CCA" w14:textId="77777777" w:rsidR="00A8561B" w:rsidRPr="006E32E9" w:rsidRDefault="00A8561B" w:rsidP="00A8561B">
      <w:pPr>
        <w:ind w:firstLine="0"/>
        <w:rPr>
          <w:rFonts w:ascii="Times New Roman" w:hAnsi="Times New Roman" w:cs="Times New Roman"/>
          <w:lang w:val="en-GB"/>
        </w:rPr>
      </w:pPr>
    </w:p>
    <w:p w14:paraId="18D313DC" w14:textId="2A83B91D" w:rsidR="00C044C2" w:rsidRDefault="00A8561B" w:rsidP="00C044C2">
      <w:pPr>
        <w:ind w:firstLine="0"/>
        <w:rPr>
          <w:rFonts w:ascii="Times New Roman" w:hAnsi="Times New Roman" w:cs="Times New Roman"/>
          <w:lang w:val="en-GB"/>
        </w:rPr>
      </w:pPr>
      <w:r w:rsidRPr="006E32E9">
        <w:rPr>
          <w:rFonts w:ascii="Times New Roman" w:hAnsi="Times New Roman" w:cs="Times New Roman"/>
          <w:lang w:val="en-GB"/>
        </w:rPr>
        <w:t xml:space="preserve">Overall, despite the recommendations from previous poverty studies (e.g. </w:t>
      </w:r>
      <w:r w:rsidRPr="006E32E9">
        <w:rPr>
          <w:rFonts w:ascii="Times New Roman" w:hAnsi="Times New Roman" w:cs="Times New Roman"/>
          <w:lang w:val="en-GB"/>
        </w:rPr>
        <w:fldChar w:fldCharType="begin" w:fldLock="1"/>
      </w:r>
      <w:r w:rsidRPr="006E32E9">
        <w:rPr>
          <w:rFonts w:ascii="Times New Roman" w:hAnsi="Times New Roman" w:cs="Times New Roman"/>
          <w:lang w:val="en-GB"/>
        </w:rPr>
        <w:instrText>ADDIN CSL_CITATION {"citationItems":[{"id":"ITEM-1","itemData":{"DOI":"10.1111/j.1574-0864.2006.00121.x","ISSN":"01695150","abstract":"The spatial patterns of poverty in India are of considerable importance in themselves and for development theory and practice. This article examines the determinants of rural poverty in India using spatial econometric methods. It finds that while agricultural growth is the key determinant of rural poverty declines, there is significant spatial dependence in the growth rates of agricultural output. Irrigation is the primary driver of agricultural growth, and spatial variations in irrigation development seem to be associated with agro-ecological conditions which may be vastly different within Indian states, parts of which may be similar to those prevailing in geographically contiguous states. Poverty reduction strategies need to be designed in the light of spatial factors and using spatial methods.","author":[{"dropping-particle":"","family":"Palmer-Jones","given":"Richard","non-dropping-particle":"","parse-names":false,"suffix":""},{"dropping-particle":"","family":"Sen","given":"Kunal","non-dropping-particle":"","parse-names":false,"suffix":""}],"container-title":"Agricultural Economics","id":"ITEM-1","issue":"3","issued":{"date-parts":[["2006"]]},"page":"229-242","title":"It is where you are that matters: The spatial determinants of rural poverty in India","type":"article-journal","volume":"34"},"uris":["http://www.mendeley.com/documents/?uuid=31f5b66a-f0d8-4935-90d9-fc5b1431798e"]}],"mendeley":{"formattedCitation":"(Palmer-Jones &amp; Sen, 2006)","manualFormatting":"Palmer-Jones and Sen, 2006)","plainTextFormattedCitation":"(Palmer-Jones &amp; Sen, 2006)","previouslyFormattedCitation":"(Palmer-Jones &amp; Sen, 2006)"},"properties":{"noteIndex":0},"schema":"https://github.com/citation-style-language/schema/raw/master/csl-citation.json"}</w:instrText>
      </w:r>
      <w:r w:rsidRPr="006E32E9">
        <w:rPr>
          <w:rFonts w:ascii="Times New Roman" w:hAnsi="Times New Roman" w:cs="Times New Roman"/>
          <w:lang w:val="en-GB"/>
        </w:rPr>
        <w:fldChar w:fldCharType="separate"/>
      </w:r>
      <w:r w:rsidRPr="006E32E9">
        <w:rPr>
          <w:rFonts w:ascii="Times New Roman" w:hAnsi="Times New Roman" w:cs="Times New Roman"/>
          <w:noProof/>
          <w:lang w:val="en-GB"/>
        </w:rPr>
        <w:t>Palmer-Jones and Sen, 2006)</w:t>
      </w:r>
      <w:r w:rsidRPr="006E32E9">
        <w:rPr>
          <w:rFonts w:ascii="Times New Roman" w:hAnsi="Times New Roman" w:cs="Times New Roman"/>
          <w:lang w:val="en-GB"/>
        </w:rPr>
        <w:fldChar w:fldCharType="end"/>
      </w:r>
      <w:r w:rsidRPr="006E32E9">
        <w:rPr>
          <w:rFonts w:ascii="Times New Roman" w:hAnsi="Times New Roman" w:cs="Times New Roman"/>
          <w:lang w:val="en-GB"/>
        </w:rPr>
        <w:t xml:space="preserve"> and from livelihood studies (e.g. </w:t>
      </w:r>
      <w:r w:rsidRPr="006E32E9">
        <w:rPr>
          <w:rFonts w:ascii="Times New Roman" w:hAnsi="Times New Roman" w:cs="Times New Roman"/>
          <w:lang w:val="en-GB"/>
        </w:rPr>
        <w:fldChar w:fldCharType="begin" w:fldLock="1"/>
      </w:r>
      <w:r w:rsidRPr="006E32E9">
        <w:rPr>
          <w:rFonts w:ascii="Times New Roman" w:hAnsi="Times New Roman" w:cs="Times New Roman"/>
          <w:lang w:val="en-GB"/>
        </w:rPr>
        <w:instrText>ADDIN CSL_CITATION {"citationItems":[{"id":"ITEM-1","itemData":{"DOI":"10.1016/j.worlddev.2014.03.006","ISBN":"0305-750X","ISSN":"18735991","abstract":"This paper presents results from a comparative analysis of environmental income from approximately 8000 households in 24 developing countries collected by research partners in CIFOR's Poverty Environment Network (PEN). Environmental income accounts for 28% of total household income, 77% of which comes from natural forests. Environmental income shares are higher for low-income households, but differences across income quintiles are less pronounced than previously thought. The poor rely more heavily on subsistence products such as wood fuels and wild foods, and on products harvested from natural areas other than forests. In absolute terms environmental income is approximately five times higher in the highest income quintile, compared to the two lowest quintiles.","author":[{"dropping-particle":"","family":"Angelsen","given":"Arild","non-dropping-particle":"","parse-names":false,"suffix":""},{"dropping-particle":"","family":"Jagger","given":"Pamela","non-dropping-particle":"","parse-names":false,"suffix":""},{"dropping-particle":"","family":"Babigumira","given":"Ronnie","non-dropping-particle":"","parse-names":false,"suffix":""},{"dropping-particle":"","family":"Belcher","given":"Brian","non-dropping-particle":"","parse-names":false,"suffix":""},{"dropping-particle":"","family":"Hogarth","given":"Nicholas J.","non-dropping-particle":"","parse-names":false,"suffix":""},{"dropping-particle":"","family":"Bauch","given":"Simone","non-dropping-particle":"","parse-names":false,"suffix":""},{"dropping-particle":"","family":"Börner","given":"Jan","non-dropping-particle":"","parse-names":false,"suffix":""},{"dropping-particle":"","family":"Smith-Hall","given":"Carsten","non-dropping-particle":"","parse-names":false,"suffix":""},{"dropping-particle":"","family":"Wunder","given":"Sven","non-dropping-particle":"","parse-names":false,"suffix":""}],"container-title":"World Development","id":"ITEM-1","issue":"S1","issued":{"date-parts":[["2014"]]},"page":"S12-S28","title":"Environmental Income and Rural Livelihoods: A Global-Comparative Analysis","type":"article-journal","volume":"64"},"uris":["http://www.mendeley.com/documents/?uuid=bc2a6241-2c36-4bbf-ba27-52b41de829d8"]}],"mendeley":{"formattedCitation":"(Angelsen et al., 2014)","manualFormatting":"Angelsen et al., 2014)","plainTextFormattedCitation":"(Angelsen et al., 2014)","previouslyFormattedCitation":"(Angelsen et al., 2014)"},"properties":{"noteIndex":0},"schema":"https://github.com/citation-style-language/schema/raw/master/csl-citation.json"}</w:instrText>
      </w:r>
      <w:r w:rsidRPr="006E32E9">
        <w:rPr>
          <w:rFonts w:ascii="Times New Roman" w:hAnsi="Times New Roman" w:cs="Times New Roman"/>
          <w:lang w:val="en-GB"/>
        </w:rPr>
        <w:fldChar w:fldCharType="separate"/>
      </w:r>
      <w:r w:rsidRPr="006E32E9">
        <w:rPr>
          <w:rFonts w:ascii="Times New Roman" w:hAnsi="Times New Roman" w:cs="Times New Roman"/>
          <w:noProof/>
          <w:lang w:val="en-GB"/>
        </w:rPr>
        <w:t>Angelsen et al., 2014)</w:t>
      </w:r>
      <w:r w:rsidRPr="006E32E9">
        <w:rPr>
          <w:rFonts w:ascii="Times New Roman" w:hAnsi="Times New Roman" w:cs="Times New Roman"/>
          <w:lang w:val="en-GB"/>
        </w:rPr>
        <w:fldChar w:fldCharType="end"/>
      </w:r>
      <w:r w:rsidRPr="006E32E9">
        <w:rPr>
          <w:rFonts w:ascii="Times New Roman" w:hAnsi="Times New Roman" w:cs="Times New Roman"/>
          <w:lang w:val="en-GB"/>
        </w:rPr>
        <w:t xml:space="preserve"> that have shown the importance of place-based approaches to rural poverty, there have been very few studies that have characterised the place-based sensitivity of livelihood strategies to livelihood capitals and external shocks. To the authors' best knowledge, the only study that looked at the associations between livelihood capitals and livelihood strategies using a place-based approach relied on an arbitrary categorisation of community types based on a total of six settlements </w:t>
      </w:r>
      <w:r w:rsidRPr="006E32E9">
        <w:rPr>
          <w:rFonts w:ascii="Times New Roman" w:hAnsi="Times New Roman" w:cs="Times New Roman"/>
          <w:lang w:val="en-GB"/>
        </w:rPr>
        <w:fldChar w:fldCharType="begin" w:fldLock="1"/>
      </w:r>
      <w:r w:rsidRPr="006E32E9">
        <w:rPr>
          <w:rFonts w:ascii="Times New Roman" w:hAnsi="Times New Roman" w:cs="Times New Roman"/>
          <w:lang w:val="en-GB"/>
        </w:rPr>
        <w:instrText>ADDIN CSL_CITATION {"citationItems":[{"id":"ITEM-1","itemData":{"DOI":"10.1016/j.ecolind.2013.11.007","ISSN":"1470160X","author":[{"dropping-particle":"","family":"Fang","given":"Yi-ping","non-dropping-particle":"","parse-names":false,"suffix":""},{"dropping-particle":"","family":"Fan","given":"Jie","non-dropping-particle":"","parse-names":false,"suffix":""},{"dropping-particle":"","family":"Shen","given":"Mao-ying","non-dropping-particle":"","parse-names":false,"suffix":""},{"dropping-particle":"","family":"Song","given":"Meng-qiang","non-dropping-particle":"","parse-names":false,"suffix":""}],"container-title":"Ecological Indicators","id":"ITEM-1","issued":{"date-parts":[["2014","3"]]},"page":"225-235","publisher":"Elsevier Ltd","title":"Sensitivity of livelihood strategy to livelihood capital in mountain areas: Empirical analysis based on different settlements in the upper reaches of the Minjiang River, China","type":"article-journal","volume":"38"},"uris":["http://www.mendeley.com/documents/?uuid=0656e393-31ef-4aa9-9f57-1bd72b66ce68"]}],"mendeley":{"formattedCitation":"(Fang, Fan, Shen, &amp; Song, 2014)","plainTextFormattedCitation":"(Fang, Fan, Shen, &amp; Song, 2014)","previouslyFormattedCitation":"(Fang, Fan, Shen, &amp; Song, 2014)"},"properties":{"noteIndex":0},"schema":"https://github.com/citation-style-language/schema/raw/master/csl-citation.json"}</w:instrText>
      </w:r>
      <w:r w:rsidRPr="006E32E9">
        <w:rPr>
          <w:rFonts w:ascii="Times New Roman" w:hAnsi="Times New Roman" w:cs="Times New Roman"/>
          <w:lang w:val="en-GB"/>
        </w:rPr>
        <w:fldChar w:fldCharType="separate"/>
      </w:r>
      <w:r w:rsidRPr="006E32E9">
        <w:rPr>
          <w:rFonts w:ascii="Times New Roman" w:hAnsi="Times New Roman" w:cs="Times New Roman"/>
          <w:noProof/>
          <w:lang w:val="en-GB"/>
        </w:rPr>
        <w:t>(Fang, Fan, Shen, &amp; Song, 2014)</w:t>
      </w:r>
      <w:r w:rsidRPr="006E32E9">
        <w:rPr>
          <w:rFonts w:ascii="Times New Roman" w:hAnsi="Times New Roman" w:cs="Times New Roman"/>
          <w:lang w:val="en-GB"/>
        </w:rPr>
        <w:fldChar w:fldCharType="end"/>
      </w:r>
      <w:r w:rsidRPr="006E32E9">
        <w:rPr>
          <w:rFonts w:ascii="Times New Roman" w:hAnsi="Times New Roman" w:cs="Times New Roman"/>
          <w:lang w:val="en-GB"/>
        </w:rPr>
        <w:t xml:space="preserve">. In their study, Fang et al. (2014) demonstrated that different settlement types affect how </w:t>
      </w:r>
      <w:r w:rsidRPr="006E32E9">
        <w:rPr>
          <w:rFonts w:ascii="Times New Roman" w:hAnsi="Times New Roman" w:cs="Times New Roman"/>
          <w:lang w:val="en-GB"/>
        </w:rPr>
        <w:lastRenderedPageBreak/>
        <w:t xml:space="preserve">access to capitals influences households' livelihood strategies. However, the interpretation of the results was micro-localised and difficult to reproduce across a larger spatial extent. </w:t>
      </w:r>
      <w:r w:rsidR="009B2C3B">
        <w:rPr>
          <w:rFonts w:ascii="Times New Roman" w:hAnsi="Times New Roman" w:cs="Times New Roman"/>
          <w:lang w:val="en-GB"/>
        </w:rPr>
        <w:t>Our approach</w:t>
      </w:r>
      <w:r w:rsidR="00C044C2">
        <w:rPr>
          <w:rFonts w:ascii="Times New Roman" w:hAnsi="Times New Roman" w:cs="Times New Roman"/>
          <w:lang w:val="en-GB"/>
        </w:rPr>
        <w:t xml:space="preserve"> </w:t>
      </w:r>
      <w:r w:rsidR="00C044C2" w:rsidRPr="00C044C2">
        <w:rPr>
          <w:rFonts w:ascii="Times New Roman" w:hAnsi="Times New Roman" w:cs="Times New Roman"/>
          <w:lang w:val="en-GB"/>
        </w:rPr>
        <w:t xml:space="preserve">helps meet this challenge by identifying </w:t>
      </w:r>
      <w:r w:rsidR="001B1A1C" w:rsidRPr="001B1A1C">
        <w:rPr>
          <w:rFonts w:ascii="Times New Roman" w:hAnsi="Times New Roman" w:cs="Times New Roman"/>
          <w:lang w:val="en-GB"/>
        </w:rPr>
        <w:t xml:space="preserve">how the effects of key </w:t>
      </w:r>
      <w:r w:rsidR="001B1A1C">
        <w:rPr>
          <w:rFonts w:ascii="Times New Roman" w:hAnsi="Times New Roman" w:cs="Times New Roman"/>
          <w:lang w:val="en-GB"/>
        </w:rPr>
        <w:t xml:space="preserve">determinants </w:t>
      </w:r>
      <w:r w:rsidR="001B1A1C" w:rsidRPr="001B1A1C">
        <w:rPr>
          <w:rFonts w:ascii="Times New Roman" w:hAnsi="Times New Roman" w:cs="Times New Roman"/>
          <w:lang w:val="en-GB"/>
        </w:rPr>
        <w:t xml:space="preserve">of </w:t>
      </w:r>
      <w:r w:rsidR="001B1A1C">
        <w:rPr>
          <w:rFonts w:ascii="Times New Roman" w:hAnsi="Times New Roman" w:cs="Times New Roman"/>
          <w:lang w:val="en-GB"/>
        </w:rPr>
        <w:t xml:space="preserve">precarious livelihood strategies </w:t>
      </w:r>
      <w:r w:rsidR="001B1A1C" w:rsidRPr="001B1A1C">
        <w:rPr>
          <w:rFonts w:ascii="Times New Roman" w:hAnsi="Times New Roman" w:cs="Times New Roman"/>
          <w:lang w:val="en-GB"/>
        </w:rPr>
        <w:t xml:space="preserve">vary across </w:t>
      </w:r>
      <w:r w:rsidR="00ED04BA">
        <w:rPr>
          <w:rFonts w:ascii="Times New Roman" w:hAnsi="Times New Roman" w:cs="Times New Roman"/>
          <w:lang w:val="en-GB"/>
        </w:rPr>
        <w:t xml:space="preserve">a </w:t>
      </w:r>
      <w:r w:rsidR="001B1A1C" w:rsidRPr="001B1A1C">
        <w:rPr>
          <w:rFonts w:ascii="Times New Roman" w:hAnsi="Times New Roman" w:cs="Times New Roman"/>
          <w:lang w:val="en-GB"/>
        </w:rPr>
        <w:t>broad geographic extent</w:t>
      </w:r>
      <w:r w:rsidR="001B1A1C">
        <w:rPr>
          <w:rFonts w:ascii="Times New Roman" w:hAnsi="Times New Roman" w:cs="Times New Roman"/>
          <w:lang w:val="en-GB"/>
        </w:rPr>
        <w:t>.</w:t>
      </w:r>
    </w:p>
    <w:p w14:paraId="5734499B" w14:textId="77777777" w:rsidR="00A8561B" w:rsidRPr="006E32E9" w:rsidRDefault="00A8561B" w:rsidP="00A8561B">
      <w:pPr>
        <w:ind w:firstLine="0"/>
        <w:rPr>
          <w:rFonts w:ascii="Times New Roman" w:hAnsi="Times New Roman" w:cs="Times New Roman"/>
          <w:lang w:val="en-GB"/>
        </w:rPr>
      </w:pPr>
    </w:p>
    <w:p w14:paraId="0BF8A66A" w14:textId="0B6444EA" w:rsidR="00A8561B" w:rsidRPr="006E32E9" w:rsidRDefault="00A8561B" w:rsidP="00A8561B">
      <w:pPr>
        <w:ind w:firstLine="0"/>
        <w:rPr>
          <w:rFonts w:ascii="Times New Roman" w:hAnsi="Times New Roman" w:cs="Times New Roman"/>
          <w:lang w:val="en-GB"/>
        </w:rPr>
      </w:pPr>
      <w:r w:rsidRPr="006E32E9">
        <w:rPr>
          <w:rFonts w:ascii="Times New Roman" w:hAnsi="Times New Roman" w:cs="Times New Roman"/>
          <w:lang w:val="en-GB"/>
        </w:rPr>
        <w:t xml:space="preserve">Community capitals can be defined as public goods through which people are able to widen their access to resources and to economic opportunities (Lindenberg 2002; Gutierrez-Montes et al. 2009). They can include factors such as environmental conditions (e.g. elevation, rainfall, soil quality), distance to natural resources (e.g. forest, wetlands) and access to services (e.g. markets, hospitals, schools). These community capitals vary spatially and can shape differential vulnerabilities and influence the impacts of climate change on rural households </w:t>
      </w:r>
      <w:r w:rsidRPr="006E32E9">
        <w:rPr>
          <w:rFonts w:ascii="Times New Roman" w:hAnsi="Times New Roman" w:cs="Times New Roman"/>
          <w:lang w:val="en-GB"/>
        </w:rPr>
        <w:fldChar w:fldCharType="begin" w:fldLock="1"/>
      </w:r>
      <w:r w:rsidR="009D1885">
        <w:rPr>
          <w:rFonts w:ascii="Times New Roman" w:hAnsi="Times New Roman" w:cs="Times New Roman"/>
          <w:lang w:val="en-GB"/>
        </w:rPr>
        <w:instrText>ADDIN CSL_CITATION {"citationItems":[{"id":"ITEM-1","itemData":{"DOI":"10.1007/s13280-019-01150-9","author":[{"dropping-particle":"","family":"Berchoux","given":"Tristan","non-dropping-particle":"","parse-names":false,"suffix":""},{"dropping-particle":"","family":"Watmough","given":"Gary R","non-dropping-particle":"","parse-names":false,"suffix":""},{"dropping-particle":"","family":"Johnson","given":"Fiifi Amoako","non-dropping-particle":"","parse-names":false,"suffix":""},{"dropping-particle":"","family":"Hutton","given":"Craig W","non-dropping-particle":"","parse-names":false,"suffix":""},{"dropping-particle":"","family":"Atkinson","given":"Peter M","non-dropping-particle":"","parse-names":false,"suffix":""}],"container-title":"Ambio","id":"ITEM-1","issued":{"date-parts":[["2019"]]},"title":"Collective influence of household and community capitals on agricultural employment as a measure of rural poverty in the Mahanadi Delta, India","type":"article-journal"},"uris":["http://www.mendeley.com/documents/?uuid=c72e9731-5426-40f4-8bd5-87ed1be61e80"]}],"mendeley":{"formattedCitation":"(Berchoux, Watmough, Johnson, Hutton, &amp; Atkinson, 2019)","plainTextFormattedCitation":"(Berchoux, Watmough, Johnson, Hutton, &amp; Atkinson, 2019)","previouslyFormattedCitation":"(Berchoux, Watmough, Johnson, Hutton, &amp; Atkinson, 2019)"},"properties":{"noteIndex":0},"schema":"https://github.com/citation-style-language/schema/raw/master/csl-citation.json"}</w:instrText>
      </w:r>
      <w:r w:rsidRPr="006E32E9">
        <w:rPr>
          <w:rFonts w:ascii="Times New Roman" w:hAnsi="Times New Roman" w:cs="Times New Roman"/>
          <w:lang w:val="en-GB"/>
        </w:rPr>
        <w:fldChar w:fldCharType="separate"/>
      </w:r>
      <w:r w:rsidR="00A11561" w:rsidRPr="00A11561">
        <w:rPr>
          <w:rFonts w:ascii="Times New Roman" w:hAnsi="Times New Roman" w:cs="Times New Roman"/>
          <w:noProof/>
          <w:lang w:val="en-GB"/>
        </w:rPr>
        <w:t>(Berchoux, Watmough, Johnson, Hutton, &amp; Atkinson, 2019)</w:t>
      </w:r>
      <w:r w:rsidRPr="006E32E9">
        <w:rPr>
          <w:rFonts w:ascii="Times New Roman" w:hAnsi="Times New Roman" w:cs="Times New Roman"/>
          <w:lang w:val="en-GB"/>
        </w:rPr>
        <w:fldChar w:fldCharType="end"/>
      </w:r>
      <w:r w:rsidRPr="006E32E9">
        <w:rPr>
          <w:rFonts w:ascii="Times New Roman" w:hAnsi="Times New Roman" w:cs="Times New Roman"/>
          <w:lang w:val="en-GB"/>
        </w:rPr>
        <w:t xml:space="preserve">. These spatial factors form a group of interacting services that co-occur in time and space, creating bundles of community capitals </w:t>
      </w:r>
      <w:r w:rsidRPr="006E32E9">
        <w:rPr>
          <w:rFonts w:ascii="Times New Roman" w:hAnsi="Times New Roman" w:cs="Times New Roman"/>
          <w:lang w:val="en-GB"/>
        </w:rPr>
        <w:fldChar w:fldCharType="begin" w:fldLock="1"/>
      </w:r>
      <w:r w:rsidRPr="006E32E9">
        <w:rPr>
          <w:rFonts w:ascii="Times New Roman" w:hAnsi="Times New Roman" w:cs="Times New Roman"/>
          <w:lang w:val="en-GB"/>
        </w:rPr>
        <w:instrText>ADDIN CSL_CITATION {"citationItems":[{"id":"ITEM-1","itemData":{"DOI":"10.1016/j.landurbplan.2014.12.006","ISBN":"0169-2046","ISSN":"01692046","abstract":"Understanding the relationships among ecosystem services is crucial for ecosystem-based management (EBM). In urbanized areas, improving human well-being increasingly depends on the services provided by human-dominated or artificial ecosystems. However, there is little understanding of the relationships among multiple ecosystem services of human-dominated ecosystems. Based on the methodology of ecosystem service bundles (sets of ecosystem services that repeatedly appear together), we conducted a case study in 22 urban-rural complexes across the Yangtze River Delta, the most developed area of China, to explore the spatial distributions, synergies, and trade-offs of multiple ecosystem services. Results showed that: (1) most of the selected ecosystem services were spatially clumped across the study area, and the distribution of ecosystem services contributes to the formation of scale effect in economy for the provision of services; (2) ecosystem service bundles aggregated spatially at the city cluster scale, implying the aggregate feature of bundles might be scale free; (3) trade-offs occurred mainly between land-dependent services (such as crop production and water supply), while synergies occurred mainly between land-independent services (such as manufactured products and students of higher education), and there were no significant relationships between landdependent and land-independent services; (4) compared with geographic factors, socio-economic factors were the major drivers in the formation of ecosystem service bundles in the heavy urbanized region of the Yangtze River Delta. The study could improve the understanding of the relationships among multiple ecosystem services from local to regional scales.","author":[{"dropping-particle":"","family":"Yang","given":"Guofu","non-dropping-particle":"","parse-names":false,"suffix":""},{"dropping-particle":"","family":"Ge","given":"Ying","non-dropping-particle":"","parse-names":false,"suffix":""},{"dropping-particle":"","family":"Xue","given":"Hui","non-dropping-particle":"","parse-names":false,"suffix":""},{"dropping-particle":"","family":"Yang","given":"Wu","non-dropping-particle":"","parse-names":false,"suffix":""},{"dropping-particle":"","family":"Shi","given":"Yan","non-dropping-particle":"","parse-names":false,"suffix":""},{"dropping-particle":"","family":"Peng","given":"Changhui","non-dropping-particle":"","parse-names":false,"suffix":""},{"dropping-particle":"","family":"Du","given":"Yuanyuan","non-dropping-particle":"","parse-names":false,"suffix":""},{"dropping-particle":"","family":"Fan","given":"Xing","non-dropping-particle":"","parse-names":false,"suffix":""},{"dropping-particle":"","family":"Ren","given":"Yuan","non-dropping-particle":"","parse-names":false,"suffix":""},{"dropping-particle":"","family":"Chang","given":"Jie","non-dropping-particle":"","parse-names":false,"suffix":""}],"container-title":"Landscape and Urban Planning","id":"ITEM-1","issued":{"date-parts":[["2015"]]},"page":"110-121","publisher":"Elsevier B.V.","title":"Using ecosystem service bundles to detect trade-offs and synergies across urban-rural complexes","type":"article-journal","volume":"136"},"uris":["http://www.mendeley.com/documents/?uuid=db1c729e-27be-4218-85da-5497851fd3c1"]},{"id":"ITEM-2","itemData":{"DOI":"10.1016/j.landurbplan.2014.02.007","ISBN":"0169-2046","ISSN":"01692046","abstract":"We made a spatial analysis of 11 ecosystem services at a 10. km. ×. 10. km grid scale covering most of Denmark. Our objective was to describe their spatial distribution and interactions and also to analyze whether they formed specific bundle types on a regional scale in the Danish cultural landscape. We found clustered distribution patterns of ecosystem services across the country. There was a significant tendency for trade-offs between on the one hand cultural and regulating services and on the other provisioning services, and we also found the potential of regulating and cultural services to form synergies. We identified six distinct ecosystem service bundle types, indicating multiple interactions at a landscape level. The bundle types showed specialized areas of agricultural production, high provision of cultural services at the coasts, multifunctional mixed-use bundle types around urban areas and forest recreation bundle types with high hunting potential. Thus we found that the distributions were both determined by historical and current socio-ecological influences. This gives a better understanding of the interactions between multiple services in the landscape and the way the landscape has been managed. However, the number, types and spatial distribution of such bundles are quite sensitive to the individual ecosystem services selected and the input data available to define these services. This should be taken into consideration in further research on how to utilize the existing synergies and the mitigating potential of trade-offs for a more holistic approach to landscape-scale ecosystem service management. © 2014 Elsevier B.V.","author":[{"dropping-particle":"","family":"Turner","given":"Katrine Grace","non-dropping-particle":"","parse-names":false,"suffix":""},{"dropping-particle":"","family":"Odgaard","given":"Mette Vestergaard","non-dropping-particle":"","parse-names":false,"suffix":""},{"dropping-particle":"","family":"Bøcher","given":"Peder K.","non-dropping-particle":"","parse-names":false,"suffix":""},{"dropping-particle":"","family":"Dalgaard","given":"Tommy","non-dropping-particle":"","parse-names":false,"suffix":""},{"dropping-particle":"","family":"Svenning","given":"Jens Christian","non-dropping-particle":"","parse-names":false,"suffix":""}],"container-title":"Landscape and Urban Planning","id":"ITEM-2","issued":{"date-parts":[["2014"]]},"page":"89-104","publisher":"Elsevier B.V.","title":"Bundling ecosystem services in Denmark: Trade-offs and synergies in a cultural landscape","type":"article-journal","volume":"125"},"uris":["http://www.mendeley.com/documents/?uuid=39b1d2f1-ef45-4a77-a5a3-a7180a81f793"]}],"mendeley":{"formattedCitation":"(Turner, Odgaard, Bøcher, Dalgaard, &amp; Svenning, 2014; Yang et al., 2015)","plainTextFormattedCitation":"(Turner, Odgaard, Bøcher, Dalgaard, &amp; Svenning, 2014; Yang et al., 2015)","previouslyFormattedCitation":"(Turner, Odgaard, Bøcher, Dalgaard, &amp; Svenning, 2014; Yang et al., 2015)"},"properties":{"noteIndex":0},"schema":"https://github.com/citation-style-language/schema/raw/master/csl-citation.json"}</w:instrText>
      </w:r>
      <w:r w:rsidRPr="006E32E9">
        <w:rPr>
          <w:rFonts w:ascii="Times New Roman" w:hAnsi="Times New Roman" w:cs="Times New Roman"/>
          <w:lang w:val="en-GB"/>
        </w:rPr>
        <w:fldChar w:fldCharType="separate"/>
      </w:r>
      <w:r w:rsidRPr="006E32E9">
        <w:rPr>
          <w:rFonts w:ascii="Times New Roman" w:hAnsi="Times New Roman" w:cs="Times New Roman"/>
          <w:noProof/>
          <w:lang w:val="en-GB"/>
        </w:rPr>
        <w:t>(Turner, Odgaard, Bøcher, Dalgaard, &amp; Svenning, 2014; Yang et al., 2015)</w:t>
      </w:r>
      <w:r w:rsidRPr="006E32E9">
        <w:rPr>
          <w:rFonts w:ascii="Times New Roman" w:hAnsi="Times New Roman" w:cs="Times New Roman"/>
          <w:lang w:val="en-GB"/>
        </w:rPr>
        <w:fldChar w:fldCharType="end"/>
      </w:r>
      <w:r w:rsidRPr="006E32E9">
        <w:rPr>
          <w:rFonts w:ascii="Times New Roman" w:hAnsi="Times New Roman" w:cs="Times New Roman"/>
          <w:lang w:val="en-GB"/>
        </w:rPr>
        <w:t xml:space="preserve">. </w:t>
      </w:r>
    </w:p>
    <w:p w14:paraId="5D14E196" w14:textId="77777777" w:rsidR="00A8561B" w:rsidRPr="006E32E9" w:rsidRDefault="00A8561B" w:rsidP="00A8561B">
      <w:pPr>
        <w:ind w:firstLine="0"/>
        <w:rPr>
          <w:rFonts w:ascii="Times New Roman" w:hAnsi="Times New Roman" w:cs="Times New Roman"/>
          <w:lang w:val="en-GB"/>
        </w:rPr>
      </w:pPr>
    </w:p>
    <w:p w14:paraId="051F105C" w14:textId="1ECBCA86" w:rsidR="00A8561B" w:rsidRPr="006E32E9" w:rsidRDefault="00A8561B" w:rsidP="00A8561B">
      <w:pPr>
        <w:ind w:firstLine="0"/>
        <w:rPr>
          <w:rFonts w:ascii="Times New Roman" w:hAnsi="Times New Roman" w:cs="Times New Roman"/>
          <w:b/>
          <w:lang w:val="en-GB"/>
        </w:rPr>
      </w:pPr>
      <w:r w:rsidRPr="006E32E9">
        <w:rPr>
          <w:rFonts w:ascii="Times New Roman" w:hAnsi="Times New Roman" w:cs="Times New Roman"/>
          <w:b/>
          <w:lang w:val="en-GB"/>
        </w:rPr>
        <w:t>1.2 Characterising community capitals using typologies</w:t>
      </w:r>
    </w:p>
    <w:p w14:paraId="13C35D3C" w14:textId="5DC8B20D" w:rsidR="00A8561B" w:rsidRPr="006E32E9" w:rsidRDefault="00A8561B" w:rsidP="00A8561B">
      <w:pPr>
        <w:ind w:firstLine="0"/>
        <w:rPr>
          <w:rFonts w:ascii="Times New Roman" w:hAnsi="Times New Roman" w:cs="Times New Roman"/>
          <w:lang w:val="en-GB"/>
        </w:rPr>
      </w:pPr>
      <w:r w:rsidRPr="006E32E9">
        <w:rPr>
          <w:rFonts w:ascii="Times New Roman" w:hAnsi="Times New Roman" w:cs="Times New Roman"/>
          <w:lang w:val="en-GB"/>
        </w:rPr>
        <w:t xml:space="preserve">Typologies are useful tools for policy-makers, planners and other practitioners to improve place-specific understandings of rural heterogeneity and rural change. </w:t>
      </w:r>
      <w:r w:rsidR="0084391E">
        <w:rPr>
          <w:rFonts w:ascii="Times New Roman" w:hAnsi="Times New Roman" w:cs="Times New Roman"/>
          <w:lang w:val="en-GB"/>
        </w:rPr>
        <w:t xml:space="preserve">The </w:t>
      </w:r>
      <w:r w:rsidR="00747183">
        <w:rPr>
          <w:rFonts w:ascii="Times New Roman" w:hAnsi="Times New Roman" w:cs="Times New Roman"/>
          <w:lang w:val="en-GB"/>
        </w:rPr>
        <w:t xml:space="preserve">heterogeneity </w:t>
      </w:r>
      <w:r w:rsidR="0084391E">
        <w:rPr>
          <w:rFonts w:ascii="Times New Roman" w:hAnsi="Times New Roman" w:cs="Times New Roman"/>
          <w:lang w:val="en-GB"/>
        </w:rPr>
        <w:t xml:space="preserve">of rural areas </w:t>
      </w:r>
      <w:r w:rsidRPr="006E32E9">
        <w:rPr>
          <w:rFonts w:ascii="Times New Roman" w:hAnsi="Times New Roman" w:cs="Times New Roman"/>
          <w:lang w:val="en-GB"/>
        </w:rPr>
        <w:t xml:space="preserve">can be categorised into community typologies that reflect similar combinations of natural resources (i.e., water, cropland, forest), social services (including education, health, governance), and productive infrastructures </w:t>
      </w:r>
      <w:r w:rsidRPr="006E32E9">
        <w:rPr>
          <w:rFonts w:ascii="Times New Roman" w:hAnsi="Times New Roman" w:cs="Times New Roman"/>
          <w:lang w:val="en-GB"/>
        </w:rPr>
        <w:fldChar w:fldCharType="begin" w:fldLock="1"/>
      </w:r>
      <w:r w:rsidRPr="006E32E9">
        <w:rPr>
          <w:rFonts w:ascii="Times New Roman" w:hAnsi="Times New Roman" w:cs="Times New Roman"/>
          <w:lang w:val="en-GB"/>
        </w:rPr>
        <w:instrText>ADDIN CSL_CITATION {"citationItems":[{"id":"ITEM-1","itemData":{"DOI":"10.1080/15487733.2009.11908026","ISBN":"1548-7733","ISSN":"15487733","abstract":"Characterizing and understanding social-ecological systems (SESs) is increasingly necessary to answer questions about the development of sustainable human settlements. To date, much of the literature on SES analysis has fo- cused on “neat” systems involving a single type of resource, a group of users, and a governance system. While these studies provide valuable and specific insights, they are of limited use for application to “messy” SESs that encompass the totality of human settlements, including social organization and technologies that result in the movement of mate- rials, energy, water, and people. These considerations, in turn, create distribution systems that lead to different types of SESs. In messy SESs the concept of resilience, or the ability of a system to withstand perturbation while maintain- ing function, is further evolved to posit that different settlements will require different approaches to foster resilience. This article introduces a typology for refining SESs to improve short- and long-term adaptive strategies in developing human settlements.","author":[{"dropping-particle":"","family":"Alessa","given":"Lilian","non-dropping-particle":"","parse-names":false,"suffix":""},{"dropping-particle":"","family":"Kliskey","given":"Andrew","non-dropping-particle":"","parse-names":false,"suffix":""},{"dropping-particle":"","family":"Altaweel","given":"Mark","non-dropping-particle":"","parse-names":false,"suffix":""}],"container-title":"Sustainability: Science, Practice, &amp; Policy","id":"ITEM-1","issue":"1","issued":{"date-parts":[["2009"]]},"page":"31-41","title":"Toward a typology for social-ecological systems","type":"article-journal","volume":"5"},"uris":["http://www.mendeley.com/documents/?uuid=c9ba933a-17e5-4f7f-ba2b-d22bd26b14ea"]},{"id":"ITEM-2","itemData":{"DOI":"10.1016/j.landurbplan.2008.12.008","ISBN":"0169-2046","ISSN":"01692046","abstract":"The new landscape typology of Belgium fits into the European Landscape Convention to characterise contemporary landscapes in a trans-regional and trans-border perspective. The method uses a combination of holistic and parametric approaches at two scale levels, resulting in two different landscape typologies. Four datasets covering Belgium were used: a DTM, CORINE Land Cover, a soil map, and a satellite image. Eighteen variables were defined, describing the landscape characteristics of square kilometre cells at the first scale level. These variables are used to assign a landscape type to each cell. At the second scale level, the spatial patterns formed by the grid landscape types are delineated into landscape units and described using landscape metrics. The types and patterns composition properties of the units are used in a cluster analysis to define landscape types at the second scale level. The method creates an open landscape GISdatabase enhancing the landscapes characterisation at both scale levels. The variables used to differentiate landscape types and character areas can be extended by additional descriptive variables of very different sources relating for example to regional classifications, cultural, historical, scenic properties and even iconographic documents. Thus the landscape character map is the entry to various queries. © 2008 Elsevier B.V. All rights reserved.","author":[{"dropping-particle":"","family":"Eetvelde","given":"Veerle","non-dropping-particle":"Van","parse-names":false,"suffix":""},{"dropping-particle":"","family":"Antrop","given":"Marc","non-dropping-particle":"","parse-names":false,"suffix":""}],"container-title":"Landscape and Urban Planning","id":"ITEM-2","issue":"3","issued":{"date-parts":[["2009"]]},"page":"160-170","title":"A stepwise multi-scaled landscape typology and characterisation for trans-regional integration, applied on the federal state of Belgium","type":"article-journal","volume":"91"},"uris":["http://www.mendeley.com/documents/?uuid=cf158770-3c38-4b40-831f-213b2f7f5399"]}],"mendeley":{"formattedCitation":"(Alessa, Kliskey, &amp; Altaweel, 2009; Van Eetvelde &amp; Antrop, 2009)","plainTextFormattedCitation":"(Alessa, Kliskey, &amp; Altaweel, 2009; Van Eetvelde &amp; Antrop, 2009)","previouslyFormattedCitation":"(Alessa, Kliskey, &amp; Altaweel, 2009; Van Eetvelde &amp; Antrop, 2009)"},"properties":{"noteIndex":0},"schema":"https://github.com/citation-style-language/schema/raw/master/csl-citation.json"}</w:instrText>
      </w:r>
      <w:r w:rsidRPr="006E32E9">
        <w:rPr>
          <w:rFonts w:ascii="Times New Roman" w:hAnsi="Times New Roman" w:cs="Times New Roman"/>
          <w:lang w:val="en-GB"/>
        </w:rPr>
        <w:fldChar w:fldCharType="separate"/>
      </w:r>
      <w:r w:rsidRPr="006E32E9">
        <w:rPr>
          <w:rFonts w:ascii="Times New Roman" w:hAnsi="Times New Roman" w:cs="Times New Roman"/>
          <w:noProof/>
          <w:lang w:val="en-GB"/>
        </w:rPr>
        <w:t>(Alessa, Kliskey, &amp; Altaweel, 2009; Van Eetvelde &amp; Antrop, 2009)</w:t>
      </w:r>
      <w:r w:rsidRPr="006E32E9">
        <w:rPr>
          <w:rFonts w:ascii="Times New Roman" w:hAnsi="Times New Roman" w:cs="Times New Roman"/>
          <w:lang w:val="en-GB"/>
        </w:rPr>
        <w:fldChar w:fldCharType="end"/>
      </w:r>
      <w:r w:rsidRPr="006E32E9">
        <w:rPr>
          <w:rFonts w:ascii="Times New Roman" w:hAnsi="Times New Roman" w:cs="Times New Roman"/>
          <w:lang w:val="en-GB"/>
        </w:rPr>
        <w:t xml:space="preserve">. These different combinations of assets reflect different underlying types of communities </w:t>
      </w:r>
      <w:r w:rsidRPr="006E32E9">
        <w:rPr>
          <w:rFonts w:ascii="Times New Roman" w:hAnsi="Times New Roman" w:cs="Times New Roman"/>
          <w:lang w:val="en-GB"/>
        </w:rPr>
        <w:fldChar w:fldCharType="begin" w:fldLock="1"/>
      </w:r>
      <w:r w:rsidRPr="006E32E9">
        <w:rPr>
          <w:rFonts w:ascii="Times New Roman" w:hAnsi="Times New Roman" w:cs="Times New Roman"/>
          <w:lang w:val="en-GB"/>
        </w:rPr>
        <w:instrText>ADDIN CSL_CITATION {"citationItems":[{"id":"ITEM-1","itemData":{"DOI":"10.1016/j.landurbplan.2016.02.005","ISBN":"0169-2046","ISSN":"01692046","abstract":"Comprehensive maps that characterize the variation in agricultural landscapes across Europe are lacking. In this paper we present a new Europe-wide, spatially-explicit typology and inventory of the diversity in composition, spatial structure and management intensity of European agricultural landscapes. Agricultural landscape types were characterized at a 1 km2resolution based on Europe-wide datasets that represent land cover, landscape structure and land management intensity. Two alternative approaches for typology development were used: an expert-based top-down approach, and a bottom-up approach based on automated clustering using Self Organizing Maps (SOMs). Comparison with available national and European landscape typologies showed that our typology deviates from existing biophysical and anthropocentric typologies relevant to agricultural landscapes as result of the inclusion of land management aspects. Concordance occurred between specific European typology classes, while the comparison with national landscape typologies showed a correspondence in agricultural landscape patterns. Our agricultural landscape typology can provide a basis for landscape assessment at a European-scale to help to identify agricultural landscape types prone to change and landscapes that may require policy response.","author":[{"dropping-particle":"","family":"Zanden","given":"Emma H.","non-dropping-particle":"van der","parse-names":false,"suffix":""},{"dropping-particle":"","family":"Levers","given":"Christian","non-dropping-particle":"","parse-names":false,"suffix":""},{"dropping-particle":"","family":"Verburg","given":"Peter H.","non-dropping-particle":"","parse-names":false,"suffix":""},{"dropping-particle":"","family":"Kuemmerle","given":"Tobias","non-dropping-particle":"","parse-names":false,"suffix":""}],"container-title":"Landscape and Urban Planning","id":"ITEM-1","issued":{"date-parts":[["2016"]]},"page":"36-49","publisher":"Elsevier B.V.","title":"Representing composition, spatial structure and management intensity of European agricultural landscapes: A new typology","type":"article-journal","volume":"150"},"uris":["http://www.mendeley.com/documents/?uuid=a488c09c-faee-4670-b1aa-94eb6087e517"]}],"mendeley":{"formattedCitation":"(van der Zanden, Levers, Verburg, &amp; Kuemmerle, 2016)","plainTextFormattedCitation":"(van der Zanden, Levers, Verburg, &amp; Kuemmerle, 2016)","previouslyFormattedCitation":"(van der Zanden, Levers, Verburg, &amp; Kuemmerle, 2016)"},"properties":{"noteIndex":0},"schema":"https://github.com/citation-style-language/schema/raw/master/csl-citation.json"}</w:instrText>
      </w:r>
      <w:r w:rsidRPr="006E32E9">
        <w:rPr>
          <w:rFonts w:ascii="Times New Roman" w:hAnsi="Times New Roman" w:cs="Times New Roman"/>
          <w:lang w:val="en-GB"/>
        </w:rPr>
        <w:fldChar w:fldCharType="separate"/>
      </w:r>
      <w:r w:rsidRPr="006E32E9">
        <w:rPr>
          <w:rFonts w:ascii="Times New Roman" w:hAnsi="Times New Roman" w:cs="Times New Roman"/>
          <w:noProof/>
          <w:lang w:val="en-GB"/>
        </w:rPr>
        <w:t>(van der Zanden, Levers, Verburg, &amp; Kuemmerle, 2016)</w:t>
      </w:r>
      <w:r w:rsidRPr="006E32E9">
        <w:rPr>
          <w:rFonts w:ascii="Times New Roman" w:hAnsi="Times New Roman" w:cs="Times New Roman"/>
          <w:lang w:val="en-GB"/>
        </w:rPr>
        <w:fldChar w:fldCharType="end"/>
      </w:r>
      <w:r w:rsidRPr="006E32E9">
        <w:rPr>
          <w:rFonts w:ascii="Times New Roman" w:hAnsi="Times New Roman" w:cs="Times New Roman"/>
          <w:lang w:val="en-GB"/>
        </w:rPr>
        <w:t xml:space="preserve">, which influence the drivers of </w:t>
      </w:r>
      <w:r w:rsidRPr="006E32E9">
        <w:rPr>
          <w:rFonts w:ascii="Times New Roman" w:hAnsi="Times New Roman" w:cs="Times New Roman"/>
          <w:lang w:val="en-GB"/>
        </w:rPr>
        <w:lastRenderedPageBreak/>
        <w:t xml:space="preserve">livelihood strategies and rural poverty, and therefore lead to different responses to multiple stressors. In this paper, we investigate the drivers of livelihood precariousness using a place-based approach. We </w:t>
      </w:r>
      <w:r w:rsidR="00B87376">
        <w:rPr>
          <w:rFonts w:ascii="Times New Roman" w:hAnsi="Times New Roman" w:cs="Times New Roman"/>
          <w:lang w:val="en-GB"/>
        </w:rPr>
        <w:t>create</w:t>
      </w:r>
      <w:r w:rsidR="00B87376" w:rsidRPr="006E32E9">
        <w:rPr>
          <w:rFonts w:ascii="Times New Roman" w:hAnsi="Times New Roman" w:cs="Times New Roman"/>
          <w:lang w:val="en-GB"/>
        </w:rPr>
        <w:t xml:space="preserve"> </w:t>
      </w:r>
      <w:r w:rsidRPr="006E32E9">
        <w:rPr>
          <w:rFonts w:ascii="Times New Roman" w:hAnsi="Times New Roman" w:cs="Times New Roman"/>
          <w:lang w:val="en-GB"/>
        </w:rPr>
        <w:t xml:space="preserve">a typology of rural communities </w:t>
      </w:r>
      <w:r w:rsidR="00B87376">
        <w:rPr>
          <w:rFonts w:ascii="Times New Roman" w:hAnsi="Times New Roman" w:cs="Times New Roman"/>
          <w:lang w:val="en-GB"/>
        </w:rPr>
        <w:t xml:space="preserve">(defined here as villages derived from </w:t>
      </w:r>
      <w:hyperlink r:id="rId14" w:history="1">
        <w:r w:rsidR="005E50D0" w:rsidRPr="005E50D0">
          <w:rPr>
            <w:rStyle w:val="Hyperlink"/>
            <w:rFonts w:ascii="Times New Roman" w:hAnsi="Times New Roman" w:cs="Times New Roman"/>
            <w:lang w:val="en-GB"/>
          </w:rPr>
          <w:t>national population and housing censuses</w:t>
        </w:r>
      </w:hyperlink>
      <w:r w:rsidR="00B87376">
        <w:rPr>
          <w:rFonts w:ascii="Times New Roman" w:hAnsi="Times New Roman" w:cs="Times New Roman"/>
          <w:lang w:val="en-GB"/>
        </w:rPr>
        <w:t>)</w:t>
      </w:r>
      <w:r w:rsidRPr="006E32E9">
        <w:rPr>
          <w:rFonts w:ascii="Times New Roman" w:hAnsi="Times New Roman" w:cs="Times New Roman"/>
          <w:lang w:val="en-GB"/>
        </w:rPr>
        <w:t xml:space="preserve"> by clustering characteristic variables of community capitals, focused on natural resources, social services and productive infrastructures. Based on this typology, we characterise the associations between precarious livelihoods, agricultural shocks and household capitals for each community type. This approach helps to elucidate how the type of community can determine the impact that </w:t>
      </w:r>
      <w:r w:rsidR="0042553E">
        <w:rPr>
          <w:rFonts w:ascii="Times New Roman" w:hAnsi="Times New Roman" w:cs="Times New Roman"/>
          <w:lang w:val="en-GB"/>
        </w:rPr>
        <w:t>agricultural</w:t>
      </w:r>
      <w:r w:rsidR="0042553E" w:rsidRPr="006E32E9">
        <w:rPr>
          <w:rFonts w:ascii="Times New Roman" w:hAnsi="Times New Roman" w:cs="Times New Roman"/>
          <w:lang w:val="en-GB"/>
        </w:rPr>
        <w:t xml:space="preserve"> </w:t>
      </w:r>
      <w:r w:rsidRPr="006E32E9">
        <w:rPr>
          <w:rFonts w:ascii="Times New Roman" w:hAnsi="Times New Roman" w:cs="Times New Roman"/>
          <w:lang w:val="en-GB"/>
        </w:rPr>
        <w:t xml:space="preserve">shocks can have on household livelihood activities and in particular on the likelihood that households pursue precarious activities. </w:t>
      </w:r>
    </w:p>
    <w:p w14:paraId="48DC8909" w14:textId="77777777" w:rsidR="00A8561B" w:rsidRPr="006E32E9" w:rsidRDefault="00A8561B" w:rsidP="00A8561B">
      <w:pPr>
        <w:ind w:firstLine="0"/>
        <w:rPr>
          <w:rFonts w:ascii="Times New Roman" w:hAnsi="Times New Roman" w:cs="Times New Roman"/>
          <w:lang w:val="en-GB"/>
        </w:rPr>
      </w:pPr>
    </w:p>
    <w:p w14:paraId="4F81E7A0" w14:textId="726F7F2E" w:rsidR="00A8561B" w:rsidRPr="00E53594" w:rsidRDefault="009E2455" w:rsidP="00E53594">
      <w:pPr>
        <w:pStyle w:val="Heading2"/>
        <w:numPr>
          <w:ilvl w:val="1"/>
          <w:numId w:val="47"/>
        </w:numPr>
        <w:rPr>
          <w:rFonts w:ascii="Times New Roman" w:hAnsi="Times New Roman" w:cs="Times New Roman"/>
        </w:rPr>
      </w:pPr>
      <w:r>
        <w:rPr>
          <w:rFonts w:ascii="Times New Roman" w:hAnsi="Times New Roman" w:cs="Times New Roman"/>
        </w:rPr>
        <w:t>Weather</w:t>
      </w:r>
      <w:r w:rsidR="00A8561B" w:rsidRPr="00E53594">
        <w:rPr>
          <w:rFonts w:ascii="Times New Roman" w:hAnsi="Times New Roman" w:cs="Times New Roman"/>
        </w:rPr>
        <w:t xml:space="preserve"> </w:t>
      </w:r>
      <w:r w:rsidR="0042553E" w:rsidRPr="00E53594">
        <w:rPr>
          <w:rFonts w:ascii="Times New Roman" w:hAnsi="Times New Roman" w:cs="Times New Roman"/>
        </w:rPr>
        <w:t>s</w:t>
      </w:r>
      <w:r w:rsidR="00A8561B" w:rsidRPr="00E53594">
        <w:rPr>
          <w:rFonts w:ascii="Times New Roman" w:hAnsi="Times New Roman" w:cs="Times New Roman"/>
        </w:rPr>
        <w:t xml:space="preserve">hocks and impacts </w:t>
      </w:r>
      <w:r w:rsidR="0042553E" w:rsidRPr="00E53594">
        <w:rPr>
          <w:rFonts w:ascii="Times New Roman" w:hAnsi="Times New Roman" w:cs="Times New Roman"/>
        </w:rPr>
        <w:t>o</w:t>
      </w:r>
      <w:r w:rsidR="00A8561B" w:rsidRPr="00E53594">
        <w:rPr>
          <w:rFonts w:ascii="Times New Roman" w:hAnsi="Times New Roman" w:cs="Times New Roman"/>
        </w:rPr>
        <w:t>n livelihood activities</w:t>
      </w:r>
    </w:p>
    <w:p w14:paraId="40458EF5" w14:textId="18C0C76D" w:rsidR="00370765" w:rsidRDefault="00075A52" w:rsidP="00E53594">
      <w:pPr>
        <w:ind w:firstLine="0"/>
        <w:rPr>
          <w:rFonts w:ascii="Times New Roman" w:hAnsi="Times New Roman" w:cs="Times New Roman"/>
          <w:lang w:val="en-GB"/>
        </w:rPr>
      </w:pPr>
      <w:r w:rsidRPr="00075A52">
        <w:rPr>
          <w:rFonts w:ascii="Times New Roman" w:hAnsi="Times New Roman" w:cs="Times New Roman"/>
          <w:lang w:val="en-GB"/>
        </w:rPr>
        <w:t xml:space="preserve">Despite the Government of India’s efforts to </w:t>
      </w:r>
      <w:r>
        <w:rPr>
          <w:rFonts w:ascii="Times New Roman" w:hAnsi="Times New Roman" w:cs="Times New Roman"/>
          <w:lang w:val="en-GB"/>
        </w:rPr>
        <w:t>enhance livelihood security in rural areas</w:t>
      </w:r>
      <w:r w:rsidRPr="00075A52">
        <w:rPr>
          <w:rFonts w:ascii="Times New Roman" w:hAnsi="Times New Roman" w:cs="Times New Roman"/>
          <w:lang w:val="en-GB"/>
        </w:rPr>
        <w:t>,</w:t>
      </w:r>
      <w:r>
        <w:rPr>
          <w:rFonts w:ascii="Times New Roman" w:hAnsi="Times New Roman" w:cs="Times New Roman"/>
          <w:lang w:val="en-GB"/>
        </w:rPr>
        <w:t xml:space="preserve"> o</w:t>
      </w:r>
      <w:r w:rsidRPr="00075A52">
        <w:rPr>
          <w:rFonts w:ascii="Times New Roman" w:hAnsi="Times New Roman" w:cs="Times New Roman"/>
          <w:lang w:val="en-GB"/>
        </w:rPr>
        <w:t xml:space="preserve">nly </w:t>
      </w:r>
      <w:r>
        <w:rPr>
          <w:rFonts w:ascii="Times New Roman" w:hAnsi="Times New Roman" w:cs="Times New Roman"/>
          <w:lang w:val="en-GB"/>
        </w:rPr>
        <w:t>53.2% o</w:t>
      </w:r>
      <w:r w:rsidRPr="00075A52">
        <w:rPr>
          <w:rFonts w:ascii="Times New Roman" w:hAnsi="Times New Roman" w:cs="Times New Roman"/>
          <w:lang w:val="en-GB"/>
        </w:rPr>
        <w:t>f</w:t>
      </w:r>
      <w:r>
        <w:rPr>
          <w:rFonts w:ascii="Times New Roman" w:hAnsi="Times New Roman" w:cs="Times New Roman"/>
          <w:lang w:val="en-GB"/>
        </w:rPr>
        <w:t xml:space="preserve"> the working age rural population is </w:t>
      </w:r>
      <w:r w:rsidRPr="00075A52">
        <w:rPr>
          <w:rFonts w:ascii="Times New Roman" w:hAnsi="Times New Roman" w:cs="Times New Roman"/>
          <w:lang w:val="en-GB"/>
        </w:rPr>
        <w:t>able to get work throughout the year</w:t>
      </w:r>
      <w:r>
        <w:rPr>
          <w:rFonts w:ascii="Times New Roman" w:hAnsi="Times New Roman" w:cs="Times New Roman"/>
          <w:lang w:val="en-GB"/>
        </w:rPr>
        <w:t xml:space="preserve"> </w:t>
      </w:r>
      <w:r>
        <w:rPr>
          <w:rFonts w:ascii="Times New Roman" w:hAnsi="Times New Roman" w:cs="Times New Roman"/>
          <w:lang w:val="en-GB"/>
        </w:rPr>
        <w:fldChar w:fldCharType="begin" w:fldLock="1"/>
      </w:r>
      <w:r w:rsidR="00E53594">
        <w:rPr>
          <w:rFonts w:ascii="Times New Roman" w:hAnsi="Times New Roman" w:cs="Times New Roman"/>
          <w:lang w:val="en-GB"/>
        </w:rPr>
        <w:instrText>ADDIN CSL_CITATION {"citationItems":[{"id":"ITEM-1","itemData":{"author":[{"dropping-particle":"","family":"Indian Ministry of Labour and Employment","given":"","non-dropping-particle":"","parse-names":false,"suffix":""}],"id":"ITEM-1","issued":{"date-parts":[["2015"]]},"title":"India Labour year book 2011 and 2012","type":"report"},"uris":["http://www.mendeley.com/documents/?uuid=5d5e05c0-fec7-4fe0-aea7-681ce2380713"]}],"mendeley":{"formattedCitation":"(Indian Ministry of Labour and Employment, 2015)","plainTextFormattedCitation":"(Indian Ministry of Labour and Employment, 2015)","previouslyFormattedCitation":"(Indian Ministry of Labour and Employment, 2015)"},"properties":{"noteIndex":0},"schema":"https://github.com/citation-style-language/schema/raw/master/csl-citation.json"}</w:instrText>
      </w:r>
      <w:r>
        <w:rPr>
          <w:rFonts w:ascii="Times New Roman" w:hAnsi="Times New Roman" w:cs="Times New Roman"/>
          <w:lang w:val="en-GB"/>
        </w:rPr>
        <w:fldChar w:fldCharType="separate"/>
      </w:r>
      <w:r w:rsidRPr="00075A52">
        <w:rPr>
          <w:rFonts w:ascii="Times New Roman" w:hAnsi="Times New Roman" w:cs="Times New Roman"/>
          <w:noProof/>
          <w:lang w:val="en-GB"/>
        </w:rPr>
        <w:t>(Indian Ministry of Labour and Employment, 2015)</w:t>
      </w:r>
      <w:r>
        <w:rPr>
          <w:rFonts w:ascii="Times New Roman" w:hAnsi="Times New Roman" w:cs="Times New Roman"/>
          <w:lang w:val="en-GB"/>
        </w:rPr>
        <w:fldChar w:fldCharType="end"/>
      </w:r>
      <w:r>
        <w:rPr>
          <w:rFonts w:ascii="Times New Roman" w:hAnsi="Times New Roman" w:cs="Times New Roman"/>
          <w:lang w:val="en-GB"/>
        </w:rPr>
        <w:t xml:space="preserve">. </w:t>
      </w:r>
      <w:r w:rsidR="00F50CAB">
        <w:rPr>
          <w:rFonts w:ascii="Times New Roman" w:hAnsi="Times New Roman" w:cs="Times New Roman"/>
          <w:lang w:val="en-GB"/>
        </w:rPr>
        <w:t xml:space="preserve">While the majority of the employed population depends on agriculture, forestry and the fishing sector for their livelihoods, around </w:t>
      </w:r>
      <w:r w:rsidRPr="00075A52">
        <w:rPr>
          <w:rFonts w:ascii="Times New Roman" w:hAnsi="Times New Roman" w:cs="Times New Roman"/>
          <w:lang w:val="en-GB"/>
        </w:rPr>
        <w:t>78</w:t>
      </w:r>
      <w:r w:rsidR="00F50CAB">
        <w:rPr>
          <w:rFonts w:ascii="Times New Roman" w:hAnsi="Times New Roman" w:cs="Times New Roman"/>
          <w:lang w:val="en-GB"/>
        </w:rPr>
        <w:t xml:space="preserve">% </w:t>
      </w:r>
      <w:r w:rsidRPr="00075A52">
        <w:rPr>
          <w:rFonts w:ascii="Times New Roman" w:hAnsi="Times New Roman" w:cs="Times New Roman"/>
          <w:lang w:val="en-GB"/>
        </w:rPr>
        <w:t>of households</w:t>
      </w:r>
      <w:r w:rsidR="00F50CAB">
        <w:rPr>
          <w:rFonts w:ascii="Times New Roman" w:hAnsi="Times New Roman" w:cs="Times New Roman"/>
          <w:lang w:val="en-GB"/>
        </w:rPr>
        <w:t xml:space="preserve"> do not earn any </w:t>
      </w:r>
      <w:r w:rsidRPr="00075A52">
        <w:rPr>
          <w:rFonts w:ascii="Times New Roman" w:hAnsi="Times New Roman" w:cs="Times New Roman"/>
          <w:lang w:val="en-GB"/>
        </w:rPr>
        <w:t>wage</w:t>
      </w:r>
      <w:r w:rsidR="00F50CAB">
        <w:rPr>
          <w:rFonts w:ascii="Times New Roman" w:hAnsi="Times New Roman" w:cs="Times New Roman"/>
          <w:lang w:val="en-GB"/>
        </w:rPr>
        <w:t xml:space="preserve">s. </w:t>
      </w:r>
      <w:r w:rsidR="009E2455">
        <w:rPr>
          <w:rFonts w:ascii="Times New Roman" w:hAnsi="Times New Roman" w:cs="Times New Roman"/>
          <w:lang w:val="en-GB"/>
        </w:rPr>
        <w:t>Weather</w:t>
      </w:r>
      <w:r w:rsidR="00E53594" w:rsidRPr="00E53594">
        <w:rPr>
          <w:rFonts w:ascii="Times New Roman" w:hAnsi="Times New Roman" w:cs="Times New Roman"/>
          <w:lang w:val="en-GB"/>
        </w:rPr>
        <w:t xml:space="preserve"> </w:t>
      </w:r>
      <w:r w:rsidR="00E53594">
        <w:rPr>
          <w:rFonts w:ascii="Times New Roman" w:hAnsi="Times New Roman" w:cs="Times New Roman"/>
          <w:lang w:val="en-GB"/>
        </w:rPr>
        <w:t xml:space="preserve">shocks </w:t>
      </w:r>
      <w:r w:rsidR="00E53594" w:rsidRPr="00E53594">
        <w:rPr>
          <w:rFonts w:ascii="Times New Roman" w:hAnsi="Times New Roman" w:cs="Times New Roman"/>
          <w:lang w:val="en-GB"/>
        </w:rPr>
        <w:t xml:space="preserve">affect </w:t>
      </w:r>
      <w:r w:rsidR="00E53594">
        <w:rPr>
          <w:rFonts w:ascii="Times New Roman" w:hAnsi="Times New Roman" w:cs="Times New Roman"/>
          <w:lang w:val="en-GB"/>
        </w:rPr>
        <w:t xml:space="preserve">agricultural production </w:t>
      </w:r>
      <w:r w:rsidR="00E53594" w:rsidRPr="00E53594">
        <w:rPr>
          <w:rFonts w:ascii="Times New Roman" w:hAnsi="Times New Roman" w:cs="Times New Roman"/>
          <w:lang w:val="en-GB"/>
        </w:rPr>
        <w:t xml:space="preserve">through frequent floods, droughts, and storm surges with subsequent impacts on </w:t>
      </w:r>
      <w:r w:rsidR="00E53594">
        <w:rPr>
          <w:rFonts w:ascii="Times New Roman" w:hAnsi="Times New Roman" w:cs="Times New Roman"/>
          <w:lang w:val="en-GB"/>
        </w:rPr>
        <w:t xml:space="preserve">rural livelihoods </w:t>
      </w:r>
      <w:r w:rsidR="00E53594">
        <w:rPr>
          <w:rFonts w:ascii="Times New Roman" w:hAnsi="Times New Roman" w:cs="Times New Roman"/>
          <w:lang w:val="en-GB"/>
        </w:rPr>
        <w:fldChar w:fldCharType="begin" w:fldLock="1"/>
      </w:r>
      <w:r w:rsidR="00370765">
        <w:rPr>
          <w:rFonts w:ascii="Times New Roman" w:hAnsi="Times New Roman" w:cs="Times New Roman"/>
          <w:lang w:val="en-GB"/>
        </w:rPr>
        <w:instrText>ADDIN CSL_CITATION {"citationItems":[{"id":"ITEM-1","itemData":{"DOI":"10.1016/j.worlddev.2015.02.015","ISBN":"0305-750X","ISSN":"18735991","abstract":"Crop diversification into high-value crops (HVCs) can be a strategy to improve livelihood outcomes for farmers. Using data from a nationally representative survey, we establish that households diversifying toward HVCs are less likely to be poor, the biggest impact being for smallholders. Furthermore, using continuous treatment matching, we establish the relationship between degree of diversification (share of area dedicated to HVC) and poverty. Growers of HVCs need to allocate at least 50% area to HVCs to escape poverty. Effect of diversification on poverty is in general positive but it withers after a threshold probably because of constraints i.e., capital on smaller farms and labor on larger ones.","author":[{"dropping-particle":"","family":"Birthal","given":"Pratap S.","non-dropping-particle":"","parse-names":false,"suffix":""},{"dropping-particle":"","family":"Roy","given":"Devesh","non-dropping-particle":"","parse-names":false,"suffix":""},{"dropping-particle":"","family":"Negi","given":"Digvijay S.","non-dropping-particle":"","parse-names":false,"suffix":""}],"container-title":"World Development","id":"ITEM-1","issue":"i","issued":{"date-parts":[["2015"]]},"page":"70-92","publisher":"Elsevier Ltd","title":"Assessing the impact of crop diversification on farm poverty in India","type":"article-journal","volume":"72"},"uris":["http://www.mendeley.com/documents/?uuid=a777e6fb-a698-403e-a9af-27a37d10f92b"]}],"mendeley":{"formattedCitation":"(Birthal, Roy, &amp; Negi, 2015)","plainTextFormattedCitation":"(Birthal, Roy, &amp; Negi, 2015)","previouslyFormattedCitation":"(Birthal, Roy, &amp; Negi, 2015)"},"properties":{"noteIndex":0},"schema":"https://github.com/citation-style-language/schema/raw/master/csl-citation.json"}</w:instrText>
      </w:r>
      <w:r w:rsidR="00E53594">
        <w:rPr>
          <w:rFonts w:ascii="Times New Roman" w:hAnsi="Times New Roman" w:cs="Times New Roman"/>
          <w:lang w:val="en-GB"/>
        </w:rPr>
        <w:fldChar w:fldCharType="separate"/>
      </w:r>
      <w:r w:rsidR="00E53594" w:rsidRPr="00E53594">
        <w:rPr>
          <w:rFonts w:ascii="Times New Roman" w:hAnsi="Times New Roman" w:cs="Times New Roman"/>
          <w:noProof/>
          <w:lang w:val="en-GB"/>
        </w:rPr>
        <w:t>(Birthal, Roy, &amp; Negi, 2015)</w:t>
      </w:r>
      <w:r w:rsidR="00E53594">
        <w:rPr>
          <w:rFonts w:ascii="Times New Roman" w:hAnsi="Times New Roman" w:cs="Times New Roman"/>
          <w:lang w:val="en-GB"/>
        </w:rPr>
        <w:fldChar w:fldCharType="end"/>
      </w:r>
      <w:r w:rsidR="00E53594" w:rsidRPr="00E53594">
        <w:rPr>
          <w:rFonts w:ascii="Times New Roman" w:hAnsi="Times New Roman" w:cs="Times New Roman"/>
          <w:lang w:val="en-GB"/>
        </w:rPr>
        <w:t xml:space="preserve">. </w:t>
      </w:r>
      <w:r w:rsidR="00E53594">
        <w:rPr>
          <w:rFonts w:ascii="Times New Roman" w:hAnsi="Times New Roman" w:cs="Times New Roman"/>
          <w:lang w:val="en-GB"/>
        </w:rPr>
        <w:t>H</w:t>
      </w:r>
      <w:r w:rsidR="00E53594" w:rsidRPr="006E32E9">
        <w:rPr>
          <w:rFonts w:ascii="Times New Roman" w:hAnsi="Times New Roman" w:cs="Times New Roman"/>
          <w:lang w:val="en-GB"/>
        </w:rPr>
        <w:t xml:space="preserve">ouseholds </w:t>
      </w:r>
      <w:r w:rsidR="00E53594">
        <w:rPr>
          <w:rFonts w:ascii="Times New Roman" w:hAnsi="Times New Roman" w:cs="Times New Roman"/>
          <w:lang w:val="en-GB"/>
        </w:rPr>
        <w:t xml:space="preserve">put in place coping strategies </w:t>
      </w:r>
      <w:r w:rsidR="00370765">
        <w:rPr>
          <w:rFonts w:ascii="Times New Roman" w:hAnsi="Times New Roman" w:cs="Times New Roman"/>
          <w:lang w:val="en-GB"/>
        </w:rPr>
        <w:t>to</w:t>
      </w:r>
      <w:r w:rsidR="00E53594">
        <w:rPr>
          <w:rFonts w:ascii="Times New Roman" w:hAnsi="Times New Roman" w:cs="Times New Roman"/>
          <w:lang w:val="en-GB"/>
        </w:rPr>
        <w:t xml:space="preserve"> adjust to the loss of wages following a crop failure. </w:t>
      </w:r>
    </w:p>
    <w:p w14:paraId="3C232333" w14:textId="77777777" w:rsidR="00370765" w:rsidRDefault="00370765" w:rsidP="00E53594">
      <w:pPr>
        <w:ind w:firstLine="0"/>
        <w:rPr>
          <w:rFonts w:ascii="Times New Roman" w:hAnsi="Times New Roman" w:cs="Times New Roman"/>
          <w:lang w:val="en-GB"/>
        </w:rPr>
      </w:pPr>
    </w:p>
    <w:p w14:paraId="17737CEC" w14:textId="2753279B" w:rsidR="00E53594" w:rsidRPr="006E32E9" w:rsidRDefault="00E53594" w:rsidP="00E53594">
      <w:pPr>
        <w:ind w:firstLine="0"/>
        <w:rPr>
          <w:rFonts w:ascii="Times New Roman" w:hAnsi="Times New Roman" w:cs="Times New Roman"/>
          <w:lang w:val="en-GB"/>
        </w:rPr>
      </w:pPr>
      <w:r w:rsidRPr="006E32E9">
        <w:rPr>
          <w:rFonts w:ascii="Times New Roman" w:hAnsi="Times New Roman" w:cs="Times New Roman"/>
          <w:lang w:val="en-GB"/>
        </w:rPr>
        <w:t xml:space="preserve">Coping strategies are defined as temporary adjustments made by households in their livelihood systems in response to shocks, which can be external (natural hazards, movements in markets, </w:t>
      </w:r>
      <w:r w:rsidRPr="006E32E9">
        <w:rPr>
          <w:rFonts w:ascii="Times New Roman" w:hAnsi="Times New Roman" w:cs="Times New Roman"/>
          <w:lang w:val="en-GB"/>
        </w:rPr>
        <w:lastRenderedPageBreak/>
        <w:t xml:space="preserve">changes in policy environment) or internal (health problems, changes in household composition, social rituals) </w:t>
      </w:r>
      <w:r w:rsidRPr="006E32E9">
        <w:rPr>
          <w:rFonts w:ascii="Times New Roman" w:hAnsi="Times New Roman" w:cs="Times New Roman"/>
          <w:lang w:val="en-GB"/>
        </w:rPr>
        <w:fldChar w:fldCharType="begin" w:fldLock="1"/>
      </w:r>
      <w:r w:rsidRPr="006E32E9">
        <w:rPr>
          <w:rFonts w:ascii="Times New Roman" w:hAnsi="Times New Roman" w:cs="Times New Roman"/>
          <w:lang w:val="en-GB"/>
        </w:rPr>
        <w:instrText>ADDIN CSL_CITATION {"citationItems":[{"id":"ITEM-1","itemData":{"ISBN":"1853398748","author":[{"dropping-particle":"","family":"Scoones","given":"Ian","non-dropping-particle":"","parse-names":false,"suffix":""}],"id":"ITEM-1","issued":{"date-parts":[["2015"]]},"publisher":"Practical Action Publishing","title":"Sustainable livelihoods and rural development","type":"book"},"uris":["http://www.mendeley.com/documents/?uuid=f707393a-3183-41d3-8ce6-261c76957ef1"]}],"mendeley":{"formattedCitation":"(Scoones, 2015)","plainTextFormattedCitation":"(Scoones, 2015)","previouslyFormattedCitation":"(Scoones, 2015)"},"properties":{"noteIndex":0},"schema":"https://github.com/citation-style-language/schema/raw/master/csl-citation.json"}</w:instrText>
      </w:r>
      <w:r w:rsidRPr="006E32E9">
        <w:rPr>
          <w:rFonts w:ascii="Times New Roman" w:hAnsi="Times New Roman" w:cs="Times New Roman"/>
          <w:lang w:val="en-GB"/>
        </w:rPr>
        <w:fldChar w:fldCharType="separate"/>
      </w:r>
      <w:r w:rsidRPr="006E32E9">
        <w:rPr>
          <w:rFonts w:ascii="Times New Roman" w:hAnsi="Times New Roman" w:cs="Times New Roman"/>
          <w:noProof/>
          <w:lang w:val="en-GB"/>
        </w:rPr>
        <w:t>(Scoones, 2015)</w:t>
      </w:r>
      <w:r w:rsidRPr="006E32E9">
        <w:rPr>
          <w:rFonts w:ascii="Times New Roman" w:hAnsi="Times New Roman" w:cs="Times New Roman"/>
          <w:lang w:val="en-GB"/>
        </w:rPr>
        <w:fldChar w:fldCharType="end"/>
      </w:r>
      <w:r w:rsidRPr="006E32E9">
        <w:rPr>
          <w:rFonts w:ascii="Times New Roman" w:hAnsi="Times New Roman" w:cs="Times New Roman"/>
          <w:lang w:val="en-GB"/>
        </w:rPr>
        <w:t xml:space="preserve">. Three different types of coping mechanisms can be highlighted based on their reversibility: (i) reversible mechanisms (temporary activity shift, disposal of protective assets); (ii) erosive mechanisms (disposal of productive assets such as land); and (iii) destitution (unemployment, distress migration). Reversible mechanisms can be observed when some members take wage labour or migrate to find paid work (temporary activity shift) or when using self-insurance mechanisms, such as selling protective assets. Protective assets include any asset held as a store of value and that can be sold if the household faces an external shock, including cash, jewellery or livestock </w:t>
      </w:r>
      <w:r w:rsidRPr="006E32E9">
        <w:rPr>
          <w:rFonts w:ascii="Times New Roman" w:hAnsi="Times New Roman" w:cs="Times New Roman"/>
          <w:lang w:val="en-GB"/>
        </w:rPr>
        <w:fldChar w:fldCharType="begin" w:fldLock="1"/>
      </w:r>
      <w:r w:rsidRPr="006E32E9">
        <w:rPr>
          <w:rFonts w:ascii="Times New Roman" w:hAnsi="Times New Roman" w:cs="Times New Roman"/>
          <w:lang w:val="en-GB"/>
        </w:rPr>
        <w:instrText>ADDIN CSL_CITATION {"citationItems":[{"id":"ITEM-1","itemData":{"DOI":"10.1016/j.landusepol.2012.06.009","ISBN":"0264-8377","ISSN":"02648377","abstract":"This paper uses case studies to measure and evaluate livelihood assets in the process of sustainable forest commons governance. The aims of the study are based on two key hypotheses: Community Based Co-Management (CBCM) has changed the livelihood assets of local community residents in the study area; and the changes in livelihood assets are different between participators in CBCM and non-participators. The findings of the study show that the total value of livelihood assets was 0.56 in 2006 and increased to 0.71 in 2010, which supported hypothesis A and illustrated that livelihood assets indeed changed significantly from 2006 to 2010. Livelihood asset conditions are significantly different between participators and non-participators in CBCM projects (0.77 for participators and 0.51 for non-participators), and the findings, taken together, also supported hypothesis B. Physical capital does not show a remarkable increase, but application of energy-saving stoves, mash gas pools, and the use of alternative energy sources optimize the household energy structure and decrease the amount of firewood used. The change in natural capital demonstrates that the majority of local community residents, in their subjective consciousness, are willing to protect forest resources and biodiversity. In terms of human capital, the capacity building of local people shows significant improvement, but their health status and medical situation are associated with a series of problems that need to be resolved. In terms of financial capital, household income and expenditures both show significant improvement, and alternative and diverse livelihood approaches have appeared and been well developed. Social capital shows significant improvements in some aspects regarding the status of women and the relationship between the government and communities. Finally, we advocate incurring the lowest natural resource costs to obtain the greatest benefits in the process of sustainable livelihood development and forest common governance. ?? 2012.","author":[{"dropping-particle":"","family":"Chena","given":"Haiyun","non-dropping-particle":"","parse-names":false,"suffix":""},{"dropping-particle":"","family":"Zhu","given":"Ting","non-dropping-particle":"","parse-names":false,"suffix":""},{"dropping-particle":"","family":"Krotta","given":"Max","non-dropping-particle":"","parse-names":false,"suffix":""},{"dropping-particle":"","family":"Calvo","given":"José F.","non-dropping-particle":"","parse-names":false,"suffix":""},{"dropping-particle":"","family":"Ganesh","given":"Shivakoti P.","non-dropping-particle":"","parse-names":false,"suffix":""},{"dropping-particle":"","family":"Makot","given":"Inoue","non-dropping-particle":"","parse-names":false,"suffix":""}],"container-title":"Land Use Policy","id":"ITEM-1","issue":"1","issued":{"date-parts":[["2013"]]},"page":"908-914","publisher":"Elsevier Ltd","title":"Measurement and evaluation of livelihood assets in sustainable forest commons governance","type":"article-journal","volume":"30"},"uris":["http://www.mendeley.com/documents/?uuid=b0d0190e-71bd-459b-a233-a26c45b59d29"]}],"mendeley":{"formattedCitation":"(Chena et al., 2013)","plainTextFormattedCitation":"(Chena et al., 2013)","previouslyFormattedCitation":"(Chena et al., 2013)"},"properties":{"noteIndex":0},"schema":"https://github.com/citation-style-language/schema/raw/master/csl-citation.json"}</w:instrText>
      </w:r>
      <w:r w:rsidRPr="006E32E9">
        <w:rPr>
          <w:rFonts w:ascii="Times New Roman" w:hAnsi="Times New Roman" w:cs="Times New Roman"/>
          <w:lang w:val="en-GB"/>
        </w:rPr>
        <w:fldChar w:fldCharType="separate"/>
      </w:r>
      <w:r w:rsidRPr="006E32E9">
        <w:rPr>
          <w:rFonts w:ascii="Times New Roman" w:hAnsi="Times New Roman" w:cs="Times New Roman"/>
          <w:noProof/>
          <w:lang w:val="en-GB"/>
        </w:rPr>
        <w:t>(Chena et al., 2013)</w:t>
      </w:r>
      <w:r w:rsidRPr="006E32E9">
        <w:rPr>
          <w:rFonts w:ascii="Times New Roman" w:hAnsi="Times New Roman" w:cs="Times New Roman"/>
          <w:lang w:val="en-GB"/>
        </w:rPr>
        <w:fldChar w:fldCharType="end"/>
      </w:r>
      <w:r w:rsidRPr="006E32E9">
        <w:rPr>
          <w:rFonts w:ascii="Times New Roman" w:hAnsi="Times New Roman" w:cs="Times New Roman"/>
          <w:lang w:val="en-GB"/>
        </w:rPr>
        <w:t>. Erosive mechanisms are usually implemented in response to heavy shocks or persisting stresses and undermine households' productive capacity. In the case of disposal of agricultural land, this leads to a long-term livelihood change, as households shift from cultivation to other activities, for example, agricultural labour. The last category of coping mechanisms comes as a last resort for the household and indicates its destitution, with household members becoming unemployed or choosing permanent out-migration.</w:t>
      </w:r>
    </w:p>
    <w:p w14:paraId="18B397F8" w14:textId="77777777" w:rsidR="00E53594" w:rsidRDefault="00E53594" w:rsidP="00A8561B">
      <w:pPr>
        <w:ind w:firstLine="0"/>
        <w:rPr>
          <w:rFonts w:ascii="Times New Roman" w:hAnsi="Times New Roman" w:cs="Times New Roman"/>
          <w:lang w:val="en-GB"/>
        </w:rPr>
      </w:pPr>
    </w:p>
    <w:p w14:paraId="1B6E06EA" w14:textId="3508058C" w:rsidR="00A8561B" w:rsidRPr="0001330C" w:rsidRDefault="00370765" w:rsidP="00A8561B">
      <w:pPr>
        <w:ind w:firstLine="0"/>
        <w:rPr>
          <w:rFonts w:ascii="Times New Roman" w:hAnsi="Times New Roman" w:cs="Times New Roman"/>
          <w:lang w:val="en-GB"/>
        </w:rPr>
      </w:pPr>
      <w:r>
        <w:rPr>
          <w:rFonts w:ascii="Times New Roman" w:hAnsi="Times New Roman" w:cs="Times New Roman"/>
          <w:lang w:val="en-GB"/>
        </w:rPr>
        <w:t xml:space="preserve">In India, although </w:t>
      </w:r>
      <w:r w:rsidRPr="00370765">
        <w:rPr>
          <w:rFonts w:ascii="Times New Roman" w:hAnsi="Times New Roman" w:cs="Times New Roman"/>
          <w:lang w:val="en-GB"/>
        </w:rPr>
        <w:t>the percentage of farmers with land access rights declined from 72 to 45% between 1951 and 2011, the percentage of landless agricultural labourers increased from 28 to 55%</w:t>
      </w:r>
      <w:r>
        <w:rPr>
          <w:rFonts w:ascii="Times New Roman" w:hAnsi="Times New Roman" w:cs="Times New Roman"/>
          <w:lang w:val="en-GB"/>
        </w:rPr>
        <w:t xml:space="preserve"> </w:t>
      </w:r>
      <w:r>
        <w:rPr>
          <w:rFonts w:ascii="Times New Roman" w:hAnsi="Times New Roman" w:cs="Times New Roman"/>
          <w:lang w:val="en-GB"/>
        </w:rPr>
        <w:fldChar w:fldCharType="begin" w:fldLock="1"/>
      </w:r>
      <w:r w:rsidR="0001330C">
        <w:rPr>
          <w:rFonts w:ascii="Times New Roman" w:hAnsi="Times New Roman" w:cs="Times New Roman"/>
          <w:lang w:val="en-GB"/>
        </w:rPr>
        <w:instrText>ADDIN CSL_CITATION {"citationItems":[{"id":"ITEM-1","itemData":{"author":[{"dropping-particle":"","family":"Indian Ministry of Labour and Employment","given":"","non-dropping-particle":"","parse-names":false,"suffix":""}],"id":"ITEM-1","issued":{"date-parts":[["2015"]]},"title":"India Labour year book 2011 and 2012","type":"report"},"uris":["http://www.mendeley.com/documents/?uuid=5d5e05c0-fec7-4fe0-aea7-681ce2380713"]}],"mendeley":{"formattedCitation":"(Indian Ministry of Labour and Employment, 2015)","plainTextFormattedCitation":"(Indian Ministry of Labour and Employment, 2015)","previouslyFormattedCitation":"(Indian Ministry of Labour and Employment, 2015)"},"properties":{"noteIndex":0},"schema":"https://github.com/citation-style-language/schema/raw/master/csl-citation.json"}</w:instrText>
      </w:r>
      <w:r>
        <w:rPr>
          <w:rFonts w:ascii="Times New Roman" w:hAnsi="Times New Roman" w:cs="Times New Roman"/>
          <w:lang w:val="en-GB"/>
        </w:rPr>
        <w:fldChar w:fldCharType="separate"/>
      </w:r>
      <w:r w:rsidRPr="00370765">
        <w:rPr>
          <w:rFonts w:ascii="Times New Roman" w:hAnsi="Times New Roman" w:cs="Times New Roman"/>
          <w:noProof/>
          <w:lang w:val="en-GB"/>
        </w:rPr>
        <w:t>(Indian Ministry of Labour and Employment, 2015)</w:t>
      </w:r>
      <w:r>
        <w:rPr>
          <w:rFonts w:ascii="Times New Roman" w:hAnsi="Times New Roman" w:cs="Times New Roman"/>
          <w:lang w:val="en-GB"/>
        </w:rPr>
        <w:fldChar w:fldCharType="end"/>
      </w:r>
      <w:r>
        <w:rPr>
          <w:rFonts w:ascii="Times New Roman" w:hAnsi="Times New Roman" w:cs="Times New Roman"/>
          <w:lang w:val="en-GB"/>
        </w:rPr>
        <w:t xml:space="preserve">. This considerable rise in landless agricultural labourers is an indication that many </w:t>
      </w:r>
      <w:r w:rsidR="007F793D" w:rsidRPr="006E32E9">
        <w:rPr>
          <w:rFonts w:ascii="Times New Roman" w:hAnsi="Times New Roman" w:cs="Times New Roman"/>
          <w:lang w:val="en-GB"/>
        </w:rPr>
        <w:t xml:space="preserve">households </w:t>
      </w:r>
      <w:r w:rsidR="00E53594">
        <w:rPr>
          <w:rFonts w:ascii="Times New Roman" w:hAnsi="Times New Roman" w:cs="Times New Roman"/>
          <w:lang w:val="en-GB"/>
        </w:rPr>
        <w:t xml:space="preserve">have </w:t>
      </w:r>
      <w:r>
        <w:rPr>
          <w:rFonts w:ascii="Times New Roman" w:hAnsi="Times New Roman" w:cs="Times New Roman"/>
          <w:lang w:val="en-GB"/>
        </w:rPr>
        <w:t xml:space="preserve">put in place erosive mechanisms to cope with the impacts of agricultural shocks </w:t>
      </w:r>
      <w:r w:rsidR="007F793D" w:rsidRPr="006E32E9">
        <w:rPr>
          <w:rFonts w:ascii="Times New Roman" w:hAnsi="Times New Roman" w:cs="Times New Roman"/>
          <w:lang w:val="en-GB"/>
        </w:rPr>
        <w:fldChar w:fldCharType="begin" w:fldLock="1"/>
      </w:r>
      <w:r w:rsidR="007F793D" w:rsidRPr="006E32E9">
        <w:rPr>
          <w:rFonts w:ascii="Times New Roman" w:hAnsi="Times New Roman" w:cs="Times New Roman"/>
          <w:lang w:val="en-GB"/>
        </w:rPr>
        <w:instrText>ADDIN CSL_CITATION {"citationItems":[{"id":"ITEM-1","itemData":{"DOI":"10.1080/17565529.2015.1085362","ISBN":"1756-5529","ISSN":"17565537","abstract":"Supporting smallholder households to adapt to climate variability is a high priority for development agencies and national governments. Efforts to support climate adaptation in developing countries occur within highly dynamic contexts. Macro-level changes in national and regional economies manifest in dynamic local conditions, such as migration, changing household labour dynamics, market access and land-use options. Research aimed at developing adaptation options is often focused on particular activities or industries and struggles to take into account the broader, interrelated suite of household livelihood activities or the non-climate stressors driving change and adaptation. This paper explores the use of household types to (a) understand the diversity of household circumstances and (b) place agricultural adaptation options within the broader context of household livelihoods. Results from application in four countries are discussed, which highlight the utility of the method and identify broader level trends and drivers that are common challenges (experienced differently) across multiple contexts.","author":[{"dropping-particle":"","family":"Williams","given":"Liana J.","non-dropping-particle":"","parse-names":false,"suffix":""},{"dropping-particle":"","family":"Afroz","given":"Sharmin","non-dropping-particle":"","parse-names":false,"suffix":""},{"dropping-particle":"","family":"Brown","given":"Peter R.","non-dropping-particle":"","parse-names":false,"suffix":""},{"dropping-particle":"","family":"Chialue","given":"Lytoua","non-dropping-particle":"","parse-names":false,"suffix":""},{"dropping-particle":"","family":"Grünbühel","given":"Clemens M.","non-dropping-particle":"","parse-names":false,"suffix":""},{"dropping-particle":"","family":"Jakimow","given":"Tanya","non-dropping-particle":"","parse-names":false,"suffix":""},{"dropping-particle":"","family":"Khan","given":"Iqbal","non-dropping-particle":"","parse-names":false,"suffix":""},{"dropping-particle":"","family":"Minea","given":"Mao","non-dropping-particle":"","parse-names":false,"suffix":""},{"dropping-particle":"","family":"Reddy","given":"V. Ratna","non-dropping-particle":"","parse-names":false,"suffix":""},{"dropping-particle":"","family":"Sacklokham","given":"Silinthone","non-dropping-particle":"","parse-names":false,"suffix":""},{"dropping-particle":"","family":"Santoyo Rio","given":"Emmanuel","non-dropping-particle":"","parse-names":false,"suffix":""},{"dropping-particle":"","family":"Soeun","given":"Mak","non-dropping-particle":"","parse-names":false,"suffix":""},{"dropping-particle":"","family":"Tallapragada","given":"Chiranjeevi","non-dropping-particle":"","parse-names":false,"suffix":""},{"dropping-particle":"","family":"Tom","given":"Say","non-dropping-particle":"","parse-names":false,"suffix":""},{"dropping-particle":"","family":"Roth","given":"Christian H.","non-dropping-particle":"","parse-names":false,"suffix":""}],"container-title":"Climate and Development","id":"ITEM-1","issue":"5","issued":{"date-parts":[["2016"]]},"page":"423-434","title":"Household types as a tool to understand adaptive capacity: case studies from Cambodia, Lao PDR, Bangladesh and India","type":"article-journal","volume":"8"},"uris":["http://www.mendeley.com/documents/?uuid=6565c35c-4078-46ab-bca8-ed4778085727"]}],"mendeley":{"formattedCitation":"(Williams et al., 2016)","plainTextFormattedCitation":"(Williams et al., 2016)","previouslyFormattedCitation":"(Williams et al., 2016)"},"properties":{"noteIndex":0},"schema":"https://github.com/citation-style-language/schema/raw/master/csl-citation.json"}</w:instrText>
      </w:r>
      <w:r w:rsidR="007F793D" w:rsidRPr="006E32E9">
        <w:rPr>
          <w:rFonts w:ascii="Times New Roman" w:hAnsi="Times New Roman" w:cs="Times New Roman"/>
          <w:lang w:val="en-GB"/>
        </w:rPr>
        <w:fldChar w:fldCharType="separate"/>
      </w:r>
      <w:r w:rsidR="007F793D" w:rsidRPr="006E32E9">
        <w:rPr>
          <w:rFonts w:ascii="Times New Roman" w:hAnsi="Times New Roman" w:cs="Times New Roman"/>
          <w:noProof/>
          <w:lang w:val="en-GB"/>
        </w:rPr>
        <w:t>(Williams et al., 2016)</w:t>
      </w:r>
      <w:r w:rsidR="007F793D" w:rsidRPr="006E32E9">
        <w:rPr>
          <w:rFonts w:ascii="Times New Roman" w:hAnsi="Times New Roman" w:cs="Times New Roman"/>
          <w:lang w:val="en-GB"/>
        </w:rPr>
        <w:fldChar w:fldCharType="end"/>
      </w:r>
      <w:r w:rsidR="007F793D" w:rsidRPr="006E32E9">
        <w:rPr>
          <w:rFonts w:ascii="Times New Roman" w:hAnsi="Times New Roman" w:cs="Times New Roman"/>
          <w:lang w:val="en-GB"/>
        </w:rPr>
        <w:t xml:space="preserve">. </w:t>
      </w:r>
      <w:r>
        <w:rPr>
          <w:rFonts w:ascii="Times New Roman" w:hAnsi="Times New Roman" w:cs="Times New Roman"/>
          <w:lang w:val="en-GB"/>
        </w:rPr>
        <w:t xml:space="preserve">However, the effects of such shocks vary widely across </w:t>
      </w:r>
      <w:r w:rsidR="00ED04BA">
        <w:rPr>
          <w:rFonts w:ascii="Times New Roman" w:hAnsi="Times New Roman" w:cs="Times New Roman"/>
          <w:lang w:val="en-GB"/>
        </w:rPr>
        <w:t xml:space="preserve">a </w:t>
      </w:r>
      <w:r>
        <w:rPr>
          <w:rFonts w:ascii="Times New Roman" w:hAnsi="Times New Roman" w:cs="Times New Roman"/>
          <w:lang w:val="en-GB"/>
        </w:rPr>
        <w:t xml:space="preserve">broad geographic extent, </w:t>
      </w:r>
      <w:r w:rsidR="00ED04BA">
        <w:rPr>
          <w:rFonts w:ascii="Times New Roman" w:hAnsi="Times New Roman" w:cs="Times New Roman"/>
          <w:lang w:val="en-GB"/>
        </w:rPr>
        <w:t xml:space="preserve">with </w:t>
      </w:r>
      <w:r>
        <w:rPr>
          <w:rFonts w:ascii="Times New Roman" w:hAnsi="Times New Roman" w:cs="Times New Roman"/>
          <w:lang w:val="en-GB"/>
        </w:rPr>
        <w:t xml:space="preserve">livelihood </w:t>
      </w:r>
      <w:r>
        <w:rPr>
          <w:rFonts w:ascii="Times New Roman" w:hAnsi="Times New Roman" w:cs="Times New Roman"/>
          <w:lang w:val="en-GB"/>
        </w:rPr>
        <w:lastRenderedPageBreak/>
        <w:t xml:space="preserve">opportunities </w:t>
      </w:r>
      <w:r w:rsidR="0001330C">
        <w:rPr>
          <w:rFonts w:ascii="Times New Roman" w:hAnsi="Times New Roman" w:cs="Times New Roman"/>
          <w:lang w:val="en-GB"/>
        </w:rPr>
        <w:t>(and</w:t>
      </w:r>
      <w:r w:rsidR="00ED04BA">
        <w:rPr>
          <w:rFonts w:ascii="Times New Roman" w:hAnsi="Times New Roman" w:cs="Times New Roman"/>
          <w:lang w:val="en-GB"/>
        </w:rPr>
        <w:t>,</w:t>
      </w:r>
      <w:r w:rsidR="0001330C">
        <w:rPr>
          <w:rFonts w:ascii="Times New Roman" w:hAnsi="Times New Roman" w:cs="Times New Roman"/>
          <w:lang w:val="en-GB"/>
        </w:rPr>
        <w:t xml:space="preserve"> thus</w:t>
      </w:r>
      <w:r w:rsidR="00ED04BA">
        <w:rPr>
          <w:rFonts w:ascii="Times New Roman" w:hAnsi="Times New Roman" w:cs="Times New Roman"/>
          <w:lang w:val="en-GB"/>
        </w:rPr>
        <w:t>,</w:t>
      </w:r>
      <w:r w:rsidR="0001330C">
        <w:rPr>
          <w:rFonts w:ascii="Times New Roman" w:hAnsi="Times New Roman" w:cs="Times New Roman"/>
          <w:lang w:val="en-GB"/>
        </w:rPr>
        <w:t xml:space="preserve"> the ability to put in place reversible coping mechanisms) </w:t>
      </w:r>
      <w:r>
        <w:rPr>
          <w:rFonts w:ascii="Times New Roman" w:hAnsi="Times New Roman" w:cs="Times New Roman"/>
          <w:lang w:val="en-GB"/>
        </w:rPr>
        <w:t xml:space="preserve">being conditioned by </w:t>
      </w:r>
      <w:r w:rsidR="0001330C">
        <w:rPr>
          <w:rFonts w:ascii="Times New Roman" w:hAnsi="Times New Roman" w:cs="Times New Roman"/>
          <w:lang w:val="en-GB"/>
        </w:rPr>
        <w:t xml:space="preserve">access to community capitals </w:t>
      </w:r>
      <w:r w:rsidR="0001330C">
        <w:rPr>
          <w:rFonts w:ascii="Times New Roman" w:hAnsi="Times New Roman" w:cs="Times New Roman"/>
          <w:lang w:val="en-GB"/>
        </w:rPr>
        <w:fldChar w:fldCharType="begin" w:fldLock="1"/>
      </w:r>
      <w:r w:rsidR="0001330C">
        <w:rPr>
          <w:rFonts w:ascii="Times New Roman" w:hAnsi="Times New Roman" w:cs="Times New Roman"/>
          <w:lang w:val="en-GB"/>
        </w:rPr>
        <w:instrText>ADDIN CSL_CITATION {"citationItems":[{"id":"ITEM-1","itemData":{"DOI":"10.1007/s13280-019-01150-9","author":[{"dropping-particle":"","family":"Berchoux","given":"Tristan","non-dropping-particle":"","parse-names":false,"suffix":""},{"dropping-particle":"","family":"Watmough","given":"Gary R","non-dropping-particle":"","parse-names":false,"suffix":""},{"dropping-particle":"","family":"Johnson","given":"Fiifi Amoako","non-dropping-particle":"","parse-names":false,"suffix":""},{"dropping-particle":"","family":"Hutton","given":"Craig W","non-dropping-particle":"","parse-names":false,"suffix":""},{"dropping-particle":"","family":"Atkinson","given":"Peter M","non-dropping-particle":"","parse-names":false,"suffix":""}],"container-title":"Ambio","id":"ITEM-1","issued":{"date-parts":[["2019"]]},"title":"Collective influence of household and community capitals on agricultural employment as a measure of rural poverty in the Mahanadi Delta, India","type":"article-journal"},"uris":["http://www.mendeley.com/documents/?uuid=c72e9731-5426-40f4-8bd5-87ed1be61e80"]}],"mendeley":{"formattedCitation":"(Berchoux et al., 2019)","plainTextFormattedCitation":"(Berchoux et al., 2019)"},"properties":{"noteIndex":0},"schema":"https://github.com/citation-style-language/schema/raw/master/csl-citation.json"}</w:instrText>
      </w:r>
      <w:r w:rsidR="0001330C">
        <w:rPr>
          <w:rFonts w:ascii="Times New Roman" w:hAnsi="Times New Roman" w:cs="Times New Roman"/>
          <w:lang w:val="en-GB"/>
        </w:rPr>
        <w:fldChar w:fldCharType="separate"/>
      </w:r>
      <w:r w:rsidR="0001330C" w:rsidRPr="0001330C">
        <w:rPr>
          <w:rFonts w:ascii="Times New Roman" w:hAnsi="Times New Roman" w:cs="Times New Roman"/>
          <w:noProof/>
          <w:lang w:val="en-GB"/>
        </w:rPr>
        <w:t>(Berchoux et al., 2019)</w:t>
      </w:r>
      <w:r w:rsidR="0001330C">
        <w:rPr>
          <w:rFonts w:ascii="Times New Roman" w:hAnsi="Times New Roman" w:cs="Times New Roman"/>
          <w:lang w:val="en-GB"/>
        </w:rPr>
        <w:fldChar w:fldCharType="end"/>
      </w:r>
      <w:r w:rsidR="0001330C">
        <w:rPr>
          <w:rFonts w:ascii="Times New Roman" w:hAnsi="Times New Roman" w:cs="Times New Roman"/>
          <w:lang w:val="en-GB"/>
        </w:rPr>
        <w:t>.</w:t>
      </w:r>
    </w:p>
    <w:p w14:paraId="4E08D275" w14:textId="77777777" w:rsidR="00A8561B" w:rsidRPr="006E32E9" w:rsidRDefault="00A8561B" w:rsidP="00B87376">
      <w:pPr>
        <w:ind w:firstLine="0"/>
        <w:rPr>
          <w:lang w:val="en-GB"/>
        </w:rPr>
      </w:pPr>
    </w:p>
    <w:p w14:paraId="6C31AE3B" w14:textId="3E7D2512" w:rsidR="00396C38" w:rsidRPr="006E32E9" w:rsidRDefault="00AE6B3E" w:rsidP="00396C38">
      <w:pPr>
        <w:pStyle w:val="Heading1"/>
        <w:rPr>
          <w:rFonts w:ascii="Times New Roman" w:hAnsi="Times New Roman" w:cs="Times New Roman"/>
          <w:lang w:val="en-GB"/>
        </w:rPr>
      </w:pPr>
      <w:r w:rsidRPr="006E32E9">
        <w:rPr>
          <w:rFonts w:ascii="Times New Roman" w:hAnsi="Times New Roman" w:cs="Times New Roman"/>
          <w:lang w:val="en-GB"/>
        </w:rPr>
        <w:lastRenderedPageBreak/>
        <w:t>Conceptual framework</w:t>
      </w:r>
    </w:p>
    <w:p w14:paraId="207E97BD" w14:textId="697A456D" w:rsidR="0042553E" w:rsidRPr="006E32E9" w:rsidRDefault="00A8561B" w:rsidP="0042553E">
      <w:pPr>
        <w:ind w:firstLine="0"/>
        <w:rPr>
          <w:rFonts w:ascii="Times New Roman" w:hAnsi="Times New Roman" w:cs="Times New Roman"/>
          <w:lang w:val="en-GB"/>
        </w:rPr>
      </w:pPr>
      <w:r w:rsidRPr="006E32E9">
        <w:rPr>
          <w:rFonts w:ascii="Times New Roman" w:hAnsi="Times New Roman" w:cs="Times New Roman"/>
          <w:lang w:val="en-GB"/>
        </w:rPr>
        <w:t xml:space="preserve">The approach taken in this paper (Figure 1) is based on the household livelihood strategy framework </w:t>
      </w:r>
      <w:r w:rsidR="00D37B35" w:rsidRPr="006E32E9">
        <w:rPr>
          <w:rFonts w:ascii="Times New Roman" w:hAnsi="Times New Roman" w:cs="Times New Roman"/>
          <w:lang w:val="en-GB"/>
        </w:rPr>
        <w:fldChar w:fldCharType="begin" w:fldLock="1"/>
      </w:r>
      <w:r w:rsidR="00BC7A96" w:rsidRPr="006E32E9">
        <w:rPr>
          <w:rFonts w:ascii="Times New Roman" w:hAnsi="Times New Roman" w:cs="Times New Roman"/>
          <w:lang w:val="en-GB"/>
        </w:rPr>
        <w:instrText>ADDIN CSL_CITATION {"citationItems":[{"id":"ITEM-1","itemData":{"DOI":"10.1111/j.1574-0862.2012.00632.x","ISSN":"01695150","author":[{"dropping-particle":"","family":"Nielsen","given":"Øystein Juul","non-dropping-particle":"","parse-names":false,"suffix":""},{"dropping-particle":"","family":"Rayamajhi","given":"Santosh","non-dropping-particle":"","parse-names":false,"suffix":""},{"dropping-particle":"","family":"Uberhuaga","given":"Patricia","non-dropping-particle":"","parse-names":false,"suffix":""},{"dropping-particle":"","family":"Meilby","given":"Henrik","non-dropping-particle":"","parse-names":false,"suffix":""},{"dropping-particle":"","family":"Smith-Hall","given":"Carsten","non-dropping-particle":"","parse-names":false,"suffix":""}],"container-title":"Agricultural Economics","id":"ITEM-1","issue":"1","issued":{"date-parts":[["2013","1","20"]]},"page":"57-71","title":"Quantifying rural livelihood strategies in developing countries using an activity choice approach","type":"article-journal","volume":"44"},"uris":["http://www.mendeley.com/documents/?uuid=c85e3f42-36bc-4fff-9d5b-4c6bc16e9601"]}],"mendeley":{"formattedCitation":"(Nielsen, Rayamajhi, Uberhuaga, Meilby, &amp; Smith-Hall, 2013)","plainTextFormattedCitation":"(Nielsen, Rayamajhi, Uberhuaga, Meilby, &amp; Smith-Hall, 2013)","previouslyFormattedCitation":"(Nielsen, Rayamajhi, Uberhuaga, Meilby, &amp; Smith-Hall, 2013)"},"properties":{"noteIndex":0},"schema":"https://github.com/citation-style-language/schema/raw/master/csl-citation.json"}</w:instrText>
      </w:r>
      <w:r w:rsidR="00D37B35" w:rsidRPr="006E32E9">
        <w:rPr>
          <w:rFonts w:ascii="Times New Roman" w:hAnsi="Times New Roman" w:cs="Times New Roman"/>
          <w:lang w:val="en-GB"/>
        </w:rPr>
        <w:fldChar w:fldCharType="separate"/>
      </w:r>
      <w:r w:rsidR="002B1556" w:rsidRPr="006E32E9">
        <w:rPr>
          <w:rFonts w:ascii="Times New Roman" w:hAnsi="Times New Roman" w:cs="Times New Roman"/>
          <w:noProof/>
          <w:lang w:val="en-GB"/>
        </w:rPr>
        <w:t>(Nielsen, Rayamajhi, Uberhuaga, Meilby, &amp; Smith-Hall, 2013)</w:t>
      </w:r>
      <w:r w:rsidR="00D37B35" w:rsidRPr="006E32E9">
        <w:rPr>
          <w:rFonts w:ascii="Times New Roman" w:hAnsi="Times New Roman" w:cs="Times New Roman"/>
          <w:lang w:val="en-GB"/>
        </w:rPr>
        <w:fldChar w:fldCharType="end"/>
      </w:r>
      <w:r w:rsidR="0042553E">
        <w:rPr>
          <w:rFonts w:ascii="Times New Roman" w:hAnsi="Times New Roman" w:cs="Times New Roman"/>
          <w:lang w:val="en-GB"/>
        </w:rPr>
        <w:t xml:space="preserve"> and </w:t>
      </w:r>
      <w:r w:rsidR="0042553E" w:rsidRPr="006E32E9">
        <w:rPr>
          <w:rFonts w:ascii="Times New Roman" w:hAnsi="Times New Roman" w:cs="Times New Roman"/>
          <w:lang w:val="en-GB"/>
        </w:rPr>
        <w:t xml:space="preserve">shows the different components used to understand how access to community capitals can influence the </w:t>
      </w:r>
      <w:r w:rsidR="0042553E">
        <w:rPr>
          <w:rFonts w:ascii="Times New Roman" w:hAnsi="Times New Roman" w:cs="Times New Roman"/>
          <w:lang w:val="en-GB"/>
        </w:rPr>
        <w:t>associations</w:t>
      </w:r>
      <w:r w:rsidR="0042553E" w:rsidRPr="006E32E9">
        <w:rPr>
          <w:rFonts w:ascii="Times New Roman" w:hAnsi="Times New Roman" w:cs="Times New Roman"/>
          <w:lang w:val="en-GB"/>
        </w:rPr>
        <w:t xml:space="preserve"> between </w:t>
      </w:r>
      <w:r w:rsidR="0042553E">
        <w:rPr>
          <w:rFonts w:ascii="Times New Roman" w:hAnsi="Times New Roman" w:cs="Times New Roman"/>
          <w:lang w:val="en-GB"/>
        </w:rPr>
        <w:t xml:space="preserve">precarious livelihoods, agricultural shocks and livelihood </w:t>
      </w:r>
      <w:r w:rsidR="0042553E" w:rsidRPr="006E32E9">
        <w:rPr>
          <w:rFonts w:ascii="Times New Roman" w:hAnsi="Times New Roman" w:cs="Times New Roman"/>
          <w:lang w:val="en-GB"/>
        </w:rPr>
        <w:t>capitals</w:t>
      </w:r>
      <w:r w:rsidR="0042553E">
        <w:rPr>
          <w:rFonts w:ascii="Times New Roman" w:hAnsi="Times New Roman" w:cs="Times New Roman"/>
          <w:lang w:val="en-GB"/>
        </w:rPr>
        <w:t>.</w:t>
      </w:r>
    </w:p>
    <w:p w14:paraId="6E3A44C9" w14:textId="392C0491" w:rsidR="00730CFC" w:rsidRPr="00432C29" w:rsidRDefault="00AE6B3E" w:rsidP="00365315">
      <w:pPr>
        <w:ind w:firstLine="0"/>
        <w:rPr>
          <w:rFonts w:ascii="Times New Roman" w:hAnsi="Times New Roman" w:cs="Times New Roman"/>
          <w:lang w:val="en-GB"/>
        </w:rPr>
      </w:pPr>
      <w:r w:rsidRPr="006E32E9">
        <w:rPr>
          <w:rFonts w:ascii="Times New Roman" w:hAnsi="Times New Roman" w:cs="Times New Roman"/>
          <w:lang w:val="en-GB"/>
        </w:rPr>
        <w:t xml:space="preserve">A livelihood system </w:t>
      </w:r>
      <w:r w:rsidR="00676E0E" w:rsidRPr="006E32E9">
        <w:rPr>
          <w:rFonts w:ascii="Times New Roman" w:hAnsi="Times New Roman" w:cs="Times New Roman"/>
          <w:lang w:val="en-GB"/>
        </w:rPr>
        <w:t xml:space="preserve">combines </w:t>
      </w:r>
      <w:r w:rsidRPr="006E32E9">
        <w:rPr>
          <w:rFonts w:ascii="Times New Roman" w:hAnsi="Times New Roman" w:cs="Times New Roman"/>
          <w:lang w:val="en-GB"/>
        </w:rPr>
        <w:t xml:space="preserve">the capabilities, assets and activities of one household to achieve its means of living </w:t>
      </w:r>
      <w:r w:rsidR="00D37B35" w:rsidRPr="006E32E9">
        <w:rPr>
          <w:rFonts w:ascii="Times New Roman" w:hAnsi="Times New Roman" w:cs="Times New Roman"/>
          <w:lang w:val="en-GB"/>
        </w:rPr>
        <w:fldChar w:fldCharType="begin" w:fldLock="1"/>
      </w:r>
      <w:r w:rsidR="00D579F3" w:rsidRPr="006E32E9">
        <w:rPr>
          <w:rFonts w:ascii="Times New Roman" w:hAnsi="Times New Roman" w:cs="Times New Roman"/>
          <w:lang w:val="en-GB"/>
        </w:rPr>
        <w:instrText>ADDIN CSL_CITATION {"citationItems":[{"id":"ITEM-1","itemData":{"ISBN":"1853398748","author":[{"dropping-particle":"","family":"Scoones","given":"Ian","non-dropping-particle":"","parse-names":false,"suffix":""}],"id":"ITEM-1","issued":{"date-parts":[["2015"]]},"publisher":"Practical Action Publishing","title":"Sustainable livelihoods and rural development","type":"book"},"uris":["http://www.mendeley.com/documents/?uuid=f707393a-3183-41d3-8ce6-261c76957ef1"]}],"mendeley":{"formattedCitation":"(Scoones, 2015)","plainTextFormattedCitation":"(Scoones, 2015)","previouslyFormattedCitation":"(Scoones, 2015)"},"properties":{"noteIndex":0},"schema":"https://github.com/citation-style-language/schema/raw/master/csl-citation.json"}</w:instrText>
      </w:r>
      <w:r w:rsidR="00D37B35" w:rsidRPr="006E32E9">
        <w:rPr>
          <w:rFonts w:ascii="Times New Roman" w:hAnsi="Times New Roman" w:cs="Times New Roman"/>
          <w:lang w:val="en-GB"/>
        </w:rPr>
        <w:fldChar w:fldCharType="separate"/>
      </w:r>
      <w:r w:rsidR="00D579F3" w:rsidRPr="006E32E9">
        <w:rPr>
          <w:rFonts w:ascii="Times New Roman" w:hAnsi="Times New Roman" w:cs="Times New Roman"/>
          <w:noProof/>
          <w:lang w:val="en-GB"/>
        </w:rPr>
        <w:t>(Scoones, 2015)</w:t>
      </w:r>
      <w:r w:rsidR="00D37B35" w:rsidRPr="006E32E9">
        <w:rPr>
          <w:rFonts w:ascii="Times New Roman" w:hAnsi="Times New Roman" w:cs="Times New Roman"/>
          <w:lang w:val="en-GB"/>
        </w:rPr>
        <w:fldChar w:fldCharType="end"/>
      </w:r>
      <w:r w:rsidRPr="006E32E9">
        <w:rPr>
          <w:rFonts w:ascii="Times New Roman" w:hAnsi="Times New Roman" w:cs="Times New Roman"/>
          <w:lang w:val="en-GB"/>
        </w:rPr>
        <w:t>. Assets are resources that people have access to, which can be private goods (household capitals) or public goods (community capitals). Household assets are grouped into a set of five livelihood capitals: natural (</w:t>
      </w:r>
      <w:r w:rsidR="00522206">
        <w:rPr>
          <w:rFonts w:ascii="Times New Roman" w:hAnsi="Times New Roman" w:cs="Times New Roman"/>
          <w:lang w:val="en-GB"/>
        </w:rPr>
        <w:t xml:space="preserve">private </w:t>
      </w:r>
      <w:r w:rsidRPr="006E32E9">
        <w:rPr>
          <w:rFonts w:ascii="Times New Roman" w:hAnsi="Times New Roman" w:cs="Times New Roman"/>
          <w:lang w:val="en-GB"/>
        </w:rPr>
        <w:t xml:space="preserve">natural resource stocks), physical (productive assets), financial (liquidities and protective assets), human (capabilities and capacities of the households) and social (networks and kinships). </w:t>
      </w:r>
      <w:r w:rsidR="00432C29">
        <w:rPr>
          <w:rFonts w:ascii="Times New Roman" w:hAnsi="Times New Roman" w:cs="Times New Roman"/>
          <w:lang w:val="en-GB"/>
        </w:rPr>
        <w:t>Regarding community capitals</w:t>
      </w:r>
      <w:r w:rsidRPr="006E32E9">
        <w:rPr>
          <w:rFonts w:ascii="Times New Roman" w:hAnsi="Times New Roman" w:cs="Times New Roman"/>
          <w:lang w:val="en-GB"/>
        </w:rPr>
        <w:t xml:space="preserve">, three categories </w:t>
      </w:r>
      <w:r w:rsidR="00432C29">
        <w:rPr>
          <w:rFonts w:ascii="Times New Roman" w:hAnsi="Times New Roman" w:cs="Times New Roman"/>
          <w:lang w:val="en-GB"/>
        </w:rPr>
        <w:t xml:space="preserve">can be differentiated </w:t>
      </w:r>
      <w:r w:rsidR="00D37B35" w:rsidRPr="006E32E9">
        <w:rPr>
          <w:rFonts w:ascii="Times New Roman" w:hAnsi="Times New Roman" w:cs="Times New Roman"/>
          <w:lang w:val="en-GB"/>
        </w:rPr>
        <w:fldChar w:fldCharType="begin" w:fldLock="1"/>
      </w:r>
      <w:r w:rsidR="004319B0" w:rsidRPr="006E32E9">
        <w:rPr>
          <w:rFonts w:ascii="Times New Roman" w:hAnsi="Times New Roman" w:cs="Times New Roman"/>
          <w:lang w:val="en-GB"/>
        </w:rPr>
        <w:instrText>ADDIN CSL_CITATION {"citationItems":[{"id":"ITEM-1","itemData":{"ISBN":"0813349710","author":[{"dropping-particle":"","family":"Flora","given":"Cornelia Butler","non-dropping-particle":"","parse-names":false,"suffix":""},{"dropping-particle":"","family":"Flora","given":"Jan L","non-dropping-particle":"","parse-names":false,"suffix":""},{"dropping-particle":"","family":"Gasteyer","given":"Stephen P","non-dropping-particle":"","parse-names":false,"suffix":""}],"id":"ITEM-1","issued":{"date-parts":[["2015"]]},"title":"Rural communities: Legacy+ change","type":"book"},"uris":["http://www.mendeley.com/documents/?uuid=9583f79b-dc4f-4c08-9f2f-52a6490639e1"]}],"mendeley":{"formattedCitation":"(Flora, Flora, &amp; Gasteyer, 2015)","plainTextFormattedCitation":"(Flora, Flora, &amp; Gasteyer, 2015)","previouslyFormattedCitation":"(Flora, Flora, &amp; Gasteyer, 2015)"},"properties":{"noteIndex":0},"schema":"https://github.com/citation-style-language/schema/raw/master/csl-citation.json"}</w:instrText>
      </w:r>
      <w:r w:rsidR="00D37B35" w:rsidRPr="006E32E9">
        <w:rPr>
          <w:rFonts w:ascii="Times New Roman" w:hAnsi="Times New Roman" w:cs="Times New Roman"/>
          <w:lang w:val="en-GB"/>
        </w:rPr>
        <w:fldChar w:fldCharType="separate"/>
      </w:r>
      <w:r w:rsidR="009504F0" w:rsidRPr="006E32E9">
        <w:rPr>
          <w:rFonts w:ascii="Times New Roman" w:hAnsi="Times New Roman" w:cs="Times New Roman"/>
          <w:noProof/>
          <w:lang w:val="en-GB"/>
        </w:rPr>
        <w:t>(Flora, Flora, &amp; Gasteyer, 2015)</w:t>
      </w:r>
      <w:r w:rsidR="00D37B35" w:rsidRPr="006E32E9">
        <w:rPr>
          <w:rFonts w:ascii="Times New Roman" w:hAnsi="Times New Roman" w:cs="Times New Roman"/>
          <w:lang w:val="en-GB"/>
        </w:rPr>
        <w:fldChar w:fldCharType="end"/>
      </w:r>
      <w:r w:rsidRPr="006E32E9">
        <w:rPr>
          <w:rFonts w:ascii="Times New Roman" w:hAnsi="Times New Roman" w:cs="Times New Roman"/>
          <w:lang w:val="en-GB"/>
        </w:rPr>
        <w:t xml:space="preserve">: </w:t>
      </w:r>
      <w:r w:rsidR="00522206">
        <w:rPr>
          <w:rFonts w:ascii="Times New Roman" w:hAnsi="Times New Roman" w:cs="Times New Roman"/>
          <w:lang w:val="en-GB"/>
        </w:rPr>
        <w:t xml:space="preserve">common-pool </w:t>
      </w:r>
      <w:r w:rsidRPr="006E32E9">
        <w:rPr>
          <w:rFonts w:ascii="Times New Roman" w:hAnsi="Times New Roman" w:cs="Times New Roman"/>
          <w:lang w:val="en-GB"/>
        </w:rPr>
        <w:t xml:space="preserve">natural resources, social services (access to social amenities) and productive infrastructures (road networks, markets and industries). Based on their access to community and household assets, households put in place a range of livelihood activities to achieve their basic needs. Livelihood opportunities depend on the household and community capitals that households have access to. </w:t>
      </w:r>
      <w:r w:rsidR="00522206" w:rsidRPr="00505A29">
        <w:rPr>
          <w:rFonts w:ascii="Times New Roman" w:hAnsi="Times New Roman" w:cs="Times New Roman"/>
          <w:lang w:val="en-GB"/>
        </w:rPr>
        <w:t>The combination of capitals and activities lead</w:t>
      </w:r>
      <w:r w:rsidR="00ED04BA">
        <w:rPr>
          <w:rFonts w:ascii="Times New Roman" w:hAnsi="Times New Roman" w:cs="Times New Roman"/>
          <w:lang w:val="en-GB"/>
        </w:rPr>
        <w:t>s</w:t>
      </w:r>
      <w:r w:rsidR="00522206" w:rsidRPr="00505A29">
        <w:rPr>
          <w:rFonts w:ascii="Times New Roman" w:hAnsi="Times New Roman" w:cs="Times New Roman"/>
          <w:lang w:val="en-GB"/>
        </w:rPr>
        <w:t xml:space="preserve"> to livelihood outcomes if the household does not face any shocks, which are reinvested in the system. In the case of a shock (internal or external), households can implement three types of coping strategies depending on their assets</w:t>
      </w:r>
      <w:r w:rsidR="00ED04BA">
        <w:rPr>
          <w:rFonts w:ascii="Times New Roman" w:hAnsi="Times New Roman" w:cs="Times New Roman"/>
          <w:lang w:val="en-GB"/>
        </w:rPr>
        <w:t xml:space="preserve">, as well as </w:t>
      </w:r>
      <w:r w:rsidR="00522206" w:rsidRPr="00505A29">
        <w:rPr>
          <w:rFonts w:ascii="Times New Roman" w:hAnsi="Times New Roman" w:cs="Times New Roman"/>
          <w:lang w:val="en-GB"/>
        </w:rPr>
        <w:t>public assets from the community they live in: reversible mechanisms (activity shift, sell of protective assets), disposal of productive assets (sell land) and destitution (unemployment, distress migration)</w:t>
      </w:r>
      <w:r w:rsidR="000C458F">
        <w:rPr>
          <w:rFonts w:ascii="Times New Roman" w:hAnsi="Times New Roman" w:cs="Times New Roman"/>
          <w:lang w:val="en-GB"/>
        </w:rPr>
        <w:t>.</w:t>
      </w:r>
    </w:p>
    <w:p w14:paraId="263F6595" w14:textId="77777777" w:rsidR="003A3FA3" w:rsidRPr="006E32E9" w:rsidRDefault="00365315" w:rsidP="005336A8">
      <w:pPr>
        <w:pStyle w:val="TableFigure"/>
      </w:pPr>
      <w:r w:rsidRPr="006E32E9">
        <w:rPr>
          <w:noProof/>
          <w:lang w:eastAsia="en-GB"/>
        </w:rPr>
        <w:lastRenderedPageBreak/>
        <w:drawing>
          <wp:inline distT="0" distB="0" distL="0" distR="0" wp14:anchorId="16BBB8E5" wp14:editId="7DC69D38">
            <wp:extent cx="5943600" cy="3372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framework.png"/>
                    <pic:cNvPicPr/>
                  </pic:nvPicPr>
                  <pic:blipFill>
                    <a:blip r:embed="rId15"/>
                    <a:stretch>
                      <a:fillRect/>
                    </a:stretch>
                  </pic:blipFill>
                  <pic:spPr>
                    <a:xfrm>
                      <a:off x="0" y="0"/>
                      <a:ext cx="5943600" cy="3372485"/>
                    </a:xfrm>
                    <a:prstGeom prst="rect">
                      <a:avLst/>
                    </a:prstGeom>
                  </pic:spPr>
                </pic:pic>
              </a:graphicData>
            </a:graphic>
          </wp:inline>
        </w:drawing>
      </w:r>
    </w:p>
    <w:p w14:paraId="194EA807" w14:textId="4BCEDDAA" w:rsidR="00365315" w:rsidRPr="006E32E9" w:rsidRDefault="003A3FA3" w:rsidP="005336A8">
      <w:pPr>
        <w:pStyle w:val="Caption"/>
        <w:rPr>
          <w:lang w:val="en-GB"/>
        </w:rPr>
      </w:pPr>
      <w:bookmarkStart w:id="1" w:name="_Ref516148869"/>
      <w:r w:rsidRPr="006E32E9">
        <w:rPr>
          <w:lang w:val="en-GB"/>
        </w:rPr>
        <w:t xml:space="preserve">Figure </w:t>
      </w:r>
      <w:r w:rsidRPr="006E32E9">
        <w:rPr>
          <w:lang w:val="en-GB"/>
        </w:rPr>
        <w:fldChar w:fldCharType="begin"/>
      </w:r>
      <w:r w:rsidRPr="006E32E9">
        <w:rPr>
          <w:lang w:val="en-GB"/>
        </w:rPr>
        <w:instrText xml:space="preserve"> SEQ Figure \* ARABIC </w:instrText>
      </w:r>
      <w:r w:rsidRPr="006E32E9">
        <w:rPr>
          <w:lang w:val="en-GB"/>
        </w:rPr>
        <w:fldChar w:fldCharType="separate"/>
      </w:r>
      <w:r w:rsidR="00B7132F" w:rsidRPr="006E32E9">
        <w:rPr>
          <w:noProof/>
          <w:lang w:val="en-GB"/>
        </w:rPr>
        <w:t>1</w:t>
      </w:r>
      <w:r w:rsidRPr="006E32E9">
        <w:rPr>
          <w:lang w:val="en-GB"/>
        </w:rPr>
        <w:fldChar w:fldCharType="end"/>
      </w:r>
      <w:bookmarkEnd w:id="1"/>
      <w:r w:rsidRPr="006E32E9">
        <w:rPr>
          <w:lang w:val="en-GB"/>
        </w:rPr>
        <w:t xml:space="preserve">: Dynamic multilevel livelihood </w:t>
      </w:r>
      <w:r w:rsidR="000C458F" w:rsidRPr="006E32E9">
        <w:rPr>
          <w:lang w:val="en-GB"/>
        </w:rPr>
        <w:t>framework.</w:t>
      </w:r>
    </w:p>
    <w:p w14:paraId="57113C6A" w14:textId="77777777" w:rsidR="00AE6B3E" w:rsidRPr="006E32E9" w:rsidRDefault="00AE6B3E" w:rsidP="00AE6B3E">
      <w:pPr>
        <w:ind w:firstLine="0"/>
        <w:rPr>
          <w:rFonts w:ascii="Times New Roman" w:hAnsi="Times New Roman" w:cs="Times New Roman"/>
          <w:lang w:val="en-GB"/>
        </w:rPr>
      </w:pPr>
    </w:p>
    <w:p w14:paraId="3941EB4C" w14:textId="50ABA9A9" w:rsidR="00396C38" w:rsidRDefault="00C003A8" w:rsidP="00396C38">
      <w:pPr>
        <w:pStyle w:val="Heading1"/>
        <w:rPr>
          <w:rFonts w:ascii="Times New Roman" w:hAnsi="Times New Roman" w:cs="Times New Roman"/>
          <w:lang w:val="en-GB"/>
        </w:rPr>
      </w:pPr>
      <w:r w:rsidRPr="006E32E9">
        <w:rPr>
          <w:rFonts w:ascii="Times New Roman" w:hAnsi="Times New Roman" w:cs="Times New Roman"/>
          <w:lang w:val="en-GB"/>
        </w:rPr>
        <w:lastRenderedPageBreak/>
        <w:t>Methods</w:t>
      </w:r>
    </w:p>
    <w:p w14:paraId="0AB95166" w14:textId="27662137" w:rsidR="00C87882" w:rsidRDefault="00C87882" w:rsidP="00C87882">
      <w:pPr>
        <w:ind w:firstLine="0"/>
        <w:rPr>
          <w:rFonts w:ascii="Times New Roman" w:hAnsi="Times New Roman" w:cs="Times New Roman"/>
          <w:lang w:val="en-GB"/>
        </w:rPr>
      </w:pPr>
      <w:r w:rsidRPr="006E32E9">
        <w:rPr>
          <w:rFonts w:ascii="Times New Roman" w:hAnsi="Times New Roman" w:cs="Times New Roman"/>
          <w:lang w:val="en-GB"/>
        </w:rPr>
        <w:t xml:space="preserve">Most of the people who live in </w:t>
      </w:r>
      <w:r>
        <w:rPr>
          <w:rFonts w:ascii="Times New Roman" w:hAnsi="Times New Roman" w:cs="Times New Roman"/>
          <w:lang w:val="en-GB"/>
        </w:rPr>
        <w:t xml:space="preserve">deltas </w:t>
      </w:r>
      <w:r w:rsidRPr="006E32E9">
        <w:rPr>
          <w:rFonts w:ascii="Times New Roman" w:hAnsi="Times New Roman" w:cs="Times New Roman"/>
          <w:lang w:val="en-GB"/>
        </w:rPr>
        <w:t xml:space="preserve">rely on agriculture to ensure their food security and to generate economic incomes. However, deltas are exposed to multiple stressors arising from both terrestrial (such as run-off from rivers) and marine processes (such as storms, waves or sea-level from oceans), which are a threat for rural populations relying on agriculture for their livelihoods. Moreover, deltas are one of the most exposed ecosystems to climate change </w:t>
      </w:r>
      <w:r w:rsidRPr="006E32E9">
        <w:rPr>
          <w:rFonts w:ascii="Times New Roman" w:hAnsi="Times New Roman" w:cs="Times New Roman"/>
          <w:lang w:val="en-GB"/>
        </w:rPr>
        <w:fldChar w:fldCharType="begin" w:fldLock="1"/>
      </w:r>
      <w:r w:rsidRPr="006E32E9">
        <w:rPr>
          <w:rFonts w:ascii="Times New Roman" w:hAnsi="Times New Roman" w:cs="Times New Roman"/>
          <w:lang w:val="en-GB"/>
        </w:rPr>
        <w:instrText>ADDIN CSL_CITATION {"citationItems":[{"id":"ITEM-1","itemData":{"DOI":"10.1016/j.gloplacha.2005.07.004","ISSN":"09218181","abstract":"An assessment is made of contemporary effective sea-level rise (ESLR) for a sample of 40 deltas distributed worldwide. For any delta, ESLR is a net rate, defined by the combination of eustatic sea-level rise, the natural gross rate of fluvial sediment deposition and subsidence, and accelerated subsidence due to groundwater and hydrocarbon extraction. ESLR is estimated under present conditions using a digital data set of delta boundaries and a simple model of delta dynamics. The deltas in this study represent all major climate zones, levels of population density, and degrees of economic development. Collectively, the sampled deltas serve as the endpoint for river basins draining 30% of the Earth's landmass, and 42% of global terrestrial runoff. Nearly 300 million people inhabit these deltas. For the contemporary baseline, ESLR estimates range from 0.5 to 12.5 mm yr−1. Decreased accretion of fluvial sediment resulting from upstream siltation of artificial impoundments and consumptive losses of runoff from irrigation are the primary determinants of ESLR in nearly 70% of the deltas. Approximately 20% of the deltas show accelerated subsidence, while only 12% show eustatic sea-level rise as the predominant effect. Extrapolating contemporary rates of ESLR through 2050 reveals that 8.7 million people and 28,000 km2 of deltaic area in the sample set of deltas could suffer from enhanced inundation and increased coastal erosion. The population and area inundated rise significantly when considering increased flood risk due to storm surge. This study finds that direct anthropogenic effects determine ESLR in the majority of deltas studied, with a relatively less important role for eustatic sea-level rise. Serious challenges to human occupancy of deltaic regions worldwide are thus conveyed by factors which to date have been studied less comprehensively than the climate change–sea-level rise question.","author":[{"dropping-particle":"","family":"Ericson","given":"J","non-dropping-particle":"","parse-names":false,"suffix":""},{"dropping-particle":"","family":"Vorosmarty","given":"C","non-dropping-particle":"","parse-names":false,"suffix":""},{"dropping-particle":"","family":"Dingman","given":"S","non-dropping-particle":"","parse-names":false,"suffix":""},{"dropping-particle":"","family":"Ward","given":"L","non-dropping-particle":"","parse-names":false,"suffix":""},{"dropping-particle":"","family":"Meybeck","given":"M","non-dropping-particle":"","parse-names":false,"suffix":""}],"container-title":"Global and Planetary Change","id":"ITEM-1","issue":"1-2","issued":{"date-parts":[["2006","2"]]},"page":"63-82","title":"Effective sea-level rise and deltas: Causes of change and human dimension implications","type":"article-journal","volume":"50"},"uris":["http://www.mendeley.com/documents/?uuid=3656790d-518a-4abb-ba74-4e17b8b2edbd"]}],"mendeley":{"formattedCitation":"(Ericson, Vorosmarty, Dingman, Ward, &amp; Meybeck, 2006)","plainTextFormattedCitation":"(Ericson, Vorosmarty, Dingman, Ward, &amp; Meybeck, 2006)","previouslyFormattedCitation":"(Ericson, Vorosmarty, Dingman, Ward, &amp; Meybeck, 2006)"},"properties":{"noteIndex":0},"schema":"https://github.com/citation-style-language/schema/raw/master/csl-citation.json"}</w:instrText>
      </w:r>
      <w:r w:rsidRPr="006E32E9">
        <w:rPr>
          <w:rFonts w:ascii="Times New Roman" w:hAnsi="Times New Roman" w:cs="Times New Roman"/>
          <w:lang w:val="en-GB"/>
        </w:rPr>
        <w:fldChar w:fldCharType="separate"/>
      </w:r>
      <w:r w:rsidRPr="006E32E9">
        <w:rPr>
          <w:rFonts w:ascii="Times New Roman" w:hAnsi="Times New Roman" w:cs="Times New Roman"/>
          <w:noProof/>
          <w:lang w:val="en-GB"/>
        </w:rPr>
        <w:t>(Ericson, Vorosmarty, Dingman, Ward, &amp; Meybeck, 2006)</w:t>
      </w:r>
      <w:r w:rsidRPr="006E32E9">
        <w:rPr>
          <w:rFonts w:ascii="Times New Roman" w:hAnsi="Times New Roman" w:cs="Times New Roman"/>
          <w:lang w:val="en-GB"/>
        </w:rPr>
        <w:fldChar w:fldCharType="end"/>
      </w:r>
      <w:r w:rsidRPr="006E32E9">
        <w:rPr>
          <w:rFonts w:ascii="Times New Roman" w:hAnsi="Times New Roman" w:cs="Times New Roman"/>
          <w:lang w:val="en-GB"/>
        </w:rPr>
        <w:t xml:space="preserve">. As a consequence, rural households located in deltas that rely on agriculture are amongst the most vulnerable to climate change, as their main livelihood is highly vulnerable to the projected increase in the frequency of floods and droughts. Despite the ecological services they perform, the economic value they generate and that they are home to around 500 million people </w:t>
      </w:r>
      <w:r w:rsidRPr="006E32E9">
        <w:rPr>
          <w:rFonts w:ascii="Times New Roman" w:hAnsi="Times New Roman" w:cs="Times New Roman"/>
          <w:lang w:val="en-GB"/>
        </w:rPr>
        <w:fldChar w:fldCharType="begin" w:fldLock="1"/>
      </w:r>
      <w:r w:rsidRPr="006E32E9">
        <w:rPr>
          <w:rFonts w:ascii="Times New Roman" w:hAnsi="Times New Roman" w:cs="Times New Roman"/>
          <w:lang w:val="en-GB"/>
        </w:rPr>
        <w:instrText>ADDIN CSL_CITATION {"citationItems":[{"id":"ITEM-1","itemData":{"DOI":"10.1016/j.gloplacha.2005.07.004","ISSN":"09218181","abstract":"An assessment is made of contemporary effective sea-level rise (ESLR) for a sample of 40 deltas distributed worldwide. For any delta, ESLR is a net rate, defined by the combination of eustatic sea-level rise, the natural gross rate of fluvial sediment deposition and subsidence, and accelerated subsidence due to groundwater and hydrocarbon extraction. ESLR is estimated under present conditions using a digital data set of delta boundaries and a simple model of delta dynamics. The deltas in this study represent all major climate zones, levels of population density, and degrees of economic development. Collectively, the sampled deltas serve as the endpoint for river basins draining 30% of the Earth's landmass, and 42% of global terrestrial runoff. Nearly 300 million people inhabit these deltas. For the contemporary baseline, ESLR estimates range from 0.5 to 12.5 mm yr−1. Decreased accretion of fluvial sediment resulting from upstream siltation of artificial impoundments and consumptive losses of runoff from irrigation are the primary determinants of ESLR in nearly 70% of the deltas. Approximately 20% of the deltas show accelerated subsidence, while only 12% show eustatic sea-level rise as the predominant effect. Extrapolating contemporary rates of ESLR through 2050 reveals that 8.7 million people and 28,000 km2 of deltaic area in the sample set of deltas could suffer from enhanced inundation and increased coastal erosion. The population and area inundated rise significantly when considering increased flood risk due to storm surge. This study finds that direct anthropogenic effects determine ESLR in the majority of deltas studied, with a relatively less important role for eustatic sea-level rise. Serious challenges to human occupancy of deltaic regions worldwide are thus conveyed by factors which to date have been studied less comprehensively than the climate change–sea-level rise question.","author":[{"dropping-particle":"","family":"Ericson","given":"J","non-dropping-particle":"","parse-names":false,"suffix":""},{"dropping-particle":"","family":"Vorosmarty","given":"C","non-dropping-particle":"","parse-names":false,"suffix":""},{"dropping-particle":"","family":"Dingman","given":"S","non-dropping-particle":"","parse-names":false,"suffix":""},{"dropping-particle":"","family":"Ward","given":"L","non-dropping-particle":"","parse-names":false,"suffix":""},{"dropping-particle":"","family":"Meybeck","given":"M","non-dropping-particle":"","parse-names":false,"suffix":""}],"container-title":"Global and Planetary Change","id":"ITEM-1","issue":"1-2","issued":{"date-parts":[["2006","2"]]},"page":"63-82","title":"Effective sea-level rise and deltas: Causes of change and human dimension implications","type":"article-journal","volume":"50"},"uris":["http://www.mendeley.com/documents/?uuid=3656790d-518a-4abb-ba74-4e17b8b2edbd"]}],"mendeley":{"formattedCitation":"(Ericson et al., 2006)","plainTextFormattedCitation":"(Ericson et al., 2006)","previouslyFormattedCitation":"(Ericson et al., 2006)"},"properties":{"noteIndex":0},"schema":"https://github.com/citation-style-language/schema/raw/master/csl-citation.json"}</w:instrText>
      </w:r>
      <w:r w:rsidRPr="006E32E9">
        <w:rPr>
          <w:rFonts w:ascii="Times New Roman" w:hAnsi="Times New Roman" w:cs="Times New Roman"/>
          <w:lang w:val="en-GB"/>
        </w:rPr>
        <w:fldChar w:fldCharType="separate"/>
      </w:r>
      <w:r w:rsidRPr="006E32E9">
        <w:rPr>
          <w:rFonts w:ascii="Times New Roman" w:hAnsi="Times New Roman" w:cs="Times New Roman"/>
          <w:noProof/>
          <w:lang w:val="en-GB"/>
        </w:rPr>
        <w:t>(Ericson et al., 2006)</w:t>
      </w:r>
      <w:r w:rsidRPr="006E32E9">
        <w:rPr>
          <w:rFonts w:ascii="Times New Roman" w:hAnsi="Times New Roman" w:cs="Times New Roman"/>
          <w:lang w:val="en-GB"/>
        </w:rPr>
        <w:fldChar w:fldCharType="end"/>
      </w:r>
      <w:r w:rsidRPr="006E32E9">
        <w:rPr>
          <w:rFonts w:ascii="Times New Roman" w:hAnsi="Times New Roman" w:cs="Times New Roman"/>
          <w:lang w:val="en-GB"/>
        </w:rPr>
        <w:t xml:space="preserve">, little attention has been paid to deltas as a socio-ecological unit. </w:t>
      </w:r>
      <w:r>
        <w:rPr>
          <w:rFonts w:ascii="Times New Roman" w:hAnsi="Times New Roman" w:cs="Times New Roman"/>
          <w:lang w:val="en-GB"/>
        </w:rPr>
        <w:t xml:space="preserve">Therefore, we </w:t>
      </w:r>
      <w:r w:rsidR="00775575">
        <w:rPr>
          <w:rFonts w:ascii="Times New Roman" w:hAnsi="Times New Roman" w:cs="Times New Roman"/>
          <w:lang w:val="en-GB"/>
        </w:rPr>
        <w:t>selected</w:t>
      </w:r>
      <w:r>
        <w:rPr>
          <w:rFonts w:ascii="Times New Roman" w:hAnsi="Times New Roman" w:cs="Times New Roman"/>
          <w:lang w:val="en-GB"/>
        </w:rPr>
        <w:t xml:space="preserve"> </w:t>
      </w:r>
      <w:r w:rsidRPr="007F793D">
        <w:rPr>
          <w:rFonts w:ascii="Times New Roman" w:hAnsi="Times New Roman" w:cs="Times New Roman"/>
          <w:lang w:val="en-GB"/>
        </w:rPr>
        <w:t xml:space="preserve">the Mahanadi Delta located within the state of Odisha in East India </w:t>
      </w:r>
      <w:r>
        <w:rPr>
          <w:rFonts w:ascii="Times New Roman" w:hAnsi="Times New Roman" w:cs="Times New Roman"/>
          <w:lang w:val="en-GB"/>
        </w:rPr>
        <w:t>as study site</w:t>
      </w:r>
      <w:r w:rsidRPr="007F793D">
        <w:rPr>
          <w:rFonts w:ascii="Times New Roman" w:hAnsi="Times New Roman" w:cs="Times New Roman"/>
          <w:lang w:val="en-GB"/>
        </w:rPr>
        <w:t>.</w:t>
      </w:r>
    </w:p>
    <w:p w14:paraId="013FD15A" w14:textId="77777777" w:rsidR="00C87882" w:rsidRPr="00C87882" w:rsidRDefault="00C87882" w:rsidP="00C87882">
      <w:pPr>
        <w:ind w:firstLine="0"/>
        <w:rPr>
          <w:rFonts w:ascii="Times New Roman" w:hAnsi="Times New Roman" w:cs="Times New Roman"/>
          <w:lang w:val="en-GB"/>
        </w:rPr>
      </w:pPr>
    </w:p>
    <w:p w14:paraId="220DDF9C" w14:textId="48DF3741" w:rsidR="007F793D" w:rsidRPr="00C87882" w:rsidRDefault="00D177CD" w:rsidP="00C87882">
      <w:pPr>
        <w:pStyle w:val="Heading2"/>
      </w:pPr>
      <w:r>
        <w:t>Study site</w:t>
      </w:r>
    </w:p>
    <w:p w14:paraId="1F52DF03" w14:textId="34741970" w:rsidR="0063767B" w:rsidRDefault="00B11C58" w:rsidP="0063767B">
      <w:pPr>
        <w:ind w:firstLine="0"/>
        <w:rPr>
          <w:rFonts w:ascii="Times New Roman" w:hAnsi="Times New Roman" w:cs="Times New Roman"/>
          <w:lang w:val="en-GB"/>
        </w:rPr>
      </w:pPr>
      <w:r w:rsidRPr="006E32E9">
        <w:rPr>
          <w:rFonts w:ascii="Times New Roman" w:hAnsi="Times New Roman" w:cs="Times New Roman"/>
          <w:lang w:val="en-GB"/>
        </w:rPr>
        <w:t xml:space="preserve">The Mahanadi </w:t>
      </w:r>
      <w:r w:rsidR="006F1242">
        <w:rPr>
          <w:rFonts w:ascii="Times New Roman" w:hAnsi="Times New Roman" w:cs="Times New Roman"/>
          <w:lang w:val="en-GB"/>
        </w:rPr>
        <w:t>D</w:t>
      </w:r>
      <w:r w:rsidRPr="006E32E9">
        <w:rPr>
          <w:rFonts w:ascii="Times New Roman" w:hAnsi="Times New Roman" w:cs="Times New Roman"/>
          <w:lang w:val="en-GB"/>
        </w:rPr>
        <w:t xml:space="preserve">elta in Odisha, India, is a populous delta where livelihood opportunities are affected </w:t>
      </w:r>
      <w:r w:rsidR="00ED04BA">
        <w:rPr>
          <w:rFonts w:ascii="Times New Roman" w:hAnsi="Times New Roman" w:cs="Times New Roman"/>
          <w:lang w:val="en-GB"/>
        </w:rPr>
        <w:t xml:space="preserve">negatively </w:t>
      </w:r>
      <w:r w:rsidRPr="006E32E9">
        <w:rPr>
          <w:rFonts w:ascii="Times New Roman" w:hAnsi="Times New Roman" w:cs="Times New Roman"/>
          <w:lang w:val="en-GB"/>
        </w:rPr>
        <w:t xml:space="preserve">by environmental stressors, such as floods, droughts cyclones, erosion and storm surges. The combination of environmental stresses has resulted in a loss of income for rural households who are dependent on agriculture for their livelihoods (68% of the delta's population), due to major crop failures </w:t>
      </w:r>
      <w:r w:rsidRPr="006E32E9">
        <w:rPr>
          <w:rFonts w:ascii="Times New Roman" w:hAnsi="Times New Roman" w:cs="Times New Roman"/>
          <w:lang w:val="en-GB"/>
        </w:rPr>
        <w:fldChar w:fldCharType="begin" w:fldLock="1"/>
      </w:r>
      <w:r w:rsidRPr="006E32E9">
        <w:rPr>
          <w:rFonts w:ascii="Times New Roman" w:hAnsi="Times New Roman" w:cs="Times New Roman"/>
          <w:lang w:val="en-GB"/>
        </w:rPr>
        <w:instrText>ADDIN CSL_CITATION {"citationItems":[{"id":"ITEM-1","itemData":{"DOI":"10.5751/ES-09559-220403","abstract":"Developing country deltas are important food producing areas and are home to large numbers of subsistence farmers. In particular, rice farmers dominate the populous deltas of South and Southeast Asia and face frequent climate hazards that have short- and long-term impacts on rice production and livelihoods. The aim of this study is to identify and explain proximal and ultimate factors (land access, cultural practices, and institutional support) that affect rice farmer resilience, that is, to explain why some farmers are more sensitive to climate shocks, why some farmers suffer long-term impacts from climate shocks, and what underlying &amp;#8220;ultimate&amp;#8221; factors reproduce this vulnerability over time. We undertake this analysis using qualitative interviews and household survey data from two districts in the Mahanadi Delta, Odisha, India. We show that climate hazards cause rice production shocks that are problematic for farmers because rice is predominantly used for household consumption in a context of unreliable off-farm income sources and a lack of insurance and credit. Our research emphasizes that &amp;#8220;ultimate&amp;#8221; drivers interact with the current mode of rice cultivation to reproduce a low resilience farming state. We argue that agricultural development interventions seeking to make rice farming more resilient to climate hazards should focus on boosting productivity and shock-resistance, but also be cognizant of the system within which rice farming is practiced and the contextual &amp;#8220;ultimate&amp;#8221; factors that reproduce vulnerability.","author":[{"dropping-particle":"","family":"Duncan","given":"John M","non-dropping-particle":"","parse-names":false,"suffix":""},{"dropping-particle":"","family":"Tompkins","given":"Emma L","non-dropping-particle":"","parse-names":false,"suffix":""},{"dropping-particle":"","family":"Dash","given":"Jadunandan","non-dropping-particle":"","parse-names":false,"suffix":""},{"dropping-particle":"","family":"Tripathy","given":"Basundhara","non-dropping-particle":"","parse-names":false,"suffix":""}],"container-title":"Ecology and Society","id":"ITEM-1","issue":"4","issued":{"date-parts":[["2017"]]},"title":"Resilience to hazards: rice farmers in the Mahanadi Delta, India","type":"article-journal","volume":"22"},"uris":["http://www.mendeley.com/documents/?uuid=0301fca0-d989-4520-b31c-d8a94c42684d"]}],"mendeley":{"formattedCitation":"(Duncan, Tompkins, Dash, &amp; Tripathy, 2017)","plainTextFormattedCitation":"(Duncan, Tompkins, Dash, &amp; Tripathy, 2017)","previouslyFormattedCitation":"(Duncan, Tompkins, Dash, &amp; Tripathy, 2017)"},"properties":{"noteIndex":0},"schema":"https://github.com/citation-style-language/schema/raw/master/csl-citation.json"}</w:instrText>
      </w:r>
      <w:r w:rsidRPr="006E32E9">
        <w:rPr>
          <w:rFonts w:ascii="Times New Roman" w:hAnsi="Times New Roman" w:cs="Times New Roman"/>
          <w:lang w:val="en-GB"/>
        </w:rPr>
        <w:fldChar w:fldCharType="separate"/>
      </w:r>
      <w:r w:rsidRPr="006E32E9">
        <w:rPr>
          <w:rFonts w:ascii="Times New Roman" w:hAnsi="Times New Roman" w:cs="Times New Roman"/>
          <w:noProof/>
          <w:lang w:val="en-GB"/>
        </w:rPr>
        <w:t>(Duncan, Tompkins, Dash, &amp; Tripathy, 2017)</w:t>
      </w:r>
      <w:r w:rsidRPr="006E32E9">
        <w:rPr>
          <w:rFonts w:ascii="Times New Roman" w:hAnsi="Times New Roman" w:cs="Times New Roman"/>
          <w:lang w:val="en-GB"/>
        </w:rPr>
        <w:fldChar w:fldCharType="end"/>
      </w:r>
      <w:r w:rsidRPr="006E32E9">
        <w:rPr>
          <w:rFonts w:ascii="Times New Roman" w:hAnsi="Times New Roman" w:cs="Times New Roman"/>
          <w:lang w:val="en-GB"/>
        </w:rPr>
        <w:t xml:space="preserve">. </w:t>
      </w:r>
      <w:r w:rsidR="004F50FA">
        <w:rPr>
          <w:rFonts w:ascii="Times New Roman" w:hAnsi="Times New Roman" w:cs="Times New Roman"/>
          <w:lang w:val="en-GB"/>
        </w:rPr>
        <w:t xml:space="preserve">As a consequence of </w:t>
      </w:r>
      <w:r w:rsidR="0063767B">
        <w:rPr>
          <w:rFonts w:ascii="Times New Roman" w:hAnsi="Times New Roman" w:cs="Times New Roman"/>
          <w:lang w:val="en-GB"/>
        </w:rPr>
        <w:t>their</w:t>
      </w:r>
      <w:r w:rsidR="004F50FA">
        <w:rPr>
          <w:rFonts w:ascii="Times New Roman" w:hAnsi="Times New Roman" w:cs="Times New Roman"/>
          <w:lang w:val="en-GB"/>
        </w:rPr>
        <w:t xml:space="preserve"> inability to cope with the impacts of environmental shocks, </w:t>
      </w:r>
      <w:r w:rsidR="0063767B">
        <w:rPr>
          <w:rFonts w:ascii="Times New Roman" w:hAnsi="Times New Roman" w:cs="Times New Roman"/>
          <w:lang w:val="en-GB"/>
        </w:rPr>
        <w:t xml:space="preserve">many households </w:t>
      </w:r>
      <w:r w:rsidR="0063767B" w:rsidRPr="0063767B">
        <w:rPr>
          <w:rFonts w:ascii="Times New Roman" w:hAnsi="Times New Roman" w:cs="Times New Roman"/>
          <w:lang w:val="en-GB"/>
        </w:rPr>
        <w:t>have to sell off their agricultural land</w:t>
      </w:r>
      <w:r w:rsidR="0063767B">
        <w:rPr>
          <w:rFonts w:ascii="Times New Roman" w:hAnsi="Times New Roman" w:cs="Times New Roman"/>
          <w:lang w:val="en-GB"/>
        </w:rPr>
        <w:t>. Their m</w:t>
      </w:r>
      <w:r w:rsidR="0063767B" w:rsidRPr="0063767B">
        <w:rPr>
          <w:rFonts w:ascii="Times New Roman" w:hAnsi="Times New Roman" w:cs="Times New Roman"/>
          <w:lang w:val="en-GB"/>
        </w:rPr>
        <w:t xml:space="preserve">embers often become unemployed </w:t>
      </w:r>
      <w:r w:rsidR="0063767B" w:rsidRPr="0063767B">
        <w:rPr>
          <w:rFonts w:ascii="Times New Roman" w:hAnsi="Times New Roman" w:cs="Times New Roman"/>
          <w:lang w:val="en-GB"/>
        </w:rPr>
        <w:lastRenderedPageBreak/>
        <w:t>with limited livelihood opportunities to move out of poverty, either to migrate or become agricultural labourers</w:t>
      </w:r>
      <w:r w:rsidR="0063767B">
        <w:rPr>
          <w:rFonts w:ascii="Times New Roman" w:hAnsi="Times New Roman" w:cs="Times New Roman"/>
          <w:lang w:val="en-GB"/>
        </w:rPr>
        <w:t xml:space="preserve"> </w:t>
      </w:r>
      <w:r w:rsidR="00C87882">
        <w:rPr>
          <w:rFonts w:ascii="Times New Roman" w:hAnsi="Times New Roman" w:cs="Times New Roman"/>
          <w:lang w:val="en-GB"/>
        </w:rPr>
        <w:fldChar w:fldCharType="begin" w:fldLock="1"/>
      </w:r>
      <w:r w:rsidR="00A11561">
        <w:rPr>
          <w:rFonts w:ascii="Times New Roman" w:hAnsi="Times New Roman" w:cs="Times New Roman"/>
          <w:lang w:val="en-GB"/>
        </w:rPr>
        <w:instrText>ADDIN CSL_CITATION {"citationItems":[{"id":"ITEM-1","itemData":{"DOI":"10.1177/004908571104100204","ISSN":"0049-0857","author":[{"dropping-particle":"","family":"Sahu","given":"S. K.","non-dropping-particle":"","parse-names":false,"suffix":""},{"dropping-particle":"","family":"Dash","given":"M.","non-dropping-particle":"","parse-names":false,"suffix":""}],"container-title":"Social Change","id":"ITEM-1","issue":"2","issued":{"date-parts":[["2011"]]},"page":"251-270","title":"Expropriation of Land and Cultures: The Odisha Story and Beyond","type":"article-journal","volume":"41"},"uris":["http://www.mendeley.com/documents/?uuid=cedf5b1e-0159-4a2b-9c49-d66f856b7850"]}],"mendeley":{"formattedCitation":"(Sahu &amp; Dash, 2011)","plainTextFormattedCitation":"(Sahu &amp; Dash, 2011)","previouslyFormattedCitation":"(Sahu &amp; Dash, 2011)"},"properties":{"noteIndex":0},"schema":"https://github.com/citation-style-language/schema/raw/master/csl-citation.json"}</w:instrText>
      </w:r>
      <w:r w:rsidR="00C87882">
        <w:rPr>
          <w:rFonts w:ascii="Times New Roman" w:hAnsi="Times New Roman" w:cs="Times New Roman"/>
          <w:lang w:val="en-GB"/>
        </w:rPr>
        <w:fldChar w:fldCharType="separate"/>
      </w:r>
      <w:r w:rsidR="00C87882" w:rsidRPr="00C87882">
        <w:rPr>
          <w:rFonts w:ascii="Times New Roman" w:hAnsi="Times New Roman" w:cs="Times New Roman"/>
          <w:noProof/>
          <w:lang w:val="en-GB"/>
        </w:rPr>
        <w:t>(Sahu &amp; Dash, 2011)</w:t>
      </w:r>
      <w:r w:rsidR="00C87882">
        <w:rPr>
          <w:rFonts w:ascii="Times New Roman" w:hAnsi="Times New Roman" w:cs="Times New Roman"/>
          <w:lang w:val="en-GB"/>
        </w:rPr>
        <w:fldChar w:fldCharType="end"/>
      </w:r>
      <w:r w:rsidR="0063767B">
        <w:rPr>
          <w:rFonts w:ascii="Times New Roman" w:hAnsi="Times New Roman" w:cs="Times New Roman"/>
          <w:lang w:val="en-GB"/>
        </w:rPr>
        <w:t>.</w:t>
      </w:r>
    </w:p>
    <w:p w14:paraId="7A98AB64" w14:textId="77777777" w:rsidR="00775575" w:rsidRPr="0063767B" w:rsidRDefault="00775575" w:rsidP="0063767B">
      <w:pPr>
        <w:ind w:firstLine="0"/>
        <w:rPr>
          <w:rFonts w:ascii="Times New Roman" w:hAnsi="Times New Roman" w:cs="Times New Roman"/>
          <w:lang w:val="en-GB"/>
        </w:rPr>
      </w:pPr>
    </w:p>
    <w:p w14:paraId="3566FBA9" w14:textId="362547F0" w:rsidR="004B49A3" w:rsidRPr="00C87882" w:rsidRDefault="004B49A3" w:rsidP="004B49A3">
      <w:pPr>
        <w:ind w:firstLine="0"/>
        <w:rPr>
          <w:rFonts w:ascii="Times New Roman" w:hAnsi="Times New Roman" w:cs="Times New Roman"/>
          <w:lang w:val="en-GB"/>
        </w:rPr>
      </w:pPr>
      <w:r w:rsidRPr="006E32E9">
        <w:rPr>
          <w:lang w:val="en-GB"/>
        </w:rPr>
        <w:t>This research focused on an area covering the five districts of the Mahanadi Delta in Odisha, eastern India</w:t>
      </w:r>
      <w:r w:rsidR="00D003D3" w:rsidRPr="006E32E9">
        <w:rPr>
          <w:lang w:val="en-GB"/>
        </w:rPr>
        <w:t>:</w:t>
      </w:r>
      <w:r w:rsidRPr="006E32E9">
        <w:rPr>
          <w:lang w:val="en-GB"/>
        </w:rPr>
        <w:t xml:space="preserve"> </w:t>
      </w:r>
      <w:proofErr w:type="spellStart"/>
      <w:r w:rsidR="003F77A1" w:rsidRPr="006E32E9">
        <w:rPr>
          <w:lang w:val="en-GB"/>
        </w:rPr>
        <w:t>Bhadrak</w:t>
      </w:r>
      <w:proofErr w:type="spellEnd"/>
      <w:r w:rsidR="003F77A1" w:rsidRPr="006E32E9">
        <w:rPr>
          <w:lang w:val="en-GB"/>
        </w:rPr>
        <w:t xml:space="preserve">, </w:t>
      </w:r>
      <w:proofErr w:type="spellStart"/>
      <w:r w:rsidR="003F77A1" w:rsidRPr="006E32E9">
        <w:rPr>
          <w:lang w:val="en-GB"/>
        </w:rPr>
        <w:t>Jagatsinghpur</w:t>
      </w:r>
      <w:proofErr w:type="spellEnd"/>
      <w:r w:rsidR="003F77A1" w:rsidRPr="006E32E9">
        <w:rPr>
          <w:lang w:val="en-GB"/>
        </w:rPr>
        <w:t xml:space="preserve">, </w:t>
      </w:r>
      <w:proofErr w:type="spellStart"/>
      <w:r w:rsidR="003F77A1" w:rsidRPr="006E32E9">
        <w:rPr>
          <w:lang w:val="en-GB"/>
        </w:rPr>
        <w:t>Kendrapara</w:t>
      </w:r>
      <w:proofErr w:type="spellEnd"/>
      <w:r w:rsidR="003F77A1" w:rsidRPr="006E32E9">
        <w:rPr>
          <w:lang w:val="en-GB"/>
        </w:rPr>
        <w:t xml:space="preserve">, </w:t>
      </w:r>
      <w:proofErr w:type="spellStart"/>
      <w:r w:rsidR="003F77A1" w:rsidRPr="006E32E9">
        <w:rPr>
          <w:lang w:val="en-GB"/>
        </w:rPr>
        <w:t>Khorda</w:t>
      </w:r>
      <w:proofErr w:type="spellEnd"/>
      <w:r w:rsidR="003F77A1" w:rsidRPr="006E32E9">
        <w:rPr>
          <w:lang w:val="en-GB"/>
        </w:rPr>
        <w:t xml:space="preserve"> and </w:t>
      </w:r>
      <w:proofErr w:type="spellStart"/>
      <w:r w:rsidR="003F77A1" w:rsidRPr="006E32E9">
        <w:rPr>
          <w:lang w:val="en-GB"/>
        </w:rPr>
        <w:t>Puri</w:t>
      </w:r>
      <w:proofErr w:type="spellEnd"/>
      <w:r w:rsidR="003F77A1" w:rsidRPr="006E32E9">
        <w:rPr>
          <w:lang w:val="en-GB"/>
        </w:rPr>
        <w:t xml:space="preserve"> </w:t>
      </w:r>
      <w:r w:rsidRPr="006E32E9">
        <w:rPr>
          <w:lang w:val="en-GB"/>
        </w:rPr>
        <w:t>(</w:t>
      </w:r>
      <w:r w:rsidR="000306CA" w:rsidRPr="006E32E9">
        <w:rPr>
          <w:lang w:val="en-GB"/>
        </w:rPr>
        <w:fldChar w:fldCharType="begin"/>
      </w:r>
      <w:r w:rsidR="000306CA" w:rsidRPr="006E32E9">
        <w:rPr>
          <w:lang w:val="en-GB"/>
        </w:rPr>
        <w:instrText xml:space="preserve"> REF _Ref516149905 \h </w:instrText>
      </w:r>
      <w:r w:rsidR="000306CA" w:rsidRPr="006E32E9">
        <w:rPr>
          <w:lang w:val="en-GB"/>
        </w:rPr>
      </w:r>
      <w:r w:rsidR="000306CA" w:rsidRPr="006E32E9">
        <w:rPr>
          <w:lang w:val="en-GB"/>
        </w:rPr>
        <w:fldChar w:fldCharType="separate"/>
      </w:r>
      <w:r w:rsidR="000306CA" w:rsidRPr="006E32E9">
        <w:rPr>
          <w:lang w:val="en-GB"/>
        </w:rPr>
        <w:t xml:space="preserve">Figure </w:t>
      </w:r>
      <w:r w:rsidR="000306CA" w:rsidRPr="006E32E9">
        <w:rPr>
          <w:noProof/>
          <w:lang w:val="en-GB"/>
        </w:rPr>
        <w:t>2</w:t>
      </w:r>
      <w:r w:rsidR="000306CA" w:rsidRPr="006E32E9">
        <w:rPr>
          <w:lang w:val="en-GB"/>
        </w:rPr>
        <w:fldChar w:fldCharType="end"/>
      </w:r>
      <w:r w:rsidRPr="006E32E9">
        <w:rPr>
          <w:lang w:val="en-GB"/>
        </w:rPr>
        <w:t xml:space="preserve">). Given that communities are statutory units in India with a definite boundary and separate land records, we used the administrative boundaries provided by the </w:t>
      </w:r>
      <w:r w:rsidR="00212111" w:rsidRPr="006E32E9">
        <w:rPr>
          <w:lang w:val="en-GB"/>
        </w:rPr>
        <w:fldChar w:fldCharType="begin" w:fldLock="1"/>
      </w:r>
      <w:r w:rsidR="003469C7" w:rsidRPr="006E32E9">
        <w:rPr>
          <w:lang w:val="en-GB"/>
        </w:rPr>
        <w:instrText>ADDIN CSL_CITATION {"citationItems":[{"id":"ITEM-1","itemData":{"author":[{"dropping-particle":"","family":"Registrar General and Census Commissioner","given":"","non-dropping-particle":"","parse-names":false,"suffix":""}],"id":"ITEM-1","issued":{"date-parts":[["2011"]]},"publisher-place":"New Delhi, India","title":"Census Data 2011","type":"report"},"uris":["http://www.mendeley.com/documents/?uuid=299500e3-88f1-4ae5-9bf4-9fd32c4a16aa"]}],"mendeley":{"formattedCitation":"(Registrar General and Census Commissioner, 2011)","manualFormatting":"Registrar General and Census Commissioner (2011)","plainTextFormattedCitation":"(Registrar General and Census Commissioner, 2011)","previouslyFormattedCitation":"(Registrar General and Census Commissioner, 2011)"},"properties":{"noteIndex":0},"schema":"https://github.com/citation-style-language/schema/raw/master/csl-citation.json"}</w:instrText>
      </w:r>
      <w:r w:rsidR="00212111" w:rsidRPr="006E32E9">
        <w:rPr>
          <w:lang w:val="en-GB"/>
        </w:rPr>
        <w:fldChar w:fldCharType="separate"/>
      </w:r>
      <w:r w:rsidR="002A030E" w:rsidRPr="006E32E9">
        <w:rPr>
          <w:noProof/>
          <w:lang w:val="en-GB"/>
        </w:rPr>
        <w:t xml:space="preserve">Registrar </w:t>
      </w:r>
      <w:r w:rsidR="003469C7" w:rsidRPr="006E32E9">
        <w:rPr>
          <w:noProof/>
          <w:lang w:val="en-GB"/>
        </w:rPr>
        <w:t>General and Census Commissioner</w:t>
      </w:r>
      <w:r w:rsidR="002A030E" w:rsidRPr="006E32E9">
        <w:rPr>
          <w:noProof/>
          <w:lang w:val="en-GB"/>
        </w:rPr>
        <w:t xml:space="preserve"> </w:t>
      </w:r>
      <w:r w:rsidR="003469C7" w:rsidRPr="006E32E9">
        <w:rPr>
          <w:noProof/>
          <w:lang w:val="en-GB"/>
        </w:rPr>
        <w:t>(</w:t>
      </w:r>
      <w:r w:rsidR="002A030E" w:rsidRPr="006E32E9">
        <w:rPr>
          <w:noProof/>
          <w:lang w:val="en-GB"/>
        </w:rPr>
        <w:t>2011)</w:t>
      </w:r>
      <w:r w:rsidR="00212111" w:rsidRPr="006E32E9">
        <w:rPr>
          <w:lang w:val="en-GB"/>
        </w:rPr>
        <w:fldChar w:fldCharType="end"/>
      </w:r>
      <w:r w:rsidRPr="006E32E9">
        <w:rPr>
          <w:lang w:val="en-GB"/>
        </w:rPr>
        <w:t xml:space="preserve"> for our analysis. In total, 9,829 rural communities we</w:t>
      </w:r>
      <w:r w:rsidR="00212111" w:rsidRPr="006E32E9">
        <w:rPr>
          <w:lang w:val="en-GB"/>
        </w:rPr>
        <w:t>r</w:t>
      </w:r>
      <w:r w:rsidR="003469C7" w:rsidRPr="006E32E9">
        <w:rPr>
          <w:lang w:val="en-GB"/>
        </w:rPr>
        <w:t>e considered</w:t>
      </w:r>
      <w:r w:rsidR="006F5CCF" w:rsidRPr="006E32E9">
        <w:rPr>
          <w:lang w:val="en-GB"/>
        </w:rPr>
        <w:t>.</w:t>
      </w:r>
    </w:p>
    <w:p w14:paraId="27506E72" w14:textId="77777777" w:rsidR="00775575" w:rsidRPr="006E32E9" w:rsidRDefault="00775575" w:rsidP="00775575">
      <w:pPr>
        <w:pStyle w:val="TableFigure"/>
      </w:pPr>
      <w:r w:rsidRPr="006E32E9">
        <w:rPr>
          <w:noProof/>
          <w:lang w:eastAsia="en-GB"/>
        </w:rPr>
        <w:drawing>
          <wp:inline distT="0" distB="0" distL="0" distR="0" wp14:anchorId="3770C46D" wp14:editId="313A2B94">
            <wp:extent cx="5943600" cy="44836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1_map.png"/>
                    <pic:cNvPicPr/>
                  </pic:nvPicPr>
                  <pic:blipFill>
                    <a:blip r:embed="rId16"/>
                    <a:stretch>
                      <a:fillRect/>
                    </a:stretch>
                  </pic:blipFill>
                  <pic:spPr>
                    <a:xfrm>
                      <a:off x="0" y="0"/>
                      <a:ext cx="5943600" cy="4483603"/>
                    </a:xfrm>
                    <a:prstGeom prst="rect">
                      <a:avLst/>
                    </a:prstGeom>
                  </pic:spPr>
                </pic:pic>
              </a:graphicData>
            </a:graphic>
          </wp:inline>
        </w:drawing>
      </w:r>
    </w:p>
    <w:p w14:paraId="53A9E2DB" w14:textId="06E0B689" w:rsidR="00775575" w:rsidRPr="006E32E9" w:rsidRDefault="00775575" w:rsidP="00775575">
      <w:pPr>
        <w:pStyle w:val="Caption"/>
        <w:rPr>
          <w:b w:val="0"/>
          <w:lang w:val="en-GB"/>
        </w:rPr>
      </w:pPr>
      <w:r w:rsidRPr="006E32E9">
        <w:rPr>
          <w:lang w:val="en-GB"/>
        </w:rPr>
        <w:t xml:space="preserve">Figure </w:t>
      </w:r>
      <w:r w:rsidRPr="006E32E9">
        <w:rPr>
          <w:lang w:val="en-GB"/>
        </w:rPr>
        <w:fldChar w:fldCharType="begin"/>
      </w:r>
      <w:r w:rsidRPr="006E32E9">
        <w:rPr>
          <w:lang w:val="en-GB"/>
        </w:rPr>
        <w:instrText xml:space="preserve"> SEQ Figure \* ARABIC </w:instrText>
      </w:r>
      <w:r w:rsidRPr="006E32E9">
        <w:rPr>
          <w:lang w:val="en-GB"/>
        </w:rPr>
        <w:fldChar w:fldCharType="separate"/>
      </w:r>
      <w:r w:rsidRPr="006E32E9">
        <w:rPr>
          <w:noProof/>
          <w:lang w:val="en-GB"/>
        </w:rPr>
        <w:t>2</w:t>
      </w:r>
      <w:r w:rsidRPr="006E32E9">
        <w:rPr>
          <w:lang w:val="en-GB"/>
        </w:rPr>
        <w:fldChar w:fldCharType="end"/>
      </w:r>
      <w:r w:rsidRPr="006E32E9">
        <w:rPr>
          <w:lang w:val="en-GB"/>
        </w:rPr>
        <w:t xml:space="preserve">: Location of the study area. </w:t>
      </w:r>
      <w:r w:rsidRPr="006E32E9">
        <w:rPr>
          <w:b w:val="0"/>
          <w:lang w:val="en-GB"/>
        </w:rPr>
        <w:t>The study area covers all five districts (</w:t>
      </w:r>
      <w:proofErr w:type="spellStart"/>
      <w:r w:rsidRPr="006E32E9">
        <w:rPr>
          <w:b w:val="0"/>
          <w:lang w:val="en-GB"/>
        </w:rPr>
        <w:t>Bhadrak</w:t>
      </w:r>
      <w:proofErr w:type="spellEnd"/>
      <w:r w:rsidRPr="006E32E9">
        <w:rPr>
          <w:b w:val="0"/>
          <w:lang w:val="en-GB"/>
        </w:rPr>
        <w:t xml:space="preserve">, </w:t>
      </w:r>
      <w:proofErr w:type="spellStart"/>
      <w:r w:rsidRPr="006E32E9">
        <w:rPr>
          <w:b w:val="0"/>
          <w:lang w:val="en-GB"/>
        </w:rPr>
        <w:t>Jagatsinghpur</w:t>
      </w:r>
      <w:proofErr w:type="spellEnd"/>
      <w:r w:rsidRPr="006E32E9">
        <w:rPr>
          <w:b w:val="0"/>
          <w:lang w:val="en-GB"/>
        </w:rPr>
        <w:t xml:space="preserve">, </w:t>
      </w:r>
      <w:proofErr w:type="spellStart"/>
      <w:r w:rsidRPr="006E32E9">
        <w:rPr>
          <w:b w:val="0"/>
          <w:lang w:val="en-GB"/>
        </w:rPr>
        <w:t>Kendrapara</w:t>
      </w:r>
      <w:proofErr w:type="spellEnd"/>
      <w:r w:rsidRPr="006E32E9">
        <w:rPr>
          <w:b w:val="0"/>
          <w:lang w:val="en-GB"/>
        </w:rPr>
        <w:t xml:space="preserve">, </w:t>
      </w:r>
      <w:proofErr w:type="spellStart"/>
      <w:r w:rsidRPr="006E32E9">
        <w:rPr>
          <w:b w:val="0"/>
          <w:lang w:val="en-GB"/>
        </w:rPr>
        <w:t>Khorda</w:t>
      </w:r>
      <w:proofErr w:type="spellEnd"/>
      <w:r w:rsidRPr="006E32E9">
        <w:rPr>
          <w:b w:val="0"/>
          <w:lang w:val="en-GB"/>
        </w:rPr>
        <w:t xml:space="preserve"> and </w:t>
      </w:r>
      <w:proofErr w:type="spellStart"/>
      <w:r w:rsidRPr="006E32E9">
        <w:rPr>
          <w:b w:val="0"/>
          <w:lang w:val="en-GB"/>
        </w:rPr>
        <w:t>Puri</w:t>
      </w:r>
      <w:proofErr w:type="spellEnd"/>
      <w:r w:rsidRPr="006E32E9">
        <w:rPr>
          <w:b w:val="0"/>
          <w:lang w:val="en-GB"/>
        </w:rPr>
        <w:t xml:space="preserve">) located within the Mahanadi </w:t>
      </w:r>
      <w:r>
        <w:rPr>
          <w:b w:val="0"/>
          <w:lang w:val="en-GB"/>
        </w:rPr>
        <w:t>D</w:t>
      </w:r>
      <w:r w:rsidRPr="006E32E9">
        <w:rPr>
          <w:b w:val="0"/>
          <w:lang w:val="en-GB"/>
        </w:rPr>
        <w:t>elta.</w:t>
      </w:r>
      <w:r w:rsidR="002D0371">
        <w:rPr>
          <w:b w:val="0"/>
          <w:lang w:val="en-GB"/>
        </w:rPr>
        <w:t xml:space="preserve"> Rapid Rural Appraisals were conducted in ten communities (C01-C10).</w:t>
      </w:r>
    </w:p>
    <w:p w14:paraId="1ABEFA14" w14:textId="77777777" w:rsidR="00775575" w:rsidRDefault="00775575" w:rsidP="004B49A3">
      <w:pPr>
        <w:ind w:firstLine="0"/>
        <w:rPr>
          <w:lang w:val="en-GB"/>
        </w:rPr>
      </w:pPr>
    </w:p>
    <w:p w14:paraId="640C9F2C" w14:textId="0026AB76" w:rsidR="00775575" w:rsidRPr="00775575" w:rsidRDefault="00775575" w:rsidP="00775575">
      <w:pPr>
        <w:pStyle w:val="Heading2"/>
      </w:pPr>
      <w:r>
        <w:t>Local perceptions of the drivers of livelihood strategies</w:t>
      </w:r>
    </w:p>
    <w:p w14:paraId="375F0609" w14:textId="7277804C" w:rsidR="00FB3616" w:rsidRPr="006E32E9" w:rsidRDefault="00223340" w:rsidP="004B49A3">
      <w:pPr>
        <w:ind w:firstLine="0"/>
        <w:rPr>
          <w:lang w:val="en-GB"/>
        </w:rPr>
      </w:pPr>
      <w:r w:rsidRPr="006E32E9">
        <w:rPr>
          <w:lang w:val="en-GB"/>
        </w:rPr>
        <w:t>Fieldwork was conducted between February and May 2016 to identify indicators that stakeholders, experts and local residents perceive as representative and robust to examine the effects of community and household capitals on their livelihoods. A Rapid Rural Appraisal (RRA) was used for data collection to highlight the perceptions and opinions of rural dwellers</w:t>
      </w:r>
      <w:r w:rsidR="00364036">
        <w:rPr>
          <w:lang w:val="en-GB"/>
        </w:rPr>
        <w:t xml:space="preserve"> (Supplementary Material </w:t>
      </w:r>
      <w:r w:rsidR="0007388F">
        <w:rPr>
          <w:lang w:val="en-GB"/>
        </w:rPr>
        <w:t>S1</w:t>
      </w:r>
      <w:r w:rsidR="00364036">
        <w:rPr>
          <w:lang w:val="en-GB"/>
        </w:rPr>
        <w:t>)</w:t>
      </w:r>
      <w:r w:rsidRPr="006E32E9">
        <w:rPr>
          <w:lang w:val="en-GB"/>
        </w:rPr>
        <w:t xml:space="preserve">. This method enables local people to share their knowledge and discuss their situation using their own terms (Mukherjee, 2005). In total, ten </w:t>
      </w:r>
      <w:r w:rsidR="003A5067">
        <w:rPr>
          <w:lang w:val="en-GB"/>
        </w:rPr>
        <w:t xml:space="preserve">communities </w:t>
      </w:r>
      <w:r w:rsidRPr="006E32E9">
        <w:rPr>
          <w:lang w:val="en-GB"/>
        </w:rPr>
        <w:t xml:space="preserve">were </w:t>
      </w:r>
      <w:r w:rsidR="003A5067">
        <w:rPr>
          <w:lang w:val="en-GB"/>
        </w:rPr>
        <w:t xml:space="preserve">selected by using stratified random sampling </w:t>
      </w:r>
      <w:r w:rsidRPr="006E32E9">
        <w:rPr>
          <w:lang w:val="en-GB"/>
        </w:rPr>
        <w:t xml:space="preserve">based on their </w:t>
      </w:r>
      <w:r w:rsidR="003A5067">
        <w:rPr>
          <w:lang w:val="en-GB"/>
        </w:rPr>
        <w:t xml:space="preserve">access to community capitals and on </w:t>
      </w:r>
      <w:r w:rsidRPr="006E32E9">
        <w:rPr>
          <w:lang w:val="en-GB"/>
        </w:rPr>
        <w:t xml:space="preserve">the main livelihood activities conducted by households (Fig. 2). </w:t>
      </w:r>
    </w:p>
    <w:p w14:paraId="29959E5D" w14:textId="77777777" w:rsidR="00FB3616" w:rsidRPr="006E32E9" w:rsidRDefault="00FB3616" w:rsidP="004B49A3">
      <w:pPr>
        <w:ind w:firstLine="0"/>
        <w:rPr>
          <w:lang w:val="en-GB"/>
        </w:rPr>
      </w:pPr>
    </w:p>
    <w:p w14:paraId="183976ED" w14:textId="64BCB665" w:rsidR="00775575" w:rsidRPr="006E32E9" w:rsidRDefault="00FB3616" w:rsidP="004B49A3">
      <w:pPr>
        <w:ind w:firstLine="0"/>
        <w:rPr>
          <w:lang w:val="en-GB"/>
        </w:rPr>
      </w:pPr>
      <w:r w:rsidRPr="006E32E9">
        <w:rPr>
          <w:lang w:val="en-GB"/>
        </w:rPr>
        <w:t>A variety of additional</w:t>
      </w:r>
      <w:r w:rsidR="00223340" w:rsidRPr="006E32E9">
        <w:rPr>
          <w:lang w:val="en-GB"/>
        </w:rPr>
        <w:t xml:space="preserve"> activities were used to cross-check the data acquired </w:t>
      </w:r>
      <w:r w:rsidRPr="006E32E9">
        <w:rPr>
          <w:lang w:val="en-GB"/>
        </w:rPr>
        <w:t>from the RRA</w:t>
      </w:r>
      <w:r w:rsidR="00223340" w:rsidRPr="006E32E9">
        <w:rPr>
          <w:lang w:val="en-GB"/>
        </w:rPr>
        <w:t xml:space="preserve">. First, a </w:t>
      </w:r>
      <w:r w:rsidRPr="006E32E9">
        <w:rPr>
          <w:lang w:val="en-GB"/>
        </w:rPr>
        <w:t xml:space="preserve">focus group </w:t>
      </w:r>
      <w:r w:rsidR="00223340" w:rsidRPr="006E32E9">
        <w:rPr>
          <w:lang w:val="en-GB"/>
        </w:rPr>
        <w:t xml:space="preserve">was held </w:t>
      </w:r>
      <w:r w:rsidRPr="006E32E9">
        <w:rPr>
          <w:lang w:val="en-GB"/>
        </w:rPr>
        <w:t>to identify</w:t>
      </w:r>
      <w:r w:rsidR="00223340" w:rsidRPr="006E32E9">
        <w:rPr>
          <w:lang w:val="en-GB"/>
        </w:rPr>
        <w:t xml:space="preserve"> general information about the village and the evolution of its infrastructure.</w:t>
      </w:r>
      <w:r w:rsidRPr="006E32E9">
        <w:rPr>
          <w:lang w:val="en-GB"/>
        </w:rPr>
        <w:t xml:space="preserve"> The focus group also investigated d</w:t>
      </w:r>
      <w:r w:rsidR="009700C8" w:rsidRPr="006E32E9">
        <w:rPr>
          <w:lang w:val="en-GB"/>
        </w:rPr>
        <w:t>i</w:t>
      </w:r>
      <w:r w:rsidR="00223340" w:rsidRPr="006E32E9">
        <w:rPr>
          <w:lang w:val="en-GB"/>
        </w:rPr>
        <w:t xml:space="preserve">fferences </w:t>
      </w:r>
      <w:r w:rsidRPr="006E32E9">
        <w:rPr>
          <w:lang w:val="en-GB"/>
        </w:rPr>
        <w:t xml:space="preserve">in </w:t>
      </w:r>
      <w:r w:rsidR="00223340" w:rsidRPr="006E32E9">
        <w:rPr>
          <w:lang w:val="en-GB"/>
        </w:rPr>
        <w:t xml:space="preserve">livelihood assets and strategies </w:t>
      </w:r>
      <w:r w:rsidR="00BE2AFF" w:rsidRPr="006E32E9">
        <w:rPr>
          <w:lang w:val="en-GB"/>
        </w:rPr>
        <w:t>within</w:t>
      </w:r>
      <w:r w:rsidRPr="006E32E9">
        <w:rPr>
          <w:lang w:val="en-GB"/>
        </w:rPr>
        <w:t xml:space="preserve"> the community</w:t>
      </w:r>
      <w:r w:rsidR="00BE2AFF" w:rsidRPr="006E32E9">
        <w:rPr>
          <w:lang w:val="en-GB"/>
        </w:rPr>
        <w:t xml:space="preserve"> which were</w:t>
      </w:r>
      <w:r w:rsidR="00223340" w:rsidRPr="006E32E9">
        <w:rPr>
          <w:lang w:val="en-GB"/>
        </w:rPr>
        <w:t xml:space="preserve"> </w:t>
      </w:r>
      <w:r w:rsidR="00BE2AFF" w:rsidRPr="006E32E9">
        <w:rPr>
          <w:lang w:val="en-GB"/>
        </w:rPr>
        <w:t xml:space="preserve">combined into a series of </w:t>
      </w:r>
      <w:r w:rsidR="00223340" w:rsidRPr="006E32E9">
        <w:rPr>
          <w:lang w:val="en-GB"/>
        </w:rPr>
        <w:t>categori</w:t>
      </w:r>
      <w:r w:rsidRPr="006E32E9">
        <w:rPr>
          <w:lang w:val="en-GB"/>
        </w:rPr>
        <w:t>e</w:t>
      </w:r>
      <w:r w:rsidR="00BE2AFF" w:rsidRPr="006E32E9">
        <w:rPr>
          <w:lang w:val="en-GB"/>
        </w:rPr>
        <w:t>s</w:t>
      </w:r>
      <w:r w:rsidR="00223340" w:rsidRPr="006E32E9">
        <w:rPr>
          <w:lang w:val="en-GB"/>
        </w:rPr>
        <w:t xml:space="preserve"> by the participants</w:t>
      </w:r>
      <w:r w:rsidR="00BE2AFF" w:rsidRPr="006E32E9">
        <w:rPr>
          <w:lang w:val="en-GB"/>
        </w:rPr>
        <w:t xml:space="preserve">. The proportion of households falling into each livelihood category were subsequently </w:t>
      </w:r>
      <w:r w:rsidR="00223340" w:rsidRPr="006E32E9">
        <w:rPr>
          <w:lang w:val="en-GB"/>
        </w:rPr>
        <w:t>quantified</w:t>
      </w:r>
      <w:r w:rsidR="00BE2AFF" w:rsidRPr="006E32E9">
        <w:rPr>
          <w:lang w:val="en-GB"/>
        </w:rPr>
        <w:t xml:space="preserve"> by the participants</w:t>
      </w:r>
      <w:r w:rsidR="00223340" w:rsidRPr="006E32E9">
        <w:rPr>
          <w:lang w:val="en-GB"/>
        </w:rPr>
        <w:t xml:space="preserve">. The last activity was a participatory photography workshop using the photovoice methodology </w:t>
      </w:r>
      <w:r w:rsidR="009504F0" w:rsidRPr="006E32E9">
        <w:rPr>
          <w:lang w:val="en-GB"/>
        </w:rPr>
        <w:fldChar w:fldCharType="begin" w:fldLock="1"/>
      </w:r>
      <w:r w:rsidR="004319B0" w:rsidRPr="006E32E9">
        <w:rPr>
          <w:lang w:val="en-GB"/>
        </w:rPr>
        <w:instrText>ADDIN CSL_CITATION {"citationItems":[{"id":"ITEM-1","itemData":{"author":[{"dropping-particle":"","family":"Wang","given":"Caroline","non-dropping-particle":"","parse-names":false,"suffix":""},{"dropping-particle":"","family":"Burris","given":"Mary Ann","non-dropping-particle":"","parse-names":false,"suffix":""}],"container-title":"Health Education &amp; Behavior","id":"ITEM-1","issue":"3","issued":{"date-parts":[["1997"]]},"page":"369-387","title":"Photovoice: Concept, Methodology, and Use for participatory Needs Assessment","type":"article-journal","volume":"24"},"uris":["http://www.mendeley.com/documents/?uuid=2b04cdcd-3b42-4e0f-9fa3-0fe62e899e93"]}],"mendeley":{"formattedCitation":"(Wang &amp; Burris, 1997)","plainTextFormattedCitation":"(Wang &amp; Burris, 1997)","previouslyFormattedCitation":"(Wang &amp; Burris, 1997)"},"properties":{"noteIndex":0},"schema":"https://github.com/citation-style-language/schema/raw/master/csl-citation.json"}</w:instrText>
      </w:r>
      <w:r w:rsidR="009504F0" w:rsidRPr="006E32E9">
        <w:rPr>
          <w:lang w:val="en-GB"/>
        </w:rPr>
        <w:fldChar w:fldCharType="separate"/>
      </w:r>
      <w:r w:rsidR="009504F0" w:rsidRPr="006E32E9">
        <w:rPr>
          <w:noProof/>
          <w:lang w:val="en-GB"/>
        </w:rPr>
        <w:t>(Wang &amp; Burris, 1997)</w:t>
      </w:r>
      <w:r w:rsidR="009504F0" w:rsidRPr="006E32E9">
        <w:rPr>
          <w:lang w:val="en-GB"/>
        </w:rPr>
        <w:fldChar w:fldCharType="end"/>
      </w:r>
      <w:r w:rsidR="00223340" w:rsidRPr="006E32E9">
        <w:rPr>
          <w:lang w:val="en-GB"/>
        </w:rPr>
        <w:t xml:space="preserve"> on the theme of</w:t>
      </w:r>
      <w:r w:rsidR="009504F0" w:rsidRPr="006E32E9">
        <w:rPr>
          <w:lang w:val="en-GB"/>
        </w:rPr>
        <w:t xml:space="preserve"> “Key assets to achieve your livelihoods”; a theme broad enough to let the participants themselves highlight the different roles that community and household capitals play in their decision to pursue an economic activity.</w:t>
      </w:r>
    </w:p>
    <w:p w14:paraId="2B9E6E15" w14:textId="77777777" w:rsidR="00775575" w:rsidRPr="006E32E9" w:rsidRDefault="00775575" w:rsidP="00775575">
      <w:pPr>
        <w:ind w:firstLine="0"/>
        <w:rPr>
          <w:lang w:val="en-GB"/>
        </w:rPr>
      </w:pPr>
    </w:p>
    <w:p w14:paraId="5004484F" w14:textId="1D0E1750" w:rsidR="00410A2A" w:rsidRPr="006E32E9" w:rsidRDefault="004B49A3" w:rsidP="00457AD9">
      <w:pPr>
        <w:pStyle w:val="Heading2"/>
      </w:pPr>
      <w:r w:rsidRPr="006E32E9">
        <w:lastRenderedPageBreak/>
        <w:t>Developing Community Typologies</w:t>
      </w:r>
    </w:p>
    <w:p w14:paraId="235578F9" w14:textId="5D639A23" w:rsidR="00C003A8" w:rsidRPr="006E32E9" w:rsidRDefault="004B49A3" w:rsidP="00B676C0">
      <w:pPr>
        <w:ind w:firstLine="0"/>
        <w:rPr>
          <w:rFonts w:ascii="Times New Roman" w:hAnsi="Times New Roman" w:cs="Times New Roman"/>
          <w:lang w:val="en-GB"/>
        </w:rPr>
      </w:pPr>
      <w:r w:rsidRPr="006E32E9">
        <w:rPr>
          <w:rFonts w:ascii="Times New Roman" w:hAnsi="Times New Roman" w:cs="Times New Roman"/>
          <w:lang w:val="en-GB"/>
        </w:rPr>
        <w:t xml:space="preserve">Every community has common-pool resources (i.e. road, market, forest, lake) that can provide services for rural dwellers' livelihoods. For example, a road can provide farmers with alternative outlets for their agricultural production, while a forest can give the opportunity for households to collect and sell non-timber forest products. Such common-pool resources appear together repeatedly in the landscape, creating bundles of community capitals </w:t>
      </w:r>
      <w:r w:rsidR="00212111" w:rsidRPr="006E32E9">
        <w:rPr>
          <w:rFonts w:ascii="Times New Roman" w:hAnsi="Times New Roman" w:cs="Times New Roman"/>
          <w:lang w:val="en-GB"/>
        </w:rPr>
        <w:fldChar w:fldCharType="begin" w:fldLock="1"/>
      </w:r>
      <w:r w:rsidR="00BC7A96" w:rsidRPr="006E32E9">
        <w:rPr>
          <w:rFonts w:ascii="Times New Roman" w:hAnsi="Times New Roman" w:cs="Times New Roman"/>
          <w:lang w:val="en-GB"/>
        </w:rPr>
        <w:instrText>ADDIN CSL_CITATION {"citationItems":[{"id":"ITEM-1","itemData":{"DOI":"10.1016/j.landusepol.2016.02.005","ISSN":"02648377","abstract":"The subject matter of the report is the typology of rural areas, which may be used as an instrument of territorial policy. One objective of this report is to review and assess the cognitive and applied usefulness of the contemporary typologies and classifications of rural areas, with a special emphasis on Poland. The authors concentrate on the methodological procedure of the new typology, which accounts for three aspects: development dynamics, economic structure, and transport-wise accessibility. This approach generated the synthetic image of the spatial differentiation and the state of development of rural areas. The individual types of rural areas can be assigned definite sets of undertakings in the framework of territorial policy.","author":[{"dropping-particle":"","family":"Bański","given":"Jerzy","non-dropping-particle":"","parse-names":false,"suffix":""},{"dropping-particle":"","family":"Mazur","given":"Marcin","non-dropping-particle":"","parse-names":false,"suffix":""}],"container-title":"Land Use Policy","id":"ITEM-1","issued":{"date-parts":[["2016"]]},"page":"1-17","title":"Classification of rural areas in Poland as an instrument of territorial policy","type":"article-journal","volume":"54"},"uris":["http://www.mendeley.com/documents/?uuid=bf3903f8-1fa3-4ac5-a76a-d04985d05f72"]}],"mendeley":{"formattedCitation":"(Bański &amp; Mazur, 2016)","plainTextFormattedCitation":"(Bański &amp; Mazur, 2016)","previouslyFormattedCitation":"(Bański &amp; Mazur, 2016)"},"properties":{"noteIndex":0},"schema":"https://github.com/citation-style-language/schema/raw/master/csl-citation.json"}</w:instrText>
      </w:r>
      <w:r w:rsidR="00212111" w:rsidRPr="006E32E9">
        <w:rPr>
          <w:rFonts w:ascii="Times New Roman" w:hAnsi="Times New Roman" w:cs="Times New Roman"/>
          <w:lang w:val="en-GB"/>
        </w:rPr>
        <w:fldChar w:fldCharType="separate"/>
      </w:r>
      <w:r w:rsidR="002B1556" w:rsidRPr="006E32E9">
        <w:rPr>
          <w:rFonts w:ascii="Times New Roman" w:hAnsi="Times New Roman" w:cs="Times New Roman"/>
          <w:noProof/>
          <w:lang w:val="en-GB"/>
        </w:rPr>
        <w:t>(Bański &amp; Mazur, 2016)</w:t>
      </w:r>
      <w:r w:rsidR="00212111" w:rsidRPr="006E32E9">
        <w:rPr>
          <w:rFonts w:ascii="Times New Roman" w:hAnsi="Times New Roman" w:cs="Times New Roman"/>
          <w:lang w:val="en-GB"/>
        </w:rPr>
        <w:fldChar w:fldCharType="end"/>
      </w:r>
      <w:r w:rsidRPr="006E32E9">
        <w:rPr>
          <w:rFonts w:ascii="Times New Roman" w:hAnsi="Times New Roman" w:cs="Times New Roman"/>
          <w:lang w:val="en-GB"/>
        </w:rPr>
        <w:t xml:space="preserve">. We used cluster analysis on 18 variables derived from open source data to generate community typologies. Indicators were selected based on participatory rural appraisals conducted in ten communities located across the Mahanadi delta. Participants argued that remoteness plays an important role in their access to community capitals, and thus in their choice of livelihood strategy. As a consequence, we used travel time to key amenities rather than amenity availability to reflect community remoteness in the cluster analysis. Euclidean distances are inappropriate for this purpose as the Mahanadi delta has several water bodies, which act as boundaries to travel. We thus estimated accessibility to key amenities by creating a least accumulative cost surface to estimate time </w:t>
      </w:r>
      <w:r w:rsidR="00C60652" w:rsidRPr="006E32E9">
        <w:rPr>
          <w:rFonts w:ascii="Times New Roman" w:hAnsi="Times New Roman" w:cs="Times New Roman"/>
          <w:lang w:val="en-GB"/>
        </w:rPr>
        <w:t xml:space="preserve">(in hours) </w:t>
      </w:r>
      <w:r w:rsidRPr="006E32E9">
        <w:rPr>
          <w:rFonts w:ascii="Times New Roman" w:hAnsi="Times New Roman" w:cs="Times New Roman"/>
          <w:lang w:val="en-GB"/>
        </w:rPr>
        <w:t>to travel from each community to the nearest amenity of interest</w:t>
      </w:r>
      <w:r w:rsidR="00DA02DE">
        <w:rPr>
          <w:rFonts w:ascii="Times New Roman" w:hAnsi="Times New Roman" w:cs="Times New Roman"/>
          <w:lang w:val="en-GB"/>
        </w:rPr>
        <w:t>, using the R package “</w:t>
      </w:r>
      <w:proofErr w:type="spellStart"/>
      <w:r w:rsidR="00DA02DE">
        <w:rPr>
          <w:rFonts w:ascii="Times New Roman" w:hAnsi="Times New Roman" w:cs="Times New Roman"/>
          <w:lang w:val="en-GB"/>
        </w:rPr>
        <w:t>gdistance</w:t>
      </w:r>
      <w:proofErr w:type="spellEnd"/>
      <w:r w:rsidR="00DA02DE">
        <w:rPr>
          <w:rFonts w:ascii="Times New Roman" w:hAnsi="Times New Roman" w:cs="Times New Roman"/>
          <w:lang w:val="en-GB"/>
        </w:rPr>
        <w:t xml:space="preserve">” </w:t>
      </w:r>
      <w:r w:rsidR="00DA02DE">
        <w:rPr>
          <w:rFonts w:ascii="Times New Roman" w:hAnsi="Times New Roman" w:cs="Times New Roman"/>
          <w:lang w:val="en-GB"/>
        </w:rPr>
        <w:fldChar w:fldCharType="begin" w:fldLock="1"/>
      </w:r>
      <w:r w:rsidR="002703B5">
        <w:rPr>
          <w:rFonts w:ascii="Times New Roman" w:hAnsi="Times New Roman" w:cs="Times New Roman"/>
          <w:lang w:val="en-GB"/>
        </w:rPr>
        <w:instrText>ADDIN CSL_CITATION {"citationItems":[{"id":"ITEM-1","itemData":{"DOI":"10.18637/jss.v076.i13","abstract":"Jacob van Etten (2012). gdistance: distances and routes on geographical grids. R package version 1.1-4. http://CRAN.R-project.org/package=gdistance","author":[{"dropping-particle":"","family":"Etten","given":"Jacob","non-dropping-particle":"van","parse-names":false,"suffix":""}],"container-title":"Journal of Statistical Software","id":"ITEM-1","issue":"13","issued":{"date-parts":[["2017"]]},"title":"R Package gdistance : Distances and Routes on Geographical Grids ","type":"article-journal","volume":"76"},"uris":["http://www.mendeley.com/documents/?uuid=55719311-a79b-4a1b-8c74-4d6d9c632739","http://www.mendeley.com/documents/?uuid=79b64af8-07eb-4f08-8341-73c7711e0eac"]}],"mendeley":{"formattedCitation":"(van Etten, 2017)","plainTextFormattedCitation":"(van Etten, 2017)","previouslyFormattedCitation":"(van Etten, 2017)"},"properties":{"noteIndex":0},"schema":"https://github.com/citation-style-language/schema/raw/master/csl-citation.json"}</w:instrText>
      </w:r>
      <w:r w:rsidR="00DA02DE">
        <w:rPr>
          <w:rFonts w:ascii="Times New Roman" w:hAnsi="Times New Roman" w:cs="Times New Roman"/>
          <w:lang w:val="en-GB"/>
        </w:rPr>
        <w:fldChar w:fldCharType="separate"/>
      </w:r>
      <w:r w:rsidR="00DA02DE" w:rsidRPr="00DA02DE">
        <w:rPr>
          <w:rFonts w:ascii="Times New Roman" w:hAnsi="Times New Roman" w:cs="Times New Roman"/>
          <w:noProof/>
          <w:lang w:val="en-GB"/>
        </w:rPr>
        <w:t>(van Etten, 2017)</w:t>
      </w:r>
      <w:r w:rsidR="00DA02DE">
        <w:rPr>
          <w:rFonts w:ascii="Times New Roman" w:hAnsi="Times New Roman" w:cs="Times New Roman"/>
          <w:lang w:val="en-GB"/>
        </w:rPr>
        <w:fldChar w:fldCharType="end"/>
      </w:r>
      <w:r w:rsidRPr="006E32E9">
        <w:rPr>
          <w:rFonts w:ascii="Times New Roman" w:hAnsi="Times New Roman" w:cs="Times New Roman"/>
          <w:lang w:val="en-GB"/>
        </w:rPr>
        <w:t>.</w:t>
      </w:r>
    </w:p>
    <w:p w14:paraId="4DE77E11" w14:textId="77777777" w:rsidR="00775557" w:rsidRPr="006E32E9" w:rsidRDefault="00775557" w:rsidP="004B49A3">
      <w:pPr>
        <w:rPr>
          <w:rFonts w:ascii="Times New Roman" w:hAnsi="Times New Roman" w:cs="Times New Roman"/>
          <w:lang w:val="en-GB"/>
        </w:rPr>
      </w:pPr>
    </w:p>
    <w:p w14:paraId="4898AF06" w14:textId="452A2577" w:rsidR="00396C38" w:rsidRPr="006E32E9" w:rsidRDefault="00775557" w:rsidP="00410A2A">
      <w:pPr>
        <w:pStyle w:val="Heading3"/>
      </w:pPr>
      <w:r w:rsidRPr="006E32E9">
        <w:t>Estimating accessibility</w:t>
      </w:r>
    </w:p>
    <w:p w14:paraId="1DEA2857" w14:textId="2F0E91E7" w:rsidR="00624532" w:rsidRDefault="00775557" w:rsidP="00624532">
      <w:pPr>
        <w:rPr>
          <w:rFonts w:ascii="Times New Roman" w:hAnsi="Times New Roman" w:cs="Times New Roman"/>
          <w:lang w:val="en-GB"/>
        </w:rPr>
      </w:pPr>
      <w:r w:rsidRPr="006E32E9">
        <w:rPr>
          <w:rFonts w:ascii="Times New Roman" w:hAnsi="Times New Roman" w:cs="Times New Roman"/>
          <w:lang w:val="en-GB"/>
        </w:rPr>
        <w:t>We downloaded road data from OpenStreetMap, using the R package “</w:t>
      </w:r>
      <w:proofErr w:type="spellStart"/>
      <w:r w:rsidRPr="006E32E9">
        <w:rPr>
          <w:rFonts w:ascii="Times New Roman" w:hAnsi="Times New Roman" w:cs="Times New Roman"/>
          <w:lang w:val="en-GB"/>
        </w:rPr>
        <w:t>osmdata</w:t>
      </w:r>
      <w:proofErr w:type="spellEnd"/>
      <w:r w:rsidRPr="006E32E9">
        <w:rPr>
          <w:rFonts w:ascii="Times New Roman" w:hAnsi="Times New Roman" w:cs="Times New Roman"/>
          <w:lang w:val="en-GB"/>
        </w:rPr>
        <w:t xml:space="preserve">” </w:t>
      </w:r>
      <w:r w:rsidR="005A3F04" w:rsidRPr="006E32E9">
        <w:rPr>
          <w:rFonts w:ascii="Times New Roman" w:hAnsi="Times New Roman" w:cs="Times New Roman"/>
          <w:lang w:val="en-GB"/>
        </w:rPr>
        <w:fldChar w:fldCharType="begin" w:fldLock="1"/>
      </w:r>
      <w:r w:rsidR="00BC7A96" w:rsidRPr="006E32E9">
        <w:rPr>
          <w:rFonts w:ascii="Times New Roman" w:hAnsi="Times New Roman" w:cs="Times New Roman"/>
          <w:lang w:val="en-GB"/>
        </w:rPr>
        <w:instrText>ADDIN CSL_CITATION {"citationItems":[{"id":"ITEM-1","itemData":{"author":[{"dropping-particle":"","family":"Padgham","given":"Mark","non-dropping-particle":"","parse-names":false,"suffix":""},{"dropping-particle":"","family":"Rudis","given":"Bob","non-dropping-particle":"","parse-names":false,"suffix":""},{"dropping-particle":"","family":"Lovelace","given":"Robin","non-dropping-particle":"","parse-names":false,"suffix":""},{"dropping-particle":"","family":"Salmon","given":"Maëlle","non-dropping-particle":"","parse-names":false,"suffix":""}],"id":"ITEM-1","issued":{"date-parts":[["2017"]]},"title":"R Package ''osmdata''","type":"article"},"uris":["http://www.mendeley.com/documents/?uuid=0bb25268-2673-4738-a5d4-b30e2a6767c7"]}],"mendeley":{"formattedCitation":"(Padgham, Rudis, Lovelace, &amp; Salmon, 2017)","plainTextFormattedCitation":"(Padgham, Rudis, Lovelace, &amp; Salmon, 2017)","previouslyFormattedCitation":"(Padgham, Rudis, Lovelace, &amp; Salmon, 2017)"},"properties":{"noteIndex":0},"schema":"https://github.com/citation-style-language/schema/raw/master/csl-citation.json"}</w:instrText>
      </w:r>
      <w:r w:rsidR="005A3F04" w:rsidRPr="006E32E9">
        <w:rPr>
          <w:rFonts w:ascii="Times New Roman" w:hAnsi="Times New Roman" w:cs="Times New Roman"/>
          <w:lang w:val="en-GB"/>
        </w:rPr>
        <w:fldChar w:fldCharType="separate"/>
      </w:r>
      <w:r w:rsidR="002B1556" w:rsidRPr="006E32E9">
        <w:rPr>
          <w:rFonts w:ascii="Times New Roman" w:hAnsi="Times New Roman" w:cs="Times New Roman"/>
          <w:noProof/>
          <w:lang w:val="en-GB"/>
        </w:rPr>
        <w:t>(Padgham, Rudis, Lovelace, &amp; Salmon, 2017)</w:t>
      </w:r>
      <w:r w:rsidR="005A3F04" w:rsidRPr="006E32E9">
        <w:rPr>
          <w:rFonts w:ascii="Times New Roman" w:hAnsi="Times New Roman" w:cs="Times New Roman"/>
          <w:lang w:val="en-GB"/>
        </w:rPr>
        <w:fldChar w:fldCharType="end"/>
      </w:r>
      <w:r w:rsidRPr="006E32E9">
        <w:rPr>
          <w:rFonts w:ascii="Times New Roman" w:hAnsi="Times New Roman" w:cs="Times New Roman"/>
          <w:lang w:val="en-GB"/>
        </w:rPr>
        <w:t xml:space="preserve">. Roads were </w:t>
      </w:r>
      <w:r w:rsidR="005A3F04" w:rsidRPr="006E32E9">
        <w:rPr>
          <w:rFonts w:ascii="Times New Roman" w:hAnsi="Times New Roman" w:cs="Times New Roman"/>
          <w:lang w:val="en-GB"/>
        </w:rPr>
        <w:t xml:space="preserve">converted to a raster </w:t>
      </w:r>
      <w:r w:rsidR="00190123" w:rsidRPr="006E32E9">
        <w:rPr>
          <w:rFonts w:ascii="Times New Roman" w:hAnsi="Times New Roman" w:cs="Times New Roman"/>
          <w:lang w:val="en-GB"/>
        </w:rPr>
        <w:t xml:space="preserve">with </w:t>
      </w:r>
      <w:r w:rsidR="005A3F04" w:rsidRPr="006E32E9">
        <w:rPr>
          <w:rFonts w:ascii="Times New Roman" w:hAnsi="Times New Roman" w:cs="Times New Roman"/>
          <w:lang w:val="en-GB"/>
        </w:rPr>
        <w:t xml:space="preserve">30 </w:t>
      </w:r>
      <w:r w:rsidRPr="006E32E9">
        <w:rPr>
          <w:rFonts w:ascii="Times New Roman" w:hAnsi="Times New Roman" w:cs="Times New Roman"/>
          <w:lang w:val="en-GB"/>
        </w:rPr>
        <w:t>m spatial resolution and merged</w:t>
      </w:r>
      <w:r w:rsidR="005A3F04" w:rsidRPr="006E32E9">
        <w:rPr>
          <w:rFonts w:ascii="Times New Roman" w:hAnsi="Times New Roman" w:cs="Times New Roman"/>
          <w:lang w:val="en-GB"/>
        </w:rPr>
        <w:t xml:space="preserve"> with 30 </w:t>
      </w:r>
      <w:r w:rsidRPr="006E32E9">
        <w:rPr>
          <w:rFonts w:ascii="Times New Roman" w:hAnsi="Times New Roman" w:cs="Times New Roman"/>
          <w:lang w:val="en-GB"/>
        </w:rPr>
        <w:t>m spatial resolution land cover data from 201</w:t>
      </w:r>
      <w:r w:rsidR="00330E64" w:rsidRPr="006E32E9">
        <w:rPr>
          <w:rFonts w:ascii="Times New Roman" w:hAnsi="Times New Roman" w:cs="Times New Roman"/>
          <w:lang w:val="en-GB"/>
        </w:rPr>
        <w:t>0</w:t>
      </w:r>
      <w:r w:rsidRPr="006E32E9">
        <w:rPr>
          <w:rFonts w:ascii="Times New Roman" w:hAnsi="Times New Roman" w:cs="Times New Roman"/>
          <w:lang w:val="en-GB"/>
        </w:rPr>
        <w:t xml:space="preserve"> GlobeLand30 </w:t>
      </w:r>
      <w:r w:rsidR="005A3F04" w:rsidRPr="006E32E9">
        <w:rPr>
          <w:rFonts w:ascii="Times New Roman" w:hAnsi="Times New Roman" w:cs="Times New Roman"/>
          <w:lang w:val="en-GB"/>
        </w:rPr>
        <w:fldChar w:fldCharType="begin" w:fldLock="1"/>
      </w:r>
      <w:r w:rsidR="00E47895" w:rsidRPr="006E32E9">
        <w:rPr>
          <w:rFonts w:ascii="Times New Roman" w:hAnsi="Times New Roman" w:cs="Times New Roman"/>
          <w:lang w:val="en-GB"/>
        </w:rPr>
        <w:instrText>ADDIN CSL_CITATION {"citationItems":[{"id":"ITEM-1","itemData":{"DOI":"10.1016/j.isprsjprs.2014.09.002","ISBN":"0924-2716","ISSN":"09242716","PMID":"17316961","abstract":"Global Land Cover (GLC) information is fundamental for environmental change studies, land resource management, sustainable development, and many other societal benefits. Although GLC data exists at spatial resolutions of 300. m and 1000. m, a 30. m resolution mapping approach is now a feasible option for the next generation of GLC products. Since most significant human impacts on the land system can be captured at this scale, a number of researchers are focusing on such products. This paper reports the operational approach used in such a project, which aims to deliver reliable data products.Over 10,000 Landsat-like satellite images are required to cover the entire Earth at 30. m resolution. To derive a GLC map from such a large volume of data necessitates the development of effective, efficient, economic and operational approaches. Automated approaches usually provide higher efficiency and thus more economic solutions, yet existing automated classification has been deemed ineffective because of the low classification accuracy achievable (typically below 65%) at global scale at 30. m resolution. As a result, an approach based on the integration of pixel- and object-based methods with knowledge (POK-based) has been developed. To handle the classification process of 10 land cover types, a split-and-merge strategy was employed, i.e. firstly each class identified in a prioritized sequence and then results are merged together. For the identification of each class, a robust integration of pixel-and object-based classification was developed. To improve the quality of the classification results, a knowledge-based interactive verification procedure was developed with the support of web service technology. The performance of the POK-based approach was tested using eight selected areas with differing landscapes from five different continents. An overall classification accuracy of over 80% was achieved. This indicates that the developed POK-based approach is effective and feasible for operational GLC mapping at 30. m resolution.","author":[{"dropping-particle":"","family":"Chen","given":"Jun","non-dropping-particle":"","parse-names":false,"suffix":""},{"dropping-particle":"","family":"Chen","given":"Jin","non-dropping-particle":"","parse-names":false,"suffix":""},{"dropping-particle":"","family":"Liao","given":"Anping","non-dropping-particle":"","parse-names":false,"suffix":""},{"dropping-particle":"","family":"Cao","given":"Xin","non-dropping-particle":"","parse-names":false,"suffix":""},{"dropping-particle":"","family":"Chen","given":"Lijun","non-dropping-particle":"","parse-names":false,"suffix":""},{"dropping-particle":"","family":"Chen","given":"Xuehong","non-dropping-particle":"","parse-names":false,"suffix":""},{"dropping-particle":"","family":"He","given":"Chaoying","non-dropping-particle":"","parse-names":false,"suffix":""},{"dropping-particle":"","family":"Han","given":"Gang","non-dropping-particle":"","parse-names":false,"suffix":""},{"dropping-particle":"","family":"Peng","given":"Shu","non-dropping-particle":"","parse-names":false,"suffix":""},{"dropping-particle":"","family":"Lu","given":"Miao","non-dropping-particle":"","parse-names":false,"suffix":""},{"dropping-particle":"","family":"Zhang","given":"Weiwei","non-dropping-particle":"","parse-names":false,"suffix":""},{"dropping-particle":"","family":"Tong","given":"Xiaohua","non-dropping-particle":"","parse-names":false,"suffix":""},{"dropping-particle":"","family":"Mills","given":"Jon","non-dropping-particle":"","parse-names":false,"suffix":""}],"container-title":"ISPRS Journal of Photogrammetry and Remote Sensing","id":"ITEM-1","issued":{"date-parts":[["2014"]]},"page":"7-27","publisher":"International Society for Photogrammetry and Remote Sensing, Inc. (ISPRS)","title":"Global land cover mapping at 30 m resolution: A POK-based operational approach","type":"article-journal","volume":"103"},"uris":["http://www.mendeley.com/documents/?uuid=2368f2b8-dc0e-4352-96e9-17004d7694d6"]}],"mendeley":{"formattedCitation":"(Chen et al., 2014)","plainTextFormattedCitation":"(Chen et al., 2014)","previouslyFormattedCitation":"(Chen et al., 2014)"},"properties":{"noteIndex":0},"schema":"https://github.com/citation-style-language/schema/raw/master/csl-citation.json"}</w:instrText>
      </w:r>
      <w:r w:rsidR="005A3F04" w:rsidRPr="006E32E9">
        <w:rPr>
          <w:rFonts w:ascii="Times New Roman" w:hAnsi="Times New Roman" w:cs="Times New Roman"/>
          <w:lang w:val="en-GB"/>
        </w:rPr>
        <w:fldChar w:fldCharType="separate"/>
      </w:r>
      <w:r w:rsidR="00E47895" w:rsidRPr="006E32E9">
        <w:rPr>
          <w:rFonts w:ascii="Times New Roman" w:hAnsi="Times New Roman" w:cs="Times New Roman"/>
          <w:noProof/>
          <w:lang w:val="en-GB"/>
        </w:rPr>
        <w:t>(Chen et al., 2014)</w:t>
      </w:r>
      <w:r w:rsidR="005A3F04" w:rsidRPr="006E32E9">
        <w:rPr>
          <w:rFonts w:ascii="Times New Roman" w:hAnsi="Times New Roman" w:cs="Times New Roman"/>
          <w:lang w:val="en-GB"/>
        </w:rPr>
        <w:fldChar w:fldCharType="end"/>
      </w:r>
      <w:r w:rsidRPr="006E32E9">
        <w:rPr>
          <w:rFonts w:ascii="Times New Roman" w:hAnsi="Times New Roman" w:cs="Times New Roman"/>
          <w:lang w:val="en-GB"/>
        </w:rPr>
        <w:t xml:space="preserve">. </w:t>
      </w:r>
      <w:r w:rsidR="00496FEF" w:rsidRPr="006E32E9">
        <w:rPr>
          <w:rFonts w:ascii="Times New Roman" w:hAnsi="Times New Roman" w:cs="Times New Roman"/>
          <w:lang w:val="en-GB"/>
        </w:rPr>
        <w:t xml:space="preserve">Based on </w:t>
      </w:r>
      <w:r w:rsidR="00190123" w:rsidRPr="006E32E9">
        <w:rPr>
          <w:rFonts w:ascii="Times New Roman" w:hAnsi="Times New Roman" w:cs="Times New Roman"/>
          <w:lang w:val="en-GB"/>
        </w:rPr>
        <w:t xml:space="preserve">a </w:t>
      </w:r>
      <w:r w:rsidR="00496FEF" w:rsidRPr="006E32E9">
        <w:rPr>
          <w:rFonts w:ascii="Times New Roman" w:hAnsi="Times New Roman" w:cs="Times New Roman"/>
          <w:lang w:val="en-GB"/>
        </w:rPr>
        <w:t>previous stud</w:t>
      </w:r>
      <w:r w:rsidR="00190123" w:rsidRPr="006E32E9">
        <w:rPr>
          <w:rFonts w:ascii="Times New Roman" w:hAnsi="Times New Roman" w:cs="Times New Roman"/>
          <w:lang w:val="en-GB"/>
        </w:rPr>
        <w:t>y in India</w:t>
      </w:r>
      <w:r w:rsidR="00496FEF" w:rsidRPr="006E32E9">
        <w:rPr>
          <w:rFonts w:ascii="Times New Roman" w:hAnsi="Times New Roman" w:cs="Times New Roman"/>
          <w:lang w:val="en-GB"/>
        </w:rPr>
        <w:t xml:space="preserve"> </w:t>
      </w:r>
      <w:r w:rsidR="00BC7A96" w:rsidRPr="006E32E9">
        <w:rPr>
          <w:rFonts w:ascii="Times New Roman" w:hAnsi="Times New Roman" w:cs="Times New Roman"/>
          <w:lang w:val="en-GB"/>
        </w:rPr>
        <w:fldChar w:fldCharType="begin" w:fldLock="1"/>
      </w:r>
      <w:r w:rsidR="00341540" w:rsidRPr="006E32E9">
        <w:rPr>
          <w:rFonts w:ascii="Times New Roman" w:hAnsi="Times New Roman" w:cs="Times New Roman"/>
          <w:lang w:val="en-GB"/>
        </w:rPr>
        <w:instrText>ADDIN CSL_CITATION {"citationItems":[{"id":"ITEM-1","itemData":{"DOI":"10.1016/j.worlddev.2015.10.031","ISSN":"0305750X","author":[{"dropping-particle":"","family":"Watmough","given":"Gary R.","non-dropping-particle":"","parse-names":false,"suffix":""},{"dropping-particle":"","family":"Atkinson","given":"Peter M.","non-dropping-particle":"","parse-names":false,"suffix":""},{"dropping-particle":"","family":"Saikia","given":"Arupjyoti","non-dropping-particle":"","parse-names":false,"suffix":""},{"dropping-particle":"","family":"Hutton","given":"Craig W.","non-dropping-particle":"","parse-names":false,"suffix":""}],"container-title":"World Development","id":"ITEM-1","issued":{"date-parts":[["2016"]]},"page":"188-203","publisher":"Elsevier Ltd","title":"Understanding the Evidence Base for Poverty–Environment Relationships using Remotely Sensed Satellite Data: An Example from Assam, India","type":"article-journal","volume":"78"},"uris":["http://www.mendeley.com/documents/?uuid=8ac729e4-2438-4d64-85cc-e9273fe65cf8"]}],"mendeley":{"formattedCitation":"(Watmough, Atkinson, Saikia, &amp; Hutton, 2016)","plainTextFormattedCitation":"(Watmough, Atkinson, Saikia, &amp; Hutton, 2016)","previouslyFormattedCitation":"(Watmough, Atkinson, Saikia, &amp; Hutton, 2016)"},"properties":{"noteIndex":0},"schema":"https://github.com/citation-style-language/schema/raw/master/csl-citation.json"}</w:instrText>
      </w:r>
      <w:r w:rsidR="00BC7A96" w:rsidRPr="006E32E9">
        <w:rPr>
          <w:rFonts w:ascii="Times New Roman" w:hAnsi="Times New Roman" w:cs="Times New Roman"/>
          <w:lang w:val="en-GB"/>
        </w:rPr>
        <w:fldChar w:fldCharType="separate"/>
      </w:r>
      <w:r w:rsidR="00BC7A96" w:rsidRPr="006E32E9">
        <w:rPr>
          <w:rFonts w:ascii="Times New Roman" w:hAnsi="Times New Roman" w:cs="Times New Roman"/>
          <w:noProof/>
          <w:lang w:val="en-GB"/>
        </w:rPr>
        <w:t>(Watmough, Atkinson, Saikia, &amp; Hutton, 2016)</w:t>
      </w:r>
      <w:r w:rsidR="00BC7A96" w:rsidRPr="006E32E9">
        <w:rPr>
          <w:rFonts w:ascii="Times New Roman" w:hAnsi="Times New Roman" w:cs="Times New Roman"/>
          <w:lang w:val="en-GB"/>
        </w:rPr>
        <w:fldChar w:fldCharType="end"/>
      </w:r>
      <w:r w:rsidR="002B68B6" w:rsidRPr="006E32E9">
        <w:rPr>
          <w:rFonts w:ascii="Times New Roman" w:hAnsi="Times New Roman" w:cs="Times New Roman"/>
          <w:lang w:val="en-GB"/>
        </w:rPr>
        <w:t>, average speeds</w:t>
      </w:r>
      <w:r w:rsidR="00BC7A96" w:rsidRPr="006E32E9">
        <w:rPr>
          <w:rFonts w:ascii="Times New Roman" w:hAnsi="Times New Roman" w:cs="Times New Roman"/>
          <w:lang w:val="en-GB"/>
        </w:rPr>
        <w:t xml:space="preserve"> </w:t>
      </w:r>
      <w:r w:rsidRPr="006E32E9">
        <w:rPr>
          <w:rFonts w:ascii="Times New Roman" w:hAnsi="Times New Roman" w:cs="Times New Roman"/>
          <w:lang w:val="en-GB"/>
        </w:rPr>
        <w:t>were assigned to each land cover class</w:t>
      </w:r>
      <w:r w:rsidR="002C309C" w:rsidRPr="006E32E9">
        <w:rPr>
          <w:rFonts w:ascii="Times New Roman" w:hAnsi="Times New Roman" w:cs="Times New Roman"/>
          <w:lang w:val="en-GB"/>
        </w:rPr>
        <w:t xml:space="preserve"> (</w:t>
      </w:r>
      <w:r w:rsidR="005A3F04" w:rsidRPr="006E32E9">
        <w:rPr>
          <w:rFonts w:ascii="Times New Roman" w:hAnsi="Times New Roman" w:cs="Times New Roman"/>
          <w:lang w:val="en-GB"/>
        </w:rPr>
        <w:fldChar w:fldCharType="begin"/>
      </w:r>
      <w:r w:rsidR="005A3F04" w:rsidRPr="006E32E9">
        <w:rPr>
          <w:rFonts w:ascii="Times New Roman" w:hAnsi="Times New Roman" w:cs="Times New Roman"/>
          <w:lang w:val="en-GB"/>
        </w:rPr>
        <w:instrText xml:space="preserve"> REF _Ref516150329 \h </w:instrText>
      </w:r>
      <w:r w:rsidR="005A3F04" w:rsidRPr="006E32E9">
        <w:rPr>
          <w:rFonts w:ascii="Times New Roman" w:hAnsi="Times New Roman" w:cs="Times New Roman"/>
          <w:lang w:val="en-GB"/>
        </w:rPr>
      </w:r>
      <w:r w:rsidR="005A3F04" w:rsidRPr="006E32E9">
        <w:rPr>
          <w:rFonts w:ascii="Times New Roman" w:hAnsi="Times New Roman" w:cs="Times New Roman"/>
          <w:lang w:val="en-GB"/>
        </w:rPr>
        <w:fldChar w:fldCharType="separate"/>
      </w:r>
      <w:r w:rsidR="005A3F04" w:rsidRPr="006E32E9">
        <w:rPr>
          <w:lang w:val="en-GB"/>
        </w:rPr>
        <w:t xml:space="preserve">Table </w:t>
      </w:r>
      <w:r w:rsidR="005A3F04" w:rsidRPr="006E32E9">
        <w:rPr>
          <w:noProof/>
          <w:lang w:val="en-GB"/>
        </w:rPr>
        <w:t>1</w:t>
      </w:r>
      <w:r w:rsidR="005A3F04" w:rsidRPr="006E32E9">
        <w:rPr>
          <w:rFonts w:ascii="Times New Roman" w:hAnsi="Times New Roman" w:cs="Times New Roman"/>
          <w:lang w:val="en-GB"/>
        </w:rPr>
        <w:fldChar w:fldCharType="end"/>
      </w:r>
      <w:r w:rsidR="002C309C" w:rsidRPr="006E32E9">
        <w:rPr>
          <w:rFonts w:ascii="Times New Roman" w:hAnsi="Times New Roman" w:cs="Times New Roman"/>
          <w:lang w:val="en-GB"/>
        </w:rPr>
        <w:t>)</w:t>
      </w:r>
      <w:r w:rsidR="00190123" w:rsidRPr="006E32E9">
        <w:rPr>
          <w:rFonts w:ascii="Times New Roman" w:hAnsi="Times New Roman" w:cs="Times New Roman"/>
          <w:lang w:val="en-GB"/>
        </w:rPr>
        <w:t xml:space="preserve"> and </w:t>
      </w:r>
      <w:r w:rsidR="00190123" w:rsidRPr="006E32E9">
        <w:rPr>
          <w:rFonts w:ascii="Times New Roman" w:hAnsi="Times New Roman" w:cs="Times New Roman"/>
          <w:lang w:val="en-GB"/>
        </w:rPr>
        <w:lastRenderedPageBreak/>
        <w:t>were based on travel by foot across land covers and footpaths and travel by motorised vehicles on other forms of road and track</w:t>
      </w:r>
      <w:r w:rsidRPr="006E32E9">
        <w:rPr>
          <w:rFonts w:ascii="Times New Roman" w:hAnsi="Times New Roman" w:cs="Times New Roman"/>
          <w:lang w:val="en-GB"/>
        </w:rPr>
        <w:t>.</w:t>
      </w:r>
    </w:p>
    <w:p w14:paraId="328B8F8B" w14:textId="2B45DB96" w:rsidR="00624532" w:rsidRPr="006E32E9" w:rsidRDefault="00624532" w:rsidP="00624532">
      <w:pPr>
        <w:rPr>
          <w:rFonts w:ascii="Times New Roman" w:hAnsi="Times New Roman" w:cs="Times New Roman"/>
          <w:lang w:val="en-GB"/>
        </w:rPr>
      </w:pPr>
      <w:r>
        <w:rPr>
          <w:rFonts w:ascii="Times New Roman" w:hAnsi="Times New Roman" w:cs="Times New Roman"/>
          <w:lang w:val="en-GB"/>
        </w:rPr>
        <w:br w:type="page"/>
      </w:r>
    </w:p>
    <w:p w14:paraId="765ED9F8" w14:textId="78025A84" w:rsidR="0074657F" w:rsidRPr="006E32E9" w:rsidRDefault="0074657F" w:rsidP="0074657F">
      <w:pPr>
        <w:pStyle w:val="Caption"/>
        <w:keepNext/>
        <w:rPr>
          <w:b w:val="0"/>
          <w:lang w:val="en-GB"/>
        </w:rPr>
      </w:pPr>
      <w:bookmarkStart w:id="2" w:name="_Ref516150329"/>
      <w:r w:rsidRPr="006E32E9">
        <w:rPr>
          <w:lang w:val="en-GB"/>
        </w:rPr>
        <w:lastRenderedPageBreak/>
        <w:t xml:space="preserve">Table </w:t>
      </w:r>
      <w:r w:rsidRPr="006E32E9">
        <w:rPr>
          <w:lang w:val="en-GB"/>
        </w:rPr>
        <w:fldChar w:fldCharType="begin"/>
      </w:r>
      <w:r w:rsidRPr="006E32E9">
        <w:rPr>
          <w:lang w:val="en-GB"/>
        </w:rPr>
        <w:instrText xml:space="preserve"> SEQ Table \* ARABIC </w:instrText>
      </w:r>
      <w:r w:rsidRPr="006E32E9">
        <w:rPr>
          <w:lang w:val="en-GB"/>
        </w:rPr>
        <w:fldChar w:fldCharType="separate"/>
      </w:r>
      <w:r w:rsidR="00A21400" w:rsidRPr="006E32E9">
        <w:rPr>
          <w:noProof/>
          <w:lang w:val="en-GB"/>
        </w:rPr>
        <w:t>1</w:t>
      </w:r>
      <w:r w:rsidRPr="006E32E9">
        <w:rPr>
          <w:lang w:val="en-GB"/>
        </w:rPr>
        <w:fldChar w:fldCharType="end"/>
      </w:r>
      <w:bookmarkEnd w:id="2"/>
      <w:r w:rsidRPr="006E32E9">
        <w:rPr>
          <w:lang w:val="en-GB"/>
        </w:rPr>
        <w:t xml:space="preserve">: </w:t>
      </w:r>
      <w:r w:rsidRPr="006E32E9">
        <w:rPr>
          <w:rFonts w:ascii="Times New Roman" w:hAnsi="Times New Roman" w:cs="Times New Roman"/>
          <w:lang w:val="en-GB"/>
        </w:rPr>
        <w:t>Estimated travel speeds for different land cover types</w:t>
      </w:r>
      <w:r w:rsidR="00190123" w:rsidRPr="006E32E9">
        <w:rPr>
          <w:rFonts w:ascii="Times New Roman" w:hAnsi="Times New Roman" w:cs="Times New Roman"/>
          <w:lang w:val="en-GB"/>
        </w:rPr>
        <w:t xml:space="preserve"> (based on </w:t>
      </w:r>
      <w:proofErr w:type="spellStart"/>
      <w:r w:rsidR="00190123" w:rsidRPr="006E32E9">
        <w:rPr>
          <w:rFonts w:ascii="Times New Roman" w:hAnsi="Times New Roman" w:cs="Times New Roman"/>
          <w:lang w:val="en-GB"/>
        </w:rPr>
        <w:t>Watmough</w:t>
      </w:r>
      <w:proofErr w:type="spellEnd"/>
      <w:r w:rsidR="00190123" w:rsidRPr="006E32E9">
        <w:rPr>
          <w:rFonts w:ascii="Times New Roman" w:hAnsi="Times New Roman" w:cs="Times New Roman"/>
          <w:lang w:val="en-GB"/>
        </w:rPr>
        <w:t xml:space="preserve"> et al. 2016)</w:t>
      </w:r>
      <w:r w:rsidRPr="006E32E9">
        <w:rPr>
          <w:rFonts w:ascii="Times New Roman" w:hAnsi="Times New Roman" w:cs="Times New Roman"/>
          <w:lang w:val="en-GB"/>
        </w:rPr>
        <w:t>.</w:t>
      </w:r>
      <w:r w:rsidRPr="006E32E9">
        <w:rPr>
          <w:rFonts w:ascii="Times New Roman" w:hAnsi="Times New Roman" w:cs="Times New Roman"/>
          <w:b w:val="0"/>
          <w:lang w:val="en-GB"/>
        </w:rPr>
        <w:t xml:space="preserve"> </w:t>
      </w:r>
      <w:r w:rsidR="002B68B6" w:rsidRPr="006E32E9">
        <w:rPr>
          <w:rFonts w:ascii="Times New Roman" w:hAnsi="Times New Roman" w:cs="Times New Roman"/>
          <w:b w:val="0"/>
          <w:lang w:val="en-GB"/>
        </w:rPr>
        <w:t xml:space="preserve">Pedestrian movement was assumed where no roads exist, travel by motor vehicles was assumed where roads are available and travel by boat was assumed on waterways. </w:t>
      </w:r>
      <w:r w:rsidR="00CC28F2" w:rsidRPr="006E32E9">
        <w:rPr>
          <w:rFonts w:ascii="Times New Roman" w:hAnsi="Times New Roman" w:cs="Times New Roman"/>
          <w:b w:val="0"/>
          <w:lang w:val="en-GB"/>
        </w:rPr>
        <w:t xml:space="preserve">Speeds were </w:t>
      </w:r>
      <w:r w:rsidR="002B68B6" w:rsidRPr="006E32E9">
        <w:rPr>
          <w:rFonts w:ascii="Times New Roman" w:hAnsi="Times New Roman" w:cs="Times New Roman"/>
          <w:b w:val="0"/>
          <w:lang w:val="en-GB"/>
        </w:rPr>
        <w:t xml:space="preserve">then </w:t>
      </w:r>
      <w:r w:rsidR="00CC28F2" w:rsidRPr="006E32E9">
        <w:rPr>
          <w:rFonts w:ascii="Times New Roman" w:hAnsi="Times New Roman" w:cs="Times New Roman"/>
          <w:b w:val="0"/>
          <w:lang w:val="en-GB"/>
        </w:rPr>
        <w:t>u</w:t>
      </w:r>
      <w:r w:rsidRPr="006E32E9">
        <w:rPr>
          <w:rFonts w:ascii="Times New Roman" w:hAnsi="Times New Roman" w:cs="Times New Roman"/>
          <w:b w:val="0"/>
          <w:lang w:val="en-GB"/>
        </w:rPr>
        <w:t>sed to generate travel cost to nearest amenities.</w:t>
      </w:r>
    </w:p>
    <w:p w14:paraId="4BEB6376" w14:textId="70489DBE" w:rsidR="00775557" w:rsidRPr="006E32E9" w:rsidRDefault="005336A8" w:rsidP="005336A8">
      <w:pPr>
        <w:pStyle w:val="TableFigure"/>
      </w:pPr>
      <w:r w:rsidRPr="006E32E9">
        <w:rPr>
          <w:noProof/>
          <w:lang w:eastAsia="en-GB"/>
        </w:rPr>
        <w:drawing>
          <wp:inline distT="0" distB="0" distL="0" distR="0" wp14:anchorId="2CD886DF" wp14:editId="644E2381">
            <wp:extent cx="2260600" cy="261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1_traveltime.pdf"/>
                    <pic:cNvPicPr/>
                  </pic:nvPicPr>
                  <pic:blipFill>
                    <a:blip r:embed="rId17"/>
                    <a:stretch>
                      <a:fillRect/>
                    </a:stretch>
                  </pic:blipFill>
                  <pic:spPr>
                    <a:xfrm>
                      <a:off x="0" y="0"/>
                      <a:ext cx="2260600" cy="2616200"/>
                    </a:xfrm>
                    <a:prstGeom prst="rect">
                      <a:avLst/>
                    </a:prstGeom>
                  </pic:spPr>
                </pic:pic>
              </a:graphicData>
            </a:graphic>
          </wp:inline>
        </w:drawing>
      </w:r>
    </w:p>
    <w:p w14:paraId="2C61C9DE" w14:textId="6893C0BB" w:rsidR="00775557" w:rsidRPr="006E32E9" w:rsidRDefault="00775557" w:rsidP="0074657F">
      <w:pPr>
        <w:suppressLineNumbers/>
        <w:rPr>
          <w:rFonts w:ascii="Times New Roman" w:hAnsi="Times New Roman" w:cs="Times New Roman"/>
          <w:lang w:val="en-GB"/>
        </w:rPr>
      </w:pPr>
    </w:p>
    <w:p w14:paraId="0755BDD3" w14:textId="6E5A84A9" w:rsidR="00775557" w:rsidRPr="006E32E9" w:rsidRDefault="00775557" w:rsidP="00410A2A">
      <w:pPr>
        <w:pStyle w:val="Heading3"/>
      </w:pPr>
      <w:r w:rsidRPr="006E32E9">
        <w:t>Variables for community typologies</w:t>
      </w:r>
    </w:p>
    <w:p w14:paraId="64BAF4B2" w14:textId="3DCDD37F" w:rsidR="00775557" w:rsidRPr="006E32E9" w:rsidRDefault="00457AD9" w:rsidP="006D2E5D">
      <w:pPr>
        <w:rPr>
          <w:lang w:val="en-GB"/>
        </w:rPr>
      </w:pPr>
      <w:r w:rsidRPr="006E32E9">
        <w:rPr>
          <w:lang w:val="en-GB"/>
        </w:rPr>
        <w:t>In total, 18</w:t>
      </w:r>
      <w:r w:rsidR="006A43A7" w:rsidRPr="006E32E9">
        <w:rPr>
          <w:lang w:val="en-GB"/>
        </w:rPr>
        <w:t xml:space="preserve"> </w:t>
      </w:r>
      <w:r w:rsidRPr="006E32E9">
        <w:rPr>
          <w:lang w:val="en-GB"/>
        </w:rPr>
        <w:t>variables were chosen to be included in the cluster analysis (</w:t>
      </w:r>
      <w:r w:rsidR="003C6006" w:rsidRPr="006E32E9">
        <w:rPr>
          <w:lang w:val="en-GB"/>
        </w:rPr>
        <w:fldChar w:fldCharType="begin"/>
      </w:r>
      <w:r w:rsidR="003C6006" w:rsidRPr="006E32E9">
        <w:rPr>
          <w:lang w:val="en-GB"/>
        </w:rPr>
        <w:instrText xml:space="preserve"> REF _Ref516150576 \h </w:instrText>
      </w:r>
      <w:r w:rsidR="003C6006" w:rsidRPr="006E32E9">
        <w:rPr>
          <w:lang w:val="en-GB"/>
        </w:rPr>
      </w:r>
      <w:r w:rsidR="003C6006" w:rsidRPr="006E32E9">
        <w:rPr>
          <w:lang w:val="en-GB"/>
        </w:rPr>
        <w:fldChar w:fldCharType="separate"/>
      </w:r>
      <w:r w:rsidR="003C6006" w:rsidRPr="006E32E9">
        <w:rPr>
          <w:lang w:val="en-GB"/>
        </w:rPr>
        <w:t xml:space="preserve">Table </w:t>
      </w:r>
      <w:r w:rsidR="003C6006" w:rsidRPr="006E32E9">
        <w:rPr>
          <w:noProof/>
          <w:lang w:val="en-GB"/>
        </w:rPr>
        <w:t>2</w:t>
      </w:r>
      <w:r w:rsidR="003C6006" w:rsidRPr="006E32E9">
        <w:rPr>
          <w:lang w:val="en-GB"/>
        </w:rPr>
        <w:fldChar w:fldCharType="end"/>
      </w:r>
      <w:r w:rsidRPr="006E32E9">
        <w:rPr>
          <w:lang w:val="en-GB"/>
        </w:rPr>
        <w:t>). These were selected to represent the diversity of drivers that were highlighted by participants during the participatory rural appraisals. They can be grouped into three categories, natural resources, social services and productive infrastructure. Locations of the main amenities were extracted from the Village Amenities tables of the 2011 Indian National Population and Household Census and from OpenStreetMap data.</w:t>
      </w:r>
      <w:r w:rsidR="003C6006" w:rsidRPr="006E32E9">
        <w:rPr>
          <w:lang w:val="en-GB"/>
        </w:rPr>
        <w:t xml:space="preserve"> We used 2010 MODIS data at 250 </w:t>
      </w:r>
      <w:r w:rsidRPr="006E32E9">
        <w:rPr>
          <w:lang w:val="en-GB"/>
        </w:rPr>
        <w:t xml:space="preserve">m spatial resolution to obtain a land cover dataset detailing the different types of cropping systems found in the delta </w:t>
      </w:r>
      <w:r w:rsidR="003C6006" w:rsidRPr="006E32E9">
        <w:rPr>
          <w:lang w:val="en-GB"/>
        </w:rPr>
        <w:fldChar w:fldCharType="begin" w:fldLock="1"/>
      </w:r>
      <w:r w:rsidR="00356E72" w:rsidRPr="006E32E9">
        <w:rPr>
          <w:lang w:val="en-GB"/>
        </w:rPr>
        <w:instrText>ADDIN CSL_CITATION {"citationItems":[{"id":"ITEM-1","itemData":{"DOI":"10.1016/j.jenvman.2013.11.039","ISSN":"03014797","PMID":"24405761","abstract":"The rainfed rice-growing environment is perhaps one of the most vulnerable to water stress such as drought and floods. It is important to determine the spatial extent of the stress-prone areas to effectively and efficiently promote proper technologies (e.g., stress-tolerant varieties) to tackle the problem of sustainable food production. This study was conducted in Odisha state located in eastern India. Odisha is predominantly a rainfed rice ecosystem (71% rainfed and 29% canal irrigated during kharif-monsoon season), where rice is the major crop and staple food of the people. However, rice productivity in Odisha is one of the lowest in India and a significant decline (9%) in rice cultivated area was observed in 2002 (a drought year). The present study analyzed the temporal rice cropping pattern in various ecosystems and identified the stress-prone areas due to submergence (flooding) and water shortage. The spatial distribution of rice areas was mapped using MODIS (MOD09Q1) 250-m 8-day time-series data (2000-2010) and spectral matching techniques. The mapped rice areas were strongly correlated (R2 = 90%) with district-level statistics. Also the class accuracy based on field-plot data was 84.8%. The area under the rainfed rice ecosystem continues to dominate, recording the largest share among rice classes across all the years. The use of remote-sensing techniques is rapid, cost-effective, and reliable to monitor changes in rice cultivated area over long periods of time and estimate the reduction in area cultivated due to abiotic stress such as water stress and submergence. Agricultural research institutes and line departments in the government can use these techniques for better planning, regular monitoring of land-use changes, and dissemination of appropriate technologies. © 2013 Elsevier Ltd. All rights reserved.","author":[{"dropping-particle":"","family":"Gumma","given":"Murali Krishna","non-dropping-particle":"","parse-names":false,"suffix":""},{"dropping-particle":"","family":"Mohanty","given":"Samarendu","non-dropping-particle":"","parse-names":false,"suffix":""},{"dropping-particle":"","family":"Nelson","given":"Andrew","non-dropping-particle":"","parse-names":false,"suffix":""},{"dropping-particle":"","family":"Arnel","given":"Rala","non-dropping-particle":"","parse-names":false,"suffix":""},{"dropping-particle":"","family":"Mohammed","given":"Irshad a.","non-dropping-particle":"","parse-names":false,"suffix":""},{"dropping-particle":"","family":"Das","given":"Satya Ranjan","non-dropping-particle":"","parse-names":false,"suffix":""}],"container-title":"Journal of Environmental Management","id":"ITEM-1","issued":{"date-parts":[["2014"]]},"page":"31-41","publisher":"Elsevier Ltd","title":"Remote sensing based change analysis of rice environments in Odisha, India","type":"article-journal","volume":"148"},"uris":["http://www.mendeley.com/documents/?uuid=de351f16-54ff-4fe6-a14f-e17186437466"]}],"mendeley":{"formattedCitation":"(Gumma et al., 2014)","plainTextFormattedCitation":"(Gumma et al., 2014)","previouslyFormattedCitation":"(Gumma et al., 2014)"},"properties":{"noteIndex":0},"schema":"https://github.com/citation-style-language/schema/raw/master/csl-citation.json"}</w:instrText>
      </w:r>
      <w:r w:rsidR="003C6006" w:rsidRPr="006E32E9">
        <w:rPr>
          <w:lang w:val="en-GB"/>
        </w:rPr>
        <w:fldChar w:fldCharType="separate"/>
      </w:r>
      <w:r w:rsidR="002A030E" w:rsidRPr="006E32E9">
        <w:rPr>
          <w:noProof/>
          <w:lang w:val="en-GB"/>
        </w:rPr>
        <w:t>(Gumma et al., 2014)</w:t>
      </w:r>
      <w:r w:rsidR="003C6006" w:rsidRPr="006E32E9">
        <w:rPr>
          <w:lang w:val="en-GB"/>
        </w:rPr>
        <w:fldChar w:fldCharType="end"/>
      </w:r>
      <w:r w:rsidRPr="006E32E9">
        <w:rPr>
          <w:lang w:val="en-GB"/>
        </w:rPr>
        <w:t xml:space="preserve">. Travel costs to the nearest amenity of interest were computed from the least accumulative cost surface dataset mentioned earlier. In situations where multiple indicators for the same service were found (type of education or health facility), we favoured the indicator that exhibited the greatest variation among communities. </w:t>
      </w:r>
      <w:r w:rsidR="00A50014" w:rsidRPr="006E32E9">
        <w:rPr>
          <w:lang w:val="en-GB"/>
        </w:rPr>
        <w:t>Based on the results from RRA</w:t>
      </w:r>
      <w:r w:rsidR="00364036">
        <w:rPr>
          <w:lang w:val="en-GB"/>
        </w:rPr>
        <w:t xml:space="preserve"> (</w:t>
      </w:r>
      <w:r w:rsidR="0007388F">
        <w:rPr>
          <w:lang w:val="en-GB"/>
        </w:rPr>
        <w:t>S1</w:t>
      </w:r>
      <w:r w:rsidR="00364036">
        <w:rPr>
          <w:lang w:val="en-GB"/>
        </w:rPr>
        <w:t>)</w:t>
      </w:r>
      <w:r w:rsidR="00A50014" w:rsidRPr="006E32E9">
        <w:rPr>
          <w:lang w:val="en-GB"/>
        </w:rPr>
        <w:t>, t</w:t>
      </w:r>
      <w:r w:rsidRPr="006E32E9">
        <w:rPr>
          <w:lang w:val="en-GB"/>
        </w:rPr>
        <w:t xml:space="preserve">ravel times to </w:t>
      </w:r>
      <w:r w:rsidRPr="006E32E9">
        <w:rPr>
          <w:lang w:val="en-GB"/>
        </w:rPr>
        <w:lastRenderedPageBreak/>
        <w:t>six types of amenities were chosen to reflect access to social services: public services and polling stations, secondary schools, banks and credit cooperatives, hospitals, worship temples and recreational areas, such as sports centres and playgrounds. Three amenities were used to reflect access to productive infrastructures: travel time to communication services, agricultural outlets and industrial areas. Availability of public transport was also chosen to represent productive infrastructures, as they can be used by smallholders to access agricultural market</w:t>
      </w:r>
      <w:r w:rsidR="00744A4A" w:rsidRPr="006E32E9">
        <w:rPr>
          <w:lang w:val="en-GB"/>
        </w:rPr>
        <w:t>s</w:t>
      </w:r>
      <w:r w:rsidRPr="006E32E9">
        <w:rPr>
          <w:lang w:val="en-GB"/>
        </w:rPr>
        <w:t>. Eight variables were chosen to reflect the natural resources from which most households derived their incomes, seven of which were derived from satellite sensor data and one from O</w:t>
      </w:r>
      <w:r w:rsidR="003C6006" w:rsidRPr="006E32E9">
        <w:rPr>
          <w:lang w:val="en-GB"/>
        </w:rPr>
        <w:t>pen</w:t>
      </w:r>
      <w:r w:rsidRPr="006E32E9">
        <w:rPr>
          <w:lang w:val="en-GB"/>
        </w:rPr>
        <w:t>S</w:t>
      </w:r>
      <w:r w:rsidR="003C6006" w:rsidRPr="006E32E9">
        <w:rPr>
          <w:lang w:val="en-GB"/>
        </w:rPr>
        <w:t>treet</w:t>
      </w:r>
      <w:r w:rsidRPr="006E32E9">
        <w:rPr>
          <w:lang w:val="en-GB"/>
        </w:rPr>
        <w:t>M</w:t>
      </w:r>
      <w:r w:rsidR="003C6006" w:rsidRPr="006E32E9">
        <w:rPr>
          <w:lang w:val="en-GB"/>
        </w:rPr>
        <w:t>ap data</w:t>
      </w:r>
      <w:r w:rsidR="003508B3" w:rsidRPr="006E32E9">
        <w:rPr>
          <w:lang w:val="en-GB"/>
        </w:rPr>
        <w:t xml:space="preserve"> (Table 2)</w:t>
      </w:r>
      <w:r w:rsidRPr="006E32E9">
        <w:rPr>
          <w:lang w:val="en-GB"/>
        </w:rPr>
        <w:t xml:space="preserve">. </w:t>
      </w:r>
      <w:r w:rsidR="00A67F13" w:rsidRPr="006E32E9">
        <w:rPr>
          <w:lang w:val="en-GB"/>
        </w:rPr>
        <w:t>The v</w:t>
      </w:r>
      <w:r w:rsidRPr="006E32E9">
        <w:rPr>
          <w:lang w:val="en-GB"/>
        </w:rPr>
        <w:t>ariabl</w:t>
      </w:r>
      <w:r w:rsidR="00744A4A" w:rsidRPr="006E32E9">
        <w:rPr>
          <w:lang w:val="en-GB"/>
        </w:rPr>
        <w:t xml:space="preserve">es </w:t>
      </w:r>
      <w:r w:rsidR="00A67F13" w:rsidRPr="006E32E9">
        <w:rPr>
          <w:lang w:val="en-GB"/>
        </w:rPr>
        <w:t xml:space="preserve">to reflect the natural resources </w:t>
      </w:r>
      <w:r w:rsidR="00744A4A" w:rsidRPr="006E32E9">
        <w:rPr>
          <w:lang w:val="en-GB"/>
        </w:rPr>
        <w:t xml:space="preserve">included: the area of forest, </w:t>
      </w:r>
      <w:r w:rsidRPr="006E32E9">
        <w:rPr>
          <w:lang w:val="en-GB"/>
        </w:rPr>
        <w:t>the area of cropland available per household, the type of agricultural system (based on the proportion of each cropping pattern within the community) and the travel time from each community to the nearest aquaculture ponds. These variables were chosen since the number of growing seasons and the availability of irrigation systems can be a determinant for livelihood outcomes.</w:t>
      </w:r>
    </w:p>
    <w:p w14:paraId="3EE8E48C" w14:textId="6C26AF44" w:rsidR="006D2E5D" w:rsidRPr="006E32E9" w:rsidRDefault="006D2E5D" w:rsidP="006D2E5D">
      <w:pPr>
        <w:pStyle w:val="Caption"/>
        <w:keepNext/>
        <w:rPr>
          <w:b w:val="0"/>
          <w:lang w:val="en-GB"/>
        </w:rPr>
      </w:pPr>
      <w:bookmarkStart w:id="3" w:name="_Ref516150576"/>
      <w:r w:rsidRPr="006E32E9">
        <w:rPr>
          <w:lang w:val="en-GB"/>
        </w:rPr>
        <w:lastRenderedPageBreak/>
        <w:t xml:space="preserve">Table </w:t>
      </w:r>
      <w:r w:rsidRPr="006E32E9">
        <w:rPr>
          <w:lang w:val="en-GB"/>
        </w:rPr>
        <w:fldChar w:fldCharType="begin"/>
      </w:r>
      <w:r w:rsidRPr="006E32E9">
        <w:rPr>
          <w:lang w:val="en-GB"/>
        </w:rPr>
        <w:instrText xml:space="preserve"> SEQ Table \* ARABIC </w:instrText>
      </w:r>
      <w:r w:rsidRPr="006E32E9">
        <w:rPr>
          <w:lang w:val="en-GB"/>
        </w:rPr>
        <w:fldChar w:fldCharType="separate"/>
      </w:r>
      <w:r w:rsidR="00A21400" w:rsidRPr="006E32E9">
        <w:rPr>
          <w:noProof/>
          <w:lang w:val="en-GB"/>
        </w:rPr>
        <w:t>2</w:t>
      </w:r>
      <w:r w:rsidRPr="006E32E9">
        <w:rPr>
          <w:lang w:val="en-GB"/>
        </w:rPr>
        <w:fldChar w:fldCharType="end"/>
      </w:r>
      <w:bookmarkEnd w:id="3"/>
      <w:r w:rsidRPr="006E32E9">
        <w:rPr>
          <w:lang w:val="en-GB"/>
        </w:rPr>
        <w:t xml:space="preserve">: Variables used for community typologies. </w:t>
      </w:r>
      <w:r w:rsidRPr="006E32E9">
        <w:rPr>
          <w:b w:val="0"/>
          <w:lang w:val="en-GB"/>
        </w:rPr>
        <w:t>Indicators for social services are based on travel times to the closest service found by using a least accumulative cost surface dataset, computed from road networks and land cover data. Natural services are derived from agricultural-relevant metrics from land cover data.</w:t>
      </w:r>
    </w:p>
    <w:p w14:paraId="58217CE0" w14:textId="2098FB12" w:rsidR="00457AD9" w:rsidRPr="006E32E9" w:rsidRDefault="006D2E5D" w:rsidP="006D2E5D">
      <w:pPr>
        <w:pStyle w:val="TableFigure"/>
      </w:pPr>
      <w:r w:rsidRPr="006E32E9">
        <w:rPr>
          <w:noProof/>
          <w:lang w:eastAsia="en-GB"/>
        </w:rPr>
        <w:drawing>
          <wp:inline distT="0" distB="0" distL="0" distR="0" wp14:anchorId="27E4A487" wp14:editId="0EAECBE6">
            <wp:extent cx="47879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2_variables.pdf"/>
                    <pic:cNvPicPr/>
                  </pic:nvPicPr>
                  <pic:blipFill>
                    <a:blip r:embed="rId18"/>
                    <a:stretch>
                      <a:fillRect/>
                    </a:stretch>
                  </pic:blipFill>
                  <pic:spPr>
                    <a:xfrm>
                      <a:off x="0" y="0"/>
                      <a:ext cx="4787900" cy="2971800"/>
                    </a:xfrm>
                    <a:prstGeom prst="rect">
                      <a:avLst/>
                    </a:prstGeom>
                  </pic:spPr>
                </pic:pic>
              </a:graphicData>
            </a:graphic>
          </wp:inline>
        </w:drawing>
      </w:r>
    </w:p>
    <w:p w14:paraId="1629AFF3" w14:textId="3D6E2A31" w:rsidR="00457AD9" w:rsidRPr="006E32E9" w:rsidRDefault="00457AD9" w:rsidP="006D2E5D">
      <w:pPr>
        <w:pStyle w:val="TableFigure"/>
      </w:pPr>
    </w:p>
    <w:p w14:paraId="30CB36F4" w14:textId="687FC316" w:rsidR="00457AD9" w:rsidRPr="006E32E9" w:rsidRDefault="00457AD9" w:rsidP="00457AD9">
      <w:pPr>
        <w:pStyle w:val="Heading3"/>
      </w:pPr>
      <w:r w:rsidRPr="006E32E9">
        <w:t>Clustering method</w:t>
      </w:r>
    </w:p>
    <w:p w14:paraId="46557B22" w14:textId="011FE9B0" w:rsidR="00457AD9" w:rsidRPr="006E32E9" w:rsidRDefault="00457AD9" w:rsidP="00B676C0">
      <w:pPr>
        <w:ind w:firstLine="0"/>
        <w:rPr>
          <w:lang w:val="en-GB"/>
        </w:rPr>
      </w:pPr>
      <w:r w:rsidRPr="006E32E9">
        <w:rPr>
          <w:lang w:val="en-GB"/>
        </w:rPr>
        <w:t xml:space="preserve">We used a model-based clustering method to avoid the </w:t>
      </w:r>
      <w:r w:rsidR="008558C9">
        <w:rPr>
          <w:lang w:val="en-GB"/>
        </w:rPr>
        <w:t>limitations</w:t>
      </w:r>
      <w:r w:rsidR="003C6006" w:rsidRPr="006E32E9">
        <w:rPr>
          <w:lang w:val="en-GB"/>
        </w:rPr>
        <w:t xml:space="preserve"> of </w:t>
      </w:r>
      <w:r w:rsidR="00C111F9">
        <w:rPr>
          <w:lang w:val="en-GB"/>
        </w:rPr>
        <w:t xml:space="preserve">deterministic procedures, such as </w:t>
      </w:r>
      <w:r w:rsidR="003C6006" w:rsidRPr="006E32E9">
        <w:rPr>
          <w:lang w:val="en-GB"/>
        </w:rPr>
        <w:t xml:space="preserve">hierarchical and </w:t>
      </w:r>
      <w:r w:rsidR="003C6006" w:rsidRPr="006E32E9">
        <w:rPr>
          <w:i/>
          <w:lang w:val="en-GB"/>
        </w:rPr>
        <w:t>k</w:t>
      </w:r>
      <w:r w:rsidRPr="006E32E9">
        <w:rPr>
          <w:lang w:val="en-GB"/>
        </w:rPr>
        <w:t>-means clustering algorithms</w:t>
      </w:r>
      <w:r w:rsidR="002D746D">
        <w:rPr>
          <w:lang w:val="en-GB"/>
        </w:rPr>
        <w:t>.</w:t>
      </w:r>
      <w:r w:rsidRPr="006E32E9">
        <w:rPr>
          <w:lang w:val="en-GB"/>
        </w:rPr>
        <w:t xml:space="preserve"> </w:t>
      </w:r>
      <w:r w:rsidR="00794CE7">
        <w:rPr>
          <w:lang w:val="en-GB"/>
        </w:rPr>
        <w:t>As demonstrated by</w:t>
      </w:r>
      <w:r w:rsidR="003C6FA9">
        <w:rPr>
          <w:lang w:val="en-GB"/>
        </w:rPr>
        <w:t xml:space="preserve"> </w:t>
      </w:r>
      <w:r w:rsidR="002703B5">
        <w:rPr>
          <w:lang w:val="en-GB"/>
        </w:rPr>
        <w:fldChar w:fldCharType="begin" w:fldLock="1"/>
      </w:r>
      <w:r w:rsidR="002A5049">
        <w:rPr>
          <w:lang w:val="en-GB"/>
        </w:rPr>
        <w:instrText>ADDIN CSL_CITATION {"citationItems":[{"id":"ITEM-1","itemData":{"DOI":"10.1371/journal.pone.0162259","ISSN":"19326203","abstract":"The K-means algorithm is one of the most popular clustering algorithms in current use as it is relatively fast yet simple to understand and deploy in practice. Nevertheless, its use entails certain restrictive assumptions about the data, the negative consequences of which are not always immediately apparent, as we demonstrate. While more flexible algorithms have been developed, their widespread use has been hindered by their computational and technical complexity. Motivated by these considerations, we present a flexible alternative to K-means that relaxes most of the assumptions, whilst remaining almost as fast and simple. This novel algorithm which we call MAP-DP (maximum a-posteriori Dirichlet process mixtures), is statistically rigorous as it is based on nonparametric Bayesian Dirichlet process mixture modeling. This approach allows us to overcome most of the limitations imposed by K-means. The number of clusters K is estimated from the data instead of being fixed a-priori as in K-means. In addition, while K-means is restricted to continuous data, the MAP-DP framework can be applied to many kinds of data, for example, binary, count or ordinal data. Also, it can efficiently separate outliers from the data. This additional flexibility does not incur a significant computational overhead compared to K-means with MAP-DP convergence typically achieved in the order of seconds for many practical problems. Finally, in contrast to K-means, since the algorithm is based on an underlying statistical model, the MAP-DP framework can deal with missing data and enables model testing such as cross validation in a principled way. We demonstrate the simplicity and effectiveness of this algorithm on the health informatics problem of clinical sub-typing in a cluster of diseases known as parkinsonism.","author":[{"dropping-particle":"","family":"Raykov","given":"Yordan P.","non-dropping-particle":"","parse-names":false,"suffix":""},{"dropping-particle":"","family":"Boukouvalas","given":"Alexis","non-dropping-particle":"","parse-names":false,"suffix":""},{"dropping-particle":"","family":"Baig","given":"Fahd","non-dropping-particle":"","parse-names":false,"suffix":""},{"dropping-particle":"","family":"Little","given":"Max A.","non-dropping-particle":"","parse-names":false,"suffix":""}],"container-title":"PLoS ONE","id":"ITEM-1","issue":"9","issued":{"date-parts":[["2016"]]},"page":"1-28","title":"What to do when K-means clustering fails: A simple yet principled alternative algorithm","type":"article-journal","volume":"11"},"uris":["http://www.mendeley.com/documents/?uuid=3942ee7e-e921-450f-84e3-550f89ee2c99"]}],"mendeley":{"formattedCitation":"(Raykov, Boukouvalas, Baig, &amp; Little, 2016)","plainTextFormattedCitation":"(Raykov, Boukouvalas, Baig, &amp; Little, 2016)","previouslyFormattedCitation":"(Raykov, Boukouvalas, Baig, &amp; Little, 2016)"},"properties":{"noteIndex":0},"schema":"https://github.com/citation-style-language/schema/raw/master/csl-citation.json"}</w:instrText>
      </w:r>
      <w:r w:rsidR="002703B5">
        <w:rPr>
          <w:lang w:val="en-GB"/>
        </w:rPr>
        <w:fldChar w:fldCharType="separate"/>
      </w:r>
      <w:r w:rsidR="002A5049" w:rsidRPr="002A5049">
        <w:rPr>
          <w:noProof/>
          <w:lang w:val="en-GB"/>
        </w:rPr>
        <w:t>(Raykov, Boukouvalas, Baig, &amp; Little, 2016)</w:t>
      </w:r>
      <w:r w:rsidR="002703B5">
        <w:rPr>
          <w:lang w:val="en-GB"/>
        </w:rPr>
        <w:fldChar w:fldCharType="end"/>
      </w:r>
      <w:r w:rsidR="00794CE7">
        <w:rPr>
          <w:lang w:val="en-GB"/>
        </w:rPr>
        <w:t xml:space="preserve">, </w:t>
      </w:r>
      <w:r w:rsidR="002A5049">
        <w:rPr>
          <w:lang w:val="en-GB"/>
        </w:rPr>
        <w:t xml:space="preserve">these two popular </w:t>
      </w:r>
      <w:r w:rsidR="00794CE7">
        <w:rPr>
          <w:lang w:val="en-GB"/>
        </w:rPr>
        <w:t xml:space="preserve">clustering methods rely on restrictive assumptions that lead to severe limitations in accuracy and interpretability. </w:t>
      </w:r>
      <w:r w:rsidR="002A5049">
        <w:rPr>
          <w:lang w:val="en-GB"/>
        </w:rPr>
        <w:t xml:space="preserve">In particular, </w:t>
      </w:r>
      <w:r w:rsidR="00794CE7">
        <w:rPr>
          <w:lang w:val="en-GB"/>
        </w:rPr>
        <w:t xml:space="preserve">these algorithms cluster data points based on geometric closeness to the cluster centroid, without taking cluster densities into account. Therefore, they implicitly assume that each cluster must contain the same number of data points, which is a biased assumption </w:t>
      </w:r>
      <w:r w:rsidR="00ED04BA">
        <w:rPr>
          <w:lang w:val="en-GB"/>
        </w:rPr>
        <w:t xml:space="preserve">for </w:t>
      </w:r>
      <w:r w:rsidR="00794CE7">
        <w:rPr>
          <w:lang w:val="en-GB"/>
        </w:rPr>
        <w:t>building community typologies.</w:t>
      </w:r>
      <w:r w:rsidRPr="006E32E9">
        <w:rPr>
          <w:lang w:val="en-GB"/>
        </w:rPr>
        <w:t xml:space="preserve"> </w:t>
      </w:r>
      <w:r w:rsidR="00794CE7">
        <w:rPr>
          <w:lang w:val="en-GB"/>
        </w:rPr>
        <w:t>On the contrary, m</w:t>
      </w:r>
      <w:r w:rsidRPr="006E32E9">
        <w:rPr>
          <w:lang w:val="en-GB"/>
        </w:rPr>
        <w:t xml:space="preserve">odel-based clustering considers </w:t>
      </w:r>
      <w:r w:rsidR="008B18D5" w:rsidRPr="006E32E9">
        <w:rPr>
          <w:lang w:val="en-GB"/>
        </w:rPr>
        <w:t xml:space="preserve">that </w:t>
      </w:r>
      <w:r w:rsidRPr="006E32E9">
        <w:rPr>
          <w:lang w:val="en-GB"/>
        </w:rPr>
        <w:t xml:space="preserve">the data </w:t>
      </w:r>
      <w:r w:rsidR="008B18D5" w:rsidRPr="006E32E9">
        <w:rPr>
          <w:lang w:val="en-GB"/>
        </w:rPr>
        <w:t>comes</w:t>
      </w:r>
      <w:r w:rsidRPr="006E32E9">
        <w:rPr>
          <w:lang w:val="en-GB"/>
        </w:rPr>
        <w:t xml:space="preserve"> from a distribution that is a mixture of two or more clusters, and assigns to each data point a probability of belonging to each cluster </w:t>
      </w:r>
      <w:r w:rsidR="003C6006" w:rsidRPr="006E32E9">
        <w:rPr>
          <w:lang w:val="en-GB"/>
        </w:rPr>
        <w:fldChar w:fldCharType="begin" w:fldLock="1"/>
      </w:r>
      <w:r w:rsidR="002A5049">
        <w:rPr>
          <w:lang w:val="en-GB"/>
        </w:rPr>
        <w:instrText>ADDIN CSL_CITATION {"citationItems":[{"id":"ITEM-1","itemData":{"DOI":"10.1198/016214502760047131","ISBN":"0162-1459","ISSN":"0162-1459","PMID":"20815477","abstract":"Cluster analysis is the automated search for groups of related observations in a dataset. Most clustering done in practice is based largely on heuristic but intuitively reasonable procedures, and most clustering methods available in commercial software are also of this ... \\n","author":[{"dropping-particle":"","family":"Fraley","given":"C","non-dropping-particle":"","parse-names":false,"suffix":""},{"dropping-particle":"","family":"Raftery","given":"A","non-dropping-particle":"","parse-names":false,"suffix":""}],"container-title":"Journal of the American Statistical Association","id":"ITEM-1","issue":"458","issued":{"date-parts":[["2002"]]},"page":"611-631","title":"Model-based clustering, discriminant analysis, and density estimation","type":"article-journal","volume":"97"},"uris":["http://www.mendeley.com/documents/?uuid=dca11a1b-afa1-4611-8ea6-bf10b932e0b4"]}],"mendeley":{"formattedCitation":"(C Fraley &amp; Raftery, 2002)","plainTextFormattedCitation":"(C Fraley &amp; Raftery, 2002)","previouslyFormattedCitation":"(C Fraley &amp; Raftery, 2002)"},"properties":{"noteIndex":0},"schema":"https://github.com/citation-style-language/schema/raw/master/csl-citation.json"}</w:instrText>
      </w:r>
      <w:r w:rsidR="003C6006" w:rsidRPr="006E32E9">
        <w:rPr>
          <w:lang w:val="en-GB"/>
        </w:rPr>
        <w:fldChar w:fldCharType="separate"/>
      </w:r>
      <w:r w:rsidR="002B1556" w:rsidRPr="006E32E9">
        <w:rPr>
          <w:noProof/>
          <w:lang w:val="en-GB"/>
        </w:rPr>
        <w:t>(C Fraley &amp; Raftery, 2002)</w:t>
      </w:r>
      <w:r w:rsidR="003C6006" w:rsidRPr="006E32E9">
        <w:rPr>
          <w:lang w:val="en-GB"/>
        </w:rPr>
        <w:fldChar w:fldCharType="end"/>
      </w:r>
      <w:r w:rsidRPr="006E32E9">
        <w:rPr>
          <w:lang w:val="en-GB"/>
        </w:rPr>
        <w:t xml:space="preserve">. Each cluster is modelled by the </w:t>
      </w:r>
      <w:r w:rsidRPr="006E32E9">
        <w:rPr>
          <w:lang w:val="en-GB"/>
        </w:rPr>
        <w:lastRenderedPageBreak/>
        <w:t xml:space="preserve">Gaussian distribution and is characterised by its mean vector, covariance matrix and the probability of each point belonging to this cluster. These parameters are estimated using the Expectation-Maximisation algorithm, which is initialised by hierarchical model-based clustering. The covariance matrix determines the geometric shape of each cluster, the latter being centred at the mean, around which there is an increased density of points. The model with the greatest integrated likelihood, or Bayesian Information Criterion (BIC), is considered as the best fitting model. We used the R package </w:t>
      </w:r>
      <w:r w:rsidR="003C6006" w:rsidRPr="006E32E9">
        <w:rPr>
          <w:lang w:val="en-GB"/>
        </w:rPr>
        <w:t>“</w:t>
      </w:r>
      <w:proofErr w:type="spellStart"/>
      <w:r w:rsidRPr="006E32E9">
        <w:rPr>
          <w:lang w:val="en-GB"/>
        </w:rPr>
        <w:t>mclust</w:t>
      </w:r>
      <w:proofErr w:type="spellEnd"/>
      <w:r w:rsidR="003C6006" w:rsidRPr="006E32E9">
        <w:rPr>
          <w:lang w:val="en-GB"/>
        </w:rPr>
        <w:t xml:space="preserve">” </w:t>
      </w:r>
      <w:r w:rsidR="003C6006" w:rsidRPr="006E32E9">
        <w:rPr>
          <w:lang w:val="en-GB"/>
        </w:rPr>
        <w:fldChar w:fldCharType="begin" w:fldLock="1"/>
      </w:r>
      <w:r w:rsidR="00BC7A96" w:rsidRPr="006E32E9">
        <w:rPr>
          <w:lang w:val="en-GB"/>
        </w:rPr>
        <w:instrText>ADDIN CSL_CITATION {"citationItems":[{"id":"ITEM-1","itemData":{"abstract":"mclust is a contributed R package for model-based clustering, classification, and density estima- tion based on finite normal mixture modeling. It provides functions for parameter estimation via the EM algorithm for normal mixture models with a variety of covariance structures, and func- tions for simulation from these models. Also included are functions that combine model-based hierarchical clustering, EM for mixture estimation and the Bayesian Information Criterion (BIC) in comprehensive strategies for clustering, density estimation and discriminant analysis. There is additional functionality for displaying and visualizing the models along with clustering, clas- sification, and density estimation results. Several features of the software have been changed in this version, in particular the functionality for discriminant analysis and density estimation has been largely expanded. mclust is licensed under the GPL and distributed through CRAN; see http://cran.r-project.org/web/packages/mclust/index.html.","author":[{"dropping-particle":"","family":"Fraley","given":"Chris","non-dropping-particle":"","parse-names":false,"suffix":""},{"dropping-particle":"","family":"Raftery","given":"Adrian E","non-dropping-particle":"","parse-names":false,"suffix":""},{"dropping-particle":"","family":"Murphy","given":"T Brendan","non-dropping-particle":"","parse-names":false,"suffix":""},{"dropping-particle":"","family":"Scrucca","given":"Luca","non-dropping-particle":"","parse-names":false,"suffix":""}],"container-title":"Technical Report 597, University of Washington","id":"ITEM-1","issued":{"date-parts":[["2012"]]},"page":"1-50","title":"mclust Version 4 for R: Normal Mixture Modeling for Model-Based Clustering, Classification, and Density Estimation","type":"article-journal"},"uris":["http://www.mendeley.com/documents/?uuid=be007ae9-0cac-4086-b0a7-5f5d2cee20d2"]}],"mendeley":{"formattedCitation":"(Chris Fraley, Raftery, Murphy, &amp; Scrucca, 2012)","plainTextFormattedCitation":"(Chris Fraley, Raftery, Murphy, &amp; Scrucca, 2012)","previouslyFormattedCitation":"(Chris Fraley, Raftery, Murphy, &amp; Scrucca, 2012)"},"properties":{"noteIndex":0},"schema":"https://github.com/citation-style-language/schema/raw/master/csl-citation.json"}</w:instrText>
      </w:r>
      <w:r w:rsidR="003C6006" w:rsidRPr="006E32E9">
        <w:rPr>
          <w:lang w:val="en-GB"/>
        </w:rPr>
        <w:fldChar w:fldCharType="separate"/>
      </w:r>
      <w:r w:rsidR="002B1556" w:rsidRPr="006E32E9">
        <w:rPr>
          <w:noProof/>
          <w:lang w:val="en-GB"/>
        </w:rPr>
        <w:t>(Chris Fraley, Raftery, Murphy, &amp; Scrucca, 2012)</w:t>
      </w:r>
      <w:r w:rsidR="003C6006" w:rsidRPr="006E32E9">
        <w:rPr>
          <w:lang w:val="en-GB"/>
        </w:rPr>
        <w:fldChar w:fldCharType="end"/>
      </w:r>
      <w:r w:rsidRPr="006E32E9">
        <w:rPr>
          <w:lang w:val="en-GB"/>
        </w:rPr>
        <w:t xml:space="preserve"> to implement the model-based clustering algorithm, which estimated the best finite mixture model according to different covariance structures and different numbers of clusters.</w:t>
      </w:r>
    </w:p>
    <w:p w14:paraId="1DBB1E07" w14:textId="023295FF" w:rsidR="00457AD9" w:rsidRPr="006E32E9" w:rsidRDefault="00457AD9" w:rsidP="00457AD9">
      <w:pPr>
        <w:rPr>
          <w:lang w:val="en-GB"/>
        </w:rPr>
      </w:pPr>
    </w:p>
    <w:p w14:paraId="69B11633" w14:textId="54E52BDB" w:rsidR="00457AD9" w:rsidRPr="006E32E9" w:rsidRDefault="00457AD9" w:rsidP="00457AD9">
      <w:pPr>
        <w:pStyle w:val="Heading2"/>
      </w:pPr>
      <w:r w:rsidRPr="006E32E9">
        <w:t>Quantifying livelihood capitals</w:t>
      </w:r>
    </w:p>
    <w:p w14:paraId="1F4223FC" w14:textId="411A4B93" w:rsidR="00457AD9" w:rsidRPr="006E32E9" w:rsidRDefault="00457AD9" w:rsidP="0007388F">
      <w:pPr>
        <w:ind w:firstLine="0"/>
        <w:rPr>
          <w:lang w:val="en-GB"/>
        </w:rPr>
      </w:pPr>
      <w:r w:rsidRPr="006E32E9">
        <w:rPr>
          <w:lang w:val="en-GB"/>
        </w:rPr>
        <w:t>The quantification of livelihood capitals was based on</w:t>
      </w:r>
      <w:r w:rsidR="008B18D5" w:rsidRPr="006E32E9">
        <w:rPr>
          <w:lang w:val="en-GB"/>
        </w:rPr>
        <w:t xml:space="preserve"> register </w:t>
      </w:r>
      <w:r w:rsidRPr="006E32E9">
        <w:rPr>
          <w:lang w:val="en-GB"/>
        </w:rPr>
        <w:t xml:space="preserve">data at the </w:t>
      </w:r>
      <w:r w:rsidR="00D35B2F" w:rsidRPr="006E32E9">
        <w:rPr>
          <w:lang w:val="en-GB"/>
        </w:rPr>
        <w:t xml:space="preserve">village </w:t>
      </w:r>
      <w:r w:rsidRPr="006E32E9">
        <w:rPr>
          <w:lang w:val="en-GB"/>
        </w:rPr>
        <w:t xml:space="preserve">level from a subset of the 2011 Indian National Population and Household Census. </w:t>
      </w:r>
      <w:r w:rsidR="004319B0" w:rsidRPr="006E32E9">
        <w:rPr>
          <w:lang w:val="en-GB"/>
        </w:rPr>
        <w:t>The variables selected to quantify livelihood capitals are proxies for the participants' views, regarding the capitals that they perceived as determinant for their livelihood opportunities</w:t>
      </w:r>
      <w:r w:rsidR="0007388F">
        <w:rPr>
          <w:lang w:val="en-GB"/>
        </w:rPr>
        <w:t xml:space="preserve"> (Supplementary Material S2)</w:t>
      </w:r>
      <w:r w:rsidR="004319B0" w:rsidRPr="006E32E9">
        <w:rPr>
          <w:lang w:val="en-GB"/>
        </w:rPr>
        <w:t xml:space="preserve">. Given the high correlation amongst the selected variables, a principal component analysis was used to circumvent the problem of multicollinearity and to derive a single factor score for each capital. Multiple factors were not combined as this would have distorted what the component represents and would have made </w:t>
      </w:r>
      <w:r w:rsidR="00D003D3" w:rsidRPr="006E32E9">
        <w:rPr>
          <w:lang w:val="en-GB"/>
        </w:rPr>
        <w:t>interpretation</w:t>
      </w:r>
      <w:r w:rsidR="004319B0" w:rsidRPr="006E32E9">
        <w:rPr>
          <w:lang w:val="en-GB"/>
        </w:rPr>
        <w:t xml:space="preserve"> difficult </w:t>
      </w:r>
      <w:r w:rsidR="004319B0" w:rsidRPr="006E32E9">
        <w:rPr>
          <w:lang w:val="en-GB"/>
        </w:rPr>
        <w:fldChar w:fldCharType="begin" w:fldLock="1"/>
      </w:r>
      <w:r w:rsidR="00C871F3" w:rsidRPr="006E32E9">
        <w:rPr>
          <w:lang w:val="en-GB"/>
        </w:rPr>
        <w:instrText>ADDIN CSL_CITATION {"citationItems":[{"id":"ITEM-1","itemData":{"DOI":"10.1007/s00148-005-0224-7","ISBN":"09331433","ISSN":"09331433","abstract":"This paper examines whether, in the absence of information on household income or consumption, data on household infrastructure, building materials, and ownership of certain durable assets can be used to measure inequality in living standards. Principal components analysis is used to obtain a relative measure of inequality, and a bootstrap prediction method is provided for use when auxiliary surveys are available. Mexican data is used to show that the inequality methods provided do provide reasonable proxies for inequalities in living standards. An application finds that after controlling for household income and demographics, school attendance of boys in Mexico is negatively related to state-level inequality.","author":[{"dropping-particle":"","family":"McKenzie","given":"David J.","non-dropping-particle":"","parse-names":false,"suffix":""}],"container-title":"Journal of Population Economics","id":"ITEM-1","issue":"2","issued":{"date-parts":[["2005"]]},"page":"229-260","title":"Measuring inequality with asset indicators","type":"article-journal","volume":"18"},"uris":["http://www.mendeley.com/documents/?uuid=093d993b-7057-46bc-8d59-8a6d91d1f331"]}],"mendeley":{"formattedCitation":"(McKenzie, 2005)","plainTextFormattedCitation":"(McKenzie, 2005)","previouslyFormattedCitation":"(McKenzie, 2005)"},"properties":{"noteIndex":0},"schema":"https://github.com/citation-style-language/schema/raw/master/csl-citation.json"}</w:instrText>
      </w:r>
      <w:r w:rsidR="004319B0" w:rsidRPr="006E32E9">
        <w:rPr>
          <w:lang w:val="en-GB"/>
        </w:rPr>
        <w:fldChar w:fldCharType="separate"/>
      </w:r>
      <w:r w:rsidR="004319B0" w:rsidRPr="006E32E9">
        <w:rPr>
          <w:noProof/>
          <w:lang w:val="en-GB"/>
        </w:rPr>
        <w:t>(McKenzie, 2005)</w:t>
      </w:r>
      <w:r w:rsidR="004319B0" w:rsidRPr="006E32E9">
        <w:rPr>
          <w:lang w:val="en-GB"/>
        </w:rPr>
        <w:fldChar w:fldCharType="end"/>
      </w:r>
      <w:r w:rsidR="004319B0" w:rsidRPr="006E32E9">
        <w:rPr>
          <w:lang w:val="en-GB"/>
        </w:rPr>
        <w:t>. After ensuring that the factor loadings corresponded with the conceptualisation of each capital based on the RRA activity, the first factor score was selected to represent each capital.</w:t>
      </w:r>
      <w:r w:rsidR="000E60AA">
        <w:rPr>
          <w:lang w:val="en-GB"/>
        </w:rPr>
        <w:t xml:space="preserve"> L</w:t>
      </w:r>
      <w:r w:rsidR="00181FA0" w:rsidRPr="00181FA0">
        <w:t>ow loading factors (</w:t>
      </w:r>
      <w:r w:rsidR="000E60AA">
        <w:t>|</w:t>
      </w:r>
      <w:r w:rsidR="000E60AA">
        <w:rPr>
          <w:lang w:val="el-GR"/>
        </w:rPr>
        <w:t>λ</w:t>
      </w:r>
      <w:r w:rsidR="000E60AA">
        <w:rPr>
          <w:lang w:val="en-GB"/>
        </w:rPr>
        <w:t>|</w:t>
      </w:r>
      <w:r w:rsidR="000E60AA">
        <w:t xml:space="preserve"> ≤ 0.2</w:t>
      </w:r>
      <w:r w:rsidR="00181FA0" w:rsidRPr="00181FA0">
        <w:t>)</w:t>
      </w:r>
      <w:r w:rsidR="000E60AA">
        <w:t xml:space="preserve"> were kept as </w:t>
      </w:r>
      <w:r w:rsidR="00181FA0" w:rsidRPr="00181FA0">
        <w:t xml:space="preserve">excluding them would have distorted the views </w:t>
      </w:r>
      <w:r w:rsidR="000E60AA">
        <w:t xml:space="preserve">from </w:t>
      </w:r>
      <w:r w:rsidR="00181FA0" w:rsidRPr="00181FA0">
        <w:t>RRA</w:t>
      </w:r>
      <w:r w:rsidR="00181FA0">
        <w:t xml:space="preserve"> </w:t>
      </w:r>
      <w:r w:rsidR="00181FA0" w:rsidRPr="00181FA0">
        <w:t>participants. Moreover,</w:t>
      </w:r>
      <w:r w:rsidR="00181FA0">
        <w:t xml:space="preserve"> </w:t>
      </w:r>
      <w:r w:rsidR="00181FA0" w:rsidRPr="00181FA0">
        <w:t xml:space="preserve">McKenzie (2005) showed that </w:t>
      </w:r>
      <w:r w:rsidR="000E60AA" w:rsidRPr="00181FA0">
        <w:t>low</w:t>
      </w:r>
      <w:r w:rsidR="000E60AA">
        <w:t xml:space="preserve"> </w:t>
      </w:r>
      <w:r w:rsidR="000E60AA" w:rsidRPr="00181FA0">
        <w:t xml:space="preserve">loading </w:t>
      </w:r>
      <w:r w:rsidR="00181FA0" w:rsidRPr="00181FA0">
        <w:t xml:space="preserve">factors should be included when </w:t>
      </w:r>
      <w:r w:rsidR="00181FA0" w:rsidRPr="00181FA0">
        <w:lastRenderedPageBreak/>
        <w:t>measuring inequality, especially when the variable</w:t>
      </w:r>
      <w:r w:rsidR="00181FA0">
        <w:t xml:space="preserve"> </w:t>
      </w:r>
      <w:r w:rsidR="00181FA0" w:rsidRPr="00181FA0">
        <w:t>is a known (or perceived) determinant of poverty.</w:t>
      </w:r>
    </w:p>
    <w:p w14:paraId="0B3D867B" w14:textId="10B05CAD" w:rsidR="004C06B5" w:rsidRPr="006E32E9" w:rsidRDefault="004C06B5" w:rsidP="004C06B5">
      <w:pPr>
        <w:pStyle w:val="Caption"/>
        <w:keepNext/>
        <w:rPr>
          <w:b w:val="0"/>
          <w:lang w:val="en-GB"/>
        </w:rPr>
      </w:pPr>
      <w:bookmarkStart w:id="4" w:name="_Ref516150828"/>
      <w:r w:rsidRPr="006E32E9">
        <w:rPr>
          <w:lang w:val="en-GB"/>
        </w:rPr>
        <w:t xml:space="preserve">Table </w:t>
      </w:r>
      <w:r w:rsidRPr="006E32E9">
        <w:rPr>
          <w:lang w:val="en-GB"/>
        </w:rPr>
        <w:fldChar w:fldCharType="begin"/>
      </w:r>
      <w:r w:rsidRPr="006E32E9">
        <w:rPr>
          <w:lang w:val="en-GB"/>
        </w:rPr>
        <w:instrText xml:space="preserve"> SEQ Table \* ARABIC </w:instrText>
      </w:r>
      <w:r w:rsidRPr="006E32E9">
        <w:rPr>
          <w:lang w:val="en-GB"/>
        </w:rPr>
        <w:fldChar w:fldCharType="separate"/>
      </w:r>
      <w:r w:rsidR="00A21400" w:rsidRPr="006E32E9">
        <w:rPr>
          <w:noProof/>
          <w:lang w:val="en-GB"/>
        </w:rPr>
        <w:t>3</w:t>
      </w:r>
      <w:r w:rsidRPr="006E32E9">
        <w:rPr>
          <w:lang w:val="en-GB"/>
        </w:rPr>
        <w:fldChar w:fldCharType="end"/>
      </w:r>
      <w:bookmarkEnd w:id="4"/>
      <w:r w:rsidRPr="006E32E9">
        <w:rPr>
          <w:lang w:val="en-GB"/>
        </w:rPr>
        <w:t>: List of variables used for the quantification of household livelihood capitals.</w:t>
      </w:r>
      <w:r w:rsidRPr="006E32E9">
        <w:rPr>
          <w:b w:val="0"/>
          <w:lang w:val="en-GB"/>
        </w:rPr>
        <w:t xml:space="preserve"> The associated factor loading retrieved from the PCA represents the weight for each variable in the construction of their associated livelihood capital. The justification for the inclusion of each variable is based on participants' views from participatory rural appraisals.</w:t>
      </w:r>
    </w:p>
    <w:p w14:paraId="130C5148" w14:textId="663CE7E1" w:rsidR="00A25BEF" w:rsidRPr="006E32E9" w:rsidRDefault="004C06B5" w:rsidP="004C06B5">
      <w:pPr>
        <w:pStyle w:val="TableFigure"/>
      </w:pPr>
      <w:r w:rsidRPr="006E32E9">
        <w:rPr>
          <w:noProof/>
          <w:lang w:eastAsia="en-GB"/>
        </w:rPr>
        <w:drawing>
          <wp:inline distT="0" distB="0" distL="0" distR="0" wp14:anchorId="49987D54" wp14:editId="478D9F81">
            <wp:extent cx="5943600" cy="33321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3_household.pdf"/>
                    <pic:cNvPicPr/>
                  </pic:nvPicPr>
                  <pic:blipFill>
                    <a:blip r:embed="rId19"/>
                    <a:stretch>
                      <a:fillRect/>
                    </a:stretch>
                  </pic:blipFill>
                  <pic:spPr>
                    <a:xfrm>
                      <a:off x="0" y="0"/>
                      <a:ext cx="5943600" cy="3332197"/>
                    </a:xfrm>
                    <a:prstGeom prst="rect">
                      <a:avLst/>
                    </a:prstGeom>
                  </pic:spPr>
                </pic:pic>
              </a:graphicData>
            </a:graphic>
          </wp:inline>
        </w:drawing>
      </w:r>
    </w:p>
    <w:p w14:paraId="2AE70C0B" w14:textId="77777777" w:rsidR="004C06B5" w:rsidRPr="006E32E9" w:rsidRDefault="004C06B5" w:rsidP="004C06B5">
      <w:pPr>
        <w:pStyle w:val="TableFigure"/>
      </w:pPr>
    </w:p>
    <w:p w14:paraId="37F14C5A" w14:textId="5933FCD7" w:rsidR="00C35777" w:rsidRPr="006E32E9" w:rsidRDefault="00C35777" w:rsidP="00A25BEF">
      <w:pPr>
        <w:pStyle w:val="Heading2"/>
      </w:pPr>
      <w:r w:rsidRPr="006E32E9">
        <w:t>Quantifying precarious livelihoods</w:t>
      </w:r>
    </w:p>
    <w:p w14:paraId="6F2D5190" w14:textId="5AFFB22B" w:rsidR="00854056" w:rsidRDefault="00854056" w:rsidP="00BA265C">
      <w:pPr>
        <w:rPr>
          <w:lang w:val="en-GB"/>
        </w:rPr>
      </w:pPr>
      <w:r w:rsidRPr="00854056">
        <w:rPr>
          <w:lang w:val="en-GB"/>
        </w:rPr>
        <w:t>The census indicators comprise population enumeration including cultivators, agricultural labourers</w:t>
      </w:r>
      <w:r>
        <w:rPr>
          <w:lang w:val="en-GB"/>
        </w:rPr>
        <w:t xml:space="preserve">, </w:t>
      </w:r>
      <w:r w:rsidRPr="00854056">
        <w:rPr>
          <w:lang w:val="en-GB"/>
        </w:rPr>
        <w:t xml:space="preserve">entrepreneurs </w:t>
      </w:r>
      <w:r>
        <w:rPr>
          <w:lang w:val="en-GB"/>
        </w:rPr>
        <w:t>and unemployed</w:t>
      </w:r>
      <w:r w:rsidRPr="00854056">
        <w:rPr>
          <w:lang w:val="en-GB"/>
        </w:rPr>
        <w:t>.</w:t>
      </w:r>
      <w:r>
        <w:rPr>
          <w:lang w:val="en-GB"/>
        </w:rPr>
        <w:t xml:space="preserve"> </w:t>
      </w:r>
      <w:r w:rsidR="007046C1" w:rsidRPr="007046C1">
        <w:rPr>
          <w:lang w:val="en-GB"/>
        </w:rPr>
        <w:t xml:space="preserve">Detailed examinations of poverty structures in rural India show that households engaged in agricultural labour or </w:t>
      </w:r>
      <w:r w:rsidR="00ED04BA">
        <w:rPr>
          <w:lang w:val="en-GB"/>
        </w:rPr>
        <w:t xml:space="preserve">the </w:t>
      </w:r>
      <w:r w:rsidR="007046C1" w:rsidRPr="007046C1">
        <w:rPr>
          <w:lang w:val="en-GB"/>
        </w:rPr>
        <w:t xml:space="preserve">unemployed are the </w:t>
      </w:r>
      <w:r>
        <w:rPr>
          <w:lang w:val="en-GB"/>
        </w:rPr>
        <w:t xml:space="preserve">poorest </w:t>
      </w:r>
      <w:r w:rsidR="007046C1" w:rsidRPr="007046C1">
        <w:rPr>
          <w:lang w:val="en-GB"/>
        </w:rPr>
        <w:t xml:space="preserve">of the rural poor (Ravi and Engler, 2015). </w:t>
      </w:r>
      <w:r>
        <w:rPr>
          <w:lang w:val="en-GB"/>
        </w:rPr>
        <w:t>We</w:t>
      </w:r>
      <w:r w:rsidR="00ED04BA">
        <w:rPr>
          <w:lang w:val="en-GB"/>
        </w:rPr>
        <w:t>,</w:t>
      </w:r>
      <w:r>
        <w:rPr>
          <w:lang w:val="en-GB"/>
        </w:rPr>
        <w:t xml:space="preserve"> thus</w:t>
      </w:r>
      <w:r w:rsidR="00ED04BA">
        <w:rPr>
          <w:lang w:val="en-GB"/>
        </w:rPr>
        <w:t>,</w:t>
      </w:r>
      <w:r>
        <w:rPr>
          <w:lang w:val="en-GB"/>
        </w:rPr>
        <w:t xml:space="preserve"> defined precarious livelihoods</w:t>
      </w:r>
      <w:r w:rsidR="007046C1" w:rsidRPr="007046C1">
        <w:rPr>
          <w:lang w:val="en-GB"/>
        </w:rPr>
        <w:t xml:space="preserve"> </w:t>
      </w:r>
      <w:r>
        <w:rPr>
          <w:lang w:val="en-GB"/>
        </w:rPr>
        <w:t xml:space="preserve">as the </w:t>
      </w:r>
      <w:r w:rsidR="007046C1" w:rsidRPr="007046C1">
        <w:rPr>
          <w:lang w:val="en-GB"/>
        </w:rPr>
        <w:t>proportion of working-age people (15-59) who are engaged in agricultural labour or unemployed</w:t>
      </w:r>
      <w:r w:rsidR="000B2C2E">
        <w:rPr>
          <w:lang w:val="en-GB"/>
        </w:rPr>
        <w:t>, as defined in the Census of India</w:t>
      </w:r>
      <w:r w:rsidR="007046C1" w:rsidRPr="007046C1">
        <w:rPr>
          <w:lang w:val="en-GB"/>
        </w:rPr>
        <w:t xml:space="preserve">. </w:t>
      </w:r>
      <w:r w:rsidR="00445002">
        <w:rPr>
          <w:lang w:val="en-GB"/>
        </w:rPr>
        <w:t xml:space="preserve">The </w:t>
      </w:r>
      <w:r w:rsidR="0020581E">
        <w:rPr>
          <w:lang w:val="en-GB"/>
        </w:rPr>
        <w:t>c</w:t>
      </w:r>
      <w:r w:rsidR="00445002">
        <w:rPr>
          <w:lang w:val="en-GB"/>
        </w:rPr>
        <w:t>ensus defines a</w:t>
      </w:r>
      <w:r w:rsidR="000B2C2E">
        <w:rPr>
          <w:lang w:val="en-GB"/>
        </w:rPr>
        <w:t xml:space="preserve"> person as </w:t>
      </w:r>
      <w:r w:rsidR="00ED04BA">
        <w:rPr>
          <w:lang w:val="en-GB"/>
        </w:rPr>
        <w:t xml:space="preserve">an </w:t>
      </w:r>
      <w:r w:rsidR="000B2C2E">
        <w:rPr>
          <w:lang w:val="en-GB"/>
        </w:rPr>
        <w:t>a</w:t>
      </w:r>
      <w:r>
        <w:rPr>
          <w:lang w:val="en-GB"/>
        </w:rPr>
        <w:t xml:space="preserve">gricultural </w:t>
      </w:r>
      <w:r w:rsidRPr="00854056">
        <w:rPr>
          <w:lang w:val="en-GB"/>
        </w:rPr>
        <w:t>labour</w:t>
      </w:r>
      <w:r w:rsidR="000B2C2E">
        <w:rPr>
          <w:lang w:val="en-GB"/>
        </w:rPr>
        <w:t>er</w:t>
      </w:r>
      <w:r w:rsidRPr="00854056">
        <w:rPr>
          <w:lang w:val="en-GB"/>
        </w:rPr>
        <w:t xml:space="preserve"> </w:t>
      </w:r>
      <w:r w:rsidR="000B2C2E">
        <w:rPr>
          <w:lang w:val="en-GB"/>
        </w:rPr>
        <w:t xml:space="preserve">if they </w:t>
      </w:r>
      <w:r w:rsidR="000B2C2E" w:rsidRPr="000B2C2E">
        <w:rPr>
          <w:lang w:val="en-GB"/>
        </w:rPr>
        <w:t>work</w:t>
      </w:r>
      <w:r w:rsidR="000B2C2E">
        <w:rPr>
          <w:lang w:val="en-GB"/>
        </w:rPr>
        <w:t xml:space="preserve"> </w:t>
      </w:r>
      <w:r w:rsidR="000B2C2E" w:rsidRPr="000B2C2E">
        <w:rPr>
          <w:lang w:val="en-GB"/>
        </w:rPr>
        <w:t>on another person</w:t>
      </w:r>
      <w:r w:rsidR="000B2C2E">
        <w:rPr>
          <w:lang w:val="en-GB"/>
        </w:rPr>
        <w:t>’</w:t>
      </w:r>
      <w:r w:rsidR="000B2C2E" w:rsidRPr="000B2C2E">
        <w:rPr>
          <w:lang w:val="en-GB"/>
        </w:rPr>
        <w:t>s land for wages in money or kind or share</w:t>
      </w:r>
      <w:r w:rsidR="000B2C2E">
        <w:rPr>
          <w:lang w:val="en-GB"/>
        </w:rPr>
        <w:t xml:space="preserve">, with </w:t>
      </w:r>
      <w:r w:rsidR="000B2C2E" w:rsidRPr="000B2C2E">
        <w:rPr>
          <w:lang w:val="en-GB"/>
        </w:rPr>
        <w:t xml:space="preserve">no right of lease or contract on </w:t>
      </w:r>
      <w:r w:rsidR="00ED04BA">
        <w:rPr>
          <w:lang w:val="en-GB"/>
        </w:rPr>
        <w:lastRenderedPageBreak/>
        <w:t xml:space="preserve">the </w:t>
      </w:r>
      <w:r w:rsidR="000B2C2E" w:rsidRPr="000B2C2E">
        <w:rPr>
          <w:lang w:val="en-GB"/>
        </w:rPr>
        <w:t xml:space="preserve">land on which </w:t>
      </w:r>
      <w:r w:rsidR="000B2C2E">
        <w:rPr>
          <w:lang w:val="en-GB"/>
        </w:rPr>
        <w:t>they</w:t>
      </w:r>
      <w:r w:rsidR="000B2C2E" w:rsidRPr="000B2C2E">
        <w:rPr>
          <w:lang w:val="en-GB"/>
        </w:rPr>
        <w:t xml:space="preserve"> work</w:t>
      </w:r>
      <w:r w:rsidR="0020581E">
        <w:rPr>
          <w:lang w:val="en-GB"/>
        </w:rPr>
        <w:t>, while a</w:t>
      </w:r>
      <w:r w:rsidR="000B2C2E">
        <w:rPr>
          <w:lang w:val="en-GB"/>
        </w:rPr>
        <w:t xml:space="preserve"> person is defined as </w:t>
      </w:r>
      <w:r w:rsidR="00ED04BA">
        <w:rPr>
          <w:lang w:val="en-GB"/>
        </w:rPr>
        <w:t xml:space="preserve">a </w:t>
      </w:r>
      <w:r w:rsidR="000B2C2E">
        <w:rPr>
          <w:lang w:val="en-GB"/>
        </w:rPr>
        <w:t xml:space="preserve">non-worker if </w:t>
      </w:r>
      <w:r w:rsidR="0020581E">
        <w:rPr>
          <w:lang w:val="en-GB"/>
        </w:rPr>
        <w:t xml:space="preserve">they do </w:t>
      </w:r>
      <w:r w:rsidR="000B2C2E" w:rsidRPr="000B2C2E">
        <w:rPr>
          <w:lang w:val="en-GB"/>
        </w:rPr>
        <w:t>not engage</w:t>
      </w:r>
      <w:r w:rsidR="0020581E">
        <w:rPr>
          <w:lang w:val="en-GB"/>
        </w:rPr>
        <w:t xml:space="preserve"> </w:t>
      </w:r>
      <w:r w:rsidR="000B2C2E" w:rsidRPr="000B2C2E">
        <w:rPr>
          <w:lang w:val="en-GB"/>
        </w:rPr>
        <w:t xml:space="preserve">in any economically productive activity for </w:t>
      </w:r>
      <w:r w:rsidR="000B2C2E">
        <w:rPr>
          <w:lang w:val="en-GB"/>
        </w:rPr>
        <w:t xml:space="preserve">more than 6 months </w:t>
      </w:r>
      <w:r w:rsidR="0020581E">
        <w:rPr>
          <w:lang w:val="en-GB"/>
        </w:rPr>
        <w:t xml:space="preserve">per </w:t>
      </w:r>
      <w:r w:rsidR="000B2C2E" w:rsidRPr="000B2C2E">
        <w:rPr>
          <w:lang w:val="en-GB"/>
        </w:rPr>
        <w:t xml:space="preserve">year. </w:t>
      </w:r>
    </w:p>
    <w:p w14:paraId="60E44921" w14:textId="77777777" w:rsidR="00BA265C" w:rsidRPr="00854056" w:rsidRDefault="00BA265C" w:rsidP="00BA265C">
      <w:pPr>
        <w:rPr>
          <w:lang w:val="en-GB"/>
        </w:rPr>
      </w:pPr>
    </w:p>
    <w:p w14:paraId="04954172" w14:textId="2309543C" w:rsidR="00A25BEF" w:rsidRPr="006E32E9" w:rsidRDefault="00A25BEF" w:rsidP="00A25BEF">
      <w:pPr>
        <w:pStyle w:val="Heading2"/>
      </w:pPr>
      <w:r w:rsidRPr="006E32E9">
        <w:t>Proxying climate shocks</w:t>
      </w:r>
    </w:p>
    <w:p w14:paraId="0A9CE715" w14:textId="7CE4FA59" w:rsidR="00A25BEF" w:rsidRPr="006E32E9" w:rsidRDefault="00A25BEF" w:rsidP="00B676C0">
      <w:pPr>
        <w:ind w:firstLine="0"/>
        <w:rPr>
          <w:lang w:val="en-GB"/>
        </w:rPr>
      </w:pPr>
      <w:r w:rsidRPr="006E32E9">
        <w:rPr>
          <w:lang w:val="en-GB"/>
        </w:rPr>
        <w:t>Extreme events, such as heat waves, droughts, floods and cyclones are becoming more frequent and both their frequency and intensity are likely to increase in the future</w:t>
      </w:r>
      <w:r w:rsidR="00583EEB" w:rsidRPr="006E32E9">
        <w:rPr>
          <w:lang w:val="en-GB"/>
        </w:rPr>
        <w:t xml:space="preserve"> </w:t>
      </w:r>
      <w:r w:rsidR="00583EEB" w:rsidRPr="006E32E9">
        <w:rPr>
          <w:lang w:val="en-GB"/>
        </w:rPr>
        <w:fldChar w:fldCharType="begin" w:fldLock="1"/>
      </w:r>
      <w:r w:rsidR="00067A2B" w:rsidRPr="006E32E9">
        <w:rPr>
          <w:lang w:val="en-GB"/>
        </w:rPr>
        <w:instrText>ADDIN CSL_CITATION {"citationItems":[{"id":"ITEM-1","itemData":{"DOI":"10.1038/s41558-018-0190-1","ISBN":"1758-678X\r1758-6798","ISSN":"17586798","PMID":"8120346","abstract":"The Paris Agreement1 aims to ‘pursue efforts to limit the temperature increase to 1.5 °C above pre-industrial levels.’ However, it has been suggested that temperature targets alone are insufficient to limit the risks associated with anthropogenic emissions2,3. Here, using an ensemble of model simulations, we show that atmospheric CO2 increase—an even more predictable consequence of emissions than global temperature increase—has a significant direct impact on Northern Hemisphere summer temperature, heat stress, and tropical precipitation extremes. Hence in an iterative climate mitigation regime aiming solely for a specific temperature goal, an unexpectedly low climate response may have corresponding ‘dangerous’ changes in extreme events. The direct impact of higher CO2 concentrations on climate extremes therefore substantially reduces the upper bound of the carbon budget, and highlights the need to explicitly limit atmospheric CO2 concentration when formulating allowable emissions. Thus, complementing global mean temperature goals with explicit limits on atmospheric CO2 concentrations in future climate policy would limit the adverse effects of high-impact weather extremes.","author":[{"dropping-particle":"","family":"Baker","given":"Hugh S.","non-dropping-particle":"","parse-names":false,"suffix":""},{"dropping-particle":"","family":"Millar","given":"Richard J.","non-dropping-particle":"","parse-names":false,"suffix":""},{"dropping-particle":"","family":"Karoly","given":"David J.","non-dropping-particle":"","parse-names":false,"suffix":""},{"dropping-particle":"","family":"Beyerle","given":"Urs","non-dropping-particle":"","parse-names":false,"suffix":""},{"dropping-particle":"","family":"Guillod","given":"Benoit P.","non-dropping-particle":"","parse-names":false,"suffix":""},{"dropping-particle":"","family":"Mitchell","given":"Dann","non-dropping-particle":"","parse-names":false,"suffix":""},{"dropping-particle":"","family":"Shiogama","given":"Hideo","non-dropping-particle":"","parse-names":false,"suffix":""},{"dropping-particle":"","family":"Sparrow","given":"Sarah","non-dropping-particle":"","parse-names":false,"suffix":""},{"dropping-particle":"","family":"Woollings","given":"Tim","non-dropping-particle":"","parse-names":false,"suffix":""},{"dropping-particle":"","family":"Allen","given":"Myles R.","non-dropping-particle":"","parse-names":false,"suffix":""}],"container-title":"Nature Climate Change","id":"ITEM-1","issue":"7","issued":{"date-parts":[["2018"]]},"page":"604-608","publisher":"Springer US","title":"Higher CO2 concentrations increase extreme event risk in a 1.5 °c world","type":"article-journal","volume":"8"},"uris":["http://www.mendeley.com/documents/?uuid=1df1f7cc-2c11-4b69-8583-2be41dc4c678"]}],"mendeley":{"formattedCitation":"(Baker et al., 2018)","plainTextFormattedCitation":"(Baker et al., 2018)","previouslyFormattedCitation":"(Baker et al., 2018)"},"properties":{"noteIndex":0},"schema":"https://github.com/citation-style-language/schema/raw/master/csl-citation.json"}</w:instrText>
      </w:r>
      <w:r w:rsidR="00583EEB" w:rsidRPr="006E32E9">
        <w:rPr>
          <w:lang w:val="en-GB"/>
        </w:rPr>
        <w:fldChar w:fldCharType="separate"/>
      </w:r>
      <w:r w:rsidR="00583EEB" w:rsidRPr="006E32E9">
        <w:rPr>
          <w:noProof/>
          <w:lang w:val="en-GB"/>
        </w:rPr>
        <w:t>(Baker et al., 2018)</w:t>
      </w:r>
      <w:r w:rsidR="00583EEB" w:rsidRPr="006E32E9">
        <w:rPr>
          <w:lang w:val="en-GB"/>
        </w:rPr>
        <w:fldChar w:fldCharType="end"/>
      </w:r>
      <w:r w:rsidR="00B97ED8" w:rsidRPr="006E32E9">
        <w:rPr>
          <w:lang w:val="en-GB"/>
        </w:rPr>
        <w:t>.</w:t>
      </w:r>
      <w:r w:rsidRPr="006E32E9">
        <w:rPr>
          <w:lang w:val="en-GB"/>
        </w:rPr>
        <w:t xml:space="preserve"> </w:t>
      </w:r>
      <w:r w:rsidR="008B18D5" w:rsidRPr="006E32E9">
        <w:rPr>
          <w:lang w:val="en-GB"/>
        </w:rPr>
        <w:t>E</w:t>
      </w:r>
      <w:r w:rsidRPr="006E32E9">
        <w:rPr>
          <w:lang w:val="en-GB"/>
        </w:rPr>
        <w:t xml:space="preserve">xtreme </w:t>
      </w:r>
      <w:r w:rsidR="009E2455">
        <w:rPr>
          <w:lang w:val="en-GB"/>
        </w:rPr>
        <w:t>weather</w:t>
      </w:r>
      <w:r w:rsidRPr="006E32E9">
        <w:rPr>
          <w:lang w:val="en-GB"/>
        </w:rPr>
        <w:t xml:space="preserve"> events can </w:t>
      </w:r>
      <w:r w:rsidR="008B18D5" w:rsidRPr="006E32E9">
        <w:rPr>
          <w:lang w:val="en-GB"/>
        </w:rPr>
        <w:t>result in</w:t>
      </w:r>
      <w:r w:rsidRPr="006E32E9">
        <w:rPr>
          <w:lang w:val="en-GB"/>
        </w:rPr>
        <w:t xml:space="preserve"> agricultural losses, which can lead to shifts from transient to chronic poverty</w:t>
      </w:r>
      <w:r w:rsidR="00341540" w:rsidRPr="006E32E9">
        <w:rPr>
          <w:lang w:val="en-GB"/>
        </w:rPr>
        <w:t xml:space="preserve"> </w:t>
      </w:r>
      <w:r w:rsidR="00341540" w:rsidRPr="006E32E9">
        <w:rPr>
          <w:lang w:val="en-GB"/>
        </w:rPr>
        <w:fldChar w:fldCharType="begin" w:fldLock="1"/>
      </w:r>
      <w:r w:rsidR="00010DA7" w:rsidRPr="006E32E9">
        <w:rPr>
          <w:lang w:val="en-GB"/>
        </w:rPr>
        <w:instrText>ADDIN CSL_CITATION {"citationItems":[{"id":"ITEM-1","itemData":{"author":[{"dropping-particle":"","family":"Krishnan","given":"Pramila","non-dropping-particle":"","parse-names":false,"suffix":""},{"dropping-particle":"","family":"Dercon","given":"Stefan","non-dropping-particle":"","parse-names":false,"suffix":""}],"container-title":"Journal of Development Studies","id":"ITEM-1","issue":"6","issued":{"date-parts":[["2000"]]},"page":"25-51","title":"Vulnerability, Seasonality and Poverty in Ethiopia","type":"article-journal","volume":"36"},"uris":["http://www.mendeley.com/documents/?uuid=d1ae3688-13fb-4d90-9aea-b65730831394"]}],"mendeley":{"formattedCitation":"(Krishnan &amp; Dercon, 2000)","plainTextFormattedCitation":"(Krishnan &amp; Dercon, 2000)","previouslyFormattedCitation":"(Krishnan &amp; Dercon, 2000)"},"properties":{"noteIndex":0},"schema":"https://github.com/citation-style-language/schema/raw/master/csl-citation.json"}</w:instrText>
      </w:r>
      <w:r w:rsidR="00341540" w:rsidRPr="006E32E9">
        <w:rPr>
          <w:lang w:val="en-GB"/>
        </w:rPr>
        <w:fldChar w:fldCharType="separate"/>
      </w:r>
      <w:r w:rsidR="00341540" w:rsidRPr="006E32E9">
        <w:rPr>
          <w:noProof/>
          <w:lang w:val="en-GB"/>
        </w:rPr>
        <w:t>(Krishnan &amp; Dercon, 2000)</w:t>
      </w:r>
      <w:r w:rsidR="00341540" w:rsidRPr="006E32E9">
        <w:rPr>
          <w:lang w:val="en-GB"/>
        </w:rPr>
        <w:fldChar w:fldCharType="end"/>
      </w:r>
      <w:r w:rsidRPr="006E32E9">
        <w:rPr>
          <w:lang w:val="en-GB"/>
        </w:rPr>
        <w:t xml:space="preserve">. Decreases in agricultural production can be identified by remotely sensed satellite sensor data in the form of abrupt changes in vegetation greening </w:t>
      </w:r>
      <w:r w:rsidR="006E6E0D" w:rsidRPr="006E32E9">
        <w:rPr>
          <w:lang w:val="en-GB"/>
        </w:rPr>
        <w:fldChar w:fldCharType="begin" w:fldLock="1"/>
      </w:r>
      <w:r w:rsidR="00BC7A96" w:rsidRPr="006E32E9">
        <w:rPr>
          <w:lang w:val="en-GB"/>
        </w:rPr>
        <w:instrText>ADDIN CSL_CITATION {"citationItems":[{"id":"ITEM-1","itemData":{"DOI":"10.1088/1748-9326/8/2/025009","ISSN":"1748-9326","author":[{"dropping-particle":"","family":"Liu","given":"Guo","non-dropping-particle":"","parse-names":false,"suffix":""},{"dropping-particle":"","family":"Liu","given":"Hongyan","non-dropping-particle":"","parse-names":false,"suffix":""},{"dropping-particle":"","family":"Yin","given":"Yi","non-dropping-particle":"","parse-names":false,"suffix":""}],"container-title":"Environmental Research Letters","id":"ITEM-1","issue":"2","issued":{"date-parts":[["2013"]]},"page":"025009","title":"Global patterns of NDVI-indicated vegetation extremes and their sensitivity to climate extremes","type":"article-journal","volume":"8"},"uris":["http://www.mendeley.com/documents/?uuid=38943f0b-c59e-40ef-9857-11c70bef0563"]}],"mendeley":{"formattedCitation":"(Liu, Liu, &amp; Yin, 2013)","plainTextFormattedCitation":"(Liu, Liu, &amp; Yin, 2013)","previouslyFormattedCitation":"(Liu, Liu, &amp; Yin, 2013)"},"properties":{"noteIndex":0},"schema":"https://github.com/citation-style-language/schema/raw/master/csl-citation.json"}</w:instrText>
      </w:r>
      <w:r w:rsidR="006E6E0D" w:rsidRPr="006E32E9">
        <w:rPr>
          <w:lang w:val="en-GB"/>
        </w:rPr>
        <w:fldChar w:fldCharType="separate"/>
      </w:r>
      <w:r w:rsidR="002B1556" w:rsidRPr="006E32E9">
        <w:rPr>
          <w:noProof/>
          <w:lang w:val="en-GB"/>
        </w:rPr>
        <w:t>(Liu, Liu, &amp; Yin, 2013)</w:t>
      </w:r>
      <w:r w:rsidR="006E6E0D" w:rsidRPr="006E32E9">
        <w:rPr>
          <w:lang w:val="en-GB"/>
        </w:rPr>
        <w:fldChar w:fldCharType="end"/>
      </w:r>
      <w:r w:rsidRPr="006E32E9">
        <w:rPr>
          <w:lang w:val="en-GB"/>
        </w:rPr>
        <w:t xml:space="preserve">. This section presents the materials and methods used to detect decreases in agricultural production, which are used as proxies of </w:t>
      </w:r>
      <w:r w:rsidR="009E2455">
        <w:rPr>
          <w:lang w:val="en-GB"/>
        </w:rPr>
        <w:t>weather</w:t>
      </w:r>
      <w:r w:rsidRPr="006E32E9">
        <w:rPr>
          <w:lang w:val="en-GB"/>
        </w:rPr>
        <w:t xml:space="preserve"> shocks</w:t>
      </w:r>
      <w:r w:rsidR="003951FD">
        <w:rPr>
          <w:lang w:val="en-GB"/>
        </w:rPr>
        <w:t xml:space="preserve"> (see Supplementary Material S3 </w:t>
      </w:r>
      <w:r w:rsidR="0032186B">
        <w:rPr>
          <w:lang w:val="en-GB"/>
        </w:rPr>
        <w:t xml:space="preserve">and S4 </w:t>
      </w:r>
      <w:r w:rsidR="003951FD">
        <w:rPr>
          <w:lang w:val="en-GB"/>
        </w:rPr>
        <w:t xml:space="preserve">for </w:t>
      </w:r>
      <w:r w:rsidR="0032186B">
        <w:rPr>
          <w:lang w:val="en-GB"/>
        </w:rPr>
        <w:t>R codes)</w:t>
      </w:r>
      <w:r w:rsidRPr="006E32E9">
        <w:rPr>
          <w:lang w:val="en-GB"/>
        </w:rPr>
        <w:t>.</w:t>
      </w:r>
    </w:p>
    <w:p w14:paraId="0F1F490A" w14:textId="7BC7C9A4" w:rsidR="00A25BEF" w:rsidRPr="006E32E9" w:rsidRDefault="00A25BEF" w:rsidP="00A25BEF">
      <w:pPr>
        <w:rPr>
          <w:lang w:val="en-GB"/>
        </w:rPr>
      </w:pPr>
    </w:p>
    <w:p w14:paraId="3A8FA046" w14:textId="35950C0D" w:rsidR="00A25BEF" w:rsidRPr="006E32E9" w:rsidRDefault="00A25BEF" w:rsidP="00A25BEF">
      <w:pPr>
        <w:pStyle w:val="Heading3"/>
      </w:pPr>
      <w:r w:rsidRPr="006E32E9">
        <w:t>Choosing a vegetation index to capture crop production</w:t>
      </w:r>
    </w:p>
    <w:p w14:paraId="488EE461" w14:textId="2877BF77" w:rsidR="00A25BEF" w:rsidRPr="006E32E9" w:rsidRDefault="00A25BEF" w:rsidP="00A25BEF">
      <w:pPr>
        <w:rPr>
          <w:lang w:val="en-GB"/>
        </w:rPr>
      </w:pPr>
      <w:r w:rsidRPr="006E32E9">
        <w:rPr>
          <w:lang w:val="en-GB"/>
        </w:rPr>
        <w:t>We used the Wide Dynamic Range Vegetation Index (WDRVI) as it</w:t>
      </w:r>
      <w:r w:rsidR="00360B74" w:rsidRPr="006E32E9">
        <w:rPr>
          <w:lang w:val="en-GB"/>
        </w:rPr>
        <w:t xml:space="preserve"> </w:t>
      </w:r>
      <w:r w:rsidRPr="006E32E9">
        <w:rPr>
          <w:lang w:val="en-GB"/>
        </w:rPr>
        <w:t>preserves a linear relationship with LAI/vegetation fraction and captures well crop growth dynamics</w:t>
      </w:r>
      <w:r w:rsidR="001F64C5">
        <w:rPr>
          <w:lang w:val="en-GB"/>
        </w:rPr>
        <w:t xml:space="preserve">. It </w:t>
      </w:r>
      <w:r w:rsidRPr="006E32E9">
        <w:rPr>
          <w:lang w:val="en-GB"/>
        </w:rPr>
        <w:t xml:space="preserve">was </w:t>
      </w:r>
      <w:r w:rsidR="005D62D1">
        <w:rPr>
          <w:lang w:val="en-GB"/>
        </w:rPr>
        <w:t xml:space="preserve">also </w:t>
      </w:r>
      <w:r w:rsidRPr="006E32E9">
        <w:rPr>
          <w:lang w:val="en-GB"/>
        </w:rPr>
        <w:t xml:space="preserve">found to be more accurate than </w:t>
      </w:r>
      <w:r w:rsidR="00360B74" w:rsidRPr="006E32E9">
        <w:rPr>
          <w:lang w:val="en-GB"/>
        </w:rPr>
        <w:t xml:space="preserve">other vegetation indices </w:t>
      </w:r>
      <w:r w:rsidRPr="006E32E9">
        <w:rPr>
          <w:lang w:val="en-GB"/>
        </w:rPr>
        <w:t xml:space="preserve">at estimating crop yield over the Mahanadi Delta </w:t>
      </w:r>
      <w:r w:rsidR="006E6E0D" w:rsidRPr="006E32E9">
        <w:rPr>
          <w:lang w:val="en-GB"/>
        </w:rPr>
        <w:fldChar w:fldCharType="begin" w:fldLock="1"/>
      </w:r>
      <w:r w:rsidR="00BC7A96" w:rsidRPr="006E32E9">
        <w:rPr>
          <w:lang w:val="en-GB"/>
        </w:rPr>
        <w:instrText>ADDIN CSL_CITATION {"citationItems":[{"id":"ITEM-1","itemData":{"DOI":"10.3389/fenvs.2015.00056","ISSN":"2296-665X","author":[{"dropping-particle":"","family":"Duncan","given":"John M.","non-dropping-particle":"","parse-names":false,"suffix":""},{"dropping-particle":"","family":"Dash","given":"Jadunandan","non-dropping-particle":"","parse-names":false,"suffix":""},{"dropping-particle":"","family":"Atkinson","given":"Peter M.","non-dropping-particle":"","parse-names":false,"suffix":""}],"container-title":"Frontiers in Environmental Science","id":"ITEM-1","issue":"August","issued":{"date-parts":[["2015"]]},"page":"1-16","title":"The potential of satellite-observed crop phenology to enhance yield gap assessments in smallholder landscapes","type":"article-journal","volume":"3"},"uris":["http://www.mendeley.com/documents/?uuid=de4701c5-e4ed-43b7-8e03-1a6cf7786645"]}],"mendeley":{"formattedCitation":"(Duncan, Dash, &amp; Atkinson, 2015)","plainTextFormattedCitation":"(Duncan, Dash, &amp; Atkinson, 2015)","previouslyFormattedCitation":"(Duncan, Dash, &amp; Atkinson, 2015)"},"properties":{"noteIndex":0},"schema":"https://github.com/citation-style-language/schema/raw/master/csl-citation.json"}</w:instrText>
      </w:r>
      <w:r w:rsidR="006E6E0D" w:rsidRPr="006E32E9">
        <w:rPr>
          <w:lang w:val="en-GB"/>
        </w:rPr>
        <w:fldChar w:fldCharType="separate"/>
      </w:r>
      <w:r w:rsidR="002B1556" w:rsidRPr="006E32E9">
        <w:rPr>
          <w:noProof/>
          <w:lang w:val="en-GB"/>
        </w:rPr>
        <w:t>(Duncan, Dash, &amp; Atkinson, 2015)</w:t>
      </w:r>
      <w:r w:rsidR="006E6E0D" w:rsidRPr="006E32E9">
        <w:rPr>
          <w:lang w:val="en-GB"/>
        </w:rPr>
        <w:fldChar w:fldCharType="end"/>
      </w:r>
      <w:r w:rsidRPr="006E32E9">
        <w:rPr>
          <w:lang w:val="en-GB"/>
        </w:rPr>
        <w:t>. The index is calculated following the equation:</w:t>
      </w:r>
    </w:p>
    <w:p w14:paraId="17835CA0" w14:textId="07432579" w:rsidR="00A25BEF" w:rsidRPr="006E32E9" w:rsidRDefault="006E6E0D" w:rsidP="006D08C8">
      <w:pPr>
        <w:rPr>
          <w:lang w:val="en-GB"/>
        </w:rPr>
      </w:pPr>
      <m:oMathPara>
        <m:oMath>
          <m:r>
            <w:rPr>
              <w:rFonts w:ascii="Cambria Math" w:hAnsi="Cambria Math"/>
              <w:lang w:val="en-GB"/>
            </w:rPr>
            <m:t>WDRVI=</m:t>
          </m:r>
          <m:f>
            <m:fPr>
              <m:ctrlPr>
                <w:rPr>
                  <w:rFonts w:ascii="Cambria Math" w:hAnsi="Cambria Math"/>
                  <w:i/>
                  <w:lang w:val="en-GB"/>
                </w:rPr>
              </m:ctrlPr>
            </m:fPr>
            <m:num>
              <m:r>
                <w:rPr>
                  <w:rFonts w:ascii="Cambria Math" w:hAnsi="Cambria Math"/>
                  <w:lang w:val="en-GB"/>
                </w:rPr>
                <m:t>α*</m:t>
              </m:r>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NIR</m:t>
                  </m:r>
                </m:sub>
              </m:sSub>
              <m:r>
                <w:rPr>
                  <w:rFonts w:ascii="Cambria Math" w:hAnsi="Cambria Math"/>
                  <w:lang w:val="en-GB"/>
                </w:rPr>
                <m:t>-α*</m:t>
              </m:r>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red</m:t>
                  </m:r>
                </m:sub>
              </m:sSub>
            </m:num>
            <m:den>
              <m:r>
                <w:rPr>
                  <w:rFonts w:ascii="Cambria Math" w:hAnsi="Cambria Math"/>
                  <w:lang w:val="en-GB"/>
                </w:rPr>
                <m:t>α*</m:t>
              </m:r>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NIR</m:t>
                  </m:r>
                </m:sub>
              </m:sSub>
              <m:r>
                <w:rPr>
                  <w:rFonts w:ascii="Cambria Math" w:hAnsi="Cambria Math"/>
                  <w:lang w:val="en-GB"/>
                </w:rPr>
                <m:t>+α*</m:t>
              </m:r>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red</m:t>
                  </m:r>
                </m:sub>
              </m:sSub>
            </m:den>
          </m:f>
        </m:oMath>
      </m:oMathPara>
    </w:p>
    <w:p w14:paraId="31FC1169" w14:textId="61F76993" w:rsidR="00A25BEF" w:rsidRPr="007169F1" w:rsidRDefault="006D08C8" w:rsidP="00A25BEF">
      <w:pPr>
        <w:ind w:firstLine="0"/>
      </w:pPr>
      <w:r w:rsidRPr="006E32E9">
        <w:rPr>
          <w:lang w:val="en-GB"/>
        </w:rPr>
        <w:t>W</w:t>
      </w:r>
      <w:r w:rsidR="00A25BEF" w:rsidRPr="006E32E9">
        <w:rPr>
          <w:lang w:val="en-GB"/>
        </w:rPr>
        <w:t>here</w:t>
      </w:r>
      <w:r w:rsidRPr="006E32E9">
        <w:rPr>
          <w:lang w:val="en-GB"/>
        </w:rPr>
        <w:t xml:space="preserve"> </w:t>
      </w:r>
      <w:proofErr w:type="spellStart"/>
      <w:r w:rsidRPr="006E32E9">
        <w:rPr>
          <w:lang w:val="en-GB"/>
        </w:rPr>
        <w:t>ρ</w:t>
      </w:r>
      <w:r w:rsidR="00A25BEF" w:rsidRPr="006E32E9">
        <w:rPr>
          <w:vertAlign w:val="subscript"/>
          <w:lang w:val="en-GB"/>
        </w:rPr>
        <w:t>NIR</w:t>
      </w:r>
      <w:proofErr w:type="spellEnd"/>
      <w:r w:rsidR="00A25BEF" w:rsidRPr="006E32E9">
        <w:rPr>
          <w:lang w:val="en-GB"/>
        </w:rPr>
        <w:t xml:space="preserve"> is the near-infrared reflectance, </w:t>
      </w:r>
      <w:proofErr w:type="spellStart"/>
      <w:r w:rsidRPr="006E32E9">
        <w:rPr>
          <w:lang w:val="en-GB"/>
        </w:rPr>
        <w:t>ρ</w:t>
      </w:r>
      <w:r w:rsidR="00A25BEF" w:rsidRPr="006E32E9">
        <w:rPr>
          <w:vertAlign w:val="subscript"/>
          <w:lang w:val="en-GB"/>
        </w:rPr>
        <w:t>red</w:t>
      </w:r>
      <w:proofErr w:type="spellEnd"/>
      <w:r w:rsidR="00A25BEF" w:rsidRPr="006E32E9">
        <w:rPr>
          <w:lang w:val="en-GB"/>
        </w:rPr>
        <w:t xml:space="preserve"> the red reflectance and </w:t>
      </w:r>
      <w:r w:rsidRPr="006E32E9">
        <w:rPr>
          <w:lang w:val="en-GB"/>
        </w:rPr>
        <w:t>α</w:t>
      </w:r>
      <w:r w:rsidR="00A25BEF" w:rsidRPr="006E32E9">
        <w:rPr>
          <w:lang w:val="en-GB"/>
        </w:rPr>
        <w:t xml:space="preserve"> a weighting parameter selected by the user. A weighting of </w:t>
      </w:r>
      <w:r w:rsidRPr="006E32E9">
        <w:rPr>
          <w:lang w:val="en-GB"/>
        </w:rPr>
        <w:t>α = 0.20</w:t>
      </w:r>
      <w:r w:rsidR="00A25BEF" w:rsidRPr="006E32E9">
        <w:rPr>
          <w:lang w:val="en-GB"/>
        </w:rPr>
        <w:t xml:space="preserve"> was used, as it has been found to be the optimum value </w:t>
      </w:r>
      <w:r w:rsidR="00341540" w:rsidRPr="006E32E9">
        <w:rPr>
          <w:lang w:val="en-GB"/>
        </w:rPr>
        <w:t xml:space="preserve">to </w:t>
      </w:r>
      <w:r w:rsidR="00E865D2" w:rsidRPr="006E32E9">
        <w:rPr>
          <w:lang w:val="en-GB"/>
        </w:rPr>
        <w:t>monitor phenological processes when using compute</w:t>
      </w:r>
      <w:r w:rsidR="00AF3F7F">
        <w:rPr>
          <w:lang w:val="en-GB"/>
        </w:rPr>
        <w:t>r</w:t>
      </w:r>
      <w:r w:rsidR="00E865D2" w:rsidRPr="006E32E9">
        <w:rPr>
          <w:lang w:val="en-GB"/>
        </w:rPr>
        <w:t>-intensive algorithms</w:t>
      </w:r>
      <w:r w:rsidR="00341540" w:rsidRPr="006E32E9">
        <w:rPr>
          <w:lang w:val="en-GB"/>
        </w:rPr>
        <w:t xml:space="preserve"> </w:t>
      </w:r>
      <w:r w:rsidRPr="006E32E9">
        <w:rPr>
          <w:lang w:val="en-GB"/>
        </w:rPr>
        <w:fldChar w:fldCharType="begin" w:fldLock="1"/>
      </w:r>
      <w:r w:rsidR="00341540" w:rsidRPr="006E32E9">
        <w:rPr>
          <w:lang w:val="en-GB"/>
        </w:rPr>
        <w:instrText>ADDIN CSL_CITATION {"citationItems":[{"id":"ITEM-1","itemData":{"DOI":"10.1016/j.jag.2017.08.006","ISSN":"1872826X","abstract":"Monitoring forest phenology allows us to study the effects of climate change on vegetated land surfaces. Daily and composite time series (TS) of several vegetation indices (VIs) from MODerate resolution Imaging Spectroradiometer (MODIS) data have been widely used in scientific works for phenological studies since the beginning of the MODIS mission. The objective of this work was to use MODIS data to find the best VI/TS combination to estimate start-of-season (SOS) and end-of-season (EOS) dates across 50 temperate deciduous forests. Our research used as inputs 2001–2012 daily reflectance from MOD09GQ/MOD09GA products and 16-day composite VIs from the MOD13Q1 dataset. The 50 pixels centered on the 50 forest plots were extracted from the above-mentioned MODIS imagery; we then generated 5 different types of TS (1 daily from MOD09 and 4 composite from MOD13Q1) and used all of them to implement 6 VIs, obtaining 30 VI/TS combinations. SOS and EOS estimates were determined for each pixel/year and each VI/TS combination. SOS/EOS estimations were then validated against ground phenological observations. Results showed that, in our test areas, composite TS, if actual acquisition date is considered, performed mostly better than daily TS. EVI, WDRVI0.20 and NDVI were more suitable to SOS estimation, while WDRVI0.05 and EVI were more convenient in estimating early and advanced EOS, respectively.","author":[{"dropping-particle":"","family":"Testa","given":"S.","non-dropping-particle":"","parse-names":false,"suffix":""},{"dropping-particle":"","family":"Soudani","given":"K.","non-dropping-particle":"","parse-names":false,"suffix":""},{"dropping-particle":"","family":"Boschetti","given":"L.","non-dropping-particle":"","parse-names":false,"suffix":""},{"dropping-particle":"","family":"Borgogno Mondino","given":"E.","non-dropping-particle":"","parse-names":false,"suffix":""}],"container-title":"International Journal of Applied Earth Observation and Geoinformation","id":"ITEM-1","issue":"August 2017","issued":{"date-parts":[["2018"]]},"page":"132-144","publisher":"Elsevier","title":"MODIS-derived EVI, NDVI and WDRVI time series to estimate phenological metrics in French deciduous forests","type":"article-journal","volume":"64"},"uris":["http://www.mendeley.com/documents/?uuid=6c45e991-50f5-486c-bbb0-5f234cba6488"]}],"mendeley":{"formattedCitation":"(Testa, Soudani, Boschetti, &amp; Borgogno Mondino, 2018)","plainTextFormattedCitation":"(Testa, Soudani, Boschetti, &amp; Borgogno Mondino, 2018)","previouslyFormattedCitation":"(Testa, Soudani, Boschetti, &amp; Borgogno Mondino, 2018)"},"properties":{"noteIndex":0},"schema":"https://github.com/citation-style-language/schema/raw/master/csl-citation.json"}</w:instrText>
      </w:r>
      <w:r w:rsidRPr="006E32E9">
        <w:rPr>
          <w:lang w:val="en-GB"/>
        </w:rPr>
        <w:fldChar w:fldCharType="separate"/>
      </w:r>
      <w:r w:rsidR="00341540" w:rsidRPr="006E32E9">
        <w:rPr>
          <w:noProof/>
          <w:lang w:val="en-GB"/>
        </w:rPr>
        <w:t xml:space="preserve">(Testa, </w:t>
      </w:r>
      <w:r w:rsidR="00341540" w:rsidRPr="006E32E9">
        <w:rPr>
          <w:noProof/>
          <w:lang w:val="en-GB"/>
        </w:rPr>
        <w:lastRenderedPageBreak/>
        <w:t>Soudani, Boschetti, &amp; Borgogno Mondino, 2018)</w:t>
      </w:r>
      <w:r w:rsidRPr="006E32E9">
        <w:rPr>
          <w:lang w:val="en-GB"/>
        </w:rPr>
        <w:fldChar w:fldCharType="end"/>
      </w:r>
      <w:r w:rsidR="00A25BEF" w:rsidRPr="006E32E9">
        <w:rPr>
          <w:lang w:val="en-GB"/>
        </w:rPr>
        <w:t xml:space="preserve">. We used band 1 </w:t>
      </w:r>
      <w:r w:rsidRPr="006E32E9">
        <w:rPr>
          <w:lang w:val="en-GB"/>
        </w:rPr>
        <w:t>(</w:t>
      </w:r>
      <w:proofErr w:type="spellStart"/>
      <w:r w:rsidRPr="006E32E9">
        <w:rPr>
          <w:lang w:val="en-GB"/>
        </w:rPr>
        <w:t>ρ</w:t>
      </w:r>
      <w:r w:rsidRPr="006E32E9">
        <w:rPr>
          <w:vertAlign w:val="subscript"/>
          <w:lang w:val="en-GB"/>
        </w:rPr>
        <w:t>red</w:t>
      </w:r>
      <w:proofErr w:type="spellEnd"/>
      <w:r w:rsidR="00A25BEF" w:rsidRPr="006E32E9">
        <w:rPr>
          <w:lang w:val="en-GB"/>
        </w:rPr>
        <w:t>, 620-670 nm) and band 2 (</w:t>
      </w:r>
      <w:proofErr w:type="spellStart"/>
      <w:r w:rsidRPr="006E32E9">
        <w:rPr>
          <w:lang w:val="en-GB"/>
        </w:rPr>
        <w:t>ρ</w:t>
      </w:r>
      <w:r w:rsidRPr="006E32E9">
        <w:rPr>
          <w:vertAlign w:val="subscript"/>
          <w:lang w:val="en-GB"/>
        </w:rPr>
        <w:t>NIR</w:t>
      </w:r>
      <w:proofErr w:type="spellEnd"/>
      <w:r w:rsidR="00A25BEF" w:rsidRPr="006E32E9">
        <w:rPr>
          <w:lang w:val="en-GB"/>
        </w:rPr>
        <w:t>, 841-876 nm) from MODIS surface reflectance products to compute the WDRVI at a</w:t>
      </w:r>
      <w:r w:rsidRPr="006E32E9">
        <w:rPr>
          <w:lang w:val="en-GB"/>
        </w:rPr>
        <w:t xml:space="preserve"> spatial resolution of 250 </w:t>
      </w:r>
      <w:r w:rsidR="00A25BEF" w:rsidRPr="006E32E9">
        <w:rPr>
          <w:lang w:val="en-GB"/>
        </w:rPr>
        <w:t>m and a temporal resolution of every 8-days for the time period 2000 to 2011</w:t>
      </w:r>
      <w:r w:rsidR="007554B3" w:rsidRPr="006E32E9">
        <w:rPr>
          <w:lang w:val="en-GB"/>
        </w:rPr>
        <w:t xml:space="preserve"> (</w:t>
      </w:r>
      <w:r w:rsidR="00626576" w:rsidRPr="006E32E9">
        <w:rPr>
          <w:lang w:val="en-GB"/>
        </w:rPr>
        <w:t>506</w:t>
      </w:r>
      <w:r w:rsidR="00B676C0" w:rsidRPr="006E32E9">
        <w:rPr>
          <w:lang w:val="en-GB"/>
        </w:rPr>
        <w:t xml:space="preserve"> </w:t>
      </w:r>
      <w:r w:rsidR="007554B3" w:rsidRPr="006E32E9">
        <w:rPr>
          <w:lang w:val="en-GB"/>
        </w:rPr>
        <w:t>composite images from 26/02/2000 until 2</w:t>
      </w:r>
      <w:r w:rsidR="00626576" w:rsidRPr="006E32E9">
        <w:rPr>
          <w:lang w:val="en-GB"/>
        </w:rPr>
        <w:t>6</w:t>
      </w:r>
      <w:r w:rsidR="007554B3" w:rsidRPr="006E32E9">
        <w:rPr>
          <w:lang w:val="en-GB"/>
        </w:rPr>
        <w:t>/</w:t>
      </w:r>
      <w:r w:rsidR="00626576" w:rsidRPr="006E32E9">
        <w:rPr>
          <w:lang w:val="en-GB"/>
        </w:rPr>
        <w:t>0</w:t>
      </w:r>
      <w:r w:rsidR="007554B3" w:rsidRPr="006E32E9">
        <w:rPr>
          <w:lang w:val="en-GB"/>
        </w:rPr>
        <w:t>2/201</w:t>
      </w:r>
      <w:r w:rsidR="00626576" w:rsidRPr="006E32E9">
        <w:rPr>
          <w:lang w:val="en-GB"/>
        </w:rPr>
        <w:t>1</w:t>
      </w:r>
      <w:r w:rsidR="007169F1">
        <w:rPr>
          <w:lang w:val="en-GB"/>
        </w:rPr>
        <w:t>.</w:t>
      </w:r>
    </w:p>
    <w:p w14:paraId="0DEA6D47" w14:textId="4E88174C" w:rsidR="00991370" w:rsidRPr="006E32E9" w:rsidRDefault="00991370" w:rsidP="00A25BEF">
      <w:pPr>
        <w:ind w:firstLine="0"/>
        <w:rPr>
          <w:lang w:val="en-GB"/>
        </w:rPr>
      </w:pPr>
    </w:p>
    <w:p w14:paraId="55F29839" w14:textId="2D3C78F6" w:rsidR="00991370" w:rsidRPr="006E32E9" w:rsidRDefault="00991370" w:rsidP="00991370">
      <w:pPr>
        <w:pStyle w:val="Heading3"/>
      </w:pPr>
      <w:r w:rsidRPr="006E32E9">
        <w:t>Detecting breaks in crop production</w:t>
      </w:r>
    </w:p>
    <w:p w14:paraId="316E89F6" w14:textId="48E1D432" w:rsidR="00991370" w:rsidRPr="006E32E9" w:rsidRDefault="00991370" w:rsidP="00741BAF">
      <w:pPr>
        <w:rPr>
          <w:lang w:val="en-GB"/>
        </w:rPr>
      </w:pPr>
      <w:r w:rsidRPr="006E32E9">
        <w:rPr>
          <w:lang w:val="en-GB"/>
        </w:rPr>
        <w:t xml:space="preserve">The Breaks For Additive Season and Trend (BFAST) technique was used to detect changes in time-series of WDRVI to identify crop failures. </w:t>
      </w:r>
      <w:r w:rsidR="00741BAF" w:rsidRPr="006E32E9">
        <w:rPr>
          <w:lang w:val="en-GB"/>
        </w:rPr>
        <w:t xml:space="preserve">This method was used to determine the number, type, and timing of trend and seasonal changes within historical time-series </w:t>
      </w:r>
      <w:r w:rsidR="00741BAF" w:rsidRPr="006E32E9">
        <w:rPr>
          <w:lang w:val="en-GB"/>
        </w:rPr>
        <w:fldChar w:fldCharType="begin" w:fldLock="1"/>
      </w:r>
      <w:r w:rsidR="00BC7A96" w:rsidRPr="006E32E9">
        <w:rPr>
          <w:lang w:val="en-GB"/>
        </w:rPr>
        <w:instrText>ADDIN CSL_CITATION {"citationItems":[{"id":"ITEM-1","itemData":{"DOI":"10.1016/j.rse.2009.08.014","ISBN":"0034-4257","ISSN":"00344257","PMID":"16531038","abstract":"A wealth of remotely sensed image time series covering large areas is now available to the earth science community. Change detection methods are often not capable of detecting land cover changes within time series that are heavily influenced by seasonal climatic variations. Detecting change within the trend and seasonal components of time series enables the classification of different types of changes. Changes occurring in the trend component often indicate disturbances (e.g. fires, insect attacks), while changes occurring in the seasonal component indicate phenological changes (e.g. change in land cover type). A generic change detection approach is proposed for time series by detecting and characterizing Breaks For Additive Seasonal and Trend (BFAST). BFAST integrates the decomposition of time series into trend, seasonal, and remainder components with methods for detecting change within time series. BFAST iteratively estimates the time and number of changes, and characterizes change by its magnitude and direction. We tested BFAST by simulating 16-day Normalized Difference Vegetation Index (NDVI) time series with varying amounts of seasonality and noise, and by adding abrupt changes at different times and magnitudes. This revealed that BFAST can robustly detect change with different magnitudes (&gt;0.1 NDVI) within time series with different noise levels (0.01–0.07 σ) and seasonal amplitudes (0.1–0.5 NDVI). Additionally, BFAST was applied to 16-day NDVI Moderate Resolution Imaging Spectroradiometer (MODIS) composites for a forested study area in south eastern Australia. This showed that BFAST is able to detect and characterize spatial and temporal changes in a forested landscape. BFAST is not specific to a particular data type and can be applied to time series without the need to normalize for land cover types, select a reference period, or change trajectory. The method can be integrated within monitoring frameworks and used as an alarm system to flag when and where changes occur.","author":[{"dropping-particle":"","family":"Verbesselt","given":"Jan","non-dropping-particle":"","parse-names":false,"suffix":""},{"dropping-particle":"","family":"Hyndman","given":"Rob","non-dropping-particle":"","parse-names":false,"suffix":""},{"dropping-particle":"","family":"Newnham","given":"Glenn","non-dropping-particle":"","parse-names":false,"suffix":""},{"dropping-particle":"","family":"Culvenor","given":"Darius","non-dropping-particle":"","parse-names":false,"suffix":""}],"container-title":"Remote Sensing of Environment","id":"ITEM-1","issue":"1","issued":{"date-parts":[["2010"]]},"page":"106-115","publisher":"Elsevier B.V.","title":"Detecting trend and seasonal changes in satellite image time series","type":"article-journal","volume":"114"},"uris":["http://www.mendeley.com/documents/?uuid=aa3f7a70-a49e-42fc-a6cc-7cde2e08cb00"]}],"mendeley":{"formattedCitation":"(Verbesselt, Hyndman, Newnham, &amp; Culvenor, 2010)","plainTextFormattedCitation":"(Verbesselt, Hyndman, Newnham, &amp; Culvenor, 2010)","previouslyFormattedCitation":"(Verbesselt, Hyndman, Newnham, &amp; Culvenor, 2010)"},"properties":{"noteIndex":0},"schema":"https://github.com/citation-style-language/schema/raw/master/csl-citation.json"}</w:instrText>
      </w:r>
      <w:r w:rsidR="00741BAF" w:rsidRPr="006E32E9">
        <w:rPr>
          <w:lang w:val="en-GB"/>
        </w:rPr>
        <w:fldChar w:fldCharType="separate"/>
      </w:r>
      <w:r w:rsidR="002B1556" w:rsidRPr="006E32E9">
        <w:rPr>
          <w:noProof/>
          <w:lang w:val="en-GB"/>
        </w:rPr>
        <w:t>(Verbesselt, Hyndman, Newnham, &amp; Culvenor, 2010)</w:t>
      </w:r>
      <w:r w:rsidR="00741BAF" w:rsidRPr="006E32E9">
        <w:rPr>
          <w:lang w:val="en-GB"/>
        </w:rPr>
        <w:fldChar w:fldCharType="end"/>
      </w:r>
      <w:r w:rsidR="00741BAF" w:rsidRPr="006E32E9">
        <w:rPr>
          <w:lang w:val="en-GB"/>
        </w:rPr>
        <w:t xml:space="preserve">. It </w:t>
      </w:r>
      <w:r w:rsidRPr="006E32E9">
        <w:rPr>
          <w:lang w:val="en-GB"/>
        </w:rPr>
        <w:t>estimates the dates, the magnitude and direction of change without setting a threshold or defining a reference period, and thus can be used to characterise changes occurring in seasonal and trend components. The general decomposition model f</w:t>
      </w:r>
      <w:r w:rsidR="00062756" w:rsidRPr="006E32E9">
        <w:rPr>
          <w:lang w:val="en-GB"/>
        </w:rPr>
        <w:t>its a piecewise linear trend T</w:t>
      </w:r>
      <w:r w:rsidRPr="006E32E9">
        <w:rPr>
          <w:vertAlign w:val="subscript"/>
          <w:lang w:val="en-GB"/>
        </w:rPr>
        <w:t>t</w:t>
      </w:r>
      <w:r w:rsidRPr="006E32E9">
        <w:rPr>
          <w:lang w:val="en-GB"/>
        </w:rPr>
        <w:t xml:space="preserve"> and a seasonal model </w:t>
      </w:r>
      <w:r w:rsidR="00062756" w:rsidRPr="006E32E9">
        <w:rPr>
          <w:lang w:val="en-GB"/>
        </w:rPr>
        <w:t>S</w:t>
      </w:r>
      <w:r w:rsidR="00062756" w:rsidRPr="006E32E9">
        <w:rPr>
          <w:vertAlign w:val="subscript"/>
          <w:lang w:val="en-GB"/>
        </w:rPr>
        <w:t>t</w:t>
      </w:r>
      <w:r w:rsidRPr="006E32E9">
        <w:rPr>
          <w:lang w:val="en-GB"/>
        </w:rPr>
        <w:t xml:space="preserve">, and is of the form: </w:t>
      </w:r>
      <w:proofErr w:type="spellStart"/>
      <w:r w:rsidR="00062756" w:rsidRPr="006E32E9">
        <w:rPr>
          <w:lang w:val="en-GB"/>
        </w:rPr>
        <w:t>Y</w:t>
      </w:r>
      <w:r w:rsidRPr="006E32E9">
        <w:rPr>
          <w:vertAlign w:val="subscript"/>
          <w:lang w:val="en-GB"/>
        </w:rPr>
        <w:t>t</w:t>
      </w:r>
      <w:proofErr w:type="spellEnd"/>
      <w:r w:rsidRPr="006E32E9">
        <w:rPr>
          <w:lang w:val="en-GB"/>
        </w:rPr>
        <w:t xml:space="preserve"> = T</w:t>
      </w:r>
      <w:r w:rsidRPr="006E32E9">
        <w:rPr>
          <w:vertAlign w:val="subscript"/>
          <w:lang w:val="en-GB"/>
        </w:rPr>
        <w:t>t</w:t>
      </w:r>
      <w:r w:rsidRPr="006E32E9">
        <w:rPr>
          <w:lang w:val="en-GB"/>
        </w:rPr>
        <w:t xml:space="preserve"> + S</w:t>
      </w:r>
      <w:r w:rsidRPr="006E32E9">
        <w:rPr>
          <w:vertAlign w:val="subscript"/>
          <w:lang w:val="en-GB"/>
        </w:rPr>
        <w:t>t</w:t>
      </w:r>
      <w:r w:rsidRPr="006E32E9">
        <w:rPr>
          <w:lang w:val="en-GB"/>
        </w:rPr>
        <w:t xml:space="preserve"> + e</w:t>
      </w:r>
      <w:r w:rsidRPr="006E32E9">
        <w:rPr>
          <w:vertAlign w:val="subscript"/>
          <w:lang w:val="en-GB"/>
        </w:rPr>
        <w:t>t</w:t>
      </w:r>
      <w:r w:rsidRPr="006E32E9">
        <w:rPr>
          <w:lang w:val="en-GB"/>
        </w:rPr>
        <w:t>, with t</w:t>
      </w:r>
      <w:r w:rsidR="00062756" w:rsidRPr="006E32E9">
        <w:rPr>
          <w:lang w:val="en-GB"/>
        </w:rPr>
        <w:t xml:space="preserve"> </w:t>
      </w:r>
      <w:r w:rsidRPr="006E32E9">
        <w:rPr>
          <w:lang w:val="en-GB"/>
        </w:rPr>
        <w:t>=</w:t>
      </w:r>
      <w:r w:rsidR="00062756" w:rsidRPr="006E32E9">
        <w:rPr>
          <w:lang w:val="en-GB"/>
        </w:rPr>
        <w:t xml:space="preserve"> </w:t>
      </w:r>
      <w:r w:rsidRPr="006E32E9">
        <w:rPr>
          <w:lang w:val="en-GB"/>
        </w:rPr>
        <w:t>1,</w:t>
      </w:r>
      <w:r w:rsidR="00062756" w:rsidRPr="006E32E9">
        <w:rPr>
          <w:lang w:val="en-GB"/>
        </w:rPr>
        <w:t>…</w:t>
      </w:r>
      <w:r w:rsidRPr="006E32E9">
        <w:rPr>
          <w:lang w:val="en-GB"/>
        </w:rPr>
        <w:t>, n. The ordinary least squares (OLS) residual</w:t>
      </w:r>
      <w:r w:rsidR="00741BAF" w:rsidRPr="006E32E9">
        <w:rPr>
          <w:lang w:val="en-GB"/>
        </w:rPr>
        <w:t xml:space="preserve">s-based </w:t>
      </w:r>
      <w:proofErr w:type="spellStart"/>
      <w:r w:rsidR="00741BAF" w:rsidRPr="006E32E9">
        <w:rPr>
          <w:lang w:val="en-GB"/>
        </w:rPr>
        <w:t>MOving</w:t>
      </w:r>
      <w:proofErr w:type="spellEnd"/>
      <w:r w:rsidR="00741BAF" w:rsidRPr="006E32E9">
        <w:rPr>
          <w:lang w:val="en-GB"/>
        </w:rPr>
        <w:t xml:space="preserve"> SUM (MOSUM) test</w:t>
      </w:r>
      <w:r w:rsidRPr="006E32E9">
        <w:rPr>
          <w:lang w:val="en-GB"/>
        </w:rPr>
        <w:t xml:space="preserve"> is used to detect whether one or more breakpoints are occurring. If breaks are occurring, the number and position of breaks are determined by minimising the residual sum of squares and by minimising an information criterion, such as the Bayesian Information Criterion (BIC). The intercept and slope of consecutive linear models are used to characterise the magnitude and direction of abrupt changes in the trend.</w:t>
      </w:r>
    </w:p>
    <w:p w14:paraId="24467261" w14:textId="107A1215" w:rsidR="00991370" w:rsidRPr="00004020" w:rsidRDefault="00062756" w:rsidP="007169F1">
      <w:pPr>
        <w:ind w:firstLine="0"/>
      </w:pPr>
      <w:r w:rsidRPr="006E32E9">
        <w:rPr>
          <w:lang w:val="en-GB"/>
        </w:rPr>
        <w:fldChar w:fldCharType="begin"/>
      </w:r>
      <w:r w:rsidRPr="006E32E9">
        <w:rPr>
          <w:lang w:val="en-GB"/>
        </w:rPr>
        <w:instrText xml:space="preserve"> REF _Ref516152031 \h </w:instrText>
      </w:r>
      <w:r w:rsidRPr="006E32E9">
        <w:rPr>
          <w:lang w:val="en-GB"/>
        </w:rPr>
      </w:r>
      <w:r w:rsidRPr="006E32E9">
        <w:rPr>
          <w:lang w:val="en-GB"/>
        </w:rPr>
        <w:fldChar w:fldCharType="separate"/>
      </w:r>
      <w:r w:rsidRPr="006E32E9">
        <w:rPr>
          <w:lang w:val="en-GB"/>
        </w:rPr>
        <w:t xml:space="preserve">Figure </w:t>
      </w:r>
      <w:r w:rsidRPr="006E32E9">
        <w:rPr>
          <w:noProof/>
          <w:lang w:val="en-GB"/>
        </w:rPr>
        <w:t>3</w:t>
      </w:r>
      <w:r w:rsidRPr="006E32E9">
        <w:rPr>
          <w:lang w:val="en-GB"/>
        </w:rPr>
        <w:fldChar w:fldCharType="end"/>
      </w:r>
      <w:r w:rsidRPr="006E32E9">
        <w:rPr>
          <w:lang w:val="en-GB"/>
        </w:rPr>
        <w:t xml:space="preserve"> </w:t>
      </w:r>
      <w:r w:rsidR="00991370" w:rsidRPr="006E32E9">
        <w:rPr>
          <w:lang w:val="en-GB"/>
        </w:rPr>
        <w:t xml:space="preserve">presents the outputs from the break detection in the WDRVI time-series, where only negative breaks were considered. </w:t>
      </w:r>
      <w:r w:rsidR="007169F1">
        <w:t xml:space="preserve">The algorithm was run on pixels that were used for agricultural production </w:t>
      </w:r>
      <w:r w:rsidR="007169F1" w:rsidRPr="005D62D1">
        <w:t xml:space="preserve">throughout 2000-2011. Pixels that changed land use during that period (i.e. </w:t>
      </w:r>
      <w:r w:rsidR="00ED04BA">
        <w:t xml:space="preserve">specifically </w:t>
      </w:r>
      <w:r w:rsidR="007169F1" w:rsidRPr="005D62D1">
        <w:t>if they were converted to urban) were not included</w:t>
      </w:r>
      <w:r w:rsidR="007169F1">
        <w:t xml:space="preserve"> to prevent the detection of false-</w:t>
      </w:r>
      <w:r w:rsidR="007169F1">
        <w:lastRenderedPageBreak/>
        <w:t xml:space="preserve">breaks due to land use changes. </w:t>
      </w:r>
      <w:r w:rsidR="00991370" w:rsidRPr="006E32E9">
        <w:rPr>
          <w:lang w:val="en-GB"/>
        </w:rPr>
        <w:t xml:space="preserve">Thanks to the linear correlation that exists between WDRVI and crop yield over the Mahanadi Delta </w:t>
      </w:r>
      <w:r w:rsidRPr="006E32E9">
        <w:rPr>
          <w:lang w:val="en-GB"/>
        </w:rPr>
        <w:fldChar w:fldCharType="begin" w:fldLock="1"/>
      </w:r>
      <w:r w:rsidR="00356E72" w:rsidRPr="006E32E9">
        <w:rPr>
          <w:lang w:val="en-GB"/>
        </w:rPr>
        <w:instrText>ADDIN CSL_CITATION {"citationItems":[{"id":"ITEM-1","itemData":{"DOI":"10.3389/fenvs.2015.00056","ISSN":"2296-665X","author":[{"dropping-particle":"","family":"Duncan","given":"John M.","non-dropping-particle":"","parse-names":false,"suffix":""},{"dropping-particle":"","family":"Dash","given":"Jadunandan","non-dropping-particle":"","parse-names":false,"suffix":""},{"dropping-particle":"","family":"Atkinson","given":"Peter M.","non-dropping-particle":"","parse-names":false,"suffix":""}],"container-title":"Frontiers in Environmental Science","id":"ITEM-1","issue":"August","issued":{"date-parts":[["2015"]]},"page":"1-16","title":"The potential of satellite-observed crop phenology to enhance yield gap assessments in smallholder landscapes","type":"article-journal","volume":"3"},"uris":["http://www.mendeley.com/documents/?uuid=de4701c5-e4ed-43b7-8e03-1a6cf7786645"]}],"mendeley":{"formattedCitation":"(Duncan et al., 2015)","plainTextFormattedCitation":"(Duncan et al., 2015)","previouslyFormattedCitation":"(Duncan et al., 2015)"},"properties":{"noteIndex":0},"schema":"https://github.com/citation-style-language/schema/raw/master/csl-citation.json"}</w:instrText>
      </w:r>
      <w:r w:rsidRPr="006E32E9">
        <w:rPr>
          <w:lang w:val="en-GB"/>
        </w:rPr>
        <w:fldChar w:fldCharType="separate"/>
      </w:r>
      <w:r w:rsidR="002A030E" w:rsidRPr="006E32E9">
        <w:rPr>
          <w:noProof/>
          <w:lang w:val="en-GB"/>
        </w:rPr>
        <w:t>(Duncan et al., 2015)</w:t>
      </w:r>
      <w:r w:rsidRPr="006E32E9">
        <w:rPr>
          <w:lang w:val="en-GB"/>
        </w:rPr>
        <w:fldChar w:fldCharType="end"/>
      </w:r>
      <w:r w:rsidR="00991370" w:rsidRPr="006E32E9">
        <w:rPr>
          <w:lang w:val="en-GB"/>
        </w:rPr>
        <w:t xml:space="preserve">, breaks in WDRVI time-series represent abrupt changes in crop production, and negative breaks are thus considered to represent crop failures. Moreover, </w:t>
      </w:r>
      <w:r w:rsidRPr="006E32E9">
        <w:rPr>
          <w:lang w:val="en-GB"/>
        </w:rPr>
        <w:fldChar w:fldCharType="begin" w:fldLock="1"/>
      </w:r>
      <w:r w:rsidR="00BC7A96" w:rsidRPr="006E32E9">
        <w:rPr>
          <w:lang w:val="en-GB"/>
        </w:rPr>
        <w:instrText>ADDIN CSL_CITATION {"citationItems":[{"id":"ITEM-1","itemData":{"DOI":"10.1016/j.rse.2014.08.023","ISBN":"00344257","ISSN":"00344257","abstract":"The effective use of satellite image time series for examining vegetation response patterns across regional extents requires a method which accounts for variation at the seasonal scale while simultaneously detecting abrupt changes in any long term trends. The Breaks for Additive Seasonal and Trend (BFAST) algorithmhas been developed to do this. However, its effectiveness in semi-arid regions, where vegetation response is typically aseasonal, has yet to be assessed. In this research the BFAST algorithmwas assessed for a semi-arid study area in the Paroo catchment of far northwestern New SouthWales, Australia. Moderate Resolution Imaging Spectroradiometer (MODIS) EVI time series were decomposed using BFAST for 270 sample pixels to assess the algorithm's ability to detect abrupt changes in vegetation response caused by known fires and floods. The algorithm was also applied across the study area to examine regional patterns in the timing and magnitude of abrupt changes and the direction and magnitude of the long term trends. The timing of breaks detected by BFAST corresponded with the timing of known floods in the study region for between 68% and 79% of breaks detected across the sample pixels, depending on the parameters used in the decomposition. BFAST was not, however, able to accurately detect fires in the Paroo region, with agreement between the timing of breaks and fires occurring in only 3% of breaks detected. Thismost likely reflects the low EVI values present before a fire event, which would be typical of semi-arid zones. Spatial patterns in the timing of abrupt changes and greening and browning trends across the study area were a function of land cover and vegetation type. These results indicate that BFAST is able to detect abrupt changes in vegetation greening caused by known floods in semi-arid regions. The presence of spatial patterns in the results also indicates that the algorithm is sensitive to vegetation cover type. BFAST is therefore able to detect abrupt trend changes in regionswhere vegetation response is not expected to show strong seasonal patterns and could be used in further applications such as classification or regional vegetation modelling in semi-arid environments.","author":[{"dropping-particle":"","family":"Watts","given":"Laura M.","non-dropping-particle":"","parse-names":false,"suffix":""},{"dropping-particle":"","family":"Laffan","given":"Shawn W.","non-dropping-particle":"","parse-names":false,"suffix":""}],"container-title":"Remote Sensing of Environment","id":"ITEM-1","issue":"1","issued":{"date-parts":[["2014"]]},"page":"234-245","publisher":"Elsevier Inc.","title":"Effectiveness of the BFAST algorithm for detecting vegetation response patterns in a semi-arid region","type":"article-journal","volume":"154"},"uris":["http://www.mendeley.com/documents/?uuid=849418b6-beac-4b77-bd5c-83315e2e98d1"]}],"mendeley":{"formattedCitation":"(Watts &amp; Laffan, 2014)","manualFormatting":"Watts and Laffan (2014)","plainTextFormattedCitation":"(Watts &amp; Laffan, 2014)","previouslyFormattedCitation":"(Watts &amp; Laffan, 2014)"},"properties":{"noteIndex":0},"schema":"https://github.com/citation-style-language/schema/raw/master/csl-citation.json"}</w:instrText>
      </w:r>
      <w:r w:rsidRPr="006E32E9">
        <w:rPr>
          <w:lang w:val="en-GB"/>
        </w:rPr>
        <w:fldChar w:fldCharType="separate"/>
      </w:r>
      <w:r w:rsidR="00423F54" w:rsidRPr="006E32E9">
        <w:rPr>
          <w:noProof/>
          <w:lang w:val="en-GB"/>
        </w:rPr>
        <w:t>Watts and Laffan</w:t>
      </w:r>
      <w:r w:rsidR="002A030E" w:rsidRPr="006E32E9">
        <w:rPr>
          <w:noProof/>
          <w:lang w:val="en-GB"/>
        </w:rPr>
        <w:t xml:space="preserve"> </w:t>
      </w:r>
      <w:r w:rsidR="00423F54" w:rsidRPr="006E32E9">
        <w:rPr>
          <w:noProof/>
          <w:lang w:val="en-GB"/>
        </w:rPr>
        <w:t>(</w:t>
      </w:r>
      <w:r w:rsidR="002A030E" w:rsidRPr="006E32E9">
        <w:rPr>
          <w:noProof/>
          <w:lang w:val="en-GB"/>
        </w:rPr>
        <w:t>2014)</w:t>
      </w:r>
      <w:r w:rsidRPr="006E32E9">
        <w:rPr>
          <w:lang w:val="en-GB"/>
        </w:rPr>
        <w:fldChar w:fldCharType="end"/>
      </w:r>
      <w:r w:rsidR="00991370" w:rsidRPr="006E32E9">
        <w:rPr>
          <w:lang w:val="en-GB"/>
        </w:rPr>
        <w:t xml:space="preserve"> showed that breaks in vegetation indices detected by BFAST corresponded with the timing of known floods in the study region for between 68</w:t>
      </w:r>
      <w:r w:rsidRPr="006E32E9">
        <w:rPr>
          <w:lang w:val="en-GB"/>
        </w:rPr>
        <w:t>% and 79</w:t>
      </w:r>
      <w:r w:rsidR="00991370" w:rsidRPr="006E32E9">
        <w:rPr>
          <w:lang w:val="en-GB"/>
        </w:rPr>
        <w:t xml:space="preserve">% of breaks detected across the sample pixels. Taken together, these studies indicate that the BFAST method is able to detect abrupt changes in vegetation greening caused by climatic hazards. We thus consider negative breaks in the WDRVI time-series as proxies of </w:t>
      </w:r>
      <w:r w:rsidR="009E2455">
        <w:rPr>
          <w:lang w:val="en-GB"/>
        </w:rPr>
        <w:t>weather</w:t>
      </w:r>
      <w:r w:rsidR="00991370" w:rsidRPr="006E32E9">
        <w:rPr>
          <w:lang w:val="en-GB"/>
        </w:rPr>
        <w:t xml:space="preserve"> shocks that had a negative impact on crop production.</w:t>
      </w:r>
      <w:r w:rsidR="005D62D1">
        <w:rPr>
          <w:lang w:val="en-GB"/>
        </w:rPr>
        <w:t xml:space="preserve"> </w:t>
      </w:r>
    </w:p>
    <w:p w14:paraId="6F339DCA" w14:textId="77777777" w:rsidR="00B956A9" w:rsidRPr="006E32E9" w:rsidRDefault="00B956A9" w:rsidP="00B956A9">
      <w:pPr>
        <w:pStyle w:val="TableFigure"/>
        <w:keepNext/>
      </w:pPr>
      <w:r w:rsidRPr="006E32E9">
        <w:rPr>
          <w:noProof/>
          <w:lang w:eastAsia="en-GB"/>
        </w:rPr>
        <w:drawing>
          <wp:inline distT="0" distB="0" distL="0" distR="0" wp14:anchorId="0FE52305" wp14:editId="799DB488">
            <wp:extent cx="5945221" cy="33283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3_bfast.png"/>
                    <pic:cNvPicPr/>
                  </pic:nvPicPr>
                  <pic:blipFill>
                    <a:blip r:embed="rId20"/>
                    <a:stretch>
                      <a:fillRect/>
                    </a:stretch>
                  </pic:blipFill>
                  <pic:spPr>
                    <a:xfrm>
                      <a:off x="0" y="0"/>
                      <a:ext cx="5945221" cy="3328307"/>
                    </a:xfrm>
                    <a:prstGeom prst="rect">
                      <a:avLst/>
                    </a:prstGeom>
                  </pic:spPr>
                </pic:pic>
              </a:graphicData>
            </a:graphic>
          </wp:inline>
        </w:drawing>
      </w:r>
    </w:p>
    <w:p w14:paraId="412D0CD9" w14:textId="27968232" w:rsidR="008711F3" w:rsidRPr="006E32E9" w:rsidRDefault="00B956A9" w:rsidP="00B956A9">
      <w:pPr>
        <w:pStyle w:val="Caption"/>
        <w:rPr>
          <w:b w:val="0"/>
          <w:lang w:val="en-GB"/>
        </w:rPr>
      </w:pPr>
      <w:bookmarkStart w:id="5" w:name="_Ref516152031"/>
      <w:r w:rsidRPr="006E32E9">
        <w:rPr>
          <w:lang w:val="en-GB"/>
        </w:rPr>
        <w:t xml:space="preserve">Figure </w:t>
      </w:r>
      <w:r w:rsidRPr="006E32E9">
        <w:rPr>
          <w:lang w:val="en-GB"/>
        </w:rPr>
        <w:fldChar w:fldCharType="begin"/>
      </w:r>
      <w:r w:rsidRPr="006E32E9">
        <w:rPr>
          <w:lang w:val="en-GB"/>
        </w:rPr>
        <w:instrText xml:space="preserve"> SEQ Figure \* ARABIC </w:instrText>
      </w:r>
      <w:r w:rsidRPr="006E32E9">
        <w:rPr>
          <w:lang w:val="en-GB"/>
        </w:rPr>
        <w:fldChar w:fldCharType="separate"/>
      </w:r>
      <w:r w:rsidR="00B7132F" w:rsidRPr="006E32E9">
        <w:rPr>
          <w:noProof/>
          <w:lang w:val="en-GB"/>
        </w:rPr>
        <w:t>3</w:t>
      </w:r>
      <w:r w:rsidRPr="006E32E9">
        <w:rPr>
          <w:lang w:val="en-GB"/>
        </w:rPr>
        <w:fldChar w:fldCharType="end"/>
      </w:r>
      <w:bookmarkEnd w:id="5"/>
      <w:r w:rsidRPr="006E32E9">
        <w:rPr>
          <w:lang w:val="en-GB"/>
        </w:rPr>
        <w:t xml:space="preserve">: Breaks in WDRVI time series detected using BFAST. </w:t>
      </w:r>
      <w:r w:rsidRPr="006E32E9">
        <w:rPr>
          <w:b w:val="0"/>
          <w:lang w:val="en-GB"/>
        </w:rPr>
        <w:t>For each pixel, the time series is decomposed into its seasonal and trend components to identify breakpoints using the Breaks For Additive Season and Trend (BFAST) technique</w:t>
      </w:r>
      <w:r w:rsidR="00881F2E" w:rsidRPr="006E32E9">
        <w:rPr>
          <w:b w:val="0"/>
          <w:lang w:val="en-GB"/>
        </w:rPr>
        <w:t>.</w:t>
      </w:r>
      <w:r w:rsidRPr="006E32E9">
        <w:rPr>
          <w:b w:val="0"/>
          <w:lang w:val="en-GB"/>
        </w:rPr>
        <w:t xml:space="preserve"> </w:t>
      </w:r>
      <w:r w:rsidR="00881F2E" w:rsidRPr="006E32E9">
        <w:rPr>
          <w:b w:val="0"/>
          <w:lang w:val="en-GB"/>
        </w:rPr>
        <w:t xml:space="preserve">Figure </w:t>
      </w:r>
      <w:r w:rsidRPr="006E32E9">
        <w:rPr>
          <w:b w:val="0"/>
          <w:lang w:val="en-GB"/>
        </w:rPr>
        <w:t>b shows an example of the decomposition of the WDRVI time series for one random pixel, highlighting two breaks.</w:t>
      </w:r>
      <w:r w:rsidR="00977281" w:rsidRPr="006E32E9">
        <w:rPr>
          <w:b w:val="0"/>
          <w:lang w:val="en-GB"/>
        </w:rPr>
        <w:t xml:space="preserve"> </w:t>
      </w:r>
      <w:r w:rsidR="00881F2E" w:rsidRPr="006E32E9">
        <w:rPr>
          <w:b w:val="0"/>
          <w:lang w:val="en-GB"/>
        </w:rPr>
        <w:t>These breaks represent shocks</w:t>
      </w:r>
      <w:r w:rsidR="00977281" w:rsidRPr="006E32E9">
        <w:rPr>
          <w:b w:val="0"/>
          <w:lang w:val="en-GB"/>
        </w:rPr>
        <w:t xml:space="preserve"> </w:t>
      </w:r>
      <w:r w:rsidR="00881F2E" w:rsidRPr="006E32E9">
        <w:rPr>
          <w:b w:val="0"/>
          <w:lang w:val="en-GB"/>
        </w:rPr>
        <w:t xml:space="preserve">in the </w:t>
      </w:r>
      <w:r w:rsidR="00977281" w:rsidRPr="006E32E9">
        <w:rPr>
          <w:b w:val="0"/>
          <w:lang w:val="en-GB"/>
        </w:rPr>
        <w:t>agricultural production</w:t>
      </w:r>
      <w:r w:rsidR="00881F2E" w:rsidRPr="006E32E9">
        <w:rPr>
          <w:b w:val="0"/>
          <w:lang w:val="en-GB"/>
        </w:rPr>
        <w:t xml:space="preserve">. The maps show the count of negative breaks in croplands: per pixel at a resolution of </w:t>
      </w:r>
      <w:r w:rsidR="00977281" w:rsidRPr="006E32E9">
        <w:rPr>
          <w:b w:val="0"/>
          <w:lang w:val="en-GB"/>
        </w:rPr>
        <w:t>250 m</w:t>
      </w:r>
      <w:r w:rsidR="00881F2E" w:rsidRPr="006E32E9">
        <w:rPr>
          <w:b w:val="0"/>
          <w:lang w:val="en-GB"/>
        </w:rPr>
        <w:t xml:space="preserve"> (map a); </w:t>
      </w:r>
      <w:r w:rsidR="00977281" w:rsidRPr="006E32E9">
        <w:rPr>
          <w:b w:val="0"/>
          <w:lang w:val="en-GB"/>
        </w:rPr>
        <w:t xml:space="preserve">and averaged at the </w:t>
      </w:r>
      <w:r w:rsidR="00881F2E" w:rsidRPr="006E32E9">
        <w:rPr>
          <w:b w:val="0"/>
          <w:lang w:val="en-GB"/>
        </w:rPr>
        <w:t>village</w:t>
      </w:r>
      <w:r w:rsidR="00977281" w:rsidRPr="006E32E9">
        <w:rPr>
          <w:b w:val="0"/>
          <w:lang w:val="en-GB"/>
        </w:rPr>
        <w:t xml:space="preserve"> level for modelling purposes (</w:t>
      </w:r>
      <w:r w:rsidR="00881F2E" w:rsidRPr="006E32E9">
        <w:rPr>
          <w:b w:val="0"/>
          <w:lang w:val="en-GB"/>
        </w:rPr>
        <w:t xml:space="preserve">map </w:t>
      </w:r>
      <w:r w:rsidR="00977281" w:rsidRPr="006E32E9">
        <w:rPr>
          <w:b w:val="0"/>
          <w:lang w:val="en-GB"/>
        </w:rPr>
        <w:t>c).</w:t>
      </w:r>
    </w:p>
    <w:p w14:paraId="1DAD4E10" w14:textId="77777777" w:rsidR="00B956A9" w:rsidRPr="006E32E9" w:rsidRDefault="00B956A9" w:rsidP="00B956A9">
      <w:pPr>
        <w:pStyle w:val="TableFigure"/>
      </w:pPr>
    </w:p>
    <w:p w14:paraId="5728BEA2" w14:textId="11485AF8" w:rsidR="008711F3" w:rsidRPr="006E32E9" w:rsidRDefault="008711F3" w:rsidP="008711F3">
      <w:pPr>
        <w:pStyle w:val="Heading2"/>
      </w:pPr>
      <w:bookmarkStart w:id="6" w:name="_Ref516150014"/>
      <w:r w:rsidRPr="006E32E9">
        <w:lastRenderedPageBreak/>
        <w:t>Statistical modelling</w:t>
      </w:r>
      <w:bookmarkEnd w:id="6"/>
    </w:p>
    <w:p w14:paraId="512029C3" w14:textId="10E24C20" w:rsidR="00135D5F" w:rsidRPr="006E32E9" w:rsidRDefault="008711F3" w:rsidP="00C871F3">
      <w:pPr>
        <w:rPr>
          <w:lang w:val="en-GB"/>
        </w:rPr>
      </w:pPr>
      <w:r w:rsidRPr="006E32E9">
        <w:rPr>
          <w:lang w:val="en-GB"/>
        </w:rPr>
        <w:t xml:space="preserve">Multilevel regression techniques </w:t>
      </w:r>
      <w:r w:rsidR="006F573A" w:rsidRPr="006E32E9">
        <w:rPr>
          <w:lang w:val="en-GB"/>
        </w:rPr>
        <w:t xml:space="preserve">were </w:t>
      </w:r>
      <w:r w:rsidRPr="006E32E9">
        <w:rPr>
          <w:lang w:val="en-GB"/>
        </w:rPr>
        <w:t xml:space="preserve">used to control for </w:t>
      </w:r>
      <w:r w:rsidR="00D636E8" w:rsidRPr="006E32E9">
        <w:rPr>
          <w:lang w:val="en-GB"/>
        </w:rPr>
        <w:t xml:space="preserve">contextual </w:t>
      </w:r>
      <w:r w:rsidRPr="006E32E9">
        <w:rPr>
          <w:lang w:val="en-GB"/>
        </w:rPr>
        <w:t>factors, by allowing the model to vary at the Tehsil level</w:t>
      </w:r>
      <w:r w:rsidR="00EA7A29" w:rsidRPr="006E32E9">
        <w:rPr>
          <w:lang w:val="en-GB"/>
        </w:rPr>
        <w:t xml:space="preserve">. </w:t>
      </w:r>
      <w:r w:rsidRPr="006E32E9">
        <w:rPr>
          <w:lang w:val="en-GB"/>
        </w:rPr>
        <w:t xml:space="preserve">To characterise how </w:t>
      </w:r>
      <w:r w:rsidR="00B011EF">
        <w:rPr>
          <w:lang w:val="en-GB"/>
        </w:rPr>
        <w:t xml:space="preserve">community </w:t>
      </w:r>
      <w:r w:rsidRPr="006E32E9">
        <w:rPr>
          <w:lang w:val="en-GB"/>
        </w:rPr>
        <w:t xml:space="preserve">typologies affect the associations between livelihood capitals, crop failures and precarious livelihood activities, we fitted separate models for each one of the </w:t>
      </w:r>
      <w:r w:rsidR="00796B91" w:rsidRPr="006E32E9">
        <w:rPr>
          <w:lang w:val="en-GB"/>
        </w:rPr>
        <w:t xml:space="preserve">village </w:t>
      </w:r>
      <w:r w:rsidRPr="006E32E9">
        <w:rPr>
          <w:lang w:val="en-GB"/>
        </w:rPr>
        <w:t xml:space="preserve">types identified through model-based clustering. </w:t>
      </w:r>
      <w:r w:rsidR="007E4D74" w:rsidRPr="006E32E9">
        <w:rPr>
          <w:lang w:val="en-GB"/>
        </w:rPr>
        <w:t xml:space="preserve">Access to livelihood capitals is mediated by overarching systems of power, the demographic pressure and the local political context, which have been shown to be one of the main causal determinants of poverty in India </w:t>
      </w:r>
      <w:r w:rsidR="00C871F3" w:rsidRPr="006E32E9">
        <w:rPr>
          <w:lang w:val="en-GB"/>
        </w:rPr>
        <w:fldChar w:fldCharType="begin" w:fldLock="1"/>
      </w:r>
      <w:r w:rsidR="00DA02DE">
        <w:rPr>
          <w:lang w:val="en-GB"/>
        </w:rPr>
        <w:instrText>ADDIN CSL_CITATION {"citationItems":[{"id":"ITEM-1","itemData":{"author":[{"dropping-particle":"","family":"Lerche","given":"Jens","non-dropping-particle":"","parse-names":false,"suffix":""}],"container-title":"The Comparative Political Economy of Development","id":"ITEM-1","issued":{"date-parts":[["2009"]]},"page":"90-111","publisher":"Routledge","title":"From ‘rural labour’to ‘classes of labour’: class fragmentation, caste and class struggle at the bottom of the Indian labour hierarchy","type":"chapter"},"uris":["http://www.mendeley.com/documents/?uuid=4fffeca8-e003-4880-b2cf-0a9b8bc67bc9"]}],"mendeley":{"formattedCitation":"(Lerche, 2009)","plainTextFormattedCitation":"(Lerche, 2009)","previouslyFormattedCitation":"(Lerche, 2009)"},"properties":{"noteIndex":0},"schema":"https://github.com/citation-style-language/schema/raw/master/csl-citation.json"}</w:instrText>
      </w:r>
      <w:r w:rsidR="00C871F3" w:rsidRPr="006E32E9">
        <w:rPr>
          <w:lang w:val="en-GB"/>
        </w:rPr>
        <w:fldChar w:fldCharType="separate"/>
      </w:r>
      <w:r w:rsidR="00C871F3" w:rsidRPr="006E32E9">
        <w:rPr>
          <w:noProof/>
          <w:lang w:val="en-GB"/>
        </w:rPr>
        <w:t>(Lerche, 2009)</w:t>
      </w:r>
      <w:r w:rsidR="00C871F3" w:rsidRPr="006E32E9">
        <w:rPr>
          <w:lang w:val="en-GB"/>
        </w:rPr>
        <w:fldChar w:fldCharType="end"/>
      </w:r>
      <w:r w:rsidR="007E4D74" w:rsidRPr="006E32E9">
        <w:rPr>
          <w:lang w:val="en-GB"/>
        </w:rPr>
        <w:t>.</w:t>
      </w:r>
      <w:r w:rsidR="00C871F3" w:rsidRPr="006E32E9">
        <w:rPr>
          <w:lang w:val="en-GB"/>
        </w:rPr>
        <w:t xml:space="preserve"> </w:t>
      </w:r>
      <w:r w:rsidR="007E4D74" w:rsidRPr="006E32E9">
        <w:rPr>
          <w:lang w:val="en-GB"/>
        </w:rPr>
        <w:t xml:space="preserve">To avoid inferring any definite causal relationship, we controlled for these mediating factors by using the respective proxy variables: proportion of scheduled castes and tribes, population density and District. </w:t>
      </w:r>
      <w:r w:rsidRPr="006E32E9">
        <w:rPr>
          <w:lang w:val="en-GB"/>
        </w:rPr>
        <w:t xml:space="preserve">For each community type, a two-level random intercept model was fitted using the R package </w:t>
      </w:r>
      <w:r w:rsidR="00062756" w:rsidRPr="006E32E9">
        <w:rPr>
          <w:lang w:val="en-GB"/>
        </w:rPr>
        <w:t>“</w:t>
      </w:r>
      <w:r w:rsidRPr="006E32E9">
        <w:rPr>
          <w:lang w:val="en-GB"/>
        </w:rPr>
        <w:t>R2MLwiN</w:t>
      </w:r>
      <w:r w:rsidR="00062756" w:rsidRPr="006E32E9">
        <w:rPr>
          <w:lang w:val="en-GB"/>
        </w:rPr>
        <w:t xml:space="preserve">” </w:t>
      </w:r>
      <w:r w:rsidR="00062756" w:rsidRPr="006E32E9">
        <w:rPr>
          <w:lang w:val="en-GB"/>
        </w:rPr>
        <w:fldChar w:fldCharType="begin" w:fldLock="1"/>
      </w:r>
      <w:r w:rsidR="00BC7A96" w:rsidRPr="006E32E9">
        <w:rPr>
          <w:lang w:val="en-GB"/>
        </w:rPr>
        <w:instrText>ADDIN CSL_CITATION {"citationItems":[{"id":"ITEM-1","itemData":{"author":[{"dropping-particle":"","family":"Charlton","given":"C.","non-dropping-particle":"","parse-names":false,"suffix":""},{"dropping-particle":"","family":"Rasbash","given":"J.","non-dropping-particle":"","parse-names":false,"suffix":""},{"dropping-particle":"","family":"Browne","given":"W.J.","non-dropping-particle":"","parse-names":false,"suffix":""},{"dropping-particle":"","family":"Healy","given":"M.","non-dropping-particle":"","parse-names":false,"suffix":""},{"dropping-particle":"","family":"Cameron","given":"B.","non-dropping-particle":"","parse-names":false,"suffix":""}],"id":"ITEM-1","issued":{"date-parts":[["2017"]]},"number":"3.00","publisher":"Centre for Multilevel Modelling, University of Bristol","title":"MLwiN","type":"article"},"uris":["http://www.mendeley.com/documents/?uuid=c375b4c4-a1a9-45de-95cd-4d8dda58970d"]}],"mendeley":{"formattedCitation":"(Charlton, Rasbash, Browne, Healy, &amp; Cameron, 2017)","plainTextFormattedCitation":"(Charlton, Rasbash, Browne, Healy, &amp; Cameron, 2017)","previouslyFormattedCitation":"(Charlton, Rasbash, Browne, Healy, &amp; Cameron, 2017)"},"properties":{"noteIndex":0},"schema":"https://github.com/citation-style-language/schema/raw/master/csl-citation.json"}</w:instrText>
      </w:r>
      <w:r w:rsidR="00062756" w:rsidRPr="006E32E9">
        <w:rPr>
          <w:lang w:val="en-GB"/>
        </w:rPr>
        <w:fldChar w:fldCharType="separate"/>
      </w:r>
      <w:r w:rsidR="002B1556" w:rsidRPr="006E32E9">
        <w:rPr>
          <w:noProof/>
          <w:lang w:val="en-GB"/>
        </w:rPr>
        <w:t>(Charlton, Rasbash, Browne, Healy, &amp; Cameron, 2017)</w:t>
      </w:r>
      <w:r w:rsidR="00062756" w:rsidRPr="006E32E9">
        <w:rPr>
          <w:lang w:val="en-GB"/>
        </w:rPr>
        <w:fldChar w:fldCharType="end"/>
      </w:r>
      <w:r w:rsidRPr="006E32E9">
        <w:rPr>
          <w:lang w:val="en-GB"/>
        </w:rPr>
        <w:t>:</w:t>
      </w:r>
    </w:p>
    <w:p w14:paraId="4052D7DD" w14:textId="111BCE0B" w:rsidR="008711F3" w:rsidRPr="006E32E9" w:rsidRDefault="005C0B5A" w:rsidP="00A721C8">
      <w:pPr>
        <w:rPr>
          <w:i/>
          <w:lang w:val="en-GB"/>
        </w:rPr>
      </w:pPr>
      <m:oMath>
        <m:sSub>
          <m:sSubPr>
            <m:ctrlPr>
              <w:rPr>
                <w:rFonts w:ascii="Cambria Math" w:hAnsi="Cambria Math"/>
                <w:i/>
                <w:lang w:val="en-GB"/>
              </w:rPr>
            </m:ctrlPr>
          </m:sSubPr>
          <m:e>
            <m:r>
              <m:rPr>
                <m:nor/>
              </m:rPr>
              <w:rPr>
                <w:rFonts w:ascii="Cambria Math" w:hAnsi="Cambria Math"/>
                <w:lang w:val="en-GB"/>
              </w:rPr>
              <m:t>logit</m:t>
            </m:r>
          </m:e>
          <m:sub>
            <m:r>
              <m:rPr>
                <m:nor/>
              </m:rPr>
              <w:rPr>
                <w:rFonts w:ascii="Cambria Math" w:hAnsi="Cambria Math"/>
                <w:lang w:val="en-GB"/>
              </w:rPr>
              <m:t>Cluster</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π</m:t>
                </m:r>
              </m:e>
              <m:sub>
                <m:r>
                  <w:rPr>
                    <w:rFonts w:ascii="Cambria Math" w:hAnsi="Cambria Math"/>
                    <w:lang w:val="en-GB"/>
                  </w:rPr>
                  <m:t>ij</m:t>
                </m:r>
              </m:sub>
            </m:sSub>
          </m:e>
        </m:d>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log</m:t>
            </m:r>
          </m:fName>
          <m:e>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π</m:t>
                    </m:r>
                  </m:e>
                  <m:sub>
                    <m:r>
                      <w:rPr>
                        <w:rFonts w:ascii="Cambria Math" w:hAnsi="Cambria Math"/>
                        <w:lang w:val="en-GB"/>
                      </w:rPr>
                      <m:t>ij</m:t>
                    </m:r>
                  </m:sub>
                </m:sSub>
              </m:num>
              <m:den>
                <m:r>
                  <w:rPr>
                    <w:rFonts w:ascii="Cambria Math" w:hAnsi="Cambria Math"/>
                    <w:lang w:val="en-GB"/>
                  </w:rPr>
                  <m:t>1-</m:t>
                </m:r>
                <m:sSub>
                  <m:sSubPr>
                    <m:ctrlPr>
                      <w:rPr>
                        <w:rFonts w:ascii="Cambria Math" w:hAnsi="Cambria Math"/>
                        <w:i/>
                        <w:lang w:val="en-GB"/>
                      </w:rPr>
                    </m:ctrlPr>
                  </m:sSubPr>
                  <m:e>
                    <m:r>
                      <w:rPr>
                        <w:rFonts w:ascii="Cambria Math" w:hAnsi="Cambria Math"/>
                        <w:lang w:val="en-GB"/>
                      </w:rPr>
                      <m:t>π</m:t>
                    </m:r>
                  </m:e>
                  <m:sub>
                    <m:r>
                      <w:rPr>
                        <w:rFonts w:ascii="Cambria Math" w:hAnsi="Cambria Math"/>
                        <w:lang w:val="en-GB"/>
                      </w:rPr>
                      <m:t>ij</m:t>
                    </m:r>
                  </m:sub>
                </m:sSub>
              </m:den>
            </m:f>
            <m:r>
              <w:rPr>
                <w:rFonts w:ascii="Cambria Math" w:hAnsi="Cambria Math"/>
                <w:lang w:val="en-GB"/>
              </w:rPr>
              <m:t>)</m:t>
            </m:r>
          </m:e>
        </m:func>
        <m:r>
          <w:rPr>
            <w:rFonts w:ascii="Cambria Math" w:hAnsi="Cambria Math"/>
            <w:lang w:val="en-GB"/>
          </w:rPr>
          <m:t>=</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0j</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1</m:t>
            </m:r>
          </m:sub>
        </m:sSub>
        <m:sSub>
          <m:sSubPr>
            <m:ctrlPr>
              <w:rPr>
                <w:rFonts w:ascii="Cambria Math" w:hAnsi="Cambria Math"/>
                <w:lang w:val="en-GB"/>
              </w:rPr>
            </m:ctrlPr>
          </m:sSubPr>
          <m:e>
            <m:r>
              <m:rPr>
                <m:nor/>
              </m:rPr>
              <w:rPr>
                <w:rFonts w:ascii="Cambria Math" w:hAnsi="Cambria Math"/>
                <w:lang w:val="en-GB"/>
              </w:rPr>
              <m:t>District</m:t>
            </m:r>
          </m:e>
          <m:sub>
            <m:r>
              <w:rPr>
                <w:rFonts w:ascii="Cambria Math" w:hAnsi="Cambria Math"/>
                <w:lang w:val="en-GB"/>
              </w:rPr>
              <m:t>ij</m:t>
            </m:r>
          </m:sub>
        </m:sSub>
        <m:r>
          <m:rPr>
            <m:nor/>
          </m:rPr>
          <w:rPr>
            <w:rFonts w:ascii="Cambria Math" w:hAnsi="Cambria Math"/>
            <w:lang w:val="en-GB"/>
          </w:rPr>
          <m:t>+</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2</m:t>
            </m:r>
          </m:sub>
        </m:sSub>
        <m:sSub>
          <m:sSubPr>
            <m:ctrlPr>
              <w:rPr>
                <w:rFonts w:ascii="Cambria Math" w:hAnsi="Cambria Math"/>
                <w:lang w:val="en-GB"/>
              </w:rPr>
            </m:ctrlPr>
          </m:sSubPr>
          <m:e>
            <m:r>
              <m:rPr>
                <m:nor/>
              </m:rPr>
              <w:rPr>
                <w:rFonts w:ascii="Cambria Math" w:hAnsi="Cambria Math"/>
                <w:lang w:val="en-GB"/>
              </w:rPr>
              <m:t>PopDensity</m:t>
            </m:r>
          </m:e>
          <m:sub>
            <m:r>
              <w:rPr>
                <w:rFonts w:ascii="Cambria Math" w:hAnsi="Cambria Math"/>
                <w:lang w:val="en-GB"/>
              </w:rPr>
              <m:t>ij</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3</m:t>
            </m:r>
          </m:sub>
        </m:sSub>
        <m:sSub>
          <m:sSubPr>
            <m:ctrlPr>
              <w:rPr>
                <w:rFonts w:ascii="Cambria Math" w:hAnsi="Cambria Math"/>
                <w:lang w:val="en-GB"/>
              </w:rPr>
            </m:ctrlPr>
          </m:sSubPr>
          <m:e>
            <m:r>
              <m:rPr>
                <m:nor/>
              </m:rPr>
              <w:rPr>
                <w:rFonts w:ascii="Cambria Math" w:hAnsi="Cambria Math"/>
                <w:lang w:val="en-GB"/>
              </w:rPr>
              <m:t>SCST</m:t>
            </m:r>
          </m:e>
          <m:sub>
            <m:r>
              <w:rPr>
                <w:rFonts w:ascii="Cambria Math" w:hAnsi="Cambria Math"/>
                <w:lang w:val="en-GB"/>
              </w:rPr>
              <m:t>ij</m:t>
            </m:r>
          </m:sub>
        </m:sSub>
        <m:r>
          <w:rPr>
            <w:rFonts w:ascii="Cambria Math" w:hAnsi="Cambria Math"/>
            <w:lang w:val="en-GB"/>
          </w:rPr>
          <m:t>+</m:t>
        </m:r>
        <m:sSubSup>
          <m:sSubSupPr>
            <m:ctrlPr>
              <w:rPr>
                <w:rFonts w:ascii="Cambria Math" w:hAnsi="Cambria Math"/>
                <w:lang w:val="en-GB"/>
              </w:rPr>
            </m:ctrlPr>
          </m:sSubSupPr>
          <m:e>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4</m:t>
                </m:r>
              </m:sub>
            </m:sSub>
            <m:r>
              <m:rPr>
                <m:nor/>
              </m:rPr>
              <w:rPr>
                <w:rFonts w:ascii="Cambria Math" w:hAnsi="Cambria Math"/>
                <w:lang w:val="en-GB"/>
              </w:rPr>
              <m:t>Breaks</m:t>
            </m:r>
          </m:e>
          <m:sub>
            <m:r>
              <w:rPr>
                <w:rFonts w:ascii="Cambria Math" w:hAnsi="Cambria Math"/>
                <w:lang w:val="en-GB"/>
              </w:rPr>
              <m:t>ij</m:t>
            </m:r>
          </m:sub>
          <m:sup>
            <m:r>
              <m:rPr>
                <m:nor/>
              </m:rPr>
              <w:rPr>
                <w:rFonts w:ascii="Cambria Math" w:hAnsi="Cambria Math"/>
                <w:lang w:val="en-GB"/>
              </w:rPr>
              <m:t>WDRVI</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5</m:t>
            </m:r>
          </m:sub>
        </m:sSub>
        <m:sSub>
          <m:sSubPr>
            <m:ctrlPr>
              <w:rPr>
                <w:rFonts w:ascii="Cambria Math" w:hAnsi="Cambria Math"/>
                <w:lang w:val="en-GB"/>
              </w:rPr>
            </m:ctrlPr>
          </m:sSubPr>
          <m:e>
            <m:r>
              <m:rPr>
                <m:nor/>
              </m:rPr>
              <w:rPr>
                <w:rFonts w:ascii="Cambria Math" w:hAnsi="Cambria Math"/>
                <w:lang w:val="en-GB"/>
              </w:rPr>
              <m:t>Natural</m:t>
            </m:r>
          </m:e>
          <m:sub>
            <m:r>
              <w:rPr>
                <w:rFonts w:ascii="Cambria Math" w:hAnsi="Cambria Math"/>
                <w:lang w:val="en-GB"/>
              </w:rPr>
              <m:t>ij</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6</m:t>
            </m:r>
          </m:sub>
        </m:sSub>
        <m:sSub>
          <m:sSubPr>
            <m:ctrlPr>
              <w:rPr>
                <w:rFonts w:ascii="Cambria Math" w:hAnsi="Cambria Math"/>
                <w:lang w:val="en-GB"/>
              </w:rPr>
            </m:ctrlPr>
          </m:sSubPr>
          <m:e>
            <m:r>
              <m:rPr>
                <m:nor/>
              </m:rPr>
              <w:rPr>
                <w:rFonts w:ascii="Cambria Math" w:hAnsi="Cambria Math"/>
                <w:lang w:val="en-GB"/>
              </w:rPr>
              <m:t>Physical</m:t>
            </m:r>
          </m:e>
          <m:sub>
            <m:r>
              <w:rPr>
                <w:rFonts w:ascii="Cambria Math" w:hAnsi="Cambria Math"/>
                <w:lang w:val="en-GB"/>
              </w:rPr>
              <m:t>ij</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7</m:t>
            </m:r>
          </m:sub>
        </m:sSub>
        <m:sSub>
          <m:sSubPr>
            <m:ctrlPr>
              <w:rPr>
                <w:rFonts w:ascii="Cambria Math" w:hAnsi="Cambria Math"/>
                <w:lang w:val="en-GB"/>
              </w:rPr>
            </m:ctrlPr>
          </m:sSubPr>
          <m:e>
            <m:r>
              <m:rPr>
                <m:nor/>
              </m:rPr>
              <w:rPr>
                <w:rFonts w:ascii="Cambria Math" w:hAnsi="Cambria Math"/>
                <w:lang w:val="en-GB"/>
              </w:rPr>
              <m:t>Human</m:t>
            </m:r>
          </m:e>
          <m:sub>
            <m:r>
              <w:rPr>
                <w:rFonts w:ascii="Cambria Math" w:hAnsi="Cambria Math"/>
                <w:lang w:val="en-GB"/>
              </w:rPr>
              <m:t>ij</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8</m:t>
            </m:r>
          </m:sub>
        </m:sSub>
        <m:sSub>
          <m:sSubPr>
            <m:ctrlPr>
              <w:rPr>
                <w:rFonts w:ascii="Cambria Math" w:hAnsi="Cambria Math"/>
                <w:lang w:val="en-GB"/>
              </w:rPr>
            </m:ctrlPr>
          </m:sSubPr>
          <m:e>
            <m:r>
              <m:rPr>
                <m:nor/>
              </m:rPr>
              <w:rPr>
                <w:rFonts w:ascii="Cambria Math" w:hAnsi="Cambria Math"/>
                <w:lang w:val="en-GB"/>
              </w:rPr>
              <m:t>Financial</m:t>
            </m:r>
          </m:e>
          <m:sub>
            <m:r>
              <w:rPr>
                <w:rFonts w:ascii="Cambria Math" w:hAnsi="Cambria Math"/>
                <w:lang w:val="en-GB"/>
              </w:rPr>
              <m:t>ij</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9</m:t>
            </m:r>
          </m:sub>
        </m:sSub>
        <m:sSub>
          <m:sSubPr>
            <m:ctrlPr>
              <w:rPr>
                <w:rFonts w:ascii="Cambria Math" w:hAnsi="Cambria Math"/>
                <w:lang w:val="en-GB"/>
              </w:rPr>
            </m:ctrlPr>
          </m:sSubPr>
          <m:e>
            <m:r>
              <m:rPr>
                <m:nor/>
              </m:rPr>
              <w:rPr>
                <w:rFonts w:ascii="Cambria Math" w:hAnsi="Cambria Math"/>
                <w:lang w:val="en-GB"/>
              </w:rPr>
              <m:t>Social</m:t>
            </m:r>
          </m:e>
          <m:sub>
            <m:r>
              <w:rPr>
                <w:rFonts w:ascii="Cambria Math" w:hAnsi="Cambria Math"/>
                <w:lang w:val="en-GB"/>
              </w:rPr>
              <m:t>ij</m:t>
            </m:r>
          </m:sub>
        </m:sSub>
      </m:oMath>
      <w:r w:rsidR="008711F3" w:rsidRPr="006E32E9">
        <w:rPr>
          <w:lang w:val="en-GB"/>
        </w:rPr>
        <w:t>,</w:t>
      </w:r>
    </w:p>
    <w:p w14:paraId="1FD69784" w14:textId="60288677" w:rsidR="008711F3" w:rsidRPr="006E32E9" w:rsidRDefault="00135D5F" w:rsidP="00A721C8">
      <w:pPr>
        <w:ind w:firstLine="0"/>
        <w:rPr>
          <w:lang w:val="en-GB"/>
        </w:rPr>
      </w:pPr>
      <w:r w:rsidRPr="006E32E9">
        <w:rPr>
          <w:lang w:val="en-GB"/>
        </w:rPr>
        <w:t>where π</w:t>
      </w:r>
      <w:proofErr w:type="spellStart"/>
      <w:r w:rsidRPr="006E32E9">
        <w:rPr>
          <w:vertAlign w:val="subscript"/>
          <w:lang w:val="en-GB"/>
        </w:rPr>
        <w:t>ij</w:t>
      </w:r>
      <w:proofErr w:type="spellEnd"/>
      <w:r w:rsidR="008711F3" w:rsidRPr="006E32E9">
        <w:rPr>
          <w:lang w:val="en-GB"/>
        </w:rPr>
        <w:t xml:space="preserve"> refers to: the probability of being engaged in precarious livelihoods (unemployment and agricult</w:t>
      </w:r>
      <w:r w:rsidRPr="006E32E9">
        <w:rPr>
          <w:lang w:val="en-GB"/>
        </w:rPr>
        <w:t xml:space="preserve">ural labour) for the </w:t>
      </w:r>
      <w:r w:rsidR="00796B91" w:rsidRPr="006E32E9">
        <w:rPr>
          <w:lang w:val="en-GB"/>
        </w:rPr>
        <w:t xml:space="preserve">village </w:t>
      </w:r>
      <w:r w:rsidR="008711F3" w:rsidRPr="006E32E9">
        <w:rPr>
          <w:i/>
          <w:lang w:val="en-GB"/>
        </w:rPr>
        <w:t>i</w:t>
      </w:r>
      <w:r w:rsidR="008711F3" w:rsidRPr="006E32E9">
        <w:rPr>
          <w:lang w:val="en-GB"/>
        </w:rPr>
        <w:t xml:space="preserve"> in the </w:t>
      </w:r>
      <w:r w:rsidRPr="006E32E9">
        <w:rPr>
          <w:lang w:val="en-GB"/>
        </w:rPr>
        <w:t xml:space="preserve">Tehsil </w:t>
      </w:r>
      <w:r w:rsidRPr="006E32E9">
        <w:rPr>
          <w:i/>
          <w:lang w:val="en-GB"/>
        </w:rPr>
        <w:t>j</w:t>
      </w:r>
      <w:r w:rsidRPr="006E32E9">
        <w:rPr>
          <w:lang w:val="en-GB"/>
        </w:rPr>
        <w:t xml:space="preserve">. </w:t>
      </w:r>
      <w:r w:rsidR="008711F3" w:rsidRPr="006E32E9">
        <w:rPr>
          <w:lang w:val="en-GB"/>
        </w:rPr>
        <w:t>Each level 1 unit (</w:t>
      </w:r>
      <w:r w:rsidR="00796B91" w:rsidRPr="006E32E9">
        <w:rPr>
          <w:lang w:val="en-GB"/>
        </w:rPr>
        <w:t>village</w:t>
      </w:r>
      <w:r w:rsidR="008711F3" w:rsidRPr="006E32E9">
        <w:rPr>
          <w:lang w:val="en-GB"/>
        </w:rPr>
        <w:t xml:space="preserve">) had an associated denominator </w:t>
      </w:r>
      <w:proofErr w:type="spellStart"/>
      <w:r w:rsidRPr="006E32E9">
        <w:rPr>
          <w:lang w:val="en-GB"/>
        </w:rPr>
        <w:t>n</w:t>
      </w:r>
      <w:r w:rsidRPr="006E32E9">
        <w:rPr>
          <w:vertAlign w:val="subscript"/>
          <w:lang w:val="en-GB"/>
        </w:rPr>
        <w:t>i</w:t>
      </w:r>
      <w:proofErr w:type="spellEnd"/>
      <w:r w:rsidR="008711F3" w:rsidRPr="006E32E9">
        <w:rPr>
          <w:lang w:val="en-GB"/>
        </w:rPr>
        <w:t>, which was the total number of people of working age</w:t>
      </w:r>
      <w:r w:rsidR="000D2C85" w:rsidRPr="006E32E9">
        <w:rPr>
          <w:lang w:val="en-GB"/>
        </w:rPr>
        <w:t xml:space="preserve"> (</w:t>
      </w:r>
      <w:r w:rsidR="008711F3" w:rsidRPr="006E32E9">
        <w:rPr>
          <w:lang w:val="en-GB"/>
        </w:rPr>
        <w:t>every person aged 15-59</w:t>
      </w:r>
      <w:r w:rsidR="000D2C85" w:rsidRPr="006E32E9">
        <w:rPr>
          <w:lang w:val="en-GB"/>
        </w:rPr>
        <w:t>.</w:t>
      </w:r>
      <w:r w:rsidR="008711F3" w:rsidRPr="006E32E9">
        <w:rPr>
          <w:lang w:val="en-GB"/>
        </w:rPr>
        <w:t xml:space="preserve"> Two sets of explanatory variables were considered: livelihood capitals and the number of breaks in the WDRVI time-series, as a proxy of the number of crop failures. As the response variable is binomial, we used a linearisation method in the model to transform the discrete response model (binomial) to a continuous response model </w:t>
      </w:r>
      <w:r w:rsidRPr="006E32E9">
        <w:rPr>
          <w:lang w:val="en-GB"/>
        </w:rPr>
        <w:fldChar w:fldCharType="begin" w:fldLock="1"/>
      </w:r>
      <w:r w:rsidR="00356E72" w:rsidRPr="006E32E9">
        <w:rPr>
          <w:lang w:val="en-GB"/>
        </w:rPr>
        <w:instrText>ADDIN CSL_CITATION {"citationItems":[{"id":"ITEM-1","itemData":{"DOI":"10.1902/jop.1992.63.8.690","ISBN":"0340595299","ISSN":"0022-3492","PMID":"1507050","abstract":"Periodontal data typically have a hierarchical structure, with sites grouped within individuals, and individuals grouped within communities. Also, the occasion may be regarded as another level since the acquired knowledge indicates that periodontal disease activity may vary over time. Conventional statistical tests are based on unilevel analysis of data. However, this approach to statistical analysis is often inconvenient in periodontal research because of the variation in the outcome variables between the various levels in the hierarchy. Lately there have been important developments in the statistical theory which have made available powerful statistical techniques for analyzing multilevel or hierarchical data. This report describes a new approach for analyzing periodontal data and uses an illustrative example to build a model which explains part of the variability in the response variable. The results from this analysis are then compared to results from an earlier report which uses unilevel methods and the findings discussed. The present multilevel approach has several advantages over unilevel methods, mainly due to its statistical validity and efficiency. Further, it permits the incorporation of explanatory variables measured at the site and the subject levels, and those which vary across the time points. Multilevel analyses have a promising potential and are expected to have a significant impact on periodontal research.","author":[{"dropping-particle":"","family":"Goldstein","given":"H","non-dropping-particle":"","parse-names":false,"suffix":""}],"edition":"3rd editio","id":"ITEM-1","issued":{"date-parts":[["2003"]]},"publisher":"Arnold","publisher-place":"London","title":"Multi-level statistical models","type":"book"},"uris":["http://www.mendeley.com/documents/?uuid=e0b0433c-5d4d-44f2-9961-d5a029e11c11"]}],"mendeley":{"formattedCitation":"(Goldstein, 2003)","plainTextFormattedCitation":"(Goldstein, 2003)","previouslyFormattedCitation":"(Goldstein, 2003)"},"properties":{"noteIndex":0},"schema":"https://github.com/citation-style-language/schema/raw/master/csl-citation.json"}</w:instrText>
      </w:r>
      <w:r w:rsidRPr="006E32E9">
        <w:rPr>
          <w:lang w:val="en-GB"/>
        </w:rPr>
        <w:fldChar w:fldCharType="separate"/>
      </w:r>
      <w:r w:rsidR="002A030E" w:rsidRPr="006E32E9">
        <w:rPr>
          <w:noProof/>
          <w:lang w:val="en-GB"/>
        </w:rPr>
        <w:t>(Goldstein, 2003)</w:t>
      </w:r>
      <w:r w:rsidRPr="006E32E9">
        <w:rPr>
          <w:lang w:val="en-GB"/>
        </w:rPr>
        <w:fldChar w:fldCharType="end"/>
      </w:r>
      <w:r w:rsidR="008711F3" w:rsidRPr="006E32E9">
        <w:rPr>
          <w:lang w:val="en-GB"/>
        </w:rPr>
        <w:t>, with a Maximum Likelihood modelling approximation method to estimate the unknown parameters of interest in the model.</w:t>
      </w:r>
    </w:p>
    <w:p w14:paraId="32E8588E" w14:textId="77777777" w:rsidR="00396C38" w:rsidRPr="006E32E9" w:rsidRDefault="00396C38" w:rsidP="00396C38">
      <w:pPr>
        <w:pStyle w:val="Heading1"/>
        <w:rPr>
          <w:rFonts w:ascii="Times New Roman" w:hAnsi="Times New Roman" w:cs="Times New Roman"/>
          <w:lang w:val="en-GB"/>
        </w:rPr>
      </w:pPr>
      <w:r w:rsidRPr="006E32E9">
        <w:rPr>
          <w:rFonts w:ascii="Times New Roman" w:hAnsi="Times New Roman" w:cs="Times New Roman"/>
          <w:lang w:val="en-GB"/>
        </w:rPr>
        <w:lastRenderedPageBreak/>
        <w:t>Results</w:t>
      </w:r>
    </w:p>
    <w:p w14:paraId="37931D4C" w14:textId="502C8F0A" w:rsidR="00E528E6" w:rsidRPr="006E32E9" w:rsidRDefault="00B956A9" w:rsidP="00B956A9">
      <w:pPr>
        <w:pStyle w:val="Heading2"/>
      </w:pPr>
      <w:r w:rsidRPr="006E32E9">
        <w:t>Typology of rural communities</w:t>
      </w:r>
    </w:p>
    <w:p w14:paraId="58785670" w14:textId="0ACC5CCB" w:rsidR="00B956A9" w:rsidRPr="006E32E9" w:rsidRDefault="00B956A9" w:rsidP="00B956A9">
      <w:pPr>
        <w:rPr>
          <w:lang w:val="en-GB"/>
        </w:rPr>
      </w:pPr>
      <w:r w:rsidRPr="006E32E9">
        <w:rPr>
          <w:lang w:val="en-GB"/>
        </w:rPr>
        <w:t xml:space="preserve">The clustering of 18 variables in three domains (natural resources, social services and productive infrastructures) resulted in five distinct clusters being identified. These formed the basis for five community typologies that could be used to investigate how the </w:t>
      </w:r>
      <w:r w:rsidR="008D53CE" w:rsidRPr="006E32E9">
        <w:rPr>
          <w:lang w:val="en-GB"/>
        </w:rPr>
        <w:t xml:space="preserve">place-based </w:t>
      </w:r>
      <w:r w:rsidRPr="006E32E9">
        <w:rPr>
          <w:lang w:val="en-GB"/>
        </w:rPr>
        <w:t xml:space="preserve">relationships between </w:t>
      </w:r>
      <w:r w:rsidR="008B18D5" w:rsidRPr="006E32E9">
        <w:rPr>
          <w:lang w:val="en-GB"/>
        </w:rPr>
        <w:t xml:space="preserve">livelihood precariousness, agricultural </w:t>
      </w:r>
      <w:r w:rsidRPr="006E32E9">
        <w:rPr>
          <w:lang w:val="en-GB"/>
        </w:rPr>
        <w:t>shocks</w:t>
      </w:r>
      <w:r w:rsidR="008B18D5" w:rsidRPr="006E32E9">
        <w:rPr>
          <w:lang w:val="en-GB"/>
        </w:rPr>
        <w:t xml:space="preserve"> and </w:t>
      </w:r>
      <w:r w:rsidRPr="006E32E9">
        <w:rPr>
          <w:lang w:val="en-GB"/>
        </w:rPr>
        <w:t xml:space="preserve">household capitals. The five </w:t>
      </w:r>
      <w:r w:rsidR="008B18D5" w:rsidRPr="006E32E9">
        <w:rPr>
          <w:lang w:val="en-GB"/>
        </w:rPr>
        <w:t xml:space="preserve">community types </w:t>
      </w:r>
      <w:r w:rsidRPr="006E32E9">
        <w:rPr>
          <w:lang w:val="en-GB"/>
        </w:rPr>
        <w:t>were spatially clustered in the landscape (</w:t>
      </w:r>
      <w:r w:rsidR="00A721C8" w:rsidRPr="006E32E9">
        <w:rPr>
          <w:lang w:val="en-GB"/>
        </w:rPr>
        <w:fldChar w:fldCharType="begin"/>
      </w:r>
      <w:r w:rsidR="00A721C8" w:rsidRPr="006E32E9">
        <w:rPr>
          <w:lang w:val="en-GB"/>
        </w:rPr>
        <w:instrText xml:space="preserve"> REF _Ref516217275 \h </w:instrText>
      </w:r>
      <w:r w:rsidR="00A721C8" w:rsidRPr="006E32E9">
        <w:rPr>
          <w:lang w:val="en-GB"/>
        </w:rPr>
      </w:r>
      <w:r w:rsidR="00A721C8" w:rsidRPr="006E32E9">
        <w:rPr>
          <w:lang w:val="en-GB"/>
        </w:rPr>
        <w:fldChar w:fldCharType="separate"/>
      </w:r>
      <w:r w:rsidR="00A721C8" w:rsidRPr="006E32E9">
        <w:rPr>
          <w:lang w:val="en-GB"/>
        </w:rPr>
        <w:t xml:space="preserve">Figure </w:t>
      </w:r>
      <w:r w:rsidR="00A721C8" w:rsidRPr="006E32E9">
        <w:rPr>
          <w:noProof/>
          <w:lang w:val="en-GB"/>
        </w:rPr>
        <w:t>4</w:t>
      </w:r>
      <w:r w:rsidR="00A721C8" w:rsidRPr="006E32E9">
        <w:rPr>
          <w:lang w:val="en-GB"/>
        </w:rPr>
        <w:fldChar w:fldCharType="end"/>
      </w:r>
      <w:r w:rsidRPr="006E32E9">
        <w:rPr>
          <w:lang w:val="en-GB"/>
        </w:rPr>
        <w:t>)</w:t>
      </w:r>
      <w:r w:rsidR="008B18D5" w:rsidRPr="006E32E9">
        <w:rPr>
          <w:lang w:val="en-GB"/>
        </w:rPr>
        <w:t xml:space="preserve"> and e</w:t>
      </w:r>
      <w:r w:rsidRPr="006E32E9">
        <w:rPr>
          <w:lang w:val="en-GB"/>
        </w:rPr>
        <w:t>ach was named based on the type of services available to the community and on the dominant land cover class.</w:t>
      </w:r>
    </w:p>
    <w:p w14:paraId="21F3C5EB" w14:textId="77777777" w:rsidR="00B956A9" w:rsidRPr="006E32E9" w:rsidRDefault="00B956A9" w:rsidP="00B956A9">
      <w:pPr>
        <w:pStyle w:val="TableFigure"/>
        <w:keepNext/>
      </w:pPr>
      <w:r w:rsidRPr="006E32E9">
        <w:rPr>
          <w:noProof/>
          <w:lang w:eastAsia="en-GB"/>
        </w:rPr>
        <w:lastRenderedPageBreak/>
        <w:drawing>
          <wp:inline distT="0" distB="0" distL="0" distR="0" wp14:anchorId="50632C7C" wp14:editId="095657BA">
            <wp:extent cx="5098942" cy="69237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4_flowerpower.png"/>
                    <pic:cNvPicPr/>
                  </pic:nvPicPr>
                  <pic:blipFill>
                    <a:blip r:embed="rId21"/>
                    <a:stretch>
                      <a:fillRect/>
                    </a:stretch>
                  </pic:blipFill>
                  <pic:spPr>
                    <a:xfrm>
                      <a:off x="0" y="0"/>
                      <a:ext cx="5098942" cy="6923734"/>
                    </a:xfrm>
                    <a:prstGeom prst="rect">
                      <a:avLst/>
                    </a:prstGeom>
                  </pic:spPr>
                </pic:pic>
              </a:graphicData>
            </a:graphic>
          </wp:inline>
        </w:drawing>
      </w:r>
    </w:p>
    <w:p w14:paraId="703DB622" w14:textId="01F4F56C" w:rsidR="00B956A9" w:rsidRPr="006E32E9" w:rsidRDefault="00B956A9" w:rsidP="00B956A9">
      <w:pPr>
        <w:pStyle w:val="Caption"/>
        <w:rPr>
          <w:b w:val="0"/>
          <w:lang w:val="en-GB"/>
        </w:rPr>
      </w:pPr>
      <w:bookmarkStart w:id="7" w:name="_Ref516217275"/>
      <w:r w:rsidRPr="006E32E9">
        <w:rPr>
          <w:lang w:val="en-GB"/>
        </w:rPr>
        <w:t xml:space="preserve">Figure </w:t>
      </w:r>
      <w:r w:rsidRPr="006E32E9">
        <w:rPr>
          <w:lang w:val="en-GB"/>
        </w:rPr>
        <w:fldChar w:fldCharType="begin"/>
      </w:r>
      <w:r w:rsidRPr="006E32E9">
        <w:rPr>
          <w:lang w:val="en-GB"/>
        </w:rPr>
        <w:instrText xml:space="preserve"> SEQ Figure \* ARABIC </w:instrText>
      </w:r>
      <w:r w:rsidRPr="006E32E9">
        <w:rPr>
          <w:lang w:val="en-GB"/>
        </w:rPr>
        <w:fldChar w:fldCharType="separate"/>
      </w:r>
      <w:r w:rsidR="00B7132F" w:rsidRPr="006E32E9">
        <w:rPr>
          <w:noProof/>
          <w:lang w:val="en-GB"/>
        </w:rPr>
        <w:t>4</w:t>
      </w:r>
      <w:r w:rsidRPr="006E32E9">
        <w:rPr>
          <w:lang w:val="en-GB"/>
        </w:rPr>
        <w:fldChar w:fldCharType="end"/>
      </w:r>
      <w:bookmarkEnd w:id="7"/>
      <w:r w:rsidRPr="006E32E9">
        <w:rPr>
          <w:lang w:val="en-GB"/>
        </w:rPr>
        <w:t>: Community typologies as identified by model-based clustering</w:t>
      </w:r>
      <w:r w:rsidRPr="006E32E9">
        <w:rPr>
          <w:b w:val="0"/>
          <w:lang w:val="en-GB"/>
        </w:rPr>
        <w:t>. Types of communities were identified based on their access to natural resources, social services and productive infrastructures. Five clusters were identified: communities with great access to productive infrastructures and social services (exurbs), production communities with low agricultural infrastructures (rainfed agricultural) and with irrigation infrastructures (irrigated agricultural), production communities with industries (agro</w:t>
      </w:r>
      <w:r w:rsidR="00C40048" w:rsidRPr="006E32E9">
        <w:rPr>
          <w:b w:val="0"/>
          <w:lang w:val="en-GB"/>
        </w:rPr>
        <w:t>-</w:t>
      </w:r>
      <w:r w:rsidRPr="006E32E9">
        <w:rPr>
          <w:b w:val="0"/>
          <w:lang w:val="en-GB"/>
        </w:rPr>
        <w:t>industrial) and remote communities with high natural resources (resource periphery).</w:t>
      </w:r>
    </w:p>
    <w:p w14:paraId="79C94CFC" w14:textId="5E16F323" w:rsidR="00B956A9" w:rsidRPr="006E32E9" w:rsidRDefault="00B956A9" w:rsidP="00B956A9">
      <w:pPr>
        <w:pStyle w:val="Heading3"/>
      </w:pPr>
      <w:r w:rsidRPr="006E32E9">
        <w:lastRenderedPageBreak/>
        <w:t>Exurban communities</w:t>
      </w:r>
    </w:p>
    <w:p w14:paraId="3C7CBBF9" w14:textId="4D682A57" w:rsidR="00B956A9" w:rsidRPr="006E32E9" w:rsidRDefault="00B956A9" w:rsidP="00B956A9">
      <w:pPr>
        <w:rPr>
          <w:lang w:val="en-GB"/>
        </w:rPr>
      </w:pPr>
      <w:r w:rsidRPr="006E32E9">
        <w:rPr>
          <w:lang w:val="en-GB"/>
        </w:rPr>
        <w:t xml:space="preserve">This cluster reveals a clear geographic profile, with a total of 2,245 communities (total population of 1,928,232) located in the near vicinity of main roads. It reveals characteristics that are ascribed to communities well connected to urban and peri-urban areas, </w:t>
      </w:r>
      <w:r w:rsidR="002C5E72" w:rsidRPr="006E32E9">
        <w:rPr>
          <w:lang w:val="en-GB"/>
        </w:rPr>
        <w:t xml:space="preserve">defined as </w:t>
      </w:r>
      <w:r w:rsidRPr="006E32E9">
        <w:rPr>
          <w:lang w:val="en-GB"/>
        </w:rPr>
        <w:t xml:space="preserve">exurbs. This cluster is characterised by a high availability of public transport and </w:t>
      </w:r>
      <w:r w:rsidR="00C35777" w:rsidRPr="006E32E9">
        <w:rPr>
          <w:lang w:val="en-GB"/>
        </w:rPr>
        <w:t>close</w:t>
      </w:r>
      <w:r w:rsidRPr="006E32E9">
        <w:rPr>
          <w:lang w:val="en-GB"/>
        </w:rPr>
        <w:t xml:space="preserve"> proximit</w:t>
      </w:r>
      <w:r w:rsidR="008B7E73" w:rsidRPr="006E32E9">
        <w:rPr>
          <w:lang w:val="en-GB"/>
        </w:rPr>
        <w:t>y to markets (</w:t>
      </w:r>
      <w:r w:rsidR="00C35777" w:rsidRPr="006E32E9">
        <w:rPr>
          <w:lang w:val="en-GB"/>
        </w:rPr>
        <w:t>19 minutes average</w:t>
      </w:r>
      <w:r w:rsidR="00BB282B" w:rsidRPr="006E32E9">
        <w:rPr>
          <w:lang w:val="en-GB"/>
        </w:rPr>
        <w:t xml:space="preserve"> </w:t>
      </w:r>
      <w:r w:rsidR="008B7E73" w:rsidRPr="006E32E9">
        <w:rPr>
          <w:lang w:val="en-GB"/>
        </w:rPr>
        <w:t>travel time</w:t>
      </w:r>
      <w:r w:rsidRPr="006E32E9">
        <w:rPr>
          <w:lang w:val="en-GB"/>
        </w:rPr>
        <w:t xml:space="preserve">) and </w:t>
      </w:r>
      <w:r w:rsidR="008B7E73" w:rsidRPr="006E32E9">
        <w:rPr>
          <w:lang w:val="en-GB"/>
        </w:rPr>
        <w:t>industries (</w:t>
      </w:r>
      <w:r w:rsidR="00C35777" w:rsidRPr="006E32E9">
        <w:rPr>
          <w:lang w:val="en-GB"/>
        </w:rPr>
        <w:t xml:space="preserve">1h 29 minutes average </w:t>
      </w:r>
      <w:r w:rsidR="008B7E73" w:rsidRPr="006E32E9">
        <w:rPr>
          <w:lang w:val="en-GB"/>
        </w:rPr>
        <w:t>travel time</w:t>
      </w:r>
      <w:r w:rsidRPr="006E32E9">
        <w:rPr>
          <w:lang w:val="en-GB"/>
        </w:rPr>
        <w:t>). Communities also ha</w:t>
      </w:r>
      <w:r w:rsidR="002C5A57" w:rsidRPr="006E32E9">
        <w:rPr>
          <w:lang w:val="en-GB"/>
        </w:rPr>
        <w:t>ve</w:t>
      </w:r>
      <w:r w:rsidRPr="006E32E9">
        <w:rPr>
          <w:lang w:val="en-GB"/>
        </w:rPr>
        <w:t xml:space="preserve"> high </w:t>
      </w:r>
      <w:r w:rsidR="00C35777" w:rsidRPr="006E32E9">
        <w:rPr>
          <w:lang w:val="en-GB"/>
        </w:rPr>
        <w:t xml:space="preserve">levels of </w:t>
      </w:r>
      <w:r w:rsidRPr="006E32E9">
        <w:rPr>
          <w:lang w:val="en-GB"/>
        </w:rPr>
        <w:t>access to social services such as education (</w:t>
      </w:r>
      <w:r w:rsidR="00C35777" w:rsidRPr="006E32E9">
        <w:rPr>
          <w:lang w:val="en-GB"/>
        </w:rPr>
        <w:t xml:space="preserve">10 minutes average </w:t>
      </w:r>
      <w:r w:rsidRPr="006E32E9">
        <w:rPr>
          <w:lang w:val="en-GB"/>
        </w:rPr>
        <w:t xml:space="preserve">travel </w:t>
      </w:r>
      <w:r w:rsidR="008B7E73" w:rsidRPr="006E32E9">
        <w:rPr>
          <w:lang w:val="en-GB"/>
        </w:rPr>
        <w:t>time</w:t>
      </w:r>
      <w:r w:rsidRPr="006E32E9">
        <w:rPr>
          <w:lang w:val="en-GB"/>
        </w:rPr>
        <w:t>) and health facili</w:t>
      </w:r>
      <w:r w:rsidR="008B7E73" w:rsidRPr="006E32E9">
        <w:rPr>
          <w:lang w:val="en-GB"/>
        </w:rPr>
        <w:t>ties (</w:t>
      </w:r>
      <w:r w:rsidR="00C35777" w:rsidRPr="006E32E9">
        <w:rPr>
          <w:lang w:val="en-GB"/>
        </w:rPr>
        <w:t xml:space="preserve">45 minutes </w:t>
      </w:r>
      <w:r w:rsidR="008B7E73" w:rsidRPr="006E32E9">
        <w:rPr>
          <w:lang w:val="en-GB"/>
        </w:rPr>
        <w:t>average travel time</w:t>
      </w:r>
      <w:r w:rsidR="002C5A57" w:rsidRPr="006E32E9">
        <w:rPr>
          <w:lang w:val="en-GB"/>
        </w:rPr>
        <w:t>) and</w:t>
      </w:r>
      <w:r w:rsidRPr="006E32E9">
        <w:rPr>
          <w:lang w:val="en-GB"/>
        </w:rPr>
        <w:t xml:space="preserve"> </w:t>
      </w:r>
      <w:r w:rsidR="002C5A57" w:rsidRPr="006E32E9">
        <w:rPr>
          <w:lang w:val="en-GB"/>
        </w:rPr>
        <w:t xml:space="preserve">are </w:t>
      </w:r>
      <w:r w:rsidRPr="006E32E9">
        <w:rPr>
          <w:lang w:val="en-GB"/>
        </w:rPr>
        <w:t>located near local official institu</w:t>
      </w:r>
      <w:r w:rsidR="008B7E73" w:rsidRPr="006E32E9">
        <w:rPr>
          <w:lang w:val="en-GB"/>
        </w:rPr>
        <w:t xml:space="preserve">tions (average travel time of 8 </w:t>
      </w:r>
      <w:r w:rsidRPr="006E32E9">
        <w:rPr>
          <w:lang w:val="en-GB"/>
        </w:rPr>
        <w:t xml:space="preserve">minutes). The main agricultural systems </w:t>
      </w:r>
      <w:r w:rsidR="002C5A57" w:rsidRPr="006E32E9">
        <w:rPr>
          <w:lang w:val="en-GB"/>
        </w:rPr>
        <w:t xml:space="preserve">are </w:t>
      </w:r>
      <w:r w:rsidRPr="006E32E9">
        <w:rPr>
          <w:lang w:val="en-GB"/>
        </w:rPr>
        <w:t>a combination of freshwater aquaculture, irrig</w:t>
      </w:r>
      <w:r w:rsidR="008B7E73" w:rsidRPr="006E32E9">
        <w:rPr>
          <w:lang w:val="en-GB"/>
        </w:rPr>
        <w:t>ated rice crop grown once (22.8</w:t>
      </w:r>
      <w:r w:rsidRPr="006E32E9">
        <w:rPr>
          <w:lang w:val="en-GB"/>
        </w:rPr>
        <w:t>% of croplan</w:t>
      </w:r>
      <w:r w:rsidR="008B7E73" w:rsidRPr="006E32E9">
        <w:rPr>
          <w:lang w:val="en-GB"/>
        </w:rPr>
        <w:t>d area on average), twice (19.0</w:t>
      </w:r>
      <w:r w:rsidRPr="006E32E9">
        <w:rPr>
          <w:lang w:val="en-GB"/>
        </w:rPr>
        <w:t>% of cropland ar</w:t>
      </w:r>
      <w:r w:rsidR="008B7E73" w:rsidRPr="006E32E9">
        <w:rPr>
          <w:lang w:val="en-GB"/>
        </w:rPr>
        <w:t>ea on average) and thrice (22.1</w:t>
      </w:r>
      <w:r w:rsidRPr="006E32E9">
        <w:rPr>
          <w:lang w:val="en-GB"/>
        </w:rPr>
        <w:t>% of cropland area on average) per year. However, although the total area of land devoted to agriculture is lower than for other clusters (average of 91</w:t>
      </w:r>
      <w:r w:rsidR="008B7E73" w:rsidRPr="006E32E9">
        <w:rPr>
          <w:lang w:val="en-GB"/>
        </w:rPr>
        <w:t xml:space="preserve"> </w:t>
      </w:r>
      <w:r w:rsidRPr="006E32E9">
        <w:rPr>
          <w:lang w:val="en-GB"/>
        </w:rPr>
        <w:t>ha)</w:t>
      </w:r>
      <w:r w:rsidR="008B7E73" w:rsidRPr="006E32E9">
        <w:rPr>
          <w:lang w:val="en-GB"/>
        </w:rPr>
        <w:t xml:space="preserve">, the average farm size is 1.07 </w:t>
      </w:r>
      <w:r w:rsidRPr="006E32E9">
        <w:rPr>
          <w:lang w:val="en-GB"/>
        </w:rPr>
        <w:t>ha per cultivator.</w:t>
      </w:r>
    </w:p>
    <w:p w14:paraId="20D1FF47" w14:textId="59654072" w:rsidR="00D0228C" w:rsidRPr="006E32E9" w:rsidRDefault="00D0228C" w:rsidP="00B956A9">
      <w:pPr>
        <w:rPr>
          <w:lang w:val="en-GB"/>
        </w:rPr>
      </w:pPr>
    </w:p>
    <w:p w14:paraId="1C6648F5" w14:textId="7D59A69F" w:rsidR="00D0228C" w:rsidRPr="006E32E9" w:rsidRDefault="00D0228C" w:rsidP="00D0228C">
      <w:pPr>
        <w:pStyle w:val="Heading3"/>
      </w:pPr>
      <w:r w:rsidRPr="006E32E9">
        <w:t>Rainfed agricultural communities</w:t>
      </w:r>
    </w:p>
    <w:p w14:paraId="195BFDC7" w14:textId="6977A765" w:rsidR="00D0228C" w:rsidRPr="006E32E9" w:rsidRDefault="00D0228C" w:rsidP="00D0228C">
      <w:pPr>
        <w:rPr>
          <w:lang w:val="en-GB"/>
        </w:rPr>
      </w:pPr>
      <w:r w:rsidRPr="006E32E9">
        <w:rPr>
          <w:lang w:val="en-GB"/>
        </w:rPr>
        <w:t>This cluster represents a total of 2,563</w:t>
      </w:r>
      <w:r w:rsidR="008B7E73" w:rsidRPr="006E32E9">
        <w:rPr>
          <w:lang w:val="en-GB"/>
        </w:rPr>
        <w:t xml:space="preserve"> </w:t>
      </w:r>
      <w:r w:rsidRPr="006E32E9">
        <w:rPr>
          <w:lang w:val="en-GB"/>
        </w:rPr>
        <w:t>agricultural communities (total population of 2,511,527) mainly located in the south western and north-eastern parts of the delta. These communities are characterised by low access to social services (average travel times to secondary schools, hospitals and public offices are 56, 2h14</w:t>
      </w:r>
      <w:r w:rsidR="008B7E73" w:rsidRPr="006E32E9">
        <w:rPr>
          <w:lang w:val="en-GB"/>
        </w:rPr>
        <w:t xml:space="preserve"> </w:t>
      </w:r>
      <w:r w:rsidRPr="006E32E9">
        <w:rPr>
          <w:lang w:val="en-GB"/>
        </w:rPr>
        <w:t>and 32</w:t>
      </w:r>
      <w:r w:rsidR="008B7E73" w:rsidRPr="006E32E9">
        <w:rPr>
          <w:lang w:val="en-GB"/>
        </w:rPr>
        <w:t xml:space="preserve"> </w:t>
      </w:r>
      <w:r w:rsidRPr="006E32E9">
        <w:rPr>
          <w:lang w:val="en-GB"/>
        </w:rPr>
        <w:t>minutes</w:t>
      </w:r>
      <w:r w:rsidR="00C35777" w:rsidRPr="006E32E9">
        <w:rPr>
          <w:lang w:val="en-GB"/>
        </w:rPr>
        <w:t xml:space="preserve"> respectively</w:t>
      </w:r>
      <w:r w:rsidRPr="006E32E9">
        <w:rPr>
          <w:lang w:val="en-GB"/>
        </w:rPr>
        <w:t>) and productive infrastructures, su</w:t>
      </w:r>
      <w:r w:rsidR="008B7E73" w:rsidRPr="006E32E9">
        <w:rPr>
          <w:lang w:val="en-GB"/>
        </w:rPr>
        <w:t>ch as markets (</w:t>
      </w:r>
      <w:r w:rsidR="00C35777" w:rsidRPr="006E32E9">
        <w:rPr>
          <w:lang w:val="en-GB"/>
        </w:rPr>
        <w:t xml:space="preserve">average </w:t>
      </w:r>
      <w:r w:rsidR="008B7E73" w:rsidRPr="006E32E9">
        <w:rPr>
          <w:lang w:val="en-GB"/>
        </w:rPr>
        <w:t xml:space="preserve">travel time of 1h 21 </w:t>
      </w:r>
      <w:r w:rsidRPr="006E32E9">
        <w:rPr>
          <w:lang w:val="en-GB"/>
        </w:rPr>
        <w:t>minutes) and industries (</w:t>
      </w:r>
      <w:r w:rsidR="00C35777" w:rsidRPr="006E32E9">
        <w:rPr>
          <w:lang w:val="en-GB"/>
        </w:rPr>
        <w:t xml:space="preserve">average </w:t>
      </w:r>
      <w:r w:rsidRPr="006E32E9">
        <w:rPr>
          <w:lang w:val="en-GB"/>
        </w:rPr>
        <w:t xml:space="preserve">travel time of 3h03 </w:t>
      </w:r>
      <w:r w:rsidR="00C35777" w:rsidRPr="006E32E9">
        <w:rPr>
          <w:lang w:val="en-GB"/>
        </w:rPr>
        <w:t>minutes</w:t>
      </w:r>
      <w:r w:rsidRPr="006E32E9">
        <w:rPr>
          <w:lang w:val="en-GB"/>
        </w:rPr>
        <w:t>). The main agricultural system is single rice crop (38.3% of cropland area on avera</w:t>
      </w:r>
      <w:r w:rsidR="008B7E73" w:rsidRPr="006E32E9">
        <w:rPr>
          <w:lang w:val="en-GB"/>
        </w:rPr>
        <w:t>ge) or single mixed crops (14.6</w:t>
      </w:r>
      <w:r w:rsidRPr="006E32E9">
        <w:rPr>
          <w:lang w:val="en-GB"/>
        </w:rPr>
        <w:t xml:space="preserve">% of cropland area on average) grown in </w:t>
      </w:r>
      <w:r w:rsidRPr="006E32E9">
        <w:rPr>
          <w:lang w:val="en-GB"/>
        </w:rPr>
        <w:lastRenderedPageBreak/>
        <w:t>rainfed conditions. The total cultivate</w:t>
      </w:r>
      <w:r w:rsidR="008B7E73" w:rsidRPr="006E32E9">
        <w:rPr>
          <w:lang w:val="en-GB"/>
        </w:rPr>
        <w:t xml:space="preserve">d area in each community is 101 </w:t>
      </w:r>
      <w:r w:rsidRPr="006E32E9">
        <w:rPr>
          <w:lang w:val="en-GB"/>
        </w:rPr>
        <w:t>ha on average, wi</w:t>
      </w:r>
      <w:r w:rsidR="008B7E73" w:rsidRPr="006E32E9">
        <w:rPr>
          <w:lang w:val="en-GB"/>
        </w:rPr>
        <w:t xml:space="preserve">th an average farm size of 1.00 </w:t>
      </w:r>
      <w:r w:rsidRPr="006E32E9">
        <w:rPr>
          <w:lang w:val="en-GB"/>
        </w:rPr>
        <w:t>ha per cultivator.</w:t>
      </w:r>
    </w:p>
    <w:p w14:paraId="56CA0E5F" w14:textId="77777777" w:rsidR="00A21400" w:rsidRPr="006E32E9" w:rsidRDefault="00A21400" w:rsidP="00D0228C">
      <w:pPr>
        <w:rPr>
          <w:lang w:val="en-GB"/>
        </w:rPr>
      </w:pPr>
    </w:p>
    <w:p w14:paraId="00602E60" w14:textId="36F3581C" w:rsidR="00A21400" w:rsidRPr="006E32E9" w:rsidRDefault="00A21400" w:rsidP="00A21400">
      <w:pPr>
        <w:pStyle w:val="Heading3"/>
      </w:pPr>
      <w:r w:rsidRPr="006E32E9">
        <w:t>Agro-industrial communities</w:t>
      </w:r>
    </w:p>
    <w:p w14:paraId="3087F1CE" w14:textId="48920773" w:rsidR="00A21400" w:rsidRPr="006E32E9" w:rsidRDefault="00A21400" w:rsidP="00A21400">
      <w:pPr>
        <w:rPr>
          <w:lang w:val="en-GB"/>
        </w:rPr>
      </w:pPr>
      <w:r w:rsidRPr="006E32E9">
        <w:rPr>
          <w:lang w:val="en-GB"/>
        </w:rPr>
        <w:t>The 2,174</w:t>
      </w:r>
      <w:r w:rsidR="008B7E73" w:rsidRPr="006E32E9">
        <w:rPr>
          <w:lang w:val="en-GB"/>
        </w:rPr>
        <w:t xml:space="preserve"> </w:t>
      </w:r>
      <w:r w:rsidRPr="006E32E9">
        <w:rPr>
          <w:lang w:val="en-GB"/>
        </w:rPr>
        <w:t>communities (total population of 2,122,436) of this cluster are located in the northern part of the delta and in the south of the axis Bhubaneswar-Cuttack. They have a high access to worship amenities, a relatively high access to other social services (average travel times to secondary schools, hospitals and pub</w:t>
      </w:r>
      <w:r w:rsidR="008B7E73" w:rsidRPr="006E32E9">
        <w:rPr>
          <w:lang w:val="en-GB"/>
        </w:rPr>
        <w:t>lic offices are 51</w:t>
      </w:r>
      <w:r w:rsidRPr="006E32E9">
        <w:rPr>
          <w:lang w:val="en-GB"/>
        </w:rPr>
        <w:t>, 2h05</w:t>
      </w:r>
      <w:r w:rsidR="008B7E73" w:rsidRPr="006E32E9">
        <w:rPr>
          <w:lang w:val="en-GB"/>
        </w:rPr>
        <w:t xml:space="preserve"> and 30 </w:t>
      </w:r>
      <w:r w:rsidRPr="006E32E9">
        <w:rPr>
          <w:lang w:val="en-GB"/>
        </w:rPr>
        <w:t>minutes</w:t>
      </w:r>
      <w:r w:rsidR="00C35777" w:rsidRPr="006E32E9">
        <w:rPr>
          <w:lang w:val="en-GB"/>
        </w:rPr>
        <w:t xml:space="preserve"> respectively</w:t>
      </w:r>
      <w:r w:rsidRPr="006E32E9">
        <w:rPr>
          <w:lang w:val="en-GB"/>
        </w:rPr>
        <w:t>) combined with a greater proximity to industrial areas (</w:t>
      </w:r>
      <w:r w:rsidR="00C35777" w:rsidRPr="006E32E9">
        <w:rPr>
          <w:lang w:val="en-GB"/>
        </w:rPr>
        <w:t xml:space="preserve">1h 51 minutes </w:t>
      </w:r>
      <w:r w:rsidRPr="006E32E9">
        <w:rPr>
          <w:lang w:val="en-GB"/>
        </w:rPr>
        <w:t>average travel time) and markets (</w:t>
      </w:r>
      <w:r w:rsidR="00C35777" w:rsidRPr="006E32E9">
        <w:rPr>
          <w:lang w:val="en-GB"/>
        </w:rPr>
        <w:t xml:space="preserve">1h 14 minutes average </w:t>
      </w:r>
      <w:r w:rsidRPr="006E32E9">
        <w:rPr>
          <w:lang w:val="en-GB"/>
        </w:rPr>
        <w:t>travel time) compared to the other agricultural communities. The main agricultural system is irrig</w:t>
      </w:r>
      <w:r w:rsidR="008B7E73" w:rsidRPr="006E32E9">
        <w:rPr>
          <w:lang w:val="en-GB"/>
        </w:rPr>
        <w:t>ated rice crop grown once (36.5</w:t>
      </w:r>
      <w:r w:rsidRPr="006E32E9">
        <w:rPr>
          <w:lang w:val="en-GB"/>
        </w:rPr>
        <w:t>% of cropland area on avera</w:t>
      </w:r>
      <w:r w:rsidR="008B7E73" w:rsidRPr="006E32E9">
        <w:rPr>
          <w:lang w:val="en-GB"/>
        </w:rPr>
        <w:t>ge) or twice (20.0</w:t>
      </w:r>
      <w:r w:rsidRPr="006E32E9">
        <w:rPr>
          <w:lang w:val="en-GB"/>
        </w:rPr>
        <w:t xml:space="preserve">% of cropland area on average) per year. </w:t>
      </w:r>
      <w:r w:rsidR="00705521">
        <w:rPr>
          <w:lang w:val="en-GB"/>
        </w:rPr>
        <w:t xml:space="preserve">The communities within this cluster have an average cultivated area of </w:t>
      </w:r>
      <w:r w:rsidR="008B7E73" w:rsidRPr="006E32E9">
        <w:rPr>
          <w:lang w:val="en-GB"/>
        </w:rPr>
        <w:t xml:space="preserve">97 ha </w:t>
      </w:r>
      <w:r w:rsidR="00705521">
        <w:rPr>
          <w:lang w:val="en-GB"/>
        </w:rPr>
        <w:t xml:space="preserve">for an average of </w:t>
      </w:r>
      <w:r w:rsidR="008B7E73" w:rsidRPr="006E32E9">
        <w:rPr>
          <w:lang w:val="en-GB"/>
        </w:rPr>
        <w:t xml:space="preserve">0.96 </w:t>
      </w:r>
      <w:r w:rsidRPr="006E32E9">
        <w:rPr>
          <w:lang w:val="en-GB"/>
        </w:rPr>
        <w:t>ha per cultivator.</w:t>
      </w:r>
    </w:p>
    <w:p w14:paraId="2CAA263B" w14:textId="4B572A60" w:rsidR="00A21400" w:rsidRPr="006E32E9" w:rsidRDefault="00A21400" w:rsidP="00A21400">
      <w:pPr>
        <w:rPr>
          <w:lang w:val="en-GB"/>
        </w:rPr>
      </w:pPr>
    </w:p>
    <w:p w14:paraId="6A017AD1" w14:textId="72DED4A5" w:rsidR="00A21400" w:rsidRPr="006E32E9" w:rsidRDefault="00A21400" w:rsidP="00A21400">
      <w:pPr>
        <w:pStyle w:val="Heading3"/>
      </w:pPr>
      <w:r w:rsidRPr="006E32E9">
        <w:t>Irrigated agricultural communities</w:t>
      </w:r>
    </w:p>
    <w:p w14:paraId="6990A50A" w14:textId="145160E7" w:rsidR="00A21400" w:rsidRPr="006E32E9" w:rsidRDefault="00A21400" w:rsidP="00A21400">
      <w:pPr>
        <w:rPr>
          <w:lang w:val="en-GB"/>
        </w:rPr>
      </w:pPr>
      <w:r w:rsidRPr="006E32E9">
        <w:rPr>
          <w:lang w:val="en-GB"/>
        </w:rPr>
        <w:t>The 2,438</w:t>
      </w:r>
      <w:r w:rsidR="008B7E73" w:rsidRPr="006E32E9">
        <w:rPr>
          <w:lang w:val="en-GB"/>
        </w:rPr>
        <w:t xml:space="preserve"> </w:t>
      </w:r>
      <w:r w:rsidRPr="006E32E9">
        <w:rPr>
          <w:lang w:val="en-GB"/>
        </w:rPr>
        <w:t xml:space="preserve">agricultural communities (total population of 2,422,307) of this cluster are located in the central part of the delta and near the </w:t>
      </w:r>
      <w:proofErr w:type="spellStart"/>
      <w:r w:rsidRPr="006E32E9">
        <w:rPr>
          <w:lang w:val="en-GB"/>
        </w:rPr>
        <w:t>Chilika</w:t>
      </w:r>
      <w:proofErr w:type="spellEnd"/>
      <w:r w:rsidRPr="006E32E9">
        <w:rPr>
          <w:lang w:val="en-GB"/>
        </w:rPr>
        <w:t xml:space="preserve"> lake. They share similar characteristics with agro-industrial communities in terms of their access to social services (average travel times to secondary schools, hospitals and public offices are 53, 2h04 and 30</w:t>
      </w:r>
      <w:r w:rsidR="008B7E73" w:rsidRPr="006E32E9">
        <w:rPr>
          <w:lang w:val="en-GB"/>
        </w:rPr>
        <w:t xml:space="preserve"> </w:t>
      </w:r>
      <w:r w:rsidRPr="006E32E9">
        <w:rPr>
          <w:lang w:val="en-GB"/>
        </w:rPr>
        <w:t>minutes</w:t>
      </w:r>
      <w:r w:rsidR="00C35777" w:rsidRPr="006E32E9">
        <w:rPr>
          <w:lang w:val="en-GB"/>
        </w:rPr>
        <w:t xml:space="preserve"> respectively</w:t>
      </w:r>
      <w:r w:rsidRPr="006E32E9">
        <w:rPr>
          <w:lang w:val="en-GB"/>
        </w:rPr>
        <w:t xml:space="preserve">) but with lower access to productive infrastructures (average travel times to markets and industries are respectively 1h17 and 2h57). However, unlike rainfed communities, the irrigated agricultural communities are characterised by a high share of irrigated rice crop </w:t>
      </w:r>
      <w:r w:rsidRPr="006E32E9">
        <w:rPr>
          <w:lang w:val="en-GB"/>
        </w:rPr>
        <w:lastRenderedPageBreak/>
        <w:t>grown twice (24.1% of cropland on average) and thrice (23.5% of cropland area on average) per year. The area of cropland is on average 98</w:t>
      </w:r>
      <w:r w:rsidR="008B7E73" w:rsidRPr="006E32E9">
        <w:rPr>
          <w:lang w:val="en-GB"/>
        </w:rPr>
        <w:t xml:space="preserve"> </w:t>
      </w:r>
      <w:r w:rsidRPr="006E32E9">
        <w:rPr>
          <w:lang w:val="en-GB"/>
        </w:rPr>
        <w:t>ha in total and 0.99</w:t>
      </w:r>
      <w:r w:rsidR="008B7E73" w:rsidRPr="006E32E9">
        <w:rPr>
          <w:lang w:val="en-GB"/>
        </w:rPr>
        <w:t xml:space="preserve"> </w:t>
      </w:r>
      <w:r w:rsidRPr="006E32E9">
        <w:rPr>
          <w:lang w:val="en-GB"/>
        </w:rPr>
        <w:t>ha per cultivator in the cluster.</w:t>
      </w:r>
    </w:p>
    <w:p w14:paraId="1D61C8CB" w14:textId="441A33A8" w:rsidR="00A21400" w:rsidRPr="006E32E9" w:rsidRDefault="00A21400" w:rsidP="00A21400">
      <w:pPr>
        <w:rPr>
          <w:lang w:val="en-GB"/>
        </w:rPr>
      </w:pPr>
    </w:p>
    <w:p w14:paraId="3C3C87A7" w14:textId="7A7306A2" w:rsidR="00A21400" w:rsidRPr="006E32E9" w:rsidRDefault="00A21400" w:rsidP="00A21400">
      <w:pPr>
        <w:pStyle w:val="Heading3"/>
      </w:pPr>
      <w:r w:rsidRPr="006E32E9">
        <w:t>Resource periphery communities</w:t>
      </w:r>
    </w:p>
    <w:p w14:paraId="29D25E94" w14:textId="74DC2D3C" w:rsidR="00A21400" w:rsidRPr="006E32E9" w:rsidRDefault="00C35777" w:rsidP="00A21400">
      <w:pPr>
        <w:rPr>
          <w:lang w:val="en-GB"/>
        </w:rPr>
      </w:pPr>
      <w:r w:rsidRPr="006E32E9">
        <w:rPr>
          <w:lang w:val="en-GB"/>
        </w:rPr>
        <w:t>T</w:t>
      </w:r>
      <w:r w:rsidR="00A21400" w:rsidRPr="006E32E9">
        <w:rPr>
          <w:lang w:val="en-GB"/>
        </w:rPr>
        <w:t>he 409</w:t>
      </w:r>
      <w:r w:rsidR="008B7E73" w:rsidRPr="006E32E9">
        <w:rPr>
          <w:lang w:val="en-GB"/>
        </w:rPr>
        <w:t xml:space="preserve"> </w:t>
      </w:r>
      <w:r w:rsidR="00A21400" w:rsidRPr="006E32E9">
        <w:rPr>
          <w:lang w:val="en-GB"/>
        </w:rPr>
        <w:t>resource periphery communities (total population of 362,797) are located in remote areas, far from market towns and urban centres. These communities are characterised by a very low access to social services (average travel times to secondary schools, hospitals and public offices are 1h06, 3h18 and 41</w:t>
      </w:r>
      <w:r w:rsidR="008B7E73" w:rsidRPr="006E32E9">
        <w:rPr>
          <w:lang w:val="en-GB"/>
        </w:rPr>
        <w:t xml:space="preserve"> </w:t>
      </w:r>
      <w:r w:rsidR="00A21400" w:rsidRPr="006E32E9">
        <w:rPr>
          <w:lang w:val="en-GB"/>
        </w:rPr>
        <w:t>minutes</w:t>
      </w:r>
      <w:r w:rsidRPr="006E32E9">
        <w:rPr>
          <w:lang w:val="en-GB"/>
        </w:rPr>
        <w:t xml:space="preserve"> respectively</w:t>
      </w:r>
      <w:r w:rsidR="00A21400" w:rsidRPr="006E32E9">
        <w:rPr>
          <w:lang w:val="en-GB"/>
        </w:rPr>
        <w:t xml:space="preserve">) and to productive infrastructures (average travel time to industries: 4h10; and to markets: 1h40). Due to the lack of irrigation infrastructures, the main agricultural systems are single mixed crops (34.7% of cropland area on average) and single rice crop grown in rainfed conditions (26.5% of cropland area on average). The </w:t>
      </w:r>
      <w:r w:rsidR="00705521">
        <w:rPr>
          <w:lang w:val="en-GB"/>
        </w:rPr>
        <w:t xml:space="preserve">communities within </w:t>
      </w:r>
      <w:r w:rsidR="00A21400" w:rsidRPr="006E32E9">
        <w:rPr>
          <w:lang w:val="en-GB"/>
        </w:rPr>
        <w:t xml:space="preserve">this cluster </w:t>
      </w:r>
      <w:r w:rsidR="00705521">
        <w:rPr>
          <w:lang w:val="en-GB"/>
        </w:rPr>
        <w:t xml:space="preserve">are </w:t>
      </w:r>
      <w:r w:rsidR="00A21400" w:rsidRPr="006E32E9">
        <w:rPr>
          <w:lang w:val="en-GB"/>
        </w:rPr>
        <w:t xml:space="preserve">characterised by the dominance of natural resources, </w:t>
      </w:r>
      <w:r w:rsidR="00705521">
        <w:rPr>
          <w:lang w:val="en-GB"/>
        </w:rPr>
        <w:t xml:space="preserve">such as </w:t>
      </w:r>
      <w:r w:rsidR="00A21400" w:rsidRPr="006E32E9">
        <w:rPr>
          <w:lang w:val="en-GB"/>
        </w:rPr>
        <w:t>forest</w:t>
      </w:r>
      <w:r w:rsidR="00705521">
        <w:rPr>
          <w:lang w:val="en-GB"/>
        </w:rPr>
        <w:t>s</w:t>
      </w:r>
      <w:r w:rsidR="00A21400" w:rsidRPr="006E32E9">
        <w:rPr>
          <w:lang w:val="en-GB"/>
        </w:rPr>
        <w:t xml:space="preserve"> (area of 0.92</w:t>
      </w:r>
      <w:r w:rsidR="008B7E73" w:rsidRPr="006E32E9">
        <w:rPr>
          <w:lang w:val="en-GB"/>
        </w:rPr>
        <w:t xml:space="preserve"> </w:t>
      </w:r>
      <w:r w:rsidR="00A21400" w:rsidRPr="006E32E9">
        <w:rPr>
          <w:lang w:val="en-GB"/>
        </w:rPr>
        <w:t>ha on average), proximity to aquaculture ponds and a large cropland area with an average of 1.11</w:t>
      </w:r>
      <w:r w:rsidR="008B7E73" w:rsidRPr="006E32E9">
        <w:rPr>
          <w:lang w:val="en-GB"/>
        </w:rPr>
        <w:t xml:space="preserve"> </w:t>
      </w:r>
      <w:r w:rsidR="00A21400" w:rsidRPr="006E32E9">
        <w:rPr>
          <w:lang w:val="en-GB"/>
        </w:rPr>
        <w:t>ha per cultivator for a total cultivated area of 112</w:t>
      </w:r>
      <w:r w:rsidR="008B7E73" w:rsidRPr="006E32E9">
        <w:rPr>
          <w:lang w:val="en-GB"/>
        </w:rPr>
        <w:t xml:space="preserve"> </w:t>
      </w:r>
      <w:r w:rsidR="00A21400" w:rsidRPr="006E32E9">
        <w:rPr>
          <w:lang w:val="en-GB"/>
        </w:rPr>
        <w:t>ha on average.</w:t>
      </w:r>
    </w:p>
    <w:p w14:paraId="15A6C323" w14:textId="31AB7560" w:rsidR="00A21400" w:rsidRPr="006E32E9" w:rsidRDefault="00A21400" w:rsidP="00A21400">
      <w:pPr>
        <w:rPr>
          <w:lang w:val="en-GB"/>
        </w:rPr>
      </w:pPr>
    </w:p>
    <w:p w14:paraId="19C2A4D7" w14:textId="1A794B18" w:rsidR="00A21400" w:rsidRPr="006E32E9" w:rsidRDefault="00A21400" w:rsidP="00A21400">
      <w:pPr>
        <w:pStyle w:val="Heading2"/>
      </w:pPr>
      <w:r w:rsidRPr="006E32E9">
        <w:t>Statistical modelling</w:t>
      </w:r>
    </w:p>
    <w:p w14:paraId="3A428833" w14:textId="19CF5403" w:rsidR="00A21400" w:rsidRPr="006E32E9" w:rsidRDefault="00A21400" w:rsidP="00A21400">
      <w:pPr>
        <w:rPr>
          <w:lang w:val="en-GB"/>
        </w:rPr>
      </w:pPr>
      <w:r w:rsidRPr="006E32E9">
        <w:rPr>
          <w:lang w:val="en-GB"/>
        </w:rPr>
        <w:t>Odds ratios were used to quantify the relationships between the response variable (proportion of people engaged in precarious livelihood activities) and the explanatory variables (livelihood capitals and number of agricultural shocks), controlling for district and population density effects</w:t>
      </w:r>
      <w:r w:rsidR="00C86B87">
        <w:rPr>
          <w:lang w:val="en-GB"/>
        </w:rPr>
        <w:t>, but also for the effects of class and caste</w:t>
      </w:r>
      <w:r w:rsidRPr="006E32E9">
        <w:rPr>
          <w:lang w:val="en-GB"/>
        </w:rPr>
        <w:t xml:space="preserve"> (</w:t>
      </w:r>
      <w:r w:rsidR="008E61CD" w:rsidRPr="006E32E9">
        <w:rPr>
          <w:lang w:val="en-GB"/>
        </w:rPr>
        <w:fldChar w:fldCharType="begin"/>
      </w:r>
      <w:r w:rsidR="008E61CD" w:rsidRPr="006E32E9">
        <w:rPr>
          <w:lang w:val="en-GB"/>
        </w:rPr>
        <w:instrText xml:space="preserve"> REF _Ref516217750 \h </w:instrText>
      </w:r>
      <w:r w:rsidR="008E61CD" w:rsidRPr="006E32E9">
        <w:rPr>
          <w:lang w:val="en-GB"/>
        </w:rPr>
      </w:r>
      <w:r w:rsidR="008E61CD" w:rsidRPr="006E32E9">
        <w:rPr>
          <w:lang w:val="en-GB"/>
        </w:rPr>
        <w:fldChar w:fldCharType="separate"/>
      </w:r>
      <w:r w:rsidR="008E61CD" w:rsidRPr="006E32E9">
        <w:rPr>
          <w:lang w:val="en-GB"/>
        </w:rPr>
        <w:t xml:space="preserve">Table </w:t>
      </w:r>
      <w:r w:rsidR="008E61CD" w:rsidRPr="006E32E9">
        <w:rPr>
          <w:noProof/>
          <w:lang w:val="en-GB"/>
        </w:rPr>
        <w:t>4</w:t>
      </w:r>
      <w:r w:rsidR="008E61CD" w:rsidRPr="006E32E9">
        <w:rPr>
          <w:lang w:val="en-GB"/>
        </w:rPr>
        <w:fldChar w:fldCharType="end"/>
      </w:r>
      <w:r w:rsidRPr="006E32E9">
        <w:rPr>
          <w:lang w:val="en-GB"/>
        </w:rPr>
        <w:t>). An odds ratio above one indicates that, as the explanatory variable increases, the odds of being engaged in precarious livelihood activities also increase. When explanatory variables are categor</w:t>
      </w:r>
      <w:r w:rsidR="008E61CD" w:rsidRPr="006E32E9">
        <w:rPr>
          <w:lang w:val="en-GB"/>
        </w:rPr>
        <w:t>ical (e.g. “District”</w:t>
      </w:r>
      <w:r w:rsidRPr="006E32E9">
        <w:rPr>
          <w:lang w:val="en-GB"/>
        </w:rPr>
        <w:t>), odds are interpreted by comparing the variable l</w:t>
      </w:r>
      <w:r w:rsidR="008E61CD" w:rsidRPr="006E32E9">
        <w:rPr>
          <w:lang w:val="en-GB"/>
        </w:rPr>
        <w:t>evel to a reference (district “</w:t>
      </w:r>
      <w:proofErr w:type="spellStart"/>
      <w:r w:rsidR="008E61CD" w:rsidRPr="006E32E9">
        <w:rPr>
          <w:lang w:val="en-GB"/>
        </w:rPr>
        <w:t>Bhadrak</w:t>
      </w:r>
      <w:proofErr w:type="spellEnd"/>
      <w:r w:rsidR="008E61CD" w:rsidRPr="006E32E9">
        <w:rPr>
          <w:lang w:val="en-GB"/>
        </w:rPr>
        <w:t>”</w:t>
      </w:r>
      <w:r w:rsidRPr="006E32E9">
        <w:rPr>
          <w:lang w:val="en-GB"/>
        </w:rPr>
        <w:t xml:space="preserve">). For </w:t>
      </w:r>
      <w:r w:rsidRPr="006E32E9">
        <w:rPr>
          <w:lang w:val="en-GB"/>
        </w:rPr>
        <w:lastRenderedPageBreak/>
        <w:t xml:space="preserve">example, in rainfed agricultural communities, an odds ratio of 0.74 for </w:t>
      </w:r>
      <w:proofErr w:type="spellStart"/>
      <w:r w:rsidRPr="006E32E9">
        <w:rPr>
          <w:lang w:val="en-GB"/>
        </w:rPr>
        <w:t>Jagatsinghpur</w:t>
      </w:r>
      <w:proofErr w:type="spellEnd"/>
      <w:r w:rsidRPr="006E32E9">
        <w:rPr>
          <w:lang w:val="en-GB"/>
        </w:rPr>
        <w:t xml:space="preserve"> can be interpreted as: the likelihood of being engaged in precarious livelihood activities for communities located in </w:t>
      </w:r>
      <w:proofErr w:type="spellStart"/>
      <w:r w:rsidRPr="006E32E9">
        <w:rPr>
          <w:lang w:val="en-GB"/>
        </w:rPr>
        <w:t>Jagatsinghpur</w:t>
      </w:r>
      <w:proofErr w:type="spellEnd"/>
      <w:r w:rsidRPr="006E32E9">
        <w:rPr>
          <w:lang w:val="en-GB"/>
        </w:rPr>
        <w:t xml:space="preserve"> is 26% lower compared to communities located in </w:t>
      </w:r>
      <w:proofErr w:type="spellStart"/>
      <w:r w:rsidRPr="006E32E9">
        <w:rPr>
          <w:lang w:val="en-GB"/>
        </w:rPr>
        <w:t>Bhadrak</w:t>
      </w:r>
      <w:proofErr w:type="spellEnd"/>
      <w:r w:rsidRPr="006E32E9">
        <w:rPr>
          <w:lang w:val="en-GB"/>
        </w:rPr>
        <w:t>.</w:t>
      </w:r>
    </w:p>
    <w:p w14:paraId="6FE867E1" w14:textId="77777777" w:rsidR="00705521" w:rsidRPr="006E32E9" w:rsidRDefault="00705521" w:rsidP="00A21400">
      <w:pPr>
        <w:rPr>
          <w:lang w:val="en-GB"/>
        </w:rPr>
      </w:pPr>
    </w:p>
    <w:p w14:paraId="5FD6A4A2" w14:textId="04BC97F0" w:rsidR="00A21400" w:rsidRPr="006E32E9" w:rsidRDefault="00A21400" w:rsidP="00A21400">
      <w:pPr>
        <w:pStyle w:val="Caption"/>
        <w:keepNext/>
        <w:rPr>
          <w:lang w:val="en-GB"/>
        </w:rPr>
      </w:pPr>
      <w:bookmarkStart w:id="8" w:name="_Ref516217750"/>
      <w:r w:rsidRPr="006E32E9">
        <w:rPr>
          <w:lang w:val="en-GB"/>
        </w:rPr>
        <w:t xml:space="preserve">Table </w:t>
      </w:r>
      <w:r w:rsidRPr="006E32E9">
        <w:rPr>
          <w:lang w:val="en-GB"/>
        </w:rPr>
        <w:fldChar w:fldCharType="begin"/>
      </w:r>
      <w:r w:rsidRPr="006E32E9">
        <w:rPr>
          <w:lang w:val="en-GB"/>
        </w:rPr>
        <w:instrText xml:space="preserve"> SEQ Table \* ARABIC </w:instrText>
      </w:r>
      <w:r w:rsidRPr="006E32E9">
        <w:rPr>
          <w:lang w:val="en-GB"/>
        </w:rPr>
        <w:fldChar w:fldCharType="separate"/>
      </w:r>
      <w:r w:rsidRPr="006E32E9">
        <w:rPr>
          <w:noProof/>
          <w:lang w:val="en-GB"/>
        </w:rPr>
        <w:t>4</w:t>
      </w:r>
      <w:r w:rsidRPr="006E32E9">
        <w:rPr>
          <w:lang w:val="en-GB"/>
        </w:rPr>
        <w:fldChar w:fldCharType="end"/>
      </w:r>
      <w:bookmarkEnd w:id="8"/>
      <w:r w:rsidRPr="006E32E9">
        <w:rPr>
          <w:lang w:val="en-GB"/>
        </w:rPr>
        <w:t>: Results of the logistic models for each community</w:t>
      </w:r>
      <w:r w:rsidRPr="006E32E9">
        <w:rPr>
          <w:b w:val="0"/>
          <w:lang w:val="en-GB"/>
        </w:rPr>
        <w:t>. The dependent variable represents the odds of engaging in precarious activities (agricultural labourers and unemployed) for people who are within the legal working age. The explanatory variables represent the capitals that households have access to and the number of agricultural shocks that the community faced between 2000 and 2011.</w:t>
      </w:r>
    </w:p>
    <w:p w14:paraId="46C024A2" w14:textId="060FB945" w:rsidR="00A21400" w:rsidRPr="006E32E9" w:rsidRDefault="00E83C6A" w:rsidP="00A21400">
      <w:pPr>
        <w:pStyle w:val="TableFigure"/>
      </w:pPr>
      <w:r>
        <w:rPr>
          <w:noProof/>
          <w:lang w:eastAsia="en-GB"/>
        </w:rPr>
        <w:drawing>
          <wp:inline distT="0" distB="0" distL="0" distR="0" wp14:anchorId="02F8EA81" wp14:editId="64D417A9">
            <wp:extent cx="5422900" cy="285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4_odds.pdf"/>
                    <pic:cNvPicPr/>
                  </pic:nvPicPr>
                  <pic:blipFill>
                    <a:blip r:embed="rId22"/>
                    <a:stretch>
                      <a:fillRect/>
                    </a:stretch>
                  </pic:blipFill>
                  <pic:spPr>
                    <a:xfrm>
                      <a:off x="0" y="0"/>
                      <a:ext cx="5422900" cy="2857500"/>
                    </a:xfrm>
                    <a:prstGeom prst="rect">
                      <a:avLst/>
                    </a:prstGeom>
                  </pic:spPr>
                </pic:pic>
              </a:graphicData>
            </a:graphic>
          </wp:inline>
        </w:drawing>
      </w:r>
    </w:p>
    <w:p w14:paraId="278FBA74" w14:textId="4FF0C091" w:rsidR="00B7132F" w:rsidRPr="006E32E9" w:rsidRDefault="00B7132F" w:rsidP="00A21400">
      <w:pPr>
        <w:pStyle w:val="TableFigure"/>
      </w:pPr>
    </w:p>
    <w:p w14:paraId="62185F01" w14:textId="3CBE8D62" w:rsidR="00B7132F" w:rsidRPr="006E32E9" w:rsidRDefault="00B7132F" w:rsidP="00B7132F">
      <w:pPr>
        <w:rPr>
          <w:lang w:val="en-GB"/>
        </w:rPr>
      </w:pPr>
      <w:r w:rsidRPr="006E32E9">
        <w:rPr>
          <w:lang w:val="en-GB"/>
        </w:rPr>
        <w:t xml:space="preserve">Amongst the five </w:t>
      </w:r>
      <w:r w:rsidR="0010358C" w:rsidRPr="007E3117">
        <w:rPr>
          <w:lang w:val="en-GB"/>
        </w:rPr>
        <w:t xml:space="preserve">household </w:t>
      </w:r>
      <w:r w:rsidRPr="006E32E9">
        <w:rPr>
          <w:lang w:val="en-GB"/>
        </w:rPr>
        <w:t xml:space="preserve">capitals, human and financial capital show </w:t>
      </w:r>
      <w:r w:rsidR="0010358C" w:rsidRPr="006E32E9">
        <w:rPr>
          <w:lang w:val="en-GB"/>
        </w:rPr>
        <w:t xml:space="preserve">consistent </w:t>
      </w:r>
      <w:r w:rsidRPr="006E32E9">
        <w:rPr>
          <w:lang w:val="en-GB"/>
        </w:rPr>
        <w:t>associations across all clusters: a greater access to the</w:t>
      </w:r>
      <w:r w:rsidR="0010358C" w:rsidRPr="006E32E9">
        <w:rPr>
          <w:lang w:val="en-GB"/>
        </w:rPr>
        <w:t>se</w:t>
      </w:r>
      <w:r w:rsidRPr="006E32E9">
        <w:rPr>
          <w:lang w:val="en-GB"/>
        </w:rPr>
        <w:t xml:space="preserve"> decreases the odds of being engaged in precarious livelihood activities</w:t>
      </w:r>
      <w:r w:rsidR="0010358C" w:rsidRPr="006E32E9">
        <w:rPr>
          <w:lang w:val="en-GB"/>
        </w:rPr>
        <w:t xml:space="preserve"> (Table 4)</w:t>
      </w:r>
      <w:r w:rsidRPr="006E32E9">
        <w:rPr>
          <w:lang w:val="en-GB"/>
        </w:rPr>
        <w:t>. The effect of human capital is the stron</w:t>
      </w:r>
      <w:r w:rsidR="00194C74" w:rsidRPr="006E32E9">
        <w:rPr>
          <w:lang w:val="en-GB"/>
        </w:rPr>
        <w:t>gest in exurban communities (OR</w:t>
      </w:r>
      <w:r w:rsidRPr="006E32E9">
        <w:rPr>
          <w:lang w:val="en-GB"/>
        </w:rPr>
        <w:t xml:space="preserve"> = 0.83, 95% CI = 0.81, 0.85) and the weakest in agro-ind</w:t>
      </w:r>
      <w:r w:rsidR="00194C74" w:rsidRPr="006E32E9">
        <w:rPr>
          <w:lang w:val="en-GB"/>
        </w:rPr>
        <w:t>ustrial communities (OR</w:t>
      </w:r>
      <w:r w:rsidRPr="006E32E9">
        <w:rPr>
          <w:lang w:val="en-GB"/>
        </w:rPr>
        <w:t xml:space="preserve"> = 0.93, 95% CI = 0.9</w:t>
      </w:r>
      <w:r w:rsidR="00C95778">
        <w:rPr>
          <w:lang w:val="en-GB"/>
        </w:rPr>
        <w:t>1</w:t>
      </w:r>
      <w:r w:rsidRPr="006E32E9">
        <w:rPr>
          <w:lang w:val="en-GB"/>
        </w:rPr>
        <w:t xml:space="preserve">, 0.95), while the effect of financial capital is the weakest in remote communities, such as </w:t>
      </w:r>
      <w:r w:rsidR="00194C74" w:rsidRPr="006E32E9">
        <w:rPr>
          <w:lang w:val="en-GB"/>
        </w:rPr>
        <w:t>rainfed agricultural (OR</w:t>
      </w:r>
      <w:r w:rsidRPr="006E32E9">
        <w:rPr>
          <w:lang w:val="en-GB"/>
        </w:rPr>
        <w:t xml:space="preserve"> = 0.93, 95% CI = 0.91, 0.95) a</w:t>
      </w:r>
      <w:r w:rsidR="00194C74" w:rsidRPr="006E32E9">
        <w:rPr>
          <w:lang w:val="en-GB"/>
        </w:rPr>
        <w:t>nd resource periphery (OR</w:t>
      </w:r>
      <w:r w:rsidRPr="006E32E9">
        <w:rPr>
          <w:lang w:val="en-GB"/>
        </w:rPr>
        <w:t xml:space="preserve"> = 0.92, 95% CI = 0.86, 0.99). The model shows that access to transportation and </w:t>
      </w:r>
      <w:r w:rsidRPr="006E32E9">
        <w:rPr>
          <w:lang w:val="en-GB"/>
        </w:rPr>
        <w:lastRenderedPageBreak/>
        <w:t xml:space="preserve">to electricity (physical capital) is associated with lower odds </w:t>
      </w:r>
      <w:r w:rsidR="0010358C" w:rsidRPr="006E32E9">
        <w:rPr>
          <w:lang w:val="en-GB"/>
        </w:rPr>
        <w:t xml:space="preserve">of engaging in </w:t>
      </w:r>
      <w:r w:rsidRPr="006E32E9">
        <w:rPr>
          <w:lang w:val="en-GB"/>
        </w:rPr>
        <w:t>precarious livelihood activities only for households located in agro-industrial communities (OR = 0.96, 95% CI = 0.9</w:t>
      </w:r>
      <w:r w:rsidR="007015E7">
        <w:rPr>
          <w:lang w:val="en-GB"/>
        </w:rPr>
        <w:t>4</w:t>
      </w:r>
      <w:r w:rsidRPr="006E32E9">
        <w:rPr>
          <w:lang w:val="en-GB"/>
        </w:rPr>
        <w:t>, 0.99). The odds of having a precarious livelihood decrease with greater access to natural capital in rainfed agricultural (OR = 0.</w:t>
      </w:r>
      <w:r w:rsidR="007015E7">
        <w:rPr>
          <w:lang w:val="en-GB"/>
        </w:rPr>
        <w:t>80</w:t>
      </w:r>
      <w:r w:rsidRPr="006E32E9">
        <w:rPr>
          <w:lang w:val="en-GB"/>
        </w:rPr>
        <w:t>, 95% CI = 0.64, 0.99) and agro-industrial (OR = 0.7</w:t>
      </w:r>
      <w:r w:rsidR="007015E7">
        <w:rPr>
          <w:lang w:val="en-GB"/>
        </w:rPr>
        <w:t>7</w:t>
      </w:r>
      <w:r w:rsidRPr="006E32E9">
        <w:rPr>
          <w:lang w:val="en-GB"/>
        </w:rPr>
        <w:t>, 95% CI = 0.6</w:t>
      </w:r>
      <w:r w:rsidR="007015E7">
        <w:rPr>
          <w:lang w:val="en-GB"/>
        </w:rPr>
        <w:t>1</w:t>
      </w:r>
      <w:r w:rsidRPr="006E32E9">
        <w:rPr>
          <w:lang w:val="en-GB"/>
        </w:rPr>
        <w:t>, 0.9</w:t>
      </w:r>
      <w:r w:rsidR="007015E7">
        <w:rPr>
          <w:lang w:val="en-GB"/>
        </w:rPr>
        <w:t>5</w:t>
      </w:r>
      <w:r w:rsidRPr="006E32E9">
        <w:rPr>
          <w:lang w:val="en-GB"/>
        </w:rPr>
        <w:t>) communities, whereas it is the contrary in exurban communities (OR = 1.11, 95% CI = 1.02, 1.2</w:t>
      </w:r>
      <w:r w:rsidR="007015E7">
        <w:rPr>
          <w:lang w:val="en-GB"/>
        </w:rPr>
        <w:t>0</w:t>
      </w:r>
      <w:r w:rsidRPr="006E32E9">
        <w:rPr>
          <w:lang w:val="en-GB"/>
        </w:rPr>
        <w:t>). Social capital was found to be negatively associated with the odds of having a precarious livelihood in exurban (OR = 0.8</w:t>
      </w:r>
      <w:r w:rsidR="007015E7">
        <w:rPr>
          <w:lang w:val="en-GB"/>
        </w:rPr>
        <w:t>7</w:t>
      </w:r>
      <w:r w:rsidRPr="006E32E9">
        <w:rPr>
          <w:lang w:val="en-GB"/>
        </w:rPr>
        <w:t>, 95% CI = 0.8</w:t>
      </w:r>
      <w:r w:rsidR="007015E7">
        <w:rPr>
          <w:lang w:val="en-GB"/>
        </w:rPr>
        <w:t>5</w:t>
      </w:r>
      <w:r w:rsidRPr="006E32E9">
        <w:rPr>
          <w:lang w:val="en-GB"/>
        </w:rPr>
        <w:t>, 0.8</w:t>
      </w:r>
      <w:r w:rsidR="007015E7">
        <w:rPr>
          <w:lang w:val="en-GB"/>
        </w:rPr>
        <w:t>9</w:t>
      </w:r>
      <w:r w:rsidRPr="006E32E9">
        <w:rPr>
          <w:lang w:val="en-GB"/>
        </w:rPr>
        <w:t>), rainfed agricultural (OR = 0.9</w:t>
      </w:r>
      <w:r w:rsidR="007015E7">
        <w:rPr>
          <w:lang w:val="en-GB"/>
        </w:rPr>
        <w:t>2</w:t>
      </w:r>
      <w:r w:rsidRPr="006E32E9">
        <w:rPr>
          <w:lang w:val="en-GB"/>
        </w:rPr>
        <w:t>, 95% CI = 0.91, 0.94) and resource periphery (OR = 0.94, 95% CI = 0.</w:t>
      </w:r>
      <w:r w:rsidR="007015E7">
        <w:rPr>
          <w:lang w:val="en-GB"/>
        </w:rPr>
        <w:t>89</w:t>
      </w:r>
      <w:r w:rsidRPr="006E32E9">
        <w:rPr>
          <w:lang w:val="en-GB"/>
        </w:rPr>
        <w:t>, 0.98) communities, but positively associated in agro-industrial communities (OR = 1.03, 95% CI = 1.01, 1.05).</w:t>
      </w:r>
    </w:p>
    <w:p w14:paraId="120B16D3" w14:textId="54B1F5A8" w:rsidR="00B7132F" w:rsidRPr="006E32E9" w:rsidRDefault="00B7132F" w:rsidP="00B7132F">
      <w:pPr>
        <w:rPr>
          <w:lang w:val="en-GB"/>
        </w:rPr>
      </w:pPr>
    </w:p>
    <w:p w14:paraId="36E0D72E" w14:textId="5E5D512A" w:rsidR="00B7132F" w:rsidRPr="006E32E9" w:rsidRDefault="00B7132F" w:rsidP="007015E7">
      <w:pPr>
        <w:rPr>
          <w:lang w:val="en-GB"/>
        </w:rPr>
      </w:pPr>
      <w:r w:rsidRPr="006E32E9">
        <w:rPr>
          <w:lang w:val="en-GB"/>
        </w:rPr>
        <w:t xml:space="preserve">The models show that it is more likely that households will engage in precarious livelihood activities when the number of agricultural shocks increases, except for exurban communities </w:t>
      </w:r>
      <w:r w:rsidR="007015E7" w:rsidRPr="006E32E9">
        <w:rPr>
          <w:lang w:val="en-GB"/>
        </w:rPr>
        <w:t>(OR = 0.99, 95% CI = 0.9</w:t>
      </w:r>
      <w:r w:rsidR="007015E7">
        <w:rPr>
          <w:lang w:val="en-GB"/>
        </w:rPr>
        <w:t>7</w:t>
      </w:r>
      <w:r w:rsidR="007015E7" w:rsidRPr="006E32E9">
        <w:rPr>
          <w:lang w:val="en-GB"/>
        </w:rPr>
        <w:t>, 1.01)</w:t>
      </w:r>
      <w:r w:rsidR="007015E7">
        <w:rPr>
          <w:lang w:val="en-GB"/>
        </w:rPr>
        <w:t xml:space="preserve"> a</w:t>
      </w:r>
      <w:r w:rsidR="007015E7" w:rsidRPr="007015E7">
        <w:rPr>
          <w:lang w:val="en-GB"/>
        </w:rPr>
        <w:t xml:space="preserve">nd agro-industrial communities </w:t>
      </w:r>
      <w:r w:rsidR="007015E7">
        <w:rPr>
          <w:lang w:val="en-GB"/>
        </w:rPr>
        <w:t>(</w:t>
      </w:r>
      <w:r w:rsidR="007015E7" w:rsidRPr="007015E7">
        <w:rPr>
          <w:lang w:val="en-GB"/>
        </w:rPr>
        <w:t>OR = 1.02, 95% CI = 1.00, 1.05</w:t>
      </w:r>
      <w:r w:rsidR="007015E7">
        <w:rPr>
          <w:lang w:val="en-GB"/>
        </w:rPr>
        <w:t xml:space="preserve">) </w:t>
      </w:r>
      <w:r w:rsidRPr="006E32E9">
        <w:rPr>
          <w:lang w:val="en-GB"/>
        </w:rPr>
        <w:t xml:space="preserve">where associations between shocks and livelihoods are not significant. </w:t>
      </w:r>
      <w:r w:rsidR="004654A6" w:rsidRPr="006E32E9">
        <w:rPr>
          <w:lang w:val="en-GB"/>
        </w:rPr>
        <w:fldChar w:fldCharType="begin"/>
      </w:r>
      <w:r w:rsidR="004654A6" w:rsidRPr="006E32E9">
        <w:rPr>
          <w:lang w:val="en-GB"/>
        </w:rPr>
        <w:instrText xml:space="preserve"> REF _Ref516217950 \h </w:instrText>
      </w:r>
      <w:r w:rsidR="004654A6" w:rsidRPr="006E32E9">
        <w:rPr>
          <w:lang w:val="en-GB"/>
        </w:rPr>
      </w:r>
      <w:r w:rsidR="004654A6" w:rsidRPr="006E32E9">
        <w:rPr>
          <w:lang w:val="en-GB"/>
        </w:rPr>
        <w:fldChar w:fldCharType="separate"/>
      </w:r>
      <w:r w:rsidR="004654A6" w:rsidRPr="006E32E9">
        <w:rPr>
          <w:lang w:val="en-GB"/>
        </w:rPr>
        <w:t xml:space="preserve">Figure </w:t>
      </w:r>
      <w:r w:rsidR="004654A6" w:rsidRPr="006E32E9">
        <w:rPr>
          <w:noProof/>
          <w:lang w:val="en-GB"/>
        </w:rPr>
        <w:t>5</w:t>
      </w:r>
      <w:r w:rsidR="004654A6" w:rsidRPr="006E32E9">
        <w:rPr>
          <w:lang w:val="en-GB"/>
        </w:rPr>
        <w:fldChar w:fldCharType="end"/>
      </w:r>
      <w:r w:rsidRPr="006E32E9">
        <w:rPr>
          <w:lang w:val="en-GB"/>
        </w:rPr>
        <w:t xml:space="preserve"> shows the predicted probability of being engaged in precarious livelihood activities depending on the number of agricultural shocks faced by the community during the ten previous years. From these data, we can see that the probability of precarious livelihoods strongly increases with the number of agricultural shocks in agricultural-based communities with low access to productive infrastructures, such as rainfed agricultural, irrigated agricultural and resource periphery. However, we found that the number of agricultural shocks does not have a significant effect on precarious livelihoods in exurban </w:t>
      </w:r>
      <w:r w:rsidR="007015E7">
        <w:rPr>
          <w:lang w:val="en-GB"/>
        </w:rPr>
        <w:t xml:space="preserve">and agro-industrial </w:t>
      </w:r>
      <w:r w:rsidRPr="006E32E9">
        <w:rPr>
          <w:lang w:val="en-GB"/>
        </w:rPr>
        <w:t>communities.</w:t>
      </w:r>
    </w:p>
    <w:p w14:paraId="32F8C682" w14:textId="1E2B3983" w:rsidR="00B7132F" w:rsidRPr="006E32E9" w:rsidRDefault="00E83C6A" w:rsidP="00B7132F">
      <w:pPr>
        <w:pStyle w:val="TableFigure"/>
        <w:keepNext/>
      </w:pPr>
      <w:r>
        <w:rPr>
          <w:noProof/>
          <w:lang w:eastAsia="en-GB"/>
        </w:rPr>
        <w:lastRenderedPageBreak/>
        <w:drawing>
          <wp:inline distT="0" distB="0" distL="0" distR="0" wp14:anchorId="244D87FA" wp14:editId="6EED19E3">
            <wp:extent cx="5943600" cy="44113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4_predicted.png"/>
                    <pic:cNvPicPr/>
                  </pic:nvPicPr>
                  <pic:blipFill>
                    <a:blip r:embed="rId23"/>
                    <a:stretch>
                      <a:fillRect/>
                    </a:stretch>
                  </pic:blipFill>
                  <pic:spPr>
                    <a:xfrm>
                      <a:off x="0" y="0"/>
                      <a:ext cx="5943600" cy="4411345"/>
                    </a:xfrm>
                    <a:prstGeom prst="rect">
                      <a:avLst/>
                    </a:prstGeom>
                  </pic:spPr>
                </pic:pic>
              </a:graphicData>
            </a:graphic>
          </wp:inline>
        </w:drawing>
      </w:r>
    </w:p>
    <w:p w14:paraId="4A2A0E04" w14:textId="1F5CEF10" w:rsidR="00B7132F" w:rsidRDefault="00B7132F" w:rsidP="00B7132F">
      <w:pPr>
        <w:pStyle w:val="Caption"/>
        <w:rPr>
          <w:b w:val="0"/>
          <w:lang w:val="en-GB"/>
        </w:rPr>
      </w:pPr>
      <w:bookmarkStart w:id="9" w:name="_Ref516217950"/>
      <w:r w:rsidRPr="006E32E9">
        <w:rPr>
          <w:lang w:val="en-GB"/>
        </w:rPr>
        <w:t xml:space="preserve">Figure </w:t>
      </w:r>
      <w:r w:rsidRPr="006E32E9">
        <w:rPr>
          <w:lang w:val="en-GB"/>
        </w:rPr>
        <w:fldChar w:fldCharType="begin"/>
      </w:r>
      <w:r w:rsidRPr="006E32E9">
        <w:rPr>
          <w:lang w:val="en-GB"/>
        </w:rPr>
        <w:instrText xml:space="preserve"> SEQ Figure \* ARABIC </w:instrText>
      </w:r>
      <w:r w:rsidRPr="006E32E9">
        <w:rPr>
          <w:lang w:val="en-GB"/>
        </w:rPr>
        <w:fldChar w:fldCharType="separate"/>
      </w:r>
      <w:r w:rsidRPr="006E32E9">
        <w:rPr>
          <w:noProof/>
          <w:lang w:val="en-GB"/>
        </w:rPr>
        <w:t>5</w:t>
      </w:r>
      <w:r w:rsidRPr="006E32E9">
        <w:rPr>
          <w:lang w:val="en-GB"/>
        </w:rPr>
        <w:fldChar w:fldCharType="end"/>
      </w:r>
      <w:bookmarkEnd w:id="9"/>
      <w:r w:rsidRPr="006E32E9">
        <w:rPr>
          <w:lang w:val="en-GB"/>
        </w:rPr>
        <w:t>: Predicted probability of precarious livelihoods conditioned on the average number of agricultural shocks for each community typologies.</w:t>
      </w:r>
      <w:r w:rsidRPr="006E32E9">
        <w:rPr>
          <w:b w:val="0"/>
          <w:lang w:val="en-GB"/>
        </w:rPr>
        <w:t xml:space="preserve"> </w:t>
      </w:r>
      <w:proofErr w:type="gramStart"/>
      <w:r w:rsidRPr="006E32E9">
        <w:rPr>
          <w:b w:val="0"/>
          <w:lang w:val="en-GB"/>
        </w:rPr>
        <w:t>Based on multiple logistic models (</w:t>
      </w:r>
      <w:r w:rsidR="004654A6" w:rsidRPr="006E32E9">
        <w:rPr>
          <w:b w:val="0"/>
          <w:lang w:val="en-GB"/>
        </w:rPr>
        <w:fldChar w:fldCharType="begin"/>
      </w:r>
      <w:r w:rsidR="004654A6" w:rsidRPr="006E32E9">
        <w:rPr>
          <w:b w:val="0"/>
          <w:lang w:val="en-GB"/>
        </w:rPr>
        <w:instrText xml:space="preserve"> REF _Ref516217750 \h  \* MERGEFORMAT </w:instrText>
      </w:r>
      <w:r w:rsidR="004654A6" w:rsidRPr="006E32E9">
        <w:rPr>
          <w:b w:val="0"/>
          <w:lang w:val="en-GB"/>
        </w:rPr>
      </w:r>
      <w:r w:rsidR="004654A6" w:rsidRPr="006E32E9">
        <w:rPr>
          <w:b w:val="0"/>
          <w:lang w:val="en-GB"/>
        </w:rPr>
        <w:fldChar w:fldCharType="separate"/>
      </w:r>
      <w:r w:rsidR="004654A6" w:rsidRPr="006E32E9">
        <w:rPr>
          <w:b w:val="0"/>
          <w:lang w:val="en-GB"/>
        </w:rPr>
        <w:t xml:space="preserve">Table </w:t>
      </w:r>
      <w:r w:rsidR="004654A6" w:rsidRPr="006E32E9">
        <w:rPr>
          <w:b w:val="0"/>
          <w:noProof/>
          <w:lang w:val="en-GB"/>
        </w:rPr>
        <w:t>4</w:t>
      </w:r>
      <w:r w:rsidR="004654A6" w:rsidRPr="006E32E9">
        <w:rPr>
          <w:b w:val="0"/>
          <w:lang w:val="en-GB"/>
        </w:rPr>
        <w:fldChar w:fldCharType="end"/>
      </w:r>
      <w:r w:rsidRPr="006E32E9">
        <w:rPr>
          <w:b w:val="0"/>
          <w:lang w:val="en-GB"/>
        </w:rPr>
        <w:t>).</w:t>
      </w:r>
      <w:proofErr w:type="gramEnd"/>
      <w:r w:rsidRPr="006E32E9">
        <w:rPr>
          <w:b w:val="0"/>
          <w:lang w:val="en-GB"/>
        </w:rPr>
        <w:t xml:space="preserve"> The range of values in the x-axes are constrained to number of shocks that are likely to be observed in the area over 10</w:t>
      </w:r>
      <w:r w:rsidR="008B7E73" w:rsidRPr="006E32E9">
        <w:rPr>
          <w:b w:val="0"/>
          <w:lang w:val="en-GB"/>
        </w:rPr>
        <w:t xml:space="preserve"> </w:t>
      </w:r>
      <w:r w:rsidRPr="006E32E9">
        <w:rPr>
          <w:b w:val="0"/>
          <w:lang w:val="en-GB"/>
        </w:rPr>
        <w:t xml:space="preserve">years. The envelope includes the mean plus or minus </w:t>
      </w:r>
      <w:r w:rsidR="00BC6D8E" w:rsidRPr="006E32E9">
        <w:rPr>
          <w:b w:val="0"/>
          <w:lang w:val="en-GB"/>
        </w:rPr>
        <w:t>one</w:t>
      </w:r>
      <w:r w:rsidRPr="006E32E9">
        <w:rPr>
          <w:b w:val="0"/>
          <w:lang w:val="en-GB"/>
        </w:rPr>
        <w:t xml:space="preserve"> standard error</w:t>
      </w:r>
      <w:r w:rsidR="004654A6" w:rsidRPr="006E32E9">
        <w:rPr>
          <w:b w:val="0"/>
          <w:lang w:val="en-GB"/>
        </w:rPr>
        <w:t>.</w:t>
      </w:r>
    </w:p>
    <w:p w14:paraId="4B4BF820" w14:textId="2AF1B89C" w:rsidR="00705521" w:rsidRDefault="00705521" w:rsidP="00705521">
      <w:pPr>
        <w:rPr>
          <w:lang w:val="en-GB"/>
        </w:rPr>
      </w:pPr>
    </w:p>
    <w:p w14:paraId="1644125D" w14:textId="0B8B2D6D" w:rsidR="00705521" w:rsidRPr="00705521" w:rsidRDefault="00705521" w:rsidP="00FF0D86">
      <w:pPr>
        <w:rPr>
          <w:lang w:val="en-GB"/>
        </w:rPr>
      </w:pPr>
      <w:r w:rsidRPr="006E32E9">
        <w:rPr>
          <w:lang w:val="en-GB"/>
        </w:rPr>
        <w:t xml:space="preserve">Results </w:t>
      </w:r>
      <w:r>
        <w:rPr>
          <w:lang w:val="en-GB"/>
        </w:rPr>
        <w:t xml:space="preserve">for the control variables </w:t>
      </w:r>
      <w:r w:rsidRPr="006E32E9">
        <w:rPr>
          <w:lang w:val="en-GB"/>
        </w:rPr>
        <w:t xml:space="preserve">indicated that there was a significant and negative effect of population density on the odds of being engaged in precarious livelihoods only in exurb communities: an increase in population density is associated with a decrease in the odds of being an agricultural labourer or unemployed (OR = 0.94, 95% CI = 0.90, </w:t>
      </w:r>
      <w:r w:rsidR="00FF0D86">
        <w:rPr>
          <w:lang w:val="en-GB"/>
        </w:rPr>
        <w:t>0</w:t>
      </w:r>
      <w:r w:rsidRPr="006E32E9">
        <w:rPr>
          <w:lang w:val="en-GB"/>
        </w:rPr>
        <w:t>.</w:t>
      </w:r>
      <w:r w:rsidR="00FF0D86">
        <w:rPr>
          <w:lang w:val="en-GB"/>
        </w:rPr>
        <w:t>97</w:t>
      </w:r>
      <w:r w:rsidRPr="006E32E9">
        <w:rPr>
          <w:lang w:val="en-GB"/>
        </w:rPr>
        <w:t xml:space="preserve">). </w:t>
      </w:r>
      <w:r w:rsidR="00FF0D86" w:rsidRPr="00FF0D86">
        <w:rPr>
          <w:lang w:val="en-GB"/>
        </w:rPr>
        <w:t>It is also apparent that belonging to disadvantaged groups (scheduled castes and tribes) increase</w:t>
      </w:r>
      <w:r w:rsidR="00ED04BA">
        <w:rPr>
          <w:lang w:val="en-GB"/>
        </w:rPr>
        <w:t>s</w:t>
      </w:r>
      <w:r w:rsidR="00FF0D86" w:rsidRPr="00FF0D86">
        <w:rPr>
          <w:lang w:val="en-GB"/>
        </w:rPr>
        <w:t xml:space="preserve"> the odds of being engaged in precarious livelihoods only in exurban (OR = 1.13, 95% CI = 1.04, 1.22) and agro-industrial communities (OR = 1.14, 95% CI = 1.06, 1.22)</w:t>
      </w:r>
      <w:r w:rsidR="00FF0D86">
        <w:rPr>
          <w:lang w:val="en-GB"/>
        </w:rPr>
        <w:t>. H</w:t>
      </w:r>
      <w:r w:rsidRPr="006E32E9">
        <w:rPr>
          <w:lang w:val="en-GB"/>
        </w:rPr>
        <w:t xml:space="preserve">ouseholds located in </w:t>
      </w:r>
      <w:proofErr w:type="spellStart"/>
      <w:r w:rsidRPr="006E32E9">
        <w:rPr>
          <w:lang w:val="en-GB"/>
        </w:rPr>
        <w:t>Puri</w:t>
      </w:r>
      <w:proofErr w:type="spellEnd"/>
      <w:r w:rsidRPr="006E32E9">
        <w:rPr>
          <w:lang w:val="en-GB"/>
        </w:rPr>
        <w:t xml:space="preserve"> and </w:t>
      </w:r>
      <w:proofErr w:type="spellStart"/>
      <w:r w:rsidRPr="006E32E9">
        <w:rPr>
          <w:lang w:val="en-GB"/>
        </w:rPr>
        <w:lastRenderedPageBreak/>
        <w:t>Jagatsinghpur</w:t>
      </w:r>
      <w:proofErr w:type="spellEnd"/>
      <w:r w:rsidRPr="006E32E9">
        <w:rPr>
          <w:lang w:val="en-GB"/>
        </w:rPr>
        <w:t xml:space="preserve"> have lower odds of engaging in precarious activities, compared to those located in </w:t>
      </w:r>
      <w:proofErr w:type="spellStart"/>
      <w:r w:rsidRPr="006E32E9">
        <w:rPr>
          <w:lang w:val="en-GB"/>
        </w:rPr>
        <w:t>Bhadrak</w:t>
      </w:r>
      <w:proofErr w:type="spellEnd"/>
      <w:r w:rsidRPr="006E32E9">
        <w:rPr>
          <w:lang w:val="en-GB"/>
        </w:rPr>
        <w:t xml:space="preserve">, especially in </w:t>
      </w:r>
      <w:proofErr w:type="spellStart"/>
      <w:r w:rsidRPr="006E32E9">
        <w:rPr>
          <w:lang w:val="en-GB"/>
        </w:rPr>
        <w:t>rainfed</w:t>
      </w:r>
      <w:proofErr w:type="spellEnd"/>
      <w:r w:rsidRPr="006E32E9">
        <w:rPr>
          <w:lang w:val="en-GB"/>
        </w:rPr>
        <w:t xml:space="preserve"> agricultural communities</w:t>
      </w:r>
      <w:r w:rsidR="00FF0D86">
        <w:rPr>
          <w:lang w:val="en-GB"/>
        </w:rPr>
        <w:t xml:space="preserve"> </w:t>
      </w:r>
      <w:r w:rsidR="00FF0D86" w:rsidRPr="006E32E9">
        <w:rPr>
          <w:lang w:val="en-GB"/>
        </w:rPr>
        <w:t>(</w:t>
      </w:r>
      <w:proofErr w:type="spellStart"/>
      <w:r w:rsidR="00FF0D86" w:rsidRPr="006E32E9">
        <w:rPr>
          <w:lang w:val="en-GB"/>
        </w:rPr>
        <w:t>OR</w:t>
      </w:r>
      <w:r w:rsidR="00FF0D86" w:rsidRPr="00FF0D86">
        <w:rPr>
          <w:vertAlign w:val="subscript"/>
          <w:lang w:val="en-GB"/>
        </w:rPr>
        <w:t>Puri</w:t>
      </w:r>
      <w:proofErr w:type="spellEnd"/>
      <w:r w:rsidR="00FF0D86" w:rsidRPr="006E32E9">
        <w:rPr>
          <w:lang w:val="en-GB"/>
        </w:rPr>
        <w:t xml:space="preserve"> = 0.78, 95% CI = 0.7</w:t>
      </w:r>
      <w:r w:rsidR="00FF0D86">
        <w:rPr>
          <w:lang w:val="en-GB"/>
        </w:rPr>
        <w:t>2</w:t>
      </w:r>
      <w:r w:rsidR="00FF0D86" w:rsidRPr="006E32E9">
        <w:rPr>
          <w:lang w:val="en-GB"/>
        </w:rPr>
        <w:t>, 0.83</w:t>
      </w:r>
      <w:r w:rsidR="00FF0D86">
        <w:rPr>
          <w:lang w:val="en-GB"/>
        </w:rPr>
        <w:t xml:space="preserve">; </w:t>
      </w:r>
      <w:r w:rsidR="00FF0D86" w:rsidRPr="006E32E9">
        <w:rPr>
          <w:lang w:val="en-GB"/>
        </w:rPr>
        <w:t>(</w:t>
      </w:r>
      <w:proofErr w:type="spellStart"/>
      <w:r w:rsidR="00FF0D86" w:rsidRPr="006E32E9">
        <w:rPr>
          <w:lang w:val="en-GB"/>
        </w:rPr>
        <w:t>OR</w:t>
      </w:r>
      <w:r w:rsidR="00FF0D86" w:rsidRPr="00FF0D86">
        <w:rPr>
          <w:vertAlign w:val="subscript"/>
          <w:lang w:val="en-GB"/>
        </w:rPr>
        <w:t>Jagatsinghpur</w:t>
      </w:r>
      <w:proofErr w:type="spellEnd"/>
      <w:r w:rsidR="00FF0D86" w:rsidRPr="006E32E9">
        <w:rPr>
          <w:lang w:val="en-GB"/>
        </w:rPr>
        <w:t xml:space="preserve"> = 0.74, 95% CI = 0.69, 0.80)</w:t>
      </w:r>
      <w:r w:rsidRPr="006E32E9">
        <w:rPr>
          <w:lang w:val="en-GB"/>
        </w:rPr>
        <w:t>.</w:t>
      </w:r>
    </w:p>
    <w:p w14:paraId="0389A8E3" w14:textId="2570B2B0" w:rsidR="006C5BFD" w:rsidRPr="006E32E9" w:rsidRDefault="006C5BFD" w:rsidP="006C5BFD">
      <w:pPr>
        <w:pStyle w:val="Heading1"/>
        <w:rPr>
          <w:rFonts w:ascii="Times New Roman" w:hAnsi="Times New Roman" w:cs="Times New Roman"/>
          <w:lang w:val="en-GB"/>
        </w:rPr>
      </w:pPr>
      <w:r w:rsidRPr="006E32E9">
        <w:rPr>
          <w:rFonts w:ascii="Times New Roman" w:hAnsi="Times New Roman" w:cs="Times New Roman"/>
          <w:lang w:val="en-GB"/>
        </w:rPr>
        <w:lastRenderedPageBreak/>
        <w:t>Discussion</w:t>
      </w:r>
    </w:p>
    <w:p w14:paraId="31D4F1AC" w14:textId="78D7FADC" w:rsidR="006C5BFD" w:rsidRPr="006E32E9" w:rsidRDefault="002F5CF5" w:rsidP="002F5CF5">
      <w:pPr>
        <w:rPr>
          <w:rFonts w:ascii="Times New Roman" w:hAnsi="Times New Roman" w:cs="Times New Roman"/>
          <w:lang w:val="en-GB"/>
        </w:rPr>
      </w:pPr>
      <w:r w:rsidRPr="006E32E9">
        <w:rPr>
          <w:rFonts w:ascii="Times New Roman" w:hAnsi="Times New Roman" w:cs="Times New Roman"/>
          <w:lang w:val="en-GB"/>
        </w:rPr>
        <w:t xml:space="preserve">This paper presents a geographical perspective of livelihood systems and of the impact of agricultural shocks on livelihood activities. The results suggest that multiple agricultural shocks increase the probability for households engaging in precarious livelihood activities in most rural communities, except for those located near main roads and </w:t>
      </w:r>
      <w:r w:rsidR="0010358C" w:rsidRPr="006E32E9">
        <w:rPr>
          <w:rFonts w:ascii="Times New Roman" w:hAnsi="Times New Roman" w:cs="Times New Roman"/>
          <w:lang w:val="en-GB"/>
        </w:rPr>
        <w:t xml:space="preserve">higher levels of </w:t>
      </w:r>
      <w:r w:rsidRPr="006E32E9">
        <w:rPr>
          <w:rFonts w:ascii="Times New Roman" w:hAnsi="Times New Roman" w:cs="Times New Roman"/>
          <w:lang w:val="en-GB"/>
        </w:rPr>
        <w:t xml:space="preserve">productive infrastructures. Another important finding is that access to human capital and to financial capital are associated with more stable livelihoods, such as cultivation, self-employment and salaried employment. Self-employment, defined as household industry work in the census of India, is considered here as a more desirable livelihood compared to agricultural labour and joblessness as it is associated with greater returns to capital and skills </w:t>
      </w:r>
      <w:r w:rsidR="006113C7" w:rsidRPr="006E32E9">
        <w:rPr>
          <w:rFonts w:ascii="Times New Roman" w:hAnsi="Times New Roman" w:cs="Times New Roman"/>
          <w:lang w:val="en-GB"/>
        </w:rPr>
        <w:fldChar w:fldCharType="begin" w:fldLock="1"/>
      </w:r>
      <w:r w:rsidR="00BC7A96" w:rsidRPr="006E32E9">
        <w:rPr>
          <w:rFonts w:ascii="Times New Roman" w:hAnsi="Times New Roman" w:cs="Times New Roman"/>
          <w:lang w:val="en-GB"/>
        </w:rPr>
        <w:instrText>ADDIN CSL_CITATION {"citationItems":[{"id":"ITEM-1","itemData":{"DOI":"10.1016/j.jdeveco.2015.07.010","ISSN":"03043878","abstract":"A large share of the workforce throughout the developing world is self-employed, and this proportion has increased in recent decades. Assessments of this development vary, with pull factors such as high returns to capital contrasted with push factors such as barriers to more desirable salaried jobs. Using a long panel dataset from Ghana, we empirically investigate the changing structure of earnings in self-employment relative to salaried work. Our analysis allows workers to sort into self-employment for different reasons, including expected earnings differentials and endogenous capital accumulation whilst highlighting constraints that workers may face. We estimate a correlated random coefficient model using IV-GMM, taking into account the endogeneity of sector choice and capital accumulation. We find that returns to productive characteristics in self-employment have increased significantly between 2004 and 2011 whilst self-employment has attracted increasingly skilled workers. This points against the negative view of self-employment as an occupation of last resort.","author":[{"dropping-particle":"","family":"Falco","given":"Paolo","non-dropping-particle":"","parse-names":false,"suffix":""},{"dropping-particle":"","family":"Haywood","given":"Luke","non-dropping-particle":"","parse-names":false,"suffix":""}],"container-title":"Journal of Development Economics","id":"ITEM-1","issued":{"date-parts":[["2016"]]},"page":"245-265","publisher":"Elsevier B.V.","title":"Entrepreneurship versus joblessness: Explaining the rise in self-employment","type":"article-journal","volume":"118"},"uris":["http://www.mendeley.com/documents/?uuid=4436f642-e54a-4165-8c90-41a7fcc951f8"]}],"mendeley":{"formattedCitation":"(Falco &amp; Haywood, 2016)","plainTextFormattedCitation":"(Falco &amp; Haywood, 2016)","previouslyFormattedCitation":"(Falco &amp; Haywood, 2016)"},"properties":{"noteIndex":0},"schema":"https://github.com/citation-style-language/schema/raw/master/csl-citation.json"}</w:instrText>
      </w:r>
      <w:r w:rsidR="006113C7" w:rsidRPr="006E32E9">
        <w:rPr>
          <w:rFonts w:ascii="Times New Roman" w:hAnsi="Times New Roman" w:cs="Times New Roman"/>
          <w:lang w:val="en-GB"/>
        </w:rPr>
        <w:fldChar w:fldCharType="separate"/>
      </w:r>
      <w:r w:rsidR="002B1556" w:rsidRPr="006E32E9">
        <w:rPr>
          <w:rFonts w:ascii="Times New Roman" w:hAnsi="Times New Roman" w:cs="Times New Roman"/>
          <w:noProof/>
          <w:lang w:val="en-GB"/>
        </w:rPr>
        <w:t>(Falco &amp; Haywood, 2016)</w:t>
      </w:r>
      <w:r w:rsidR="006113C7" w:rsidRPr="006E32E9">
        <w:rPr>
          <w:rFonts w:ascii="Times New Roman" w:hAnsi="Times New Roman" w:cs="Times New Roman"/>
          <w:lang w:val="en-GB"/>
        </w:rPr>
        <w:fldChar w:fldCharType="end"/>
      </w:r>
      <w:r w:rsidRPr="006E32E9">
        <w:rPr>
          <w:rFonts w:ascii="Times New Roman" w:hAnsi="Times New Roman" w:cs="Times New Roman"/>
          <w:lang w:val="en-GB"/>
        </w:rPr>
        <w:t xml:space="preserve">. Our findings also indicate that access to physical capital significantly reduces the likelihood of being engaged in agricultural labour or being unemployed only in agricultural communities with irrigation infrastructures and located near industrial areas (agro-industrial </w:t>
      </w:r>
      <w:r w:rsidR="00744A4A" w:rsidRPr="006E32E9">
        <w:rPr>
          <w:rFonts w:ascii="Times New Roman" w:hAnsi="Times New Roman" w:cs="Times New Roman"/>
          <w:lang w:val="en-GB"/>
        </w:rPr>
        <w:t>landscapes</w:t>
      </w:r>
      <w:r w:rsidRPr="006E32E9">
        <w:rPr>
          <w:rFonts w:ascii="Times New Roman" w:hAnsi="Times New Roman" w:cs="Times New Roman"/>
          <w:lang w:val="en-GB"/>
        </w:rPr>
        <w:t xml:space="preserve">). We found that an increase in natural capital is associated with a decrease in the likelihood of having a precarious livelihood in </w:t>
      </w:r>
      <w:proofErr w:type="spellStart"/>
      <w:r w:rsidRPr="006E32E9">
        <w:rPr>
          <w:rFonts w:ascii="Times New Roman" w:hAnsi="Times New Roman" w:cs="Times New Roman"/>
          <w:lang w:val="en-GB"/>
        </w:rPr>
        <w:t>rainfed</w:t>
      </w:r>
      <w:proofErr w:type="spellEnd"/>
      <w:r w:rsidRPr="006E32E9">
        <w:rPr>
          <w:rFonts w:ascii="Times New Roman" w:hAnsi="Times New Roman" w:cs="Times New Roman"/>
          <w:lang w:val="en-GB"/>
        </w:rPr>
        <w:t xml:space="preserve"> agricultural and agro-industrial </w:t>
      </w:r>
      <w:r w:rsidR="00744A4A" w:rsidRPr="006E32E9">
        <w:rPr>
          <w:rFonts w:ascii="Times New Roman" w:hAnsi="Times New Roman" w:cs="Times New Roman"/>
          <w:lang w:val="en-GB"/>
        </w:rPr>
        <w:t>landscapes</w:t>
      </w:r>
      <w:r w:rsidRPr="006E32E9">
        <w:rPr>
          <w:rFonts w:ascii="Times New Roman" w:hAnsi="Times New Roman" w:cs="Times New Roman"/>
          <w:lang w:val="en-GB"/>
        </w:rPr>
        <w:t>. Importantly, our findings show that this trend is reversed in exurban communities.</w:t>
      </w:r>
    </w:p>
    <w:p w14:paraId="040CB0C9" w14:textId="77777777" w:rsidR="002F5CF5" w:rsidRPr="006E32E9" w:rsidRDefault="002F5CF5" w:rsidP="002F5CF5">
      <w:pPr>
        <w:rPr>
          <w:rFonts w:ascii="Times New Roman" w:hAnsi="Times New Roman" w:cs="Times New Roman"/>
          <w:lang w:val="en-GB"/>
        </w:rPr>
      </w:pPr>
    </w:p>
    <w:p w14:paraId="47129E4C" w14:textId="4F293B69" w:rsidR="002F5CF5" w:rsidRPr="006E32E9" w:rsidRDefault="002F5CF5" w:rsidP="002F5CF5">
      <w:pPr>
        <w:pStyle w:val="Heading2"/>
      </w:pPr>
      <w:r w:rsidRPr="006E32E9">
        <w:t>Climate change impacts on livelihoods and poverty</w:t>
      </w:r>
    </w:p>
    <w:p w14:paraId="7BD907E7" w14:textId="5F5118CC" w:rsidR="002F5CF5" w:rsidRPr="006E32E9" w:rsidRDefault="002F5CF5" w:rsidP="006E32E9">
      <w:pPr>
        <w:ind w:firstLine="0"/>
        <w:rPr>
          <w:lang w:val="en-GB"/>
        </w:rPr>
      </w:pPr>
      <w:r w:rsidRPr="006E32E9">
        <w:rPr>
          <w:lang w:val="en-GB"/>
        </w:rPr>
        <w:t xml:space="preserve">Our findings showed no significant associations between agricultural shocks and the likelihood of engaging in precarious livelihood activities in exurban communities and only weak associations in agro-industrial communities, when compared to more remote clusters. These results </w:t>
      </w:r>
      <w:r w:rsidR="00E83613" w:rsidRPr="006E32E9">
        <w:rPr>
          <w:lang w:val="en-GB"/>
        </w:rPr>
        <w:t>suggest</w:t>
      </w:r>
      <w:r w:rsidRPr="006E32E9">
        <w:rPr>
          <w:lang w:val="en-GB"/>
        </w:rPr>
        <w:t xml:space="preserve"> that investments in infrastructure, such as connections to market centres and social services, provide households with a greater flexibility and agency to cope with climate </w:t>
      </w:r>
      <w:r w:rsidRPr="006E32E9">
        <w:rPr>
          <w:lang w:val="en-GB"/>
        </w:rPr>
        <w:lastRenderedPageBreak/>
        <w:t xml:space="preserve">shocks. Overall, the impact of an increase in the variance of climate will probably lead to a greater variability in agricultural productivity and to a greater number of crop failures </w:t>
      </w:r>
      <w:r w:rsidR="006113C7" w:rsidRPr="006E32E9">
        <w:rPr>
          <w:lang w:val="en-GB"/>
        </w:rPr>
        <w:fldChar w:fldCharType="begin" w:fldLock="1"/>
      </w:r>
      <w:r w:rsidR="008A3E02" w:rsidRPr="006E32E9">
        <w:rPr>
          <w:lang w:val="en-GB"/>
        </w:rPr>
        <w:instrText>ADDIN CSL_CITATION {"citationItems":[{"id":"ITEM-1","itemData":{"DOI":"10.1038/NCLIMATE2153","author":[{"dropping-particle":"","family":"Challinor","given":"A J","non-dropping-particle":"","parse-names":false,"suffix":""},{"dropping-particle":"","family":"Watson","given":"J","non-dropping-particle":"","parse-names":false,"suffix":""},{"dropping-particle":"","family":"Lobell","given":"D B","non-dropping-particle":"","parse-names":false,"suffix":""},{"dropping-particle":"","family":"Howden","given":"S M","non-dropping-particle":"","parse-names":false,"suffix":""},{"dropping-particle":"","family":"Smith","given":"D R","non-dropping-particle":"","parse-names":false,"suffix":""},{"dropping-particle":"","family":"Chhetri","given":"N","non-dropping-particle":"","parse-names":false,"suffix":""}],"container-title":"Nature Climate Change","id":"ITEM-1","issue":"March","issued":{"date-parts":[["2014"]]},"page":"287-291","title":"A meta-analysis of crop yield under climate change and adaptation","type":"article-journal","volume":"4"},"uris":["http://www.mendeley.com/documents/?uuid=8583d5b3-490a-4454-bd13-2477ce0c307d"]}],"mendeley":{"formattedCitation":"(Challinor et al., 2014)","plainTextFormattedCitation":"(Challinor et al., 2014)","previouslyFormattedCitation":"(Challinor et al., 2014)"},"properties":{"noteIndex":0},"schema":"https://github.com/citation-style-language/schema/raw/master/csl-citation.json"}</w:instrText>
      </w:r>
      <w:r w:rsidR="006113C7" w:rsidRPr="006E32E9">
        <w:rPr>
          <w:lang w:val="en-GB"/>
        </w:rPr>
        <w:fldChar w:fldCharType="separate"/>
      </w:r>
      <w:r w:rsidR="00E83613" w:rsidRPr="006E32E9">
        <w:rPr>
          <w:noProof/>
          <w:lang w:val="en-GB"/>
        </w:rPr>
        <w:t>(Challinor et al., 2014)</w:t>
      </w:r>
      <w:r w:rsidR="006113C7" w:rsidRPr="006E32E9">
        <w:rPr>
          <w:lang w:val="en-GB"/>
        </w:rPr>
        <w:fldChar w:fldCharType="end"/>
      </w:r>
      <w:r w:rsidRPr="006E32E9">
        <w:rPr>
          <w:lang w:val="en-GB"/>
        </w:rPr>
        <w:t xml:space="preserve">. The findings from this study support the idea that such changes are likely to drive households into precarious livelihood strategies, thus exacerbating rural poverty especially in remote </w:t>
      </w:r>
      <w:r w:rsidR="00C86F65" w:rsidRPr="006E32E9">
        <w:rPr>
          <w:lang w:val="en-GB"/>
        </w:rPr>
        <w:t>rural agricultural communities.</w:t>
      </w:r>
      <w:r w:rsidRPr="006E32E9">
        <w:rPr>
          <w:lang w:val="en-GB"/>
        </w:rPr>
        <w:t xml:space="preserve"> Although the probability to be an agricultural labourer or unemployed in resource periphery communities is lower than in other clusters in the absence of shocks, we found that it is the cluster where households' livelihoods are the most likely to be negatively impacted by crop failure. Arguably, the most important result from this research is that rural typologies should be included in the design of climate change assessments to take into account the differential vulnerability of communities to crop failure.</w:t>
      </w:r>
    </w:p>
    <w:p w14:paraId="404E3343" w14:textId="59CE9110" w:rsidR="002F5CF5" w:rsidRPr="006E32E9" w:rsidRDefault="002F5CF5" w:rsidP="002F5CF5">
      <w:pPr>
        <w:rPr>
          <w:lang w:val="en-GB"/>
        </w:rPr>
      </w:pPr>
    </w:p>
    <w:p w14:paraId="649FFEA2" w14:textId="2987866A" w:rsidR="002F5CF5" w:rsidRPr="006E32E9" w:rsidRDefault="002F5CF5" w:rsidP="002F5CF5">
      <w:pPr>
        <w:pStyle w:val="Heading2"/>
      </w:pPr>
      <w:r w:rsidRPr="006E32E9">
        <w:t>Spatial dimensions of livelihoods</w:t>
      </w:r>
    </w:p>
    <w:p w14:paraId="5C684F21" w14:textId="77777777" w:rsidR="0010358C" w:rsidRPr="006E32E9" w:rsidRDefault="002F5CF5" w:rsidP="002F5CF5">
      <w:pPr>
        <w:rPr>
          <w:lang w:val="en-GB"/>
        </w:rPr>
      </w:pPr>
      <w:r w:rsidRPr="006E32E9">
        <w:rPr>
          <w:lang w:val="en-GB"/>
        </w:rPr>
        <w:t>Rural poverty is spatially distributed, with factors such as institutional linkages, access</w:t>
      </w:r>
      <w:r w:rsidR="00356E72" w:rsidRPr="006E32E9">
        <w:rPr>
          <w:lang w:val="en-GB"/>
        </w:rPr>
        <w:t xml:space="preserve"> to and control over resources </w:t>
      </w:r>
      <w:r w:rsidRPr="006E32E9">
        <w:rPr>
          <w:lang w:val="en-GB"/>
        </w:rPr>
        <w:t xml:space="preserve">affecting livelihood opportunities. </w:t>
      </w:r>
      <w:r w:rsidR="00356E72" w:rsidRPr="006E32E9">
        <w:rPr>
          <w:lang w:val="en-GB"/>
        </w:rPr>
        <w:t>Previous studies</w:t>
      </w:r>
      <w:r w:rsidRPr="006E32E9">
        <w:rPr>
          <w:lang w:val="en-GB"/>
        </w:rPr>
        <w:t xml:space="preserve"> showed that the sensitivity of on-farm and off-farm livelihood strategies to livelihood capitals exhibit different patterns depending on the type of settlement considered</w:t>
      </w:r>
      <w:r w:rsidR="00356E72" w:rsidRPr="006E32E9">
        <w:rPr>
          <w:lang w:val="en-GB"/>
        </w:rPr>
        <w:t xml:space="preserve"> </w:t>
      </w:r>
      <w:r w:rsidR="00356E72" w:rsidRPr="006E32E9">
        <w:rPr>
          <w:lang w:val="en-GB"/>
        </w:rPr>
        <w:fldChar w:fldCharType="begin" w:fldLock="1"/>
      </w:r>
      <w:r w:rsidR="00356E72" w:rsidRPr="006E32E9">
        <w:rPr>
          <w:lang w:val="en-GB"/>
        </w:rPr>
        <w:instrText>ADDIN CSL_CITATION {"citationItems":[{"id":"ITEM-1","itemData":{"DOI":"10.1016/j.ecolind.2013.11.007","ISSN":"1470160X","author":[{"dropping-particle":"","family":"Fang","given":"Yi-ping","non-dropping-particle":"","parse-names":false,"suffix":""},{"dropping-particle":"","family":"Fan","given":"Jie","non-dropping-particle":"","parse-names":false,"suffix":""},{"dropping-particle":"","family":"Shen","given":"Mao-ying","non-dropping-particle":"","parse-names":false,"suffix":""},{"dropping-particle":"","family":"Song","given":"Meng-qiang","non-dropping-particle":"","parse-names":false,"suffix":""}],"container-title":"Ecological Indicators","id":"ITEM-1","issued":{"date-parts":[["2014","3"]]},"page":"225-235","publisher":"Elsevier Ltd","title":"Sensitivity of livelihood strategy to livelihood capital in mountain areas: Empirical analysis based on different settlements in the upper reaches of the Minjiang River, China","type":"article-journal","volume":"38"},"uris":["http://www.mendeley.com/documents/?uuid=0656e393-31ef-4aa9-9f57-1bd72b66ce68"]}],"mendeley":{"formattedCitation":"(Fang et al., 2014)","plainTextFormattedCitation":"(Fang et al., 2014)","previouslyFormattedCitation":"(Fang et al., 2014)"},"properties":{"noteIndex":0},"schema":"https://github.com/citation-style-language/schema/raw/master/csl-citation.json"}</w:instrText>
      </w:r>
      <w:r w:rsidR="00356E72" w:rsidRPr="006E32E9">
        <w:rPr>
          <w:lang w:val="en-GB"/>
        </w:rPr>
        <w:fldChar w:fldCharType="separate"/>
      </w:r>
      <w:r w:rsidR="00356E72" w:rsidRPr="006E32E9">
        <w:rPr>
          <w:noProof/>
          <w:lang w:val="en-GB"/>
        </w:rPr>
        <w:t>(Fang et al., 2014)</w:t>
      </w:r>
      <w:r w:rsidR="00356E72" w:rsidRPr="006E32E9">
        <w:rPr>
          <w:lang w:val="en-GB"/>
        </w:rPr>
        <w:fldChar w:fldCharType="end"/>
      </w:r>
      <w:r w:rsidRPr="006E32E9">
        <w:rPr>
          <w:lang w:val="en-GB"/>
        </w:rPr>
        <w:t xml:space="preserve">. Our findings demonstrate that the probability of engaging in precarious livelihoods depends on households' access to capitals, and that the type of community in which households live modifies this association. For example, financial capital has a weaker effect on livelihoods in remote communities than in exurban communities, natural capital is associated with more precariousness in exurban communities but reduces the likelihood of precarity in single rice crop agricultural systems and physical capital is a determinant only in agro-industrial communities. </w:t>
      </w:r>
    </w:p>
    <w:p w14:paraId="29A18FBC" w14:textId="77777777" w:rsidR="0010358C" w:rsidRPr="006E32E9" w:rsidRDefault="0010358C" w:rsidP="0010358C">
      <w:pPr>
        <w:ind w:firstLine="0"/>
        <w:rPr>
          <w:lang w:val="en-GB"/>
        </w:rPr>
      </w:pPr>
    </w:p>
    <w:p w14:paraId="4F3C4DCC" w14:textId="59944ED8" w:rsidR="002F5CF5" w:rsidRPr="006E32E9" w:rsidRDefault="002F5CF5" w:rsidP="006E32E9">
      <w:pPr>
        <w:ind w:firstLine="0"/>
        <w:rPr>
          <w:lang w:val="en-GB"/>
        </w:rPr>
      </w:pPr>
      <w:r w:rsidRPr="006E32E9">
        <w:rPr>
          <w:lang w:val="en-GB"/>
        </w:rPr>
        <w:lastRenderedPageBreak/>
        <w:t xml:space="preserve">In remote communities that did not benefit from the technological packages of the green revolution, such as </w:t>
      </w:r>
      <w:proofErr w:type="spellStart"/>
      <w:r w:rsidRPr="006E32E9">
        <w:rPr>
          <w:lang w:val="en-GB"/>
        </w:rPr>
        <w:t>rainfed</w:t>
      </w:r>
      <w:proofErr w:type="spellEnd"/>
      <w:r w:rsidRPr="006E32E9">
        <w:rPr>
          <w:lang w:val="en-GB"/>
        </w:rPr>
        <w:t xml:space="preserve"> agricultural and agro-industrial communities, farmers have kept traditional single rice cropping systems </w:t>
      </w:r>
      <w:r w:rsidR="00356E72" w:rsidRPr="006E32E9">
        <w:rPr>
          <w:lang w:val="en-GB"/>
        </w:rPr>
        <w:fldChar w:fldCharType="begin" w:fldLock="1"/>
      </w:r>
      <w:r w:rsidR="00356E72" w:rsidRPr="006E32E9">
        <w:rPr>
          <w:lang w:val="en-GB"/>
        </w:rPr>
        <w:instrText>ADDIN CSL_CITATION {"citationItems":[{"id":"ITEM-1","itemData":{"DOI":"10.1016/j.jenvman.2013.11.039","ISSN":"03014797","PMID":"24405761","abstract":"The rainfed rice-growing environment is perhaps one of the most vulnerable to water stress such as drought and floods. It is important to determine the spatial extent of the stress-prone areas to effectively and efficiently promote proper technologies (e.g., stress-tolerant varieties) to tackle the problem of sustainable food production. This study was conducted in Odisha state located in eastern India. Odisha is predominantly a rainfed rice ecosystem (71% rainfed and 29% canal irrigated during kharif-monsoon season), where rice is the major crop and staple food of the people. However, rice productivity in Odisha is one of the lowest in India and a significant decline (9%) in rice cultivated area was observed in 2002 (a drought year). The present study analyzed the temporal rice cropping pattern in various ecosystems and identified the stress-prone areas due to submergence (flooding) and water shortage. The spatial distribution of rice areas was mapped using MODIS (MOD09Q1) 250-m 8-day time-series data (2000-2010) and spectral matching techniques. The mapped rice areas were strongly correlated (R2 = 90%) with district-level statistics. Also the class accuracy based on field-plot data was 84.8%. The area under the rainfed rice ecosystem continues to dominate, recording the largest share among rice classes across all the years. The use of remote-sensing techniques is rapid, cost-effective, and reliable to monitor changes in rice cultivated area over long periods of time and estimate the reduction in area cultivated due to abiotic stress such as water stress and submergence. Agricultural research institutes and line departments in the government can use these techniques for better planning, regular monitoring of land-use changes, and dissemination of appropriate technologies. © 2013 Elsevier Ltd. All rights reserved.","author":[{"dropping-particle":"","family":"Gumma","given":"Murali Krishna","non-dropping-particle":"","parse-names":false,"suffix":""},{"dropping-particle":"","family":"Mohanty","given":"Samarendu","non-dropping-particle":"","parse-names":false,"suffix":""},{"dropping-particle":"","family":"Nelson","given":"Andrew","non-dropping-particle":"","parse-names":false,"suffix":""},{"dropping-particle":"","family":"Arnel","given":"Rala","non-dropping-particle":"","parse-names":false,"suffix":""},{"dropping-particle":"","family":"Mohammed","given":"Irshad a.","non-dropping-particle":"","parse-names":false,"suffix":""},{"dropping-particle":"","family":"Das","given":"Satya Ranjan","non-dropping-particle":"","parse-names":false,"suffix":""}],"container-title":"Journal of Environmental Management","id":"ITEM-1","issued":{"date-parts":[["2014"]]},"page":"31-41","publisher":"Elsevier Ltd","title":"Remote sensing based change analysis of rice environments in Odisha, India","type":"article-journal","volume":"148"},"uris":["http://www.mendeley.com/documents/?uuid=de351f16-54ff-4fe6-a14f-e17186437466"]}],"mendeley":{"formattedCitation":"(Gumma et al., 2014)","plainTextFormattedCitation":"(Gumma et al., 2014)","previouslyFormattedCitation":"(Gumma et al., 2014)"},"properties":{"noteIndex":0},"schema":"https://github.com/citation-style-language/schema/raw/master/csl-citation.json"}</w:instrText>
      </w:r>
      <w:r w:rsidR="00356E72" w:rsidRPr="006E32E9">
        <w:rPr>
          <w:lang w:val="en-GB"/>
        </w:rPr>
        <w:fldChar w:fldCharType="separate"/>
      </w:r>
      <w:r w:rsidR="00356E72" w:rsidRPr="006E32E9">
        <w:rPr>
          <w:noProof/>
          <w:lang w:val="en-GB"/>
        </w:rPr>
        <w:t>(Gumma et al., 2014)</w:t>
      </w:r>
      <w:r w:rsidR="00356E72" w:rsidRPr="006E32E9">
        <w:rPr>
          <w:lang w:val="en-GB"/>
        </w:rPr>
        <w:fldChar w:fldCharType="end"/>
      </w:r>
      <w:r w:rsidRPr="006E32E9">
        <w:rPr>
          <w:lang w:val="en-GB"/>
        </w:rPr>
        <w:t>. We found that in these communities</w:t>
      </w:r>
      <w:r w:rsidR="00356E72" w:rsidRPr="006E32E9">
        <w:rPr>
          <w:lang w:val="en-GB"/>
        </w:rPr>
        <w:t>,</w:t>
      </w:r>
      <w:r w:rsidRPr="006E32E9">
        <w:rPr>
          <w:lang w:val="en-GB"/>
        </w:rPr>
        <w:t xml:space="preserve"> access to natural capital has a positive effect on stable livelihood strategies, notably because of the increased probability to engage in cultivation. This finding was also reported by </w:t>
      </w:r>
      <w:r w:rsidR="00356E72" w:rsidRPr="006E32E9">
        <w:rPr>
          <w:lang w:val="en-GB"/>
        </w:rPr>
        <w:fldChar w:fldCharType="begin" w:fldLock="1"/>
      </w:r>
      <w:r w:rsidR="00356E72" w:rsidRPr="006E32E9">
        <w:rPr>
          <w:lang w:val="en-GB"/>
        </w:rPr>
        <w:instrText>ADDIN CSL_CITATION {"citationItems":[{"id":"ITEM-1","itemData":{"DOI":"10.1016/j.ecolecon.2009.09.006","ISSN":"09218009","author":[{"dropping-particle":"","family":"Berg","given":"Marrit","non-dropping-particle":"van den","parse-names":false,"suffix":""}],"container-title":"Ecological Economics","id":"ITEM-1","issue":"3","issued":{"date-parts":[["2010","1"]]},"page":"592-602","publisher":"Elsevier B.V.","title":"Household income strategies and natural disasters: Dynamic livelihoods in rural Nicaragua","type":"article-journal","volume":"69"},"uris":["http://www.mendeley.com/documents/?uuid=6d1f5573-4a8c-4c1e-9c35-b29d9e757823"]}],"mendeley":{"formattedCitation":"(van den Berg, 2010)","manualFormatting":"van den Berg (2010)","plainTextFormattedCitation":"(van den Berg, 2010)","previouslyFormattedCitation":"(van den Berg, 2010)"},"properties":{"noteIndex":0},"schema":"https://github.com/citation-style-language/schema/raw/master/csl-citation.json"}</w:instrText>
      </w:r>
      <w:r w:rsidR="00356E72" w:rsidRPr="006E32E9">
        <w:rPr>
          <w:lang w:val="en-GB"/>
        </w:rPr>
        <w:fldChar w:fldCharType="separate"/>
      </w:r>
      <w:r w:rsidR="00356E72" w:rsidRPr="006E32E9">
        <w:rPr>
          <w:noProof/>
          <w:lang w:val="en-GB"/>
        </w:rPr>
        <w:t>van den Berg (2010)</w:t>
      </w:r>
      <w:r w:rsidR="00356E72" w:rsidRPr="006E32E9">
        <w:rPr>
          <w:lang w:val="en-GB"/>
        </w:rPr>
        <w:fldChar w:fldCharType="end"/>
      </w:r>
      <w:r w:rsidRPr="006E32E9">
        <w:rPr>
          <w:lang w:val="en-GB"/>
        </w:rPr>
        <w:t xml:space="preserve"> who showed that lack of access to natural resources in rural areas can drive households into more precarious on-farm activities such as daily-wage labour. However, access to natural capital is associated with precarious livelihoods in exurban communities. A similar finding is likely to be related to the connection of such communities to urban centres: proximity to market increases the pressure on farm holdings, encourages smallholders' land dispossession and thus leads to the cornering of natural resources by a few large-scale farmers</w:t>
      </w:r>
      <w:r w:rsidR="00356E72" w:rsidRPr="006E32E9">
        <w:rPr>
          <w:lang w:val="en-GB"/>
        </w:rPr>
        <w:t xml:space="preserve"> </w:t>
      </w:r>
      <w:r w:rsidR="00356E72" w:rsidRPr="006E32E9">
        <w:rPr>
          <w:lang w:val="en-GB"/>
        </w:rPr>
        <w:fldChar w:fldCharType="begin" w:fldLock="1"/>
      </w:r>
      <w:r w:rsidR="00BC7A96" w:rsidRPr="006E32E9">
        <w:rPr>
          <w:lang w:val="en-GB"/>
        </w:rPr>
        <w:instrText>ADDIN CSL_CITATION {"citationItems":[{"id":"ITEM-1","itemData":{"DOI":"10.1016/j.landusepol.2012.08.005","ISBN":"0264-8377","ISSN":"02648377","abstract":"In this article, we analyze the impact of land fragmentation, farm size, land ownership and crop diversity on farm profit and efficiency of 90 groundwater irrigated farms in the hard rock areas of South India. As we hypothesize that these variables may impact both, farm profit and efficiency in alternative ways, we develop four different stochastic frontier and inefficiency effect models by shifting some of these variables from the inefficiency model into the profit function. The underlining reason is to know the impact of different combination of these structural variables on farm profit and efficiency. Our analysis shows that there exist high levels of inefficiency among the sample farms. Among the variables influencing efficiency, the most pronounced effects are observed with land fragmentation, land ownership and crop diversity. Land fragmentation is positively and significantly associated with inefficiency, whereas land ownership and crop diversity is negatively and significantly associated with inefficiency. In addition land fragmentation can also have a significant negative effect on farm profit. We further find that smaller farms appear to have lower inefficiencies than larger farms due to the more efficient use of inputs by the former category. Importantly, when a farmer owns a failed well, this also contributes to the inefficiency, since well failure increases cost of irrigation. Further the average profit efficiencies are higher for unfragmented farms, large farms, owner operated farms and farms with a diversified cropping pattern as compared with their counterparts. Knowledge on the factors influencing farm profit and efficiency is crucial for policy makers and extension agents for improving efficiency levels of the groundwater irrigated farms especially in water scarce regions of the country. ?? 2012 Elsevier Ltd.","author":[{"dropping-particle":"V.","family":"Manjunatha","given":"A.","non-dropping-particle":"","parse-names":false,"suffix":""},{"dropping-particle":"","family":"Anik","given":"Asif Reza","non-dropping-particle":"","parse-names":false,"suffix":""},{"dropping-particle":"","family":"Speelman","given":"S.","non-dropping-particle":"","parse-names":false,"suffix":""},{"dropping-particle":"","family":"Nuppenau","given":"E. A.","non-dropping-particle":"","parse-names":false,"suffix":""}],"container-title":"Land Use Policy","id":"ITEM-1","issued":{"date-parts":[["2013"]]},"page":"397-405","publisher":"Elsevier Ltd","title":"Impact of land fragmentation, farm size, land ownership and crop diversity on profit and efficiency of irrigated farms in India","type":"article-journal","volume":"31"},"uris":["http://www.mendeley.com/documents/?uuid=035d9600-63a7-4f99-9ff2-5112805251f6"]}],"mendeley":{"formattedCitation":"(Manjunatha, Anik, Speelman, &amp; Nuppenau, 2013)","plainTextFormattedCitation":"(Manjunatha, Anik, Speelman, &amp; Nuppenau, 2013)","previouslyFormattedCitation":"(Manjunatha, Anik, Speelman, &amp; Nuppenau, 2013)"},"properties":{"noteIndex":0},"schema":"https://github.com/citation-style-language/schema/raw/master/csl-citation.json"}</w:instrText>
      </w:r>
      <w:r w:rsidR="00356E72" w:rsidRPr="006E32E9">
        <w:rPr>
          <w:lang w:val="en-GB"/>
        </w:rPr>
        <w:fldChar w:fldCharType="separate"/>
      </w:r>
      <w:r w:rsidR="002B1556" w:rsidRPr="006E32E9">
        <w:rPr>
          <w:noProof/>
          <w:lang w:val="en-GB"/>
        </w:rPr>
        <w:t>(Manjunatha, Anik, Speelman, &amp; Nuppenau, 2013)</w:t>
      </w:r>
      <w:r w:rsidR="00356E72" w:rsidRPr="006E32E9">
        <w:rPr>
          <w:lang w:val="en-GB"/>
        </w:rPr>
        <w:fldChar w:fldCharType="end"/>
      </w:r>
      <w:r w:rsidRPr="006E32E9">
        <w:rPr>
          <w:lang w:val="en-GB"/>
        </w:rPr>
        <w:t xml:space="preserve">. Previous research has demonstrated that a larger average of cropland per household was associated with fewer large-scale farms owning the natural resources </w:t>
      </w:r>
      <w:r w:rsidR="00356E72" w:rsidRPr="006E32E9">
        <w:rPr>
          <w:lang w:val="en-GB"/>
        </w:rPr>
        <w:fldChar w:fldCharType="begin" w:fldLock="1"/>
      </w:r>
      <w:r w:rsidR="008A3E02" w:rsidRPr="006E32E9">
        <w:rPr>
          <w:lang w:val="en-GB"/>
        </w:rPr>
        <w:instrText>ADDIN CSL_CITATION {"citationItems":[{"id":"ITEM-1","itemData":{"author":[{"dropping-particle":"","family":"Levien","given":"Michael James","non-dropping-particle":"","parse-names":false,"suffix":""}],"container-title":"The Journal of Peasant Studies","id":"ITEM-1","issue":"October","issued":{"date-parts":[["2013"]]},"page":"933-969","title":"Regimes of Dispossession: Special Economic Zones and the Political Economy of Land in India","type":"article-journal","volume":"39"},"uris":["http://www.mendeley.com/documents/?uuid=465fe732-d9e6-4580-a269-387c3b162b38"]}],"mendeley":{"formattedCitation":"(Levien, 2013)","plainTextFormattedCitation":"(Levien, 2013)","previouslyFormattedCitation":"(Levien, 2013)"},"properties":{"noteIndex":0},"schema":"https://github.com/citation-style-language/schema/raw/master/csl-citation.json"}</w:instrText>
      </w:r>
      <w:r w:rsidR="00356E72" w:rsidRPr="006E32E9">
        <w:rPr>
          <w:lang w:val="en-GB"/>
        </w:rPr>
        <w:fldChar w:fldCharType="separate"/>
      </w:r>
      <w:r w:rsidR="00356E72" w:rsidRPr="006E32E9">
        <w:rPr>
          <w:noProof/>
          <w:lang w:val="en-GB"/>
        </w:rPr>
        <w:t>(Levien, 2013)</w:t>
      </w:r>
      <w:r w:rsidR="00356E72" w:rsidRPr="006E32E9">
        <w:rPr>
          <w:lang w:val="en-GB"/>
        </w:rPr>
        <w:fldChar w:fldCharType="end"/>
      </w:r>
      <w:r w:rsidRPr="006E32E9">
        <w:rPr>
          <w:lang w:val="en-GB"/>
        </w:rPr>
        <w:t>. This hypothesis is further supported by the descriptive statistics presented earlier, showing that the area of cropland per cultivator in exurban communities is amongst the largest of all clusters, despite having the lowest average of cropland area. It shows that smallholders in exurban communities are more likely to be driven out of agriculture than in the other types of rural communities.</w:t>
      </w:r>
    </w:p>
    <w:p w14:paraId="5003427C" w14:textId="032524DA" w:rsidR="002F5CF5" w:rsidRPr="006E32E9" w:rsidRDefault="002F5CF5" w:rsidP="002F5CF5">
      <w:pPr>
        <w:rPr>
          <w:lang w:val="en-GB"/>
        </w:rPr>
      </w:pPr>
    </w:p>
    <w:p w14:paraId="43037392" w14:textId="3D0FFC74" w:rsidR="002F5CF5" w:rsidRDefault="002F5CF5" w:rsidP="002F5CF5">
      <w:pPr>
        <w:rPr>
          <w:lang w:val="en-GB"/>
        </w:rPr>
      </w:pPr>
      <w:r w:rsidRPr="006E32E9">
        <w:rPr>
          <w:lang w:val="en-GB"/>
        </w:rPr>
        <w:t xml:space="preserve">The findings show that access to human and financial capitals has a positive effect on the probability of engaging in stable livelihood strategies. Access to financial services and workforce availability enable households to decrease the barrier to engage in more remunerative on-farm activities, but also to engage in off-farm livelihood strategies </w:t>
      </w:r>
      <w:r w:rsidR="003B3723" w:rsidRPr="006E32E9">
        <w:rPr>
          <w:lang w:val="en-GB"/>
        </w:rPr>
        <w:fldChar w:fldCharType="begin" w:fldLock="1"/>
      </w:r>
      <w:r w:rsidR="00BC7A96" w:rsidRPr="006E32E9">
        <w:rPr>
          <w:lang w:val="en-GB"/>
        </w:rPr>
        <w:instrText>ADDIN CSL_CITATION {"citationItems":[{"id":"ITEM-1","itemData":{"DOI":"10.1111/j.1574-0864.2006.00114.x","ISSN":"0169-5150","author":[{"dropping-particle":"","family":"Jansen","given":"Hans G. P.","non-dropping-particle":"","parse-names":false,"suffix":""},{"dropping-particle":"","family":"Pender","given":"John","non-dropping-particle":"","parse-names":false,"suffix":""},{"dropping-particle":"","family":"Damon","given":"Amy","non-dropping-particle":"","parse-names":false,"suffix":""},{"dropping-particle":"","family":"Wielemaker","given":"Willem","non-dropping-particle":"","parse-names":false,"suffix":""},{"dropping-particle":"","family":"Schipper","given":"Rob","non-dropping-particle":"","parse-names":false,"suffix":""}],"container-title":"Agricultural Economics","id":"ITEM-1","issue":"2","issued":{"date-parts":[["2006","3"]]},"page":"141-153","title":"Policies for sustainable development in the hillside areas of Honduras: a quantitative livelihoods approach","type":"article-journal","volume":"34"},"uris":["http://www.mendeley.com/documents/?uuid=72252430-c917-4a49-80e1-79bd13ddf25f"]}],"mendeley":{"formattedCitation":"(Jansen, Pender, Damon, Wielemaker, &amp; Schipper, 2006)","plainTextFormattedCitation":"(Jansen, Pender, Damon, Wielemaker, &amp; Schipper, 2006)","previouslyFormattedCitation":"(Jansen, Pender, Damon, Wielemaker, &amp; Schipper, 2006)"},"properties":{"noteIndex":0},"schema":"https://github.com/citation-style-language/schema/raw/master/csl-citation.json"}</w:instrText>
      </w:r>
      <w:r w:rsidR="003B3723" w:rsidRPr="006E32E9">
        <w:rPr>
          <w:lang w:val="en-GB"/>
        </w:rPr>
        <w:fldChar w:fldCharType="separate"/>
      </w:r>
      <w:r w:rsidR="002B1556" w:rsidRPr="006E32E9">
        <w:rPr>
          <w:noProof/>
          <w:lang w:val="en-GB"/>
        </w:rPr>
        <w:t xml:space="preserve">(Jansen, Pender, Damon, </w:t>
      </w:r>
      <w:r w:rsidR="002B1556" w:rsidRPr="006E32E9">
        <w:rPr>
          <w:noProof/>
          <w:lang w:val="en-GB"/>
        </w:rPr>
        <w:lastRenderedPageBreak/>
        <w:t>Wielemaker, &amp; Schipper, 2006)</w:t>
      </w:r>
      <w:r w:rsidR="003B3723" w:rsidRPr="006E32E9">
        <w:rPr>
          <w:lang w:val="en-GB"/>
        </w:rPr>
        <w:fldChar w:fldCharType="end"/>
      </w:r>
      <w:r w:rsidRPr="006E32E9">
        <w:rPr>
          <w:lang w:val="en-GB"/>
        </w:rPr>
        <w:t xml:space="preserve">. Our typology of rural communities shows that the effect of financial capitals is weaker in remote communities with rainfed agricultural systems (rainfed agricultural, resource periphery). These differences can be explained in part by the physical lack of access to job opportunities in remote communities: although access to financial services helps households to decrease the barrier to engage in stable activities, the lack of livelihood opportunities reduces the positive impact of access to financial capital </w:t>
      </w:r>
      <w:r w:rsidR="003B3723" w:rsidRPr="006E32E9">
        <w:rPr>
          <w:lang w:val="en-GB"/>
        </w:rPr>
        <w:fldChar w:fldCharType="begin" w:fldLock="1"/>
      </w:r>
      <w:r w:rsidR="00BC7A96" w:rsidRPr="006E32E9">
        <w:rPr>
          <w:lang w:val="en-GB"/>
        </w:rPr>
        <w:instrText>ADDIN CSL_CITATION {"citationItems":[{"id":"ITEM-1","itemData":{"DOI":"10.1016/j.forpol.2012.09.011","ISBN":"1389-9341","ISSN":"13899341","abstract":"Total income and income from forest resources among rural dwellers in tropical forest regions are influenced not only by market access, prices, but also organizational, institutional, and social factors. These factors influence the diversity of resources to which the poor have access and result in specializations in livelihood strategies. We analyzed the relation between forest dependence and livelihood strategies in the Bolivian Amazon, applying the SLF. We tested for the differences across strategies with respect to financial, human, physical, social, and natural livelihood assets. Results show that forest income is highly related to cash income from Brazil nut, while income from agriculture and timber exploitation is associated with higher levels of education. Brazil nuts serve as a safety net and start-up capital for certain livelihood strategies in our study region. Livelihood strategies that are based on the commercialization of multiple products from forests and agriculture and services inside and outside communities depend less on forests. Livelihoods can be supported by investing in sustainable livelihood asset endowments. Our results demonstrate that activities that aim to support community forest management and to enhance household income should explicitly consider a differentiated support for different strategies. This will result in a more effective outcome of development efforts from which the poorest people would benefit most. © 2012 Elsevier B.V.","author":[{"dropping-particle":"","family":"Zenteno","given":"Mario","non-dropping-particle":"","parse-names":false,"suffix":""},{"dropping-particle":"","family":"Zuidema","given":"Pieter A.","non-dropping-particle":"","parse-names":false,"suffix":""},{"dropping-particle":"","family":"Jong","given":"Wil","non-dropping-particle":"de","parse-names":false,"suffix":""},{"dropping-particle":"","family":"Boot","given":"René G.A.","non-dropping-particle":"","parse-names":false,"suffix":""}],"container-title":"Forest Policy and Economics","id":"ITEM-1","issued":{"date-parts":[["2013"]]},"page":"12-21","publisher":"Elsevier B.V.","title":"Livelihood strategies and forest dependence: New insights from Bolivian forest communities","type":"article-journal","volume":"26"},"uris":["http://www.mendeley.com/documents/?uuid=f54aab06-6594-44c6-8244-60749cac75ce"]}],"mendeley":{"formattedCitation":"(Zenteno, Zuidema, de Jong, &amp; Boot, 2013)","plainTextFormattedCitation":"(Zenteno, Zuidema, de Jong, &amp; Boot, 2013)","previouslyFormattedCitation":"(Zenteno, Zuidema, de Jong, &amp; Boot, 2013)"},"properties":{"noteIndex":0},"schema":"https://github.com/citation-style-language/schema/raw/master/csl-citation.json"}</w:instrText>
      </w:r>
      <w:r w:rsidR="003B3723" w:rsidRPr="006E32E9">
        <w:rPr>
          <w:lang w:val="en-GB"/>
        </w:rPr>
        <w:fldChar w:fldCharType="separate"/>
      </w:r>
      <w:r w:rsidR="002B1556" w:rsidRPr="006E32E9">
        <w:rPr>
          <w:noProof/>
          <w:lang w:val="en-GB"/>
        </w:rPr>
        <w:t>(Zenteno, Zuidema, de Jong, &amp; Boot, 2013)</w:t>
      </w:r>
      <w:r w:rsidR="003B3723" w:rsidRPr="006E32E9">
        <w:rPr>
          <w:lang w:val="en-GB"/>
        </w:rPr>
        <w:fldChar w:fldCharType="end"/>
      </w:r>
      <w:r w:rsidRPr="006E32E9">
        <w:rPr>
          <w:lang w:val="en-GB"/>
        </w:rPr>
        <w:t>. We found that access to physical capital reduces the probability of engaging in precarious activities, but only in agro-industrial communities. This result highlights the link between physical capital and off-farm strategies: private means of transportation enables households to reach more livelihood opportunities.</w:t>
      </w:r>
    </w:p>
    <w:p w14:paraId="2954D52B" w14:textId="77777777" w:rsidR="00C86B87" w:rsidRPr="006E32E9" w:rsidRDefault="00C86B87" w:rsidP="002F5CF5">
      <w:pPr>
        <w:rPr>
          <w:lang w:val="en-GB"/>
        </w:rPr>
      </w:pPr>
    </w:p>
    <w:p w14:paraId="798D6A7A" w14:textId="5CF2BEEE" w:rsidR="00C86B87" w:rsidRPr="00C86B87" w:rsidRDefault="00C86B87" w:rsidP="00C86B87">
      <w:pPr>
        <w:rPr>
          <w:lang w:val="en-GB"/>
        </w:rPr>
      </w:pPr>
      <w:r>
        <w:rPr>
          <w:lang w:val="en-GB"/>
        </w:rPr>
        <w:t>T</w:t>
      </w:r>
      <w:r w:rsidRPr="00C86B87">
        <w:rPr>
          <w:lang w:val="en-GB"/>
        </w:rPr>
        <w:t xml:space="preserve">he overarching influence of social and cultural norms on lowest castes’ access to decent employment depends on the proximity to productive infrastructures and markets. People who belong to disadvantaged groups are more likely to be engaged in precarious labour in exurban and agro-industrial communities, confirming that people with higher caste status have better endowments required for absorption in the non- farm market </w:t>
      </w:r>
      <w:r>
        <w:rPr>
          <w:lang w:val="en-GB"/>
        </w:rPr>
        <w:fldChar w:fldCharType="begin" w:fldLock="1"/>
      </w:r>
      <w:r>
        <w:rPr>
          <w:lang w:val="en-GB"/>
        </w:rPr>
        <w:instrText>ADDIN CSL_CITATION {"citationItems":[{"id":"ITEM-1","itemData":{"DOI":"10.1080/17535069.2018.1426781","ISSN":"17535077","abstract":"© 2018 Informa UK Limited, trading as Taylor &amp; Francis Group This paper based on a primary survey of slum dwellers in four Indian cities examines the caste dimension of migrants and the nexus, if any, between caste and the job market participation. Based on the quantitative exercises, we observe overlaps between social and economic status. A higher propensity to migrate is evident among the population belonging to the general (GEN) category and other backward castes in comparison to the scheduled castes and tribes who are at the bottom of the caste hierarchy. The disadvantaged castes are not even in a position to take the benefits of migration. Further, those with higher caste status seem to have better endowments required for absorption in the urban job market; the migrants of higher caste status are absorbed in relatively better jobs compared to the lower castes. Migrant workers from GEN category draw relatively higher incomes. On the whole, when both the caste and migration dimensions are combined, at the lower echelons, migration does pay if the worker is better off in terms of caste status. From this point of view, it is argued that special programmes offering improved access to livelihood opportunities need to be pursued in the rural areas so that the disadvantaged castes are able to reduce their vulnerability.","author":[{"dropping-particle":"","family":"Chandrasekhar","given":"S.","non-dropping-particle":"","parse-names":false,"suffix":""},{"dropping-particle":"","family":"Mitra","given":"Arup","non-dropping-particle":"","parse-names":false,"suffix":""}],"container-title":"Urban Research and Practice","id":"ITEM-1","issue":"00","issued":{"date-parts":[["2018"]]},"page":"1-17","publisher":"Routledge","title":"Migration, caste and livelihood: evidence from Indian city-slums","type":"article-journal","volume":"00"},"uris":["http://www.mendeley.com/documents/?uuid=7d7d048d-f94b-42f7-bd85-12286b6bfad4"]}],"mendeley":{"formattedCitation":"(Chandrasekhar &amp; Mitra, 2018)","plainTextFormattedCitation":"(Chandrasekhar &amp; Mitra, 2018)","previouslyFormattedCitation":"(Chandrasekhar &amp; Mitra, 2018)"},"properties":{"noteIndex":0},"schema":"https://github.com/citation-style-language/schema/raw/master/csl-citation.json"}</w:instrText>
      </w:r>
      <w:r>
        <w:rPr>
          <w:lang w:val="en-GB"/>
        </w:rPr>
        <w:fldChar w:fldCharType="separate"/>
      </w:r>
      <w:r w:rsidRPr="00C86B87">
        <w:rPr>
          <w:noProof/>
          <w:lang w:val="en-GB"/>
        </w:rPr>
        <w:t>(Chandrasekhar &amp; Mitra, 2018)</w:t>
      </w:r>
      <w:r>
        <w:rPr>
          <w:lang w:val="en-GB"/>
        </w:rPr>
        <w:fldChar w:fldCharType="end"/>
      </w:r>
      <w:r w:rsidRPr="00C86B87">
        <w:rPr>
          <w:lang w:val="en-GB"/>
        </w:rPr>
        <w:t>. On the contrary, it appears that the effect of caste is not the most significant driver to explain the causes of precarious livelihoods in more remote communities. This surprising result can be explained by the prevalence of culturally homogeneous communities in Odisha’s remote areas, thus reducing its influence on access to land ownership and assets</w:t>
      </w:r>
      <w:r>
        <w:rPr>
          <w:lang w:val="en-GB"/>
        </w:rPr>
        <w:t xml:space="preserve"> </w:t>
      </w:r>
      <w:r>
        <w:rPr>
          <w:lang w:val="en-GB"/>
        </w:rPr>
        <w:fldChar w:fldCharType="begin" w:fldLock="1"/>
      </w:r>
      <w:r w:rsidR="00C87882">
        <w:rPr>
          <w:lang w:val="en-GB"/>
        </w:rPr>
        <w:instrText>ADDIN CSL_CITATION {"citationItems":[{"id":"ITEM-1","itemData":{"DOI":"10.1016/j.ecoser.2015.04.001","ISBN":"2212-0416","ISSN":"22120416","abstract":"Ecosystem services research has highlighted the importance of ecosystems for human well-being. Most of the research, however, focuses only on aggregate human well-being and disregards distributional and equity issues associated with ecosystem services. We review approaches from institutional economics, political ecology and the social sciences in order to develop an analytical framework to understand the distribution of benefits from ecosystems across different socio-cultural groups and the underlying social processes involved. We then present a case study of the distribution of provisioning ecosystem services in a forest-fringe village in Odisha, India. Our analysis shows the unequal distribution of ecosystem services and complex social processes that determine these. We identify the determining factors and processes to include: differential resource-specific needs, different cultural identities, differentiated social status and bargaining power, exclusionary and inclusionary social practices, differential access. Our analysis proves therefore that aggregation of forest ecosystem benefits obscures crucially important patterns of distribution, and the underlying social processes that determine these. This also demonstrates the necessity of applying social science frameworks in such analyses. Our study also shows that most ecosystem services are co-produced through both ecosystem processes and social actions, and so their assessment cannot be separated from the social context in which they are embedded. In conclusion we recommend that ecosystem services research engages more with process-oriented, context-specific and integrated approaches, based on a recognition of the complexity of social-ecological realities.","author":[{"dropping-particle":"","family":"Lakerveld","given":"Roan P.","non-dropping-particle":"","parse-names":false,"suffix":""},{"dropping-particle":"","family":"Lele","given":"S.","non-dropping-particle":"","parse-names":false,"suffix":""},{"dropping-particle":"","family":"Crane","given":"T. A.","non-dropping-particle":"","parse-names":false,"suffix":""},{"dropping-particle":"","family":"Fortuin","given":"K. P.J.","non-dropping-particle":"","parse-names":false,"suffix":""},{"dropping-particle":"","family":"Springate-Baginski","given":"O.","non-dropping-particle":"","parse-names":false,"suffix":""}],"container-title":"Ecosystem Services","id":"ITEM-1","issued":{"date-parts":[["2015"]]},"page":"56-66","publisher":"Elsevier","title":"The social distribution of provisioning forest ecosystem services: Evidence and insights from Odisha, India","type":"article-journal","volume":"14"},"uris":["http://www.mendeley.com/documents/?uuid=6d01defe-527b-479f-9f02-8d617f685dbd"]}],"mendeley":{"formattedCitation":"(Lakerveld, Lele, Crane, Fortuin, &amp; Springate-Baginski, 2015)","plainTextFormattedCitation":"(Lakerveld, Lele, Crane, Fortuin, &amp; Springate-Baginski, 2015)","previouslyFormattedCitation":"(Lakerveld, Lele, Crane, Fortuin, &amp; Springate-Baginski, 2015)"},"properties":{"noteIndex":0},"schema":"https://github.com/citation-style-language/schema/raw/master/csl-citation.json"}</w:instrText>
      </w:r>
      <w:r>
        <w:rPr>
          <w:lang w:val="en-GB"/>
        </w:rPr>
        <w:fldChar w:fldCharType="separate"/>
      </w:r>
      <w:r w:rsidRPr="00C86B87">
        <w:rPr>
          <w:noProof/>
          <w:lang w:val="en-GB"/>
        </w:rPr>
        <w:t>(Lakerveld, Lele, Crane, Fortuin, &amp; Springate-Baginski, 2015)</w:t>
      </w:r>
      <w:r>
        <w:rPr>
          <w:lang w:val="en-GB"/>
        </w:rPr>
        <w:fldChar w:fldCharType="end"/>
      </w:r>
      <w:r w:rsidRPr="00C86B87">
        <w:rPr>
          <w:lang w:val="en-GB"/>
        </w:rPr>
        <w:t xml:space="preserve">. </w:t>
      </w:r>
    </w:p>
    <w:p w14:paraId="320189D3" w14:textId="4FF7423E" w:rsidR="002F5CF5" w:rsidRPr="006E32E9" w:rsidRDefault="002F5CF5" w:rsidP="002F5CF5">
      <w:pPr>
        <w:rPr>
          <w:lang w:val="en-GB"/>
        </w:rPr>
      </w:pPr>
    </w:p>
    <w:p w14:paraId="5BB5372A" w14:textId="3F69CB2D" w:rsidR="002F5CF5" w:rsidRPr="006E32E9" w:rsidRDefault="002F5CF5" w:rsidP="002F5CF5">
      <w:pPr>
        <w:pStyle w:val="Heading2"/>
      </w:pPr>
      <w:r w:rsidRPr="006E32E9">
        <w:lastRenderedPageBreak/>
        <w:t>Policy relevance</w:t>
      </w:r>
    </w:p>
    <w:p w14:paraId="58A44B1F" w14:textId="2FA50053" w:rsidR="002F5CF5" w:rsidRPr="006E32E9" w:rsidRDefault="002F5CF5" w:rsidP="002F5CF5">
      <w:pPr>
        <w:rPr>
          <w:lang w:val="en-GB"/>
        </w:rPr>
      </w:pPr>
      <w:r w:rsidRPr="006E32E9">
        <w:rPr>
          <w:lang w:val="en-GB"/>
        </w:rPr>
        <w:t>The above findings suggest several courses of action for public policies in India to reduce rural outmigration and</w:t>
      </w:r>
      <w:r w:rsidR="007D5352" w:rsidRPr="006E32E9">
        <w:rPr>
          <w:lang w:val="en-GB"/>
        </w:rPr>
        <w:t xml:space="preserve"> </w:t>
      </w:r>
      <w:r w:rsidRPr="006E32E9">
        <w:rPr>
          <w:lang w:val="en-GB"/>
        </w:rPr>
        <w:t xml:space="preserve">reduce rural poverty. The National Rural Livelihood Mission (NRLM) aims </w:t>
      </w:r>
      <w:r w:rsidR="007D5352" w:rsidRPr="006E32E9">
        <w:rPr>
          <w:lang w:val="en-GB"/>
        </w:rPr>
        <w:t xml:space="preserve">to </w:t>
      </w:r>
      <w:r w:rsidRPr="006E32E9">
        <w:rPr>
          <w:lang w:val="en-GB"/>
        </w:rPr>
        <w:t>enabl</w:t>
      </w:r>
      <w:r w:rsidR="007D5352" w:rsidRPr="006E32E9">
        <w:rPr>
          <w:lang w:val="en-GB"/>
        </w:rPr>
        <w:t>e</w:t>
      </w:r>
      <w:r w:rsidRPr="006E32E9">
        <w:rPr>
          <w:lang w:val="en-GB"/>
        </w:rPr>
        <w:t xml:space="preserve"> the poorest households to access self-employment and skilled wage employment opportunities seems to be well targeted to help reduce livelihood precarity. This research supports the scheme</w:t>
      </w:r>
      <w:r w:rsidR="007D5352" w:rsidRPr="006E32E9">
        <w:rPr>
          <w:lang w:val="en-GB"/>
        </w:rPr>
        <w:t>’</w:t>
      </w:r>
      <w:r w:rsidRPr="006E32E9">
        <w:rPr>
          <w:lang w:val="en-GB"/>
        </w:rPr>
        <w:t xml:space="preserve">s main focus of strengthening human (skill building), financial (access to credit) and physical (access to markets) capitals for the poorest households, through their participation in strong and sustainable grassroots institutions (Self-Help Groups). However, important changes would need to be made to ensure that it plays a role in long-term poverty alleviation. We </w:t>
      </w:r>
      <w:r w:rsidR="007D5352" w:rsidRPr="006E32E9">
        <w:rPr>
          <w:lang w:val="en-GB"/>
        </w:rPr>
        <w:t xml:space="preserve">would </w:t>
      </w:r>
      <w:r w:rsidRPr="006E32E9">
        <w:rPr>
          <w:lang w:val="en-GB"/>
        </w:rPr>
        <w:t xml:space="preserve">argue that the NRLM should include community typologies in its approach to provide </w:t>
      </w:r>
      <w:r w:rsidR="007D5352" w:rsidRPr="006E32E9">
        <w:rPr>
          <w:lang w:val="en-GB"/>
        </w:rPr>
        <w:t xml:space="preserve">an opportunity for </w:t>
      </w:r>
      <w:r w:rsidRPr="006E32E9">
        <w:rPr>
          <w:lang w:val="en-GB"/>
        </w:rPr>
        <w:t xml:space="preserve">place-specific activities to strengthen livelihoods of the rural poor. In exurban communities, such activities </w:t>
      </w:r>
      <w:r w:rsidR="007D5352" w:rsidRPr="006E32E9">
        <w:rPr>
          <w:lang w:val="en-GB"/>
        </w:rPr>
        <w:t xml:space="preserve">could </w:t>
      </w:r>
      <w:r w:rsidRPr="006E32E9">
        <w:rPr>
          <w:lang w:val="en-GB"/>
        </w:rPr>
        <w:t>focus on human capital (skills) to ensure that households are able to adapt their livelihoods to off-farm strategies. In agro-industrial communities, schemes focusing on strengthening household physical capital, especially through the ownership of private means of transportation, would enable households to diversify their livelihood opportunities. In remote agricultural communities, in addition to activities strengthening human and financial capitals, the NRLM should work hand in hand with the Mahatma Gandhi National Rural Employment Guarantee Act (MGNREGA) to ensure work stability throughout the year, especially during the lean season. Finally, agricultural tenancy laws should be implemented and enforced to regulate rents and offer security of tenure to tenants. Interventions in property rights would prevent land grabbing by agro-industries and increase smallholders' bargaining power and secure their productive assets, thus reducing livelihood precarity.</w:t>
      </w:r>
    </w:p>
    <w:p w14:paraId="2EEE2595" w14:textId="480D6961" w:rsidR="002F5CF5" w:rsidRPr="006E32E9" w:rsidRDefault="002F5CF5" w:rsidP="002F5CF5">
      <w:pPr>
        <w:rPr>
          <w:lang w:val="en-GB"/>
        </w:rPr>
      </w:pPr>
    </w:p>
    <w:p w14:paraId="45907C17" w14:textId="365434C4" w:rsidR="002F5CF5" w:rsidRPr="006E32E9" w:rsidRDefault="002F5CF5" w:rsidP="002F5CF5">
      <w:pPr>
        <w:rPr>
          <w:lang w:val="en-GB"/>
        </w:rPr>
      </w:pPr>
      <w:r w:rsidRPr="006E32E9">
        <w:rPr>
          <w:lang w:val="en-GB"/>
        </w:rPr>
        <w:t>Overall, the findings demonstrate that conducting place-based analyses of the determinants of livelihood strategies is necessary to design effective policies for poverty alleviation and rural development. Community typologies based on selected key indicators are an effective way to implement such analyses in order to highlight the different drivers of precarity within the landscape.</w:t>
      </w:r>
    </w:p>
    <w:p w14:paraId="2AD15CD8" w14:textId="77777777" w:rsidR="00895BB5" w:rsidRPr="006E32E9" w:rsidRDefault="00895BB5" w:rsidP="00895BB5">
      <w:pPr>
        <w:pStyle w:val="Heading1"/>
        <w:rPr>
          <w:rFonts w:ascii="Times New Roman" w:hAnsi="Times New Roman" w:cs="Times New Roman"/>
          <w:lang w:val="en-GB"/>
        </w:rPr>
      </w:pPr>
      <w:r w:rsidRPr="006E32E9">
        <w:rPr>
          <w:rFonts w:ascii="Times New Roman" w:hAnsi="Times New Roman" w:cs="Times New Roman"/>
          <w:lang w:val="en-GB"/>
        </w:rPr>
        <w:lastRenderedPageBreak/>
        <w:t>Conclusion</w:t>
      </w:r>
    </w:p>
    <w:p w14:paraId="06E5318F" w14:textId="68BF5D82" w:rsidR="00F60A8A" w:rsidRPr="006E32E9" w:rsidRDefault="00F60A8A" w:rsidP="00F60A8A">
      <w:pPr>
        <w:widowControl w:val="0"/>
        <w:autoSpaceDE w:val="0"/>
        <w:autoSpaceDN w:val="0"/>
        <w:adjustRightInd w:val="0"/>
        <w:rPr>
          <w:rFonts w:ascii="Times New Roman" w:hAnsi="Times New Roman" w:cs="Times New Roman"/>
          <w:lang w:val="en-GB"/>
        </w:rPr>
      </w:pPr>
      <w:r w:rsidRPr="006E32E9">
        <w:rPr>
          <w:rFonts w:ascii="Times New Roman" w:hAnsi="Times New Roman" w:cs="Times New Roman"/>
          <w:lang w:val="en-GB"/>
        </w:rPr>
        <w:t>This research makes several contributions to the current literature. First, it defined a set of indicators that adequately capture the multi-dimensional and multi-attribute nature of rural communities and household capitals. Two different methods were used to obtain the final results: a deductive binning of indicators into different categories based on participatory rural appraisals, followed by an inductive indicator method constructed via model-based clustering for community typologies and via principal components analysis for household capitals.</w:t>
      </w:r>
    </w:p>
    <w:p w14:paraId="21AAE1D7" w14:textId="77777777" w:rsidR="00F60A8A" w:rsidRPr="006E32E9" w:rsidRDefault="00F60A8A" w:rsidP="00F60A8A">
      <w:pPr>
        <w:widowControl w:val="0"/>
        <w:autoSpaceDE w:val="0"/>
        <w:autoSpaceDN w:val="0"/>
        <w:adjustRightInd w:val="0"/>
        <w:rPr>
          <w:rFonts w:ascii="Times New Roman" w:hAnsi="Times New Roman" w:cs="Times New Roman"/>
          <w:lang w:val="en-GB"/>
        </w:rPr>
      </w:pPr>
    </w:p>
    <w:p w14:paraId="6CF1AB07" w14:textId="3A89CA4B" w:rsidR="00C86B87" w:rsidRPr="00C86B87" w:rsidRDefault="00F60A8A" w:rsidP="00C86B87">
      <w:pPr>
        <w:widowControl w:val="0"/>
        <w:autoSpaceDE w:val="0"/>
        <w:autoSpaceDN w:val="0"/>
        <w:adjustRightInd w:val="0"/>
        <w:rPr>
          <w:lang w:val="en-GB"/>
        </w:rPr>
      </w:pPr>
      <w:r w:rsidRPr="006E32E9">
        <w:rPr>
          <w:rFonts w:ascii="Times New Roman" w:hAnsi="Times New Roman" w:cs="Times New Roman"/>
          <w:lang w:val="en-GB"/>
        </w:rPr>
        <w:t>Second, the community typologies show a distinct spatial pattern, highlighting a profile of rural communities with similar bundles of capitals. It was demonstrated that the type of rural community in which households live modifies the associations between livelihood capitals and precarious livelihoods. Access to physical capital reduces the likelihood of being engaged in precarious activities only in communities located near industrial areas, where people can find alternative livelihood opportunities. In rural communities, access to natural capital has a positive effect on stable livelihood strategies, notably because of the increased probability to engage in cultivation, while it has a negative effect in exurban communities, showing that smallholders in these places are more likely to be driven out of agriculture than in the other agricultural communities. Our results also demonstrate that lack of access to financial services and workforce unavailability prevent households to profit by local job opportunities that would enable them to engage in more sustainable livelihoods.</w:t>
      </w:r>
      <w:r w:rsidR="00C86B87">
        <w:rPr>
          <w:rFonts w:ascii="Times New Roman" w:hAnsi="Times New Roman" w:cs="Times New Roman"/>
          <w:lang w:val="en-GB"/>
        </w:rPr>
        <w:t xml:space="preserve"> </w:t>
      </w:r>
      <w:r w:rsidR="00C86B87" w:rsidRPr="00C86B87">
        <w:rPr>
          <w:lang w:val="en-GB"/>
        </w:rPr>
        <w:t xml:space="preserve">Finally, people who belong to disadvantaged groups are more likely to be engaged in precarious labour in exurban and agro-industrial communities, confirming that people with higher caste status have better endowments required for absorption in the off-farm market and for land-ownership where agricultural land is scarce. </w:t>
      </w:r>
    </w:p>
    <w:p w14:paraId="47ACD3B5" w14:textId="50AA2782" w:rsidR="00F60A8A" w:rsidRPr="006E32E9" w:rsidRDefault="00F60A8A" w:rsidP="00F60A8A">
      <w:pPr>
        <w:widowControl w:val="0"/>
        <w:autoSpaceDE w:val="0"/>
        <w:autoSpaceDN w:val="0"/>
        <w:adjustRightInd w:val="0"/>
        <w:rPr>
          <w:rFonts w:ascii="Times New Roman" w:hAnsi="Times New Roman" w:cs="Times New Roman"/>
          <w:lang w:val="en-GB"/>
        </w:rPr>
      </w:pPr>
    </w:p>
    <w:p w14:paraId="4C42A6D0" w14:textId="77777777" w:rsidR="00F60A8A" w:rsidRPr="006E32E9" w:rsidRDefault="00F60A8A" w:rsidP="00F60A8A">
      <w:pPr>
        <w:widowControl w:val="0"/>
        <w:autoSpaceDE w:val="0"/>
        <w:autoSpaceDN w:val="0"/>
        <w:adjustRightInd w:val="0"/>
        <w:rPr>
          <w:rFonts w:ascii="Times New Roman" w:hAnsi="Times New Roman" w:cs="Times New Roman"/>
          <w:lang w:val="en-GB"/>
        </w:rPr>
      </w:pPr>
    </w:p>
    <w:p w14:paraId="6FF71F65" w14:textId="0CE92A54" w:rsidR="00F60A8A" w:rsidRPr="006E32E9" w:rsidRDefault="00F60A8A" w:rsidP="00F60A8A">
      <w:pPr>
        <w:widowControl w:val="0"/>
        <w:autoSpaceDE w:val="0"/>
        <w:autoSpaceDN w:val="0"/>
        <w:adjustRightInd w:val="0"/>
        <w:rPr>
          <w:rFonts w:ascii="Times New Roman" w:hAnsi="Times New Roman" w:cs="Times New Roman"/>
          <w:lang w:val="en-GB"/>
        </w:rPr>
      </w:pPr>
      <w:r w:rsidRPr="006E32E9">
        <w:rPr>
          <w:rFonts w:ascii="Times New Roman" w:hAnsi="Times New Roman" w:cs="Times New Roman"/>
          <w:lang w:val="en-GB"/>
        </w:rPr>
        <w:t xml:space="preserve">Third, the paper demonstrated quantitatively that the type of rural community in which households live modifies households' opportunities for coping strategies. The findings show that recurrent </w:t>
      </w:r>
      <w:r w:rsidR="008C0192">
        <w:rPr>
          <w:rFonts w:ascii="Times New Roman" w:hAnsi="Times New Roman" w:cs="Times New Roman"/>
          <w:lang w:val="en-GB"/>
        </w:rPr>
        <w:t>weather</w:t>
      </w:r>
      <w:r w:rsidRPr="006E32E9">
        <w:rPr>
          <w:rFonts w:ascii="Times New Roman" w:hAnsi="Times New Roman" w:cs="Times New Roman"/>
          <w:lang w:val="en-GB"/>
        </w:rPr>
        <w:t xml:space="preserve"> shocks are a driver of precarious livelihoods, except in exurban communities where the number of crop failures faced by the community does not influence livelihood opportunities. This result is explained by the availability of off-farm livelihood opportunities in well-connected communities: households can engage in off-farm daily wage activities as a coping strategy, preventing them to sell their productive assets and thus to become agricultural labourers or unemployed.</w:t>
      </w:r>
    </w:p>
    <w:p w14:paraId="767C667D" w14:textId="77777777" w:rsidR="00F60A8A" w:rsidRPr="006E32E9" w:rsidRDefault="00F60A8A" w:rsidP="00F60A8A">
      <w:pPr>
        <w:widowControl w:val="0"/>
        <w:autoSpaceDE w:val="0"/>
        <w:autoSpaceDN w:val="0"/>
        <w:adjustRightInd w:val="0"/>
        <w:rPr>
          <w:rFonts w:ascii="Times New Roman" w:hAnsi="Times New Roman" w:cs="Times New Roman"/>
          <w:lang w:val="en-GB"/>
        </w:rPr>
      </w:pPr>
    </w:p>
    <w:p w14:paraId="02764181" w14:textId="0349E664" w:rsidR="000E6C8B" w:rsidRPr="006E32E9" w:rsidRDefault="00F60A8A" w:rsidP="000E6C8B">
      <w:pPr>
        <w:widowControl w:val="0"/>
        <w:autoSpaceDE w:val="0"/>
        <w:autoSpaceDN w:val="0"/>
        <w:adjustRightInd w:val="0"/>
        <w:rPr>
          <w:rFonts w:ascii="Times New Roman" w:hAnsi="Times New Roman" w:cs="Times New Roman"/>
          <w:lang w:val="en-GB"/>
        </w:rPr>
      </w:pPr>
      <w:r w:rsidRPr="006E32E9">
        <w:rPr>
          <w:rFonts w:ascii="Times New Roman" w:hAnsi="Times New Roman" w:cs="Times New Roman"/>
          <w:lang w:val="en-GB"/>
        </w:rPr>
        <w:t>A final caveat is that this paper did not address the persistent difficulty in quantifying livelihood dynamics in the long-term, including questions of asset trade-off and migration. Nevertheless, such a quantitative analysis has a wider application for rural development policies seeking to make livelihoods more resilient to climate hazards and to reduce poverty. Identifying typologies of rural communities is useful for assessing needs and targeting intervention or mitigation programs. It provides an approach for policy makers to take into account the contextual factors that drive livelihood precarity and thus to target more strategically anti-poverty programmes to maximise their effect rather than equally distributing them across all places. Interventions should focus on strengthening human and physical capitals in well-connected communities to ensure that households are able to diversify their livelihoods to off-farm strategies, while they should be targeted on providing financial capital and complementary livelihood opportunities during lean season in remote areas.</w:t>
      </w:r>
      <w:r w:rsidR="000E6C8B" w:rsidRPr="006E32E9">
        <w:rPr>
          <w:rFonts w:ascii="Times New Roman" w:hAnsi="Times New Roman" w:cs="Times New Roman"/>
          <w:lang w:val="en-GB"/>
        </w:rPr>
        <w:br w:type="page"/>
      </w:r>
    </w:p>
    <w:p w14:paraId="7123666B" w14:textId="78CE4208" w:rsidR="00CF5849" w:rsidRPr="006E32E9" w:rsidRDefault="00CF5849" w:rsidP="00CF5849">
      <w:pPr>
        <w:pStyle w:val="Header"/>
        <w:suppressLineNumbers/>
        <w:rPr>
          <w:b/>
          <w:lang w:val="en-GB"/>
        </w:rPr>
      </w:pPr>
      <w:r w:rsidRPr="006E32E9">
        <w:rPr>
          <w:b/>
          <w:lang w:val="en-GB"/>
        </w:rPr>
        <w:lastRenderedPageBreak/>
        <w:t>Bibliography</w:t>
      </w:r>
    </w:p>
    <w:p w14:paraId="51147311" w14:textId="77777777" w:rsidR="00CF5849" w:rsidRPr="006E32E9" w:rsidRDefault="00CF5849" w:rsidP="00CF5849">
      <w:pPr>
        <w:pStyle w:val="Header"/>
        <w:suppressLineNumbers/>
        <w:rPr>
          <w:lang w:val="en-GB"/>
        </w:rPr>
      </w:pPr>
    </w:p>
    <w:p w14:paraId="5C3370F1" w14:textId="6770C071" w:rsidR="0001330C" w:rsidRPr="0001330C" w:rsidRDefault="000E6C8B" w:rsidP="0001330C">
      <w:pPr>
        <w:widowControl w:val="0"/>
        <w:autoSpaceDE w:val="0"/>
        <w:autoSpaceDN w:val="0"/>
        <w:adjustRightInd w:val="0"/>
        <w:ind w:left="480" w:hanging="480"/>
        <w:rPr>
          <w:rFonts w:ascii="Times New Roman" w:hAnsi="Times New Roman" w:cs="Times New Roman"/>
          <w:noProof/>
        </w:rPr>
      </w:pPr>
      <w:r w:rsidRPr="006E32E9">
        <w:rPr>
          <w:lang w:val="en-GB"/>
        </w:rPr>
        <w:fldChar w:fldCharType="begin" w:fldLock="1"/>
      </w:r>
      <w:r w:rsidRPr="006E32E9">
        <w:rPr>
          <w:lang w:val="en-GB"/>
        </w:rPr>
        <w:instrText xml:space="preserve">ADDIN Mendeley Bibliography CSL_BIBLIOGRAPHY </w:instrText>
      </w:r>
      <w:r w:rsidRPr="006E32E9">
        <w:rPr>
          <w:lang w:val="en-GB"/>
        </w:rPr>
        <w:fldChar w:fldCharType="separate"/>
      </w:r>
      <w:r w:rsidR="0001330C" w:rsidRPr="0001330C">
        <w:rPr>
          <w:rFonts w:ascii="Times New Roman" w:hAnsi="Times New Roman" w:cs="Times New Roman"/>
          <w:noProof/>
        </w:rPr>
        <w:t xml:space="preserve">Agarwal, B. (2018). Can group farms outperform individual family farms? Empirical insights from India. </w:t>
      </w:r>
      <w:r w:rsidR="0001330C" w:rsidRPr="0001330C">
        <w:rPr>
          <w:rFonts w:ascii="Times New Roman" w:hAnsi="Times New Roman" w:cs="Times New Roman"/>
          <w:i/>
          <w:iCs/>
          <w:noProof/>
        </w:rPr>
        <w:t>World Development</w:t>
      </w:r>
      <w:r w:rsidR="0001330C" w:rsidRPr="0001330C">
        <w:rPr>
          <w:rFonts w:ascii="Times New Roman" w:hAnsi="Times New Roman" w:cs="Times New Roman"/>
          <w:noProof/>
        </w:rPr>
        <w:t xml:space="preserve">, </w:t>
      </w:r>
      <w:r w:rsidR="0001330C" w:rsidRPr="0001330C">
        <w:rPr>
          <w:rFonts w:ascii="Times New Roman" w:hAnsi="Times New Roman" w:cs="Times New Roman"/>
          <w:i/>
          <w:iCs/>
          <w:noProof/>
        </w:rPr>
        <w:t>108</w:t>
      </w:r>
      <w:r w:rsidR="0001330C" w:rsidRPr="0001330C">
        <w:rPr>
          <w:rFonts w:ascii="Times New Roman" w:hAnsi="Times New Roman" w:cs="Times New Roman"/>
          <w:noProof/>
        </w:rPr>
        <w:t>, 57–73. http://doi.org/10.1016/j.worlddev.2018.03.010</w:t>
      </w:r>
    </w:p>
    <w:p w14:paraId="3C80B687"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Ahmed, S. A., Diffenbaugh, N. S., &amp; Hertel, T. W. (2009). Climate volatility deepens poverty vulnerability in developing countries. </w:t>
      </w:r>
      <w:r w:rsidRPr="0001330C">
        <w:rPr>
          <w:rFonts w:ascii="Times New Roman" w:hAnsi="Times New Roman" w:cs="Times New Roman"/>
          <w:i/>
          <w:iCs/>
          <w:noProof/>
        </w:rPr>
        <w:t>Environmental Research Letters</w:t>
      </w:r>
      <w:r w:rsidRPr="0001330C">
        <w:rPr>
          <w:rFonts w:ascii="Times New Roman" w:hAnsi="Times New Roman" w:cs="Times New Roman"/>
          <w:noProof/>
        </w:rPr>
        <w:t xml:space="preserve">, </w:t>
      </w:r>
      <w:r w:rsidRPr="0001330C">
        <w:rPr>
          <w:rFonts w:ascii="Times New Roman" w:hAnsi="Times New Roman" w:cs="Times New Roman"/>
          <w:i/>
          <w:iCs/>
          <w:noProof/>
        </w:rPr>
        <w:t>4</w:t>
      </w:r>
      <w:r w:rsidRPr="0001330C">
        <w:rPr>
          <w:rFonts w:ascii="Times New Roman" w:hAnsi="Times New Roman" w:cs="Times New Roman"/>
          <w:noProof/>
        </w:rPr>
        <w:t>. http://doi.org/10.1088/1748-9326/4/3/034004</w:t>
      </w:r>
    </w:p>
    <w:p w14:paraId="30E71EE1"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Alessa, L., Kliskey, A., &amp; Altaweel, M. (2009). Toward a typology for social-ecological systems. </w:t>
      </w:r>
      <w:r w:rsidRPr="0001330C">
        <w:rPr>
          <w:rFonts w:ascii="Times New Roman" w:hAnsi="Times New Roman" w:cs="Times New Roman"/>
          <w:i/>
          <w:iCs/>
          <w:noProof/>
        </w:rPr>
        <w:t>Sustainability: Science, Practice, &amp; Policy</w:t>
      </w:r>
      <w:r w:rsidRPr="0001330C">
        <w:rPr>
          <w:rFonts w:ascii="Times New Roman" w:hAnsi="Times New Roman" w:cs="Times New Roman"/>
          <w:noProof/>
        </w:rPr>
        <w:t xml:space="preserve">, </w:t>
      </w:r>
      <w:r w:rsidRPr="0001330C">
        <w:rPr>
          <w:rFonts w:ascii="Times New Roman" w:hAnsi="Times New Roman" w:cs="Times New Roman"/>
          <w:i/>
          <w:iCs/>
          <w:noProof/>
        </w:rPr>
        <w:t>5</w:t>
      </w:r>
      <w:r w:rsidRPr="0001330C">
        <w:rPr>
          <w:rFonts w:ascii="Times New Roman" w:hAnsi="Times New Roman" w:cs="Times New Roman"/>
          <w:noProof/>
        </w:rPr>
        <w:t>(1), 31–41. http://doi.org/10.1080/15487733.2009.11908026</w:t>
      </w:r>
    </w:p>
    <w:p w14:paraId="2D985C4E"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Angelsen, A., Jagger, P., Babigumira, R., Belcher, B., Hogarth, N. J., Bauch, S., … Wunder, S. (2014). Environmental Income and Rural Livelihoods: A Global-Comparative Analysis. </w:t>
      </w:r>
      <w:r w:rsidRPr="0001330C">
        <w:rPr>
          <w:rFonts w:ascii="Times New Roman" w:hAnsi="Times New Roman" w:cs="Times New Roman"/>
          <w:i/>
          <w:iCs/>
          <w:noProof/>
        </w:rPr>
        <w:t>World Development</w:t>
      </w:r>
      <w:r w:rsidRPr="0001330C">
        <w:rPr>
          <w:rFonts w:ascii="Times New Roman" w:hAnsi="Times New Roman" w:cs="Times New Roman"/>
          <w:noProof/>
        </w:rPr>
        <w:t xml:space="preserve">, </w:t>
      </w:r>
      <w:r w:rsidRPr="0001330C">
        <w:rPr>
          <w:rFonts w:ascii="Times New Roman" w:hAnsi="Times New Roman" w:cs="Times New Roman"/>
          <w:i/>
          <w:iCs/>
          <w:noProof/>
        </w:rPr>
        <w:t>64</w:t>
      </w:r>
      <w:r w:rsidRPr="0001330C">
        <w:rPr>
          <w:rFonts w:ascii="Times New Roman" w:hAnsi="Times New Roman" w:cs="Times New Roman"/>
          <w:noProof/>
        </w:rPr>
        <w:t>(S1), S12–S28. http://doi.org/10.1016/j.worlddev.2014.03.006</w:t>
      </w:r>
    </w:p>
    <w:p w14:paraId="4919E983"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Baker, H. S., Millar, R. J., Karoly, D. J., Beyerle, U., Guillod, B. P., Mitchell, D., … Allen, M. R. (2018). Higher CO2 concentrations increase extreme event risk in a 1.5 °c world. </w:t>
      </w:r>
      <w:r w:rsidRPr="0001330C">
        <w:rPr>
          <w:rFonts w:ascii="Times New Roman" w:hAnsi="Times New Roman" w:cs="Times New Roman"/>
          <w:i/>
          <w:iCs/>
          <w:noProof/>
        </w:rPr>
        <w:t>Nature Climate Change</w:t>
      </w:r>
      <w:r w:rsidRPr="0001330C">
        <w:rPr>
          <w:rFonts w:ascii="Times New Roman" w:hAnsi="Times New Roman" w:cs="Times New Roman"/>
          <w:noProof/>
        </w:rPr>
        <w:t xml:space="preserve">, </w:t>
      </w:r>
      <w:r w:rsidRPr="0001330C">
        <w:rPr>
          <w:rFonts w:ascii="Times New Roman" w:hAnsi="Times New Roman" w:cs="Times New Roman"/>
          <w:i/>
          <w:iCs/>
          <w:noProof/>
        </w:rPr>
        <w:t>8</w:t>
      </w:r>
      <w:r w:rsidRPr="0001330C">
        <w:rPr>
          <w:rFonts w:ascii="Times New Roman" w:hAnsi="Times New Roman" w:cs="Times New Roman"/>
          <w:noProof/>
        </w:rPr>
        <w:t>(7), 604–608. http://doi.org/10.1038/s41558-018-0190-1</w:t>
      </w:r>
    </w:p>
    <w:p w14:paraId="022023E1"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Bański, J., &amp; Mazur, M. (2016). Classification of rural areas in Poland as an instrument of territorial policy. </w:t>
      </w:r>
      <w:r w:rsidRPr="0001330C">
        <w:rPr>
          <w:rFonts w:ascii="Times New Roman" w:hAnsi="Times New Roman" w:cs="Times New Roman"/>
          <w:i/>
          <w:iCs/>
          <w:noProof/>
        </w:rPr>
        <w:t>Land Use Policy</w:t>
      </w:r>
      <w:r w:rsidRPr="0001330C">
        <w:rPr>
          <w:rFonts w:ascii="Times New Roman" w:hAnsi="Times New Roman" w:cs="Times New Roman"/>
          <w:noProof/>
        </w:rPr>
        <w:t xml:space="preserve">, </w:t>
      </w:r>
      <w:r w:rsidRPr="0001330C">
        <w:rPr>
          <w:rFonts w:ascii="Times New Roman" w:hAnsi="Times New Roman" w:cs="Times New Roman"/>
          <w:i/>
          <w:iCs/>
          <w:noProof/>
        </w:rPr>
        <w:t>54</w:t>
      </w:r>
      <w:r w:rsidRPr="0001330C">
        <w:rPr>
          <w:rFonts w:ascii="Times New Roman" w:hAnsi="Times New Roman" w:cs="Times New Roman"/>
          <w:noProof/>
        </w:rPr>
        <w:t>, 1–17. http://doi.org/10.1016/j.landusepol.2016.02.005</w:t>
      </w:r>
    </w:p>
    <w:p w14:paraId="260D27B0"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Berchoux, T., &amp; Hutton, C. W. (2019). Spatial associations between household and community livelihood capitals in rural territories: An example from the Mahanadi Delta, India. </w:t>
      </w:r>
      <w:r w:rsidRPr="0001330C">
        <w:rPr>
          <w:rFonts w:ascii="Times New Roman" w:hAnsi="Times New Roman" w:cs="Times New Roman"/>
          <w:i/>
          <w:iCs/>
          <w:noProof/>
        </w:rPr>
        <w:t>Applied Geography</w:t>
      </w:r>
      <w:r w:rsidRPr="0001330C">
        <w:rPr>
          <w:rFonts w:ascii="Times New Roman" w:hAnsi="Times New Roman" w:cs="Times New Roman"/>
          <w:noProof/>
        </w:rPr>
        <w:t xml:space="preserve">, </w:t>
      </w:r>
      <w:r w:rsidRPr="0001330C">
        <w:rPr>
          <w:rFonts w:ascii="Times New Roman" w:hAnsi="Times New Roman" w:cs="Times New Roman"/>
          <w:i/>
          <w:iCs/>
          <w:noProof/>
        </w:rPr>
        <w:t>103</w:t>
      </w:r>
      <w:r w:rsidRPr="0001330C">
        <w:rPr>
          <w:rFonts w:ascii="Times New Roman" w:hAnsi="Times New Roman" w:cs="Times New Roman"/>
          <w:noProof/>
        </w:rPr>
        <w:t>(February), 98–111. http://doi.org/10.1016/j.apgeog.2019.01.002</w:t>
      </w:r>
    </w:p>
    <w:p w14:paraId="61B84036"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Berchoux, T., Watmough, G. R., Johnson, F. A., Hutton, C. W., &amp; Atkinson, P. M. (2019). Collective influence of household and community capitals on agricultural employment as a </w:t>
      </w:r>
      <w:r w:rsidRPr="0001330C">
        <w:rPr>
          <w:rFonts w:ascii="Times New Roman" w:hAnsi="Times New Roman" w:cs="Times New Roman"/>
          <w:noProof/>
        </w:rPr>
        <w:lastRenderedPageBreak/>
        <w:t xml:space="preserve">measure of rural poverty in the Mahanadi Delta, India. </w:t>
      </w:r>
      <w:r w:rsidRPr="0001330C">
        <w:rPr>
          <w:rFonts w:ascii="Times New Roman" w:hAnsi="Times New Roman" w:cs="Times New Roman"/>
          <w:i/>
          <w:iCs/>
          <w:noProof/>
        </w:rPr>
        <w:t>Ambio</w:t>
      </w:r>
      <w:r w:rsidRPr="0001330C">
        <w:rPr>
          <w:rFonts w:ascii="Times New Roman" w:hAnsi="Times New Roman" w:cs="Times New Roman"/>
          <w:noProof/>
        </w:rPr>
        <w:t>. http://doi.org/10.1007/s13280-019-01150-9</w:t>
      </w:r>
    </w:p>
    <w:p w14:paraId="74844E13"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Bhandari, P. B. (2013). Rural livelihood change? Household capital, community resources and livelihood transition. </w:t>
      </w:r>
      <w:r w:rsidRPr="0001330C">
        <w:rPr>
          <w:rFonts w:ascii="Times New Roman" w:hAnsi="Times New Roman" w:cs="Times New Roman"/>
          <w:i/>
          <w:iCs/>
          <w:noProof/>
        </w:rPr>
        <w:t>Journal of Rural Studies</w:t>
      </w:r>
      <w:r w:rsidRPr="0001330C">
        <w:rPr>
          <w:rFonts w:ascii="Times New Roman" w:hAnsi="Times New Roman" w:cs="Times New Roman"/>
          <w:noProof/>
        </w:rPr>
        <w:t xml:space="preserve">, </w:t>
      </w:r>
      <w:r w:rsidRPr="0001330C">
        <w:rPr>
          <w:rFonts w:ascii="Times New Roman" w:hAnsi="Times New Roman" w:cs="Times New Roman"/>
          <w:i/>
          <w:iCs/>
          <w:noProof/>
        </w:rPr>
        <w:t>32</w:t>
      </w:r>
      <w:r w:rsidRPr="0001330C">
        <w:rPr>
          <w:rFonts w:ascii="Times New Roman" w:hAnsi="Times New Roman" w:cs="Times New Roman"/>
          <w:noProof/>
        </w:rPr>
        <w:t>, 126–136. http://doi.org/10.1016/j.jrurstud.2013.05.001</w:t>
      </w:r>
    </w:p>
    <w:p w14:paraId="12B435C7"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Birthal, P. S., Roy, D., &amp; Negi, D. S. (2015). Assessing the impact of crop diversification on farm poverty in India. </w:t>
      </w:r>
      <w:r w:rsidRPr="0001330C">
        <w:rPr>
          <w:rFonts w:ascii="Times New Roman" w:hAnsi="Times New Roman" w:cs="Times New Roman"/>
          <w:i/>
          <w:iCs/>
          <w:noProof/>
        </w:rPr>
        <w:t>World Development</w:t>
      </w:r>
      <w:r w:rsidRPr="0001330C">
        <w:rPr>
          <w:rFonts w:ascii="Times New Roman" w:hAnsi="Times New Roman" w:cs="Times New Roman"/>
          <w:noProof/>
        </w:rPr>
        <w:t xml:space="preserve">, </w:t>
      </w:r>
      <w:r w:rsidRPr="0001330C">
        <w:rPr>
          <w:rFonts w:ascii="Times New Roman" w:hAnsi="Times New Roman" w:cs="Times New Roman"/>
          <w:i/>
          <w:iCs/>
          <w:noProof/>
        </w:rPr>
        <w:t>72</w:t>
      </w:r>
      <w:r w:rsidRPr="0001330C">
        <w:rPr>
          <w:rFonts w:ascii="Times New Roman" w:hAnsi="Times New Roman" w:cs="Times New Roman"/>
          <w:noProof/>
        </w:rPr>
        <w:t>(i), 70–92. http://doi.org/10.1016/j.worlddev.2015.02.015</w:t>
      </w:r>
    </w:p>
    <w:p w14:paraId="267FC4F9"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Challinor, A. J., Watson, J., Lobell, D. B., Howden, S. M., Smith, D. R., &amp; Chhetri, N. (2014). A meta-analysis of crop yield under climate change and adaptation. </w:t>
      </w:r>
      <w:r w:rsidRPr="0001330C">
        <w:rPr>
          <w:rFonts w:ascii="Times New Roman" w:hAnsi="Times New Roman" w:cs="Times New Roman"/>
          <w:i/>
          <w:iCs/>
          <w:noProof/>
        </w:rPr>
        <w:t>Nature Climate Change</w:t>
      </w:r>
      <w:r w:rsidRPr="0001330C">
        <w:rPr>
          <w:rFonts w:ascii="Times New Roman" w:hAnsi="Times New Roman" w:cs="Times New Roman"/>
          <w:noProof/>
        </w:rPr>
        <w:t xml:space="preserve">, </w:t>
      </w:r>
      <w:r w:rsidRPr="0001330C">
        <w:rPr>
          <w:rFonts w:ascii="Times New Roman" w:hAnsi="Times New Roman" w:cs="Times New Roman"/>
          <w:i/>
          <w:iCs/>
          <w:noProof/>
        </w:rPr>
        <w:t>4</w:t>
      </w:r>
      <w:r w:rsidRPr="0001330C">
        <w:rPr>
          <w:rFonts w:ascii="Times New Roman" w:hAnsi="Times New Roman" w:cs="Times New Roman"/>
          <w:noProof/>
        </w:rPr>
        <w:t>(March), 287–291. http://doi.org/10.1038/NCLIMATE2153</w:t>
      </w:r>
    </w:p>
    <w:p w14:paraId="0EB44858"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Chandrasekhar, S., &amp; Mitra, A. (2018). Migration, caste and livelihood: evidence from Indian city-slums. </w:t>
      </w:r>
      <w:r w:rsidRPr="0001330C">
        <w:rPr>
          <w:rFonts w:ascii="Times New Roman" w:hAnsi="Times New Roman" w:cs="Times New Roman"/>
          <w:i/>
          <w:iCs/>
          <w:noProof/>
        </w:rPr>
        <w:t>Urban Research and Practice</w:t>
      </w:r>
      <w:r w:rsidRPr="0001330C">
        <w:rPr>
          <w:rFonts w:ascii="Times New Roman" w:hAnsi="Times New Roman" w:cs="Times New Roman"/>
          <w:noProof/>
        </w:rPr>
        <w:t xml:space="preserve">, </w:t>
      </w:r>
      <w:r w:rsidRPr="0001330C">
        <w:rPr>
          <w:rFonts w:ascii="Times New Roman" w:hAnsi="Times New Roman" w:cs="Times New Roman"/>
          <w:i/>
          <w:iCs/>
          <w:noProof/>
        </w:rPr>
        <w:t>00</w:t>
      </w:r>
      <w:r w:rsidRPr="0001330C">
        <w:rPr>
          <w:rFonts w:ascii="Times New Roman" w:hAnsi="Times New Roman" w:cs="Times New Roman"/>
          <w:noProof/>
        </w:rPr>
        <w:t>(00), 1–17. http://doi.org/10.1080/17535069.2018.1426781</w:t>
      </w:r>
    </w:p>
    <w:p w14:paraId="3548212D"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Charlton, C., Rasbash, J., Browne, W. J., Healy, M., &amp; Cameron, B. (2017). MLwiN. Centre for Multilevel Modelling, University of Bristol.</w:t>
      </w:r>
    </w:p>
    <w:p w14:paraId="2B2D8095"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Chen, J., Chen, J., Liao, A., Cao, X., Chen, L., Chen, X., … Mills, J. (2014). Global land cover mapping at 30 m resolution: A POK-based operational approach. </w:t>
      </w:r>
      <w:r w:rsidRPr="0001330C">
        <w:rPr>
          <w:rFonts w:ascii="Times New Roman" w:hAnsi="Times New Roman" w:cs="Times New Roman"/>
          <w:i/>
          <w:iCs/>
          <w:noProof/>
        </w:rPr>
        <w:t>ISPRS Journal of Photogrammetry and Remote Sensing</w:t>
      </w:r>
      <w:r w:rsidRPr="0001330C">
        <w:rPr>
          <w:rFonts w:ascii="Times New Roman" w:hAnsi="Times New Roman" w:cs="Times New Roman"/>
          <w:noProof/>
        </w:rPr>
        <w:t xml:space="preserve">, </w:t>
      </w:r>
      <w:r w:rsidRPr="0001330C">
        <w:rPr>
          <w:rFonts w:ascii="Times New Roman" w:hAnsi="Times New Roman" w:cs="Times New Roman"/>
          <w:i/>
          <w:iCs/>
          <w:noProof/>
        </w:rPr>
        <w:t>103</w:t>
      </w:r>
      <w:r w:rsidRPr="0001330C">
        <w:rPr>
          <w:rFonts w:ascii="Times New Roman" w:hAnsi="Times New Roman" w:cs="Times New Roman"/>
          <w:noProof/>
        </w:rPr>
        <w:t>, 7–27. http://doi.org/10.1016/j.isprsjprs.2014.09.002</w:t>
      </w:r>
    </w:p>
    <w:p w14:paraId="0BAAA7AD"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Chena, H., Zhu, T., Krotta, M., Calvo, J. F., Ganesh, S. P., &amp; Makot, I. (2013). Measurement and evaluation of livelihood assets in sustainable forest commons governance. </w:t>
      </w:r>
      <w:r w:rsidRPr="0001330C">
        <w:rPr>
          <w:rFonts w:ascii="Times New Roman" w:hAnsi="Times New Roman" w:cs="Times New Roman"/>
          <w:i/>
          <w:iCs/>
          <w:noProof/>
        </w:rPr>
        <w:t>Land Use Policy</w:t>
      </w:r>
      <w:r w:rsidRPr="0001330C">
        <w:rPr>
          <w:rFonts w:ascii="Times New Roman" w:hAnsi="Times New Roman" w:cs="Times New Roman"/>
          <w:noProof/>
        </w:rPr>
        <w:t xml:space="preserve">, </w:t>
      </w:r>
      <w:r w:rsidRPr="0001330C">
        <w:rPr>
          <w:rFonts w:ascii="Times New Roman" w:hAnsi="Times New Roman" w:cs="Times New Roman"/>
          <w:i/>
          <w:iCs/>
          <w:noProof/>
        </w:rPr>
        <w:t>30</w:t>
      </w:r>
      <w:r w:rsidRPr="0001330C">
        <w:rPr>
          <w:rFonts w:ascii="Times New Roman" w:hAnsi="Times New Roman" w:cs="Times New Roman"/>
          <w:noProof/>
        </w:rPr>
        <w:t>(1), 908–914. http://doi.org/10.1016/j.landusepol.2012.06.009</w:t>
      </w:r>
    </w:p>
    <w:p w14:paraId="2CEF5FA1"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lastRenderedPageBreak/>
        <w:t xml:space="preserve">de Sherbinin, A., VanWey, L. K., McSweeney, K., Aggarwal, R., Barbieri, A., Henry, S., … Walker, R. (2008). Rural household demographics, livelihoods and the environment. </w:t>
      </w:r>
      <w:r w:rsidRPr="0001330C">
        <w:rPr>
          <w:rFonts w:ascii="Times New Roman" w:hAnsi="Times New Roman" w:cs="Times New Roman"/>
          <w:i/>
          <w:iCs/>
          <w:noProof/>
        </w:rPr>
        <w:t>Global Environmental Change</w:t>
      </w:r>
      <w:r w:rsidRPr="0001330C">
        <w:rPr>
          <w:rFonts w:ascii="Times New Roman" w:hAnsi="Times New Roman" w:cs="Times New Roman"/>
          <w:noProof/>
        </w:rPr>
        <w:t xml:space="preserve">, </w:t>
      </w:r>
      <w:r w:rsidRPr="0001330C">
        <w:rPr>
          <w:rFonts w:ascii="Times New Roman" w:hAnsi="Times New Roman" w:cs="Times New Roman"/>
          <w:i/>
          <w:iCs/>
          <w:noProof/>
        </w:rPr>
        <w:t>18</w:t>
      </w:r>
      <w:r w:rsidRPr="0001330C">
        <w:rPr>
          <w:rFonts w:ascii="Times New Roman" w:hAnsi="Times New Roman" w:cs="Times New Roman"/>
          <w:noProof/>
        </w:rPr>
        <w:t>, 38–53. http://doi.org/10.1016/j.gloenvcha.2007.05.005</w:t>
      </w:r>
    </w:p>
    <w:p w14:paraId="76347DC6"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Duncan, J. M., Dash, J., &amp; Atkinson, P. M. (2015). The potential of satellite-observed crop phenology to enhance yield gap assessments in smallholder landscapes. </w:t>
      </w:r>
      <w:r w:rsidRPr="0001330C">
        <w:rPr>
          <w:rFonts w:ascii="Times New Roman" w:hAnsi="Times New Roman" w:cs="Times New Roman"/>
          <w:i/>
          <w:iCs/>
          <w:noProof/>
        </w:rPr>
        <w:t>Frontiers in Environmental Science</w:t>
      </w:r>
      <w:r w:rsidRPr="0001330C">
        <w:rPr>
          <w:rFonts w:ascii="Times New Roman" w:hAnsi="Times New Roman" w:cs="Times New Roman"/>
          <w:noProof/>
        </w:rPr>
        <w:t xml:space="preserve">, </w:t>
      </w:r>
      <w:r w:rsidRPr="0001330C">
        <w:rPr>
          <w:rFonts w:ascii="Times New Roman" w:hAnsi="Times New Roman" w:cs="Times New Roman"/>
          <w:i/>
          <w:iCs/>
          <w:noProof/>
        </w:rPr>
        <w:t>3</w:t>
      </w:r>
      <w:r w:rsidRPr="0001330C">
        <w:rPr>
          <w:rFonts w:ascii="Times New Roman" w:hAnsi="Times New Roman" w:cs="Times New Roman"/>
          <w:noProof/>
        </w:rPr>
        <w:t>(August), 1–16. http://doi.org/10.3389/fenvs.2015.00056</w:t>
      </w:r>
    </w:p>
    <w:p w14:paraId="56CA1069"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Duncan, J. M., Tompkins, E. L., Dash, J., &amp; Tripathy, B. (2017). Resilience to hazards: rice farmers in the Mahanadi Delta, India. </w:t>
      </w:r>
      <w:r w:rsidRPr="0001330C">
        <w:rPr>
          <w:rFonts w:ascii="Times New Roman" w:hAnsi="Times New Roman" w:cs="Times New Roman"/>
          <w:i/>
          <w:iCs/>
          <w:noProof/>
        </w:rPr>
        <w:t>Ecology and Society</w:t>
      </w:r>
      <w:r w:rsidRPr="0001330C">
        <w:rPr>
          <w:rFonts w:ascii="Times New Roman" w:hAnsi="Times New Roman" w:cs="Times New Roman"/>
          <w:noProof/>
        </w:rPr>
        <w:t xml:space="preserve">, </w:t>
      </w:r>
      <w:r w:rsidRPr="0001330C">
        <w:rPr>
          <w:rFonts w:ascii="Times New Roman" w:hAnsi="Times New Roman" w:cs="Times New Roman"/>
          <w:i/>
          <w:iCs/>
          <w:noProof/>
        </w:rPr>
        <w:t>22</w:t>
      </w:r>
      <w:r w:rsidRPr="0001330C">
        <w:rPr>
          <w:rFonts w:ascii="Times New Roman" w:hAnsi="Times New Roman" w:cs="Times New Roman"/>
          <w:noProof/>
        </w:rPr>
        <w:t>(4). http://doi.org/10.5751/ES-09559-220403</w:t>
      </w:r>
    </w:p>
    <w:p w14:paraId="20E4732C"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Ericson, J., Vorosmarty, C., Dingman, S., Ward, L., &amp; Meybeck, M. (2006). Effective sea-level rise and deltas: Causes of change and human dimension implications. </w:t>
      </w:r>
      <w:r w:rsidRPr="0001330C">
        <w:rPr>
          <w:rFonts w:ascii="Times New Roman" w:hAnsi="Times New Roman" w:cs="Times New Roman"/>
          <w:i/>
          <w:iCs/>
          <w:noProof/>
        </w:rPr>
        <w:t>Global and Planetary Change</w:t>
      </w:r>
      <w:r w:rsidRPr="0001330C">
        <w:rPr>
          <w:rFonts w:ascii="Times New Roman" w:hAnsi="Times New Roman" w:cs="Times New Roman"/>
          <w:noProof/>
        </w:rPr>
        <w:t xml:space="preserve">, </w:t>
      </w:r>
      <w:r w:rsidRPr="0001330C">
        <w:rPr>
          <w:rFonts w:ascii="Times New Roman" w:hAnsi="Times New Roman" w:cs="Times New Roman"/>
          <w:i/>
          <w:iCs/>
          <w:noProof/>
        </w:rPr>
        <w:t>50</w:t>
      </w:r>
      <w:r w:rsidRPr="0001330C">
        <w:rPr>
          <w:rFonts w:ascii="Times New Roman" w:hAnsi="Times New Roman" w:cs="Times New Roman"/>
          <w:noProof/>
        </w:rPr>
        <w:t>(1–2), 63–82. http://doi.org/10.1016/j.gloplacha.2005.07.004</w:t>
      </w:r>
    </w:p>
    <w:p w14:paraId="77232F74"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Falco, P., &amp; Haywood, L. (2016). Entrepreneurship versus joblessness: Explaining the rise in self-employment. </w:t>
      </w:r>
      <w:r w:rsidRPr="0001330C">
        <w:rPr>
          <w:rFonts w:ascii="Times New Roman" w:hAnsi="Times New Roman" w:cs="Times New Roman"/>
          <w:i/>
          <w:iCs/>
          <w:noProof/>
        </w:rPr>
        <w:t>Journal of Development Economics</w:t>
      </w:r>
      <w:r w:rsidRPr="0001330C">
        <w:rPr>
          <w:rFonts w:ascii="Times New Roman" w:hAnsi="Times New Roman" w:cs="Times New Roman"/>
          <w:noProof/>
        </w:rPr>
        <w:t xml:space="preserve">, </w:t>
      </w:r>
      <w:r w:rsidRPr="0001330C">
        <w:rPr>
          <w:rFonts w:ascii="Times New Roman" w:hAnsi="Times New Roman" w:cs="Times New Roman"/>
          <w:i/>
          <w:iCs/>
          <w:noProof/>
        </w:rPr>
        <w:t>118</w:t>
      </w:r>
      <w:r w:rsidRPr="0001330C">
        <w:rPr>
          <w:rFonts w:ascii="Times New Roman" w:hAnsi="Times New Roman" w:cs="Times New Roman"/>
          <w:noProof/>
        </w:rPr>
        <w:t>, 245–265. http://doi.org/10.1016/j.jdeveco.2015.07.010</w:t>
      </w:r>
    </w:p>
    <w:p w14:paraId="1BE0787E"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Fang, Y., Fan, J., Shen, M., &amp; Song, M. (2014). Sensitivity of livelihood strategy to livelihood capital in mountain areas: Empirical analysis based on different settlements in the upper reaches of the Minjiang River, China. </w:t>
      </w:r>
      <w:r w:rsidRPr="0001330C">
        <w:rPr>
          <w:rFonts w:ascii="Times New Roman" w:hAnsi="Times New Roman" w:cs="Times New Roman"/>
          <w:i/>
          <w:iCs/>
          <w:noProof/>
        </w:rPr>
        <w:t>Ecological Indicators</w:t>
      </w:r>
      <w:r w:rsidRPr="0001330C">
        <w:rPr>
          <w:rFonts w:ascii="Times New Roman" w:hAnsi="Times New Roman" w:cs="Times New Roman"/>
          <w:noProof/>
        </w:rPr>
        <w:t xml:space="preserve">, </w:t>
      </w:r>
      <w:r w:rsidRPr="0001330C">
        <w:rPr>
          <w:rFonts w:ascii="Times New Roman" w:hAnsi="Times New Roman" w:cs="Times New Roman"/>
          <w:i/>
          <w:iCs/>
          <w:noProof/>
        </w:rPr>
        <w:t>38</w:t>
      </w:r>
      <w:r w:rsidRPr="0001330C">
        <w:rPr>
          <w:rFonts w:ascii="Times New Roman" w:hAnsi="Times New Roman" w:cs="Times New Roman"/>
          <w:noProof/>
        </w:rPr>
        <w:t>, 225–235. http://doi.org/10.1016/j.ecolind.2013.11.007</w:t>
      </w:r>
    </w:p>
    <w:p w14:paraId="0D7B3D4A"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Flora, C. B., Flora, J. L., &amp; Gasteyer, S. P. (2015). </w:t>
      </w:r>
      <w:r w:rsidRPr="0001330C">
        <w:rPr>
          <w:rFonts w:ascii="Times New Roman" w:hAnsi="Times New Roman" w:cs="Times New Roman"/>
          <w:i/>
          <w:iCs/>
          <w:noProof/>
        </w:rPr>
        <w:t>Rural communities: Legacy+ change</w:t>
      </w:r>
      <w:r w:rsidRPr="0001330C">
        <w:rPr>
          <w:rFonts w:ascii="Times New Roman" w:hAnsi="Times New Roman" w:cs="Times New Roman"/>
          <w:noProof/>
        </w:rPr>
        <w:t>.</w:t>
      </w:r>
    </w:p>
    <w:p w14:paraId="4BEAE63F"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Fraley, C., &amp; Raftery, A. (2002). Model-based clustering, discriminant analysis, and density estimation. </w:t>
      </w:r>
      <w:r w:rsidRPr="0001330C">
        <w:rPr>
          <w:rFonts w:ascii="Times New Roman" w:hAnsi="Times New Roman" w:cs="Times New Roman"/>
          <w:i/>
          <w:iCs/>
          <w:noProof/>
        </w:rPr>
        <w:t>Journal of the American Statistical Association</w:t>
      </w:r>
      <w:r w:rsidRPr="0001330C">
        <w:rPr>
          <w:rFonts w:ascii="Times New Roman" w:hAnsi="Times New Roman" w:cs="Times New Roman"/>
          <w:noProof/>
        </w:rPr>
        <w:t xml:space="preserve">, </w:t>
      </w:r>
      <w:r w:rsidRPr="0001330C">
        <w:rPr>
          <w:rFonts w:ascii="Times New Roman" w:hAnsi="Times New Roman" w:cs="Times New Roman"/>
          <w:i/>
          <w:iCs/>
          <w:noProof/>
        </w:rPr>
        <w:t>97</w:t>
      </w:r>
      <w:r w:rsidRPr="0001330C">
        <w:rPr>
          <w:rFonts w:ascii="Times New Roman" w:hAnsi="Times New Roman" w:cs="Times New Roman"/>
          <w:noProof/>
        </w:rPr>
        <w:t>(458), 611–631. http://doi.org/10.1198/016214502760047131</w:t>
      </w:r>
    </w:p>
    <w:p w14:paraId="0D8FD8BB"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lastRenderedPageBreak/>
        <w:t xml:space="preserve">Fraley, C., Raftery, A. E., Murphy, T. B., &amp; Scrucca, L. (2012). mclust Version 4 for R: Normal Mixture Modeling for Model-Based Clustering, Classification, and Density Estimation. </w:t>
      </w:r>
      <w:r w:rsidRPr="0001330C">
        <w:rPr>
          <w:rFonts w:ascii="Times New Roman" w:hAnsi="Times New Roman" w:cs="Times New Roman"/>
          <w:i/>
          <w:iCs/>
          <w:noProof/>
        </w:rPr>
        <w:t>Technical Report 597, University of Washington</w:t>
      </w:r>
      <w:r w:rsidRPr="0001330C">
        <w:rPr>
          <w:rFonts w:ascii="Times New Roman" w:hAnsi="Times New Roman" w:cs="Times New Roman"/>
          <w:noProof/>
        </w:rPr>
        <w:t>, 1–50.</w:t>
      </w:r>
    </w:p>
    <w:p w14:paraId="627A293E"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Goldstein, H. (2003). </w:t>
      </w:r>
      <w:r w:rsidRPr="0001330C">
        <w:rPr>
          <w:rFonts w:ascii="Times New Roman" w:hAnsi="Times New Roman" w:cs="Times New Roman"/>
          <w:i/>
          <w:iCs/>
          <w:noProof/>
        </w:rPr>
        <w:t>Multi-level statistical models</w:t>
      </w:r>
      <w:r w:rsidRPr="0001330C">
        <w:rPr>
          <w:rFonts w:ascii="Times New Roman" w:hAnsi="Times New Roman" w:cs="Times New Roman"/>
          <w:noProof/>
        </w:rPr>
        <w:t xml:space="preserve"> (3rd editio). London: Arnold. http://doi.org/10.1902/jop.1992.63.8.690</w:t>
      </w:r>
    </w:p>
    <w:p w14:paraId="038D08EB"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Gumma, M. K., Mohanty, S., Nelson, A., Arnel, R., Mohammed, I. a., &amp; Das, S. R. (2014). Remote sensing based change analysis of rice environments in Odisha, India. </w:t>
      </w:r>
      <w:r w:rsidRPr="0001330C">
        <w:rPr>
          <w:rFonts w:ascii="Times New Roman" w:hAnsi="Times New Roman" w:cs="Times New Roman"/>
          <w:i/>
          <w:iCs/>
          <w:noProof/>
        </w:rPr>
        <w:t>Journal of Environmental Management</w:t>
      </w:r>
      <w:r w:rsidRPr="0001330C">
        <w:rPr>
          <w:rFonts w:ascii="Times New Roman" w:hAnsi="Times New Roman" w:cs="Times New Roman"/>
          <w:noProof/>
        </w:rPr>
        <w:t xml:space="preserve">, </w:t>
      </w:r>
      <w:r w:rsidRPr="0001330C">
        <w:rPr>
          <w:rFonts w:ascii="Times New Roman" w:hAnsi="Times New Roman" w:cs="Times New Roman"/>
          <w:i/>
          <w:iCs/>
          <w:noProof/>
        </w:rPr>
        <w:t>148</w:t>
      </w:r>
      <w:r w:rsidRPr="0001330C">
        <w:rPr>
          <w:rFonts w:ascii="Times New Roman" w:hAnsi="Times New Roman" w:cs="Times New Roman"/>
          <w:noProof/>
        </w:rPr>
        <w:t>, 31–41. http://doi.org/10.1016/j.jenvman.2013.11.039</w:t>
      </w:r>
    </w:p>
    <w:p w14:paraId="549BC73B"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Hall, R., Edelman, M., Borras, S. M., Scoones, I., White, B., &amp; Wolford, W. (2015). Resistance, acquiescence or incorporation? An introduction to land grabbing and political reactions ‘from below.’ </w:t>
      </w:r>
      <w:r w:rsidRPr="0001330C">
        <w:rPr>
          <w:rFonts w:ascii="Times New Roman" w:hAnsi="Times New Roman" w:cs="Times New Roman"/>
          <w:i/>
          <w:iCs/>
          <w:noProof/>
        </w:rPr>
        <w:t>Journal of Peasant Studies</w:t>
      </w:r>
      <w:r w:rsidRPr="0001330C">
        <w:rPr>
          <w:rFonts w:ascii="Times New Roman" w:hAnsi="Times New Roman" w:cs="Times New Roman"/>
          <w:noProof/>
        </w:rPr>
        <w:t xml:space="preserve">, </w:t>
      </w:r>
      <w:r w:rsidRPr="0001330C">
        <w:rPr>
          <w:rFonts w:ascii="Times New Roman" w:hAnsi="Times New Roman" w:cs="Times New Roman"/>
          <w:i/>
          <w:iCs/>
          <w:noProof/>
        </w:rPr>
        <w:t>42</w:t>
      </w:r>
      <w:r w:rsidRPr="0001330C">
        <w:rPr>
          <w:rFonts w:ascii="Times New Roman" w:hAnsi="Times New Roman" w:cs="Times New Roman"/>
          <w:noProof/>
        </w:rPr>
        <w:t>(3–4), 467–488. http://doi.org/10.1080/03066150.2015.1036746</w:t>
      </w:r>
    </w:p>
    <w:p w14:paraId="7737148C"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Indian Ministry of Labour and Employment. (2015). </w:t>
      </w:r>
      <w:r w:rsidRPr="0001330C">
        <w:rPr>
          <w:rFonts w:ascii="Times New Roman" w:hAnsi="Times New Roman" w:cs="Times New Roman"/>
          <w:i/>
          <w:iCs/>
          <w:noProof/>
        </w:rPr>
        <w:t>India Labour year book 2011 and 2012</w:t>
      </w:r>
      <w:r w:rsidRPr="0001330C">
        <w:rPr>
          <w:rFonts w:ascii="Times New Roman" w:hAnsi="Times New Roman" w:cs="Times New Roman"/>
          <w:noProof/>
        </w:rPr>
        <w:t>. Retrieved from http://labourbureau.nic.in/ILYB_2011_2012.pdf</w:t>
      </w:r>
    </w:p>
    <w:p w14:paraId="171C3134"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Jansen, H. G. P., Pender, J., Damon, A., Wielemaker, W., &amp; Schipper, R. (2006). Policies for sustainable development in the hillside areas of Honduras: a quantitative livelihoods approach. </w:t>
      </w:r>
      <w:r w:rsidRPr="0001330C">
        <w:rPr>
          <w:rFonts w:ascii="Times New Roman" w:hAnsi="Times New Roman" w:cs="Times New Roman"/>
          <w:i/>
          <w:iCs/>
          <w:noProof/>
        </w:rPr>
        <w:t>Agricultural Economics</w:t>
      </w:r>
      <w:r w:rsidRPr="0001330C">
        <w:rPr>
          <w:rFonts w:ascii="Times New Roman" w:hAnsi="Times New Roman" w:cs="Times New Roman"/>
          <w:noProof/>
        </w:rPr>
        <w:t xml:space="preserve">, </w:t>
      </w:r>
      <w:r w:rsidRPr="0001330C">
        <w:rPr>
          <w:rFonts w:ascii="Times New Roman" w:hAnsi="Times New Roman" w:cs="Times New Roman"/>
          <w:i/>
          <w:iCs/>
          <w:noProof/>
        </w:rPr>
        <w:t>34</w:t>
      </w:r>
      <w:r w:rsidRPr="0001330C">
        <w:rPr>
          <w:rFonts w:ascii="Times New Roman" w:hAnsi="Times New Roman" w:cs="Times New Roman"/>
          <w:noProof/>
        </w:rPr>
        <w:t>(2), 141–153. http://doi.org/10.1111/j.1574-0864.2006.00114.x</w:t>
      </w:r>
    </w:p>
    <w:p w14:paraId="2F985290"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Jiao, X. I., Pouliot, M., &amp; Walelign, S. Z. (2017). Livelihood Strategies and Dynamics in Rural. </w:t>
      </w:r>
      <w:r w:rsidRPr="0001330C">
        <w:rPr>
          <w:rFonts w:ascii="Times New Roman" w:hAnsi="Times New Roman" w:cs="Times New Roman"/>
          <w:i/>
          <w:iCs/>
          <w:noProof/>
        </w:rPr>
        <w:t>World Development</w:t>
      </w:r>
      <w:r w:rsidRPr="0001330C">
        <w:rPr>
          <w:rFonts w:ascii="Times New Roman" w:hAnsi="Times New Roman" w:cs="Times New Roman"/>
          <w:noProof/>
        </w:rPr>
        <w:t>, (May). http://doi.org/10.1016/j.worlddev.2017.04.019</w:t>
      </w:r>
    </w:p>
    <w:p w14:paraId="01A41A69"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Krishnan, P., &amp; Dercon, S. (2000). Vulnerability, Seasonality and Poverty in Ethiopia. </w:t>
      </w:r>
      <w:r w:rsidRPr="0001330C">
        <w:rPr>
          <w:rFonts w:ascii="Times New Roman" w:hAnsi="Times New Roman" w:cs="Times New Roman"/>
          <w:i/>
          <w:iCs/>
          <w:noProof/>
        </w:rPr>
        <w:t>Journal of Development Studies</w:t>
      </w:r>
      <w:r w:rsidRPr="0001330C">
        <w:rPr>
          <w:rFonts w:ascii="Times New Roman" w:hAnsi="Times New Roman" w:cs="Times New Roman"/>
          <w:noProof/>
        </w:rPr>
        <w:t xml:space="preserve">, </w:t>
      </w:r>
      <w:r w:rsidRPr="0001330C">
        <w:rPr>
          <w:rFonts w:ascii="Times New Roman" w:hAnsi="Times New Roman" w:cs="Times New Roman"/>
          <w:i/>
          <w:iCs/>
          <w:noProof/>
        </w:rPr>
        <w:t>36</w:t>
      </w:r>
      <w:r w:rsidRPr="0001330C">
        <w:rPr>
          <w:rFonts w:ascii="Times New Roman" w:hAnsi="Times New Roman" w:cs="Times New Roman"/>
          <w:noProof/>
        </w:rPr>
        <w:t>(6), 25–51.</w:t>
      </w:r>
    </w:p>
    <w:p w14:paraId="0F95D52F"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Lakerveld, R. P., Lele, S., Crane, T. A., Fortuin, K. P. J., &amp; Springate-Baginski, O. (2015). The </w:t>
      </w:r>
      <w:r w:rsidRPr="0001330C">
        <w:rPr>
          <w:rFonts w:ascii="Times New Roman" w:hAnsi="Times New Roman" w:cs="Times New Roman"/>
          <w:noProof/>
        </w:rPr>
        <w:lastRenderedPageBreak/>
        <w:t xml:space="preserve">social distribution of provisioning forest ecosystem services: Evidence and insights from Odisha, India. </w:t>
      </w:r>
      <w:r w:rsidRPr="0001330C">
        <w:rPr>
          <w:rFonts w:ascii="Times New Roman" w:hAnsi="Times New Roman" w:cs="Times New Roman"/>
          <w:i/>
          <w:iCs/>
          <w:noProof/>
        </w:rPr>
        <w:t>Ecosystem Services</w:t>
      </w:r>
      <w:r w:rsidRPr="0001330C">
        <w:rPr>
          <w:rFonts w:ascii="Times New Roman" w:hAnsi="Times New Roman" w:cs="Times New Roman"/>
          <w:noProof/>
        </w:rPr>
        <w:t xml:space="preserve">, </w:t>
      </w:r>
      <w:r w:rsidRPr="0001330C">
        <w:rPr>
          <w:rFonts w:ascii="Times New Roman" w:hAnsi="Times New Roman" w:cs="Times New Roman"/>
          <w:i/>
          <w:iCs/>
          <w:noProof/>
        </w:rPr>
        <w:t>14</w:t>
      </w:r>
      <w:r w:rsidRPr="0001330C">
        <w:rPr>
          <w:rFonts w:ascii="Times New Roman" w:hAnsi="Times New Roman" w:cs="Times New Roman"/>
          <w:noProof/>
        </w:rPr>
        <w:t>, 56–66. http://doi.org/10.1016/j.ecoser.2015.04.001</w:t>
      </w:r>
    </w:p>
    <w:p w14:paraId="022037E8"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Lerche, J. (2009). From ‘rural labour’to ‘classes of labour’: class fragmentation, caste and class struggle at the bottom of the Indian labour hierarchy. In </w:t>
      </w:r>
      <w:r w:rsidRPr="0001330C">
        <w:rPr>
          <w:rFonts w:ascii="Times New Roman" w:hAnsi="Times New Roman" w:cs="Times New Roman"/>
          <w:i/>
          <w:iCs/>
          <w:noProof/>
        </w:rPr>
        <w:t>The Comparative Political Economy of Development</w:t>
      </w:r>
      <w:r w:rsidRPr="0001330C">
        <w:rPr>
          <w:rFonts w:ascii="Times New Roman" w:hAnsi="Times New Roman" w:cs="Times New Roman"/>
          <w:noProof/>
        </w:rPr>
        <w:t xml:space="preserve"> (pp. 90–111). Routledge.</w:t>
      </w:r>
    </w:p>
    <w:p w14:paraId="290D775E"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Levien, M. J. (2013). Regimes of Dispossession: Special Economic Zones and the Political Economy of Land in India. </w:t>
      </w:r>
      <w:r w:rsidRPr="0001330C">
        <w:rPr>
          <w:rFonts w:ascii="Times New Roman" w:hAnsi="Times New Roman" w:cs="Times New Roman"/>
          <w:i/>
          <w:iCs/>
          <w:noProof/>
        </w:rPr>
        <w:t>The Journal of Peasant Studies</w:t>
      </w:r>
      <w:r w:rsidRPr="0001330C">
        <w:rPr>
          <w:rFonts w:ascii="Times New Roman" w:hAnsi="Times New Roman" w:cs="Times New Roman"/>
          <w:noProof/>
        </w:rPr>
        <w:t xml:space="preserve">, </w:t>
      </w:r>
      <w:r w:rsidRPr="0001330C">
        <w:rPr>
          <w:rFonts w:ascii="Times New Roman" w:hAnsi="Times New Roman" w:cs="Times New Roman"/>
          <w:i/>
          <w:iCs/>
          <w:noProof/>
        </w:rPr>
        <w:t>39</w:t>
      </w:r>
      <w:r w:rsidRPr="0001330C">
        <w:rPr>
          <w:rFonts w:ascii="Times New Roman" w:hAnsi="Times New Roman" w:cs="Times New Roman"/>
          <w:noProof/>
        </w:rPr>
        <w:t>(October), 933–969.</w:t>
      </w:r>
    </w:p>
    <w:p w14:paraId="04A91633"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Liu, G., Liu, H., &amp; Yin, Y. (2013). Global patterns of NDVI-indicated vegetation extremes and their sensitivity to climate extremes. </w:t>
      </w:r>
      <w:r w:rsidRPr="0001330C">
        <w:rPr>
          <w:rFonts w:ascii="Times New Roman" w:hAnsi="Times New Roman" w:cs="Times New Roman"/>
          <w:i/>
          <w:iCs/>
          <w:noProof/>
        </w:rPr>
        <w:t>Environmental Research Letters</w:t>
      </w:r>
      <w:r w:rsidRPr="0001330C">
        <w:rPr>
          <w:rFonts w:ascii="Times New Roman" w:hAnsi="Times New Roman" w:cs="Times New Roman"/>
          <w:noProof/>
        </w:rPr>
        <w:t xml:space="preserve">, </w:t>
      </w:r>
      <w:r w:rsidRPr="0001330C">
        <w:rPr>
          <w:rFonts w:ascii="Times New Roman" w:hAnsi="Times New Roman" w:cs="Times New Roman"/>
          <w:i/>
          <w:iCs/>
          <w:noProof/>
        </w:rPr>
        <w:t>8</w:t>
      </w:r>
      <w:r w:rsidRPr="0001330C">
        <w:rPr>
          <w:rFonts w:ascii="Times New Roman" w:hAnsi="Times New Roman" w:cs="Times New Roman"/>
          <w:noProof/>
        </w:rPr>
        <w:t>(2), 025009. http://doi.org/10.1088/1748-9326/8/2/025009</w:t>
      </w:r>
    </w:p>
    <w:p w14:paraId="65C56879"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Manjunatha, A. V., Anik, A. R., Speelman, S., &amp; Nuppenau, E. A. (2013). Impact of land fragmentation, farm size, land ownership and crop diversity on profit and efficiency of irrigated farms in India. </w:t>
      </w:r>
      <w:r w:rsidRPr="0001330C">
        <w:rPr>
          <w:rFonts w:ascii="Times New Roman" w:hAnsi="Times New Roman" w:cs="Times New Roman"/>
          <w:i/>
          <w:iCs/>
          <w:noProof/>
        </w:rPr>
        <w:t>Land Use Policy</w:t>
      </w:r>
      <w:r w:rsidRPr="0001330C">
        <w:rPr>
          <w:rFonts w:ascii="Times New Roman" w:hAnsi="Times New Roman" w:cs="Times New Roman"/>
          <w:noProof/>
        </w:rPr>
        <w:t xml:space="preserve">, </w:t>
      </w:r>
      <w:r w:rsidRPr="0001330C">
        <w:rPr>
          <w:rFonts w:ascii="Times New Roman" w:hAnsi="Times New Roman" w:cs="Times New Roman"/>
          <w:i/>
          <w:iCs/>
          <w:noProof/>
        </w:rPr>
        <w:t>31</w:t>
      </w:r>
      <w:r w:rsidRPr="0001330C">
        <w:rPr>
          <w:rFonts w:ascii="Times New Roman" w:hAnsi="Times New Roman" w:cs="Times New Roman"/>
          <w:noProof/>
        </w:rPr>
        <w:t>, 397–405. http://doi.org/10.1016/j.landusepol.2012.08.005</w:t>
      </w:r>
    </w:p>
    <w:p w14:paraId="6145C628"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McKenzie, D. J. (2005). Measuring inequality with asset indicators. </w:t>
      </w:r>
      <w:r w:rsidRPr="0001330C">
        <w:rPr>
          <w:rFonts w:ascii="Times New Roman" w:hAnsi="Times New Roman" w:cs="Times New Roman"/>
          <w:i/>
          <w:iCs/>
          <w:noProof/>
        </w:rPr>
        <w:t>Journal of Population Economics</w:t>
      </w:r>
      <w:r w:rsidRPr="0001330C">
        <w:rPr>
          <w:rFonts w:ascii="Times New Roman" w:hAnsi="Times New Roman" w:cs="Times New Roman"/>
          <w:noProof/>
        </w:rPr>
        <w:t xml:space="preserve">, </w:t>
      </w:r>
      <w:r w:rsidRPr="0001330C">
        <w:rPr>
          <w:rFonts w:ascii="Times New Roman" w:hAnsi="Times New Roman" w:cs="Times New Roman"/>
          <w:i/>
          <w:iCs/>
          <w:noProof/>
        </w:rPr>
        <w:t>18</w:t>
      </w:r>
      <w:r w:rsidRPr="0001330C">
        <w:rPr>
          <w:rFonts w:ascii="Times New Roman" w:hAnsi="Times New Roman" w:cs="Times New Roman"/>
          <w:noProof/>
        </w:rPr>
        <w:t>(2), 229–260. http://doi.org/10.1007/s00148-005-0224-7</w:t>
      </w:r>
    </w:p>
    <w:p w14:paraId="4CCFC6BF"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Nielsen, Ø. J., Rayamajhi, S., Uberhuaga, P., Meilby, H., &amp; Smith-Hall, C. (2013). Quantifying rural livelihood strategies in developing countries using an activity choice approach. </w:t>
      </w:r>
      <w:r w:rsidRPr="0001330C">
        <w:rPr>
          <w:rFonts w:ascii="Times New Roman" w:hAnsi="Times New Roman" w:cs="Times New Roman"/>
          <w:i/>
          <w:iCs/>
          <w:noProof/>
        </w:rPr>
        <w:t>Agricultural Economics</w:t>
      </w:r>
      <w:r w:rsidRPr="0001330C">
        <w:rPr>
          <w:rFonts w:ascii="Times New Roman" w:hAnsi="Times New Roman" w:cs="Times New Roman"/>
          <w:noProof/>
        </w:rPr>
        <w:t xml:space="preserve">, </w:t>
      </w:r>
      <w:r w:rsidRPr="0001330C">
        <w:rPr>
          <w:rFonts w:ascii="Times New Roman" w:hAnsi="Times New Roman" w:cs="Times New Roman"/>
          <w:i/>
          <w:iCs/>
          <w:noProof/>
        </w:rPr>
        <w:t>44</w:t>
      </w:r>
      <w:r w:rsidRPr="0001330C">
        <w:rPr>
          <w:rFonts w:ascii="Times New Roman" w:hAnsi="Times New Roman" w:cs="Times New Roman"/>
          <w:noProof/>
        </w:rPr>
        <w:t>(1), 57–71. http://doi.org/10.1111/j.1574-0862.2012.00632.x</w:t>
      </w:r>
    </w:p>
    <w:p w14:paraId="5A085B89"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Padgham, M., Rudis, B., Lovelace, R., &amp; Salmon, M. (2017). R Package “‘osmdata.’”</w:t>
      </w:r>
    </w:p>
    <w:p w14:paraId="0DAC81EC"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Palmer-Jones, R., &amp; Sen, K. (2006). It is where you are that matters: The spatial determinants of rural poverty in India. </w:t>
      </w:r>
      <w:r w:rsidRPr="0001330C">
        <w:rPr>
          <w:rFonts w:ascii="Times New Roman" w:hAnsi="Times New Roman" w:cs="Times New Roman"/>
          <w:i/>
          <w:iCs/>
          <w:noProof/>
        </w:rPr>
        <w:t>Agricultural Economics</w:t>
      </w:r>
      <w:r w:rsidRPr="0001330C">
        <w:rPr>
          <w:rFonts w:ascii="Times New Roman" w:hAnsi="Times New Roman" w:cs="Times New Roman"/>
          <w:noProof/>
        </w:rPr>
        <w:t xml:space="preserve">, </w:t>
      </w:r>
      <w:r w:rsidRPr="0001330C">
        <w:rPr>
          <w:rFonts w:ascii="Times New Roman" w:hAnsi="Times New Roman" w:cs="Times New Roman"/>
          <w:i/>
          <w:iCs/>
          <w:noProof/>
        </w:rPr>
        <w:t>34</w:t>
      </w:r>
      <w:r w:rsidRPr="0001330C">
        <w:rPr>
          <w:rFonts w:ascii="Times New Roman" w:hAnsi="Times New Roman" w:cs="Times New Roman"/>
          <w:noProof/>
        </w:rPr>
        <w:t>(3), 229–242. http://doi.org/10.1111/j.1574-0864.2006.00121.x</w:t>
      </w:r>
    </w:p>
    <w:p w14:paraId="2E00E479"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lastRenderedPageBreak/>
        <w:t xml:space="preserve">Raykov, Y. P., Boukouvalas, A., Baig, F., &amp; Little, M. A. (2016). What to do when K-means clustering fails: A simple yet principled alternative algorithm. </w:t>
      </w:r>
      <w:r w:rsidRPr="0001330C">
        <w:rPr>
          <w:rFonts w:ascii="Times New Roman" w:hAnsi="Times New Roman" w:cs="Times New Roman"/>
          <w:i/>
          <w:iCs/>
          <w:noProof/>
        </w:rPr>
        <w:t>PLoS ONE</w:t>
      </w:r>
      <w:r w:rsidRPr="0001330C">
        <w:rPr>
          <w:rFonts w:ascii="Times New Roman" w:hAnsi="Times New Roman" w:cs="Times New Roman"/>
          <w:noProof/>
        </w:rPr>
        <w:t xml:space="preserve">, </w:t>
      </w:r>
      <w:r w:rsidRPr="0001330C">
        <w:rPr>
          <w:rFonts w:ascii="Times New Roman" w:hAnsi="Times New Roman" w:cs="Times New Roman"/>
          <w:i/>
          <w:iCs/>
          <w:noProof/>
        </w:rPr>
        <w:t>11</w:t>
      </w:r>
      <w:r w:rsidRPr="0001330C">
        <w:rPr>
          <w:rFonts w:ascii="Times New Roman" w:hAnsi="Times New Roman" w:cs="Times New Roman"/>
          <w:noProof/>
        </w:rPr>
        <w:t>(9), 1–28. http://doi.org/10.1371/journal.pone.0162259</w:t>
      </w:r>
    </w:p>
    <w:p w14:paraId="7349B019"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Registrar General and Census Commissioner. (2011). </w:t>
      </w:r>
      <w:r w:rsidRPr="0001330C">
        <w:rPr>
          <w:rFonts w:ascii="Times New Roman" w:hAnsi="Times New Roman" w:cs="Times New Roman"/>
          <w:i/>
          <w:iCs/>
          <w:noProof/>
        </w:rPr>
        <w:t>Census Data 2011</w:t>
      </w:r>
      <w:r w:rsidRPr="0001330C">
        <w:rPr>
          <w:rFonts w:ascii="Times New Roman" w:hAnsi="Times New Roman" w:cs="Times New Roman"/>
          <w:noProof/>
        </w:rPr>
        <w:t>. New Delhi, India.</w:t>
      </w:r>
    </w:p>
    <w:p w14:paraId="6CF5AD7C"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Sahu, S. K., &amp; Dash, M. (2011). Expropriation of Land and Cultures: The Odisha Story and Beyond. </w:t>
      </w:r>
      <w:r w:rsidRPr="0001330C">
        <w:rPr>
          <w:rFonts w:ascii="Times New Roman" w:hAnsi="Times New Roman" w:cs="Times New Roman"/>
          <w:i/>
          <w:iCs/>
          <w:noProof/>
        </w:rPr>
        <w:t>Social Change</w:t>
      </w:r>
      <w:r w:rsidRPr="0001330C">
        <w:rPr>
          <w:rFonts w:ascii="Times New Roman" w:hAnsi="Times New Roman" w:cs="Times New Roman"/>
          <w:noProof/>
        </w:rPr>
        <w:t xml:space="preserve">, </w:t>
      </w:r>
      <w:r w:rsidRPr="0001330C">
        <w:rPr>
          <w:rFonts w:ascii="Times New Roman" w:hAnsi="Times New Roman" w:cs="Times New Roman"/>
          <w:i/>
          <w:iCs/>
          <w:noProof/>
        </w:rPr>
        <w:t>41</w:t>
      </w:r>
      <w:r w:rsidRPr="0001330C">
        <w:rPr>
          <w:rFonts w:ascii="Times New Roman" w:hAnsi="Times New Roman" w:cs="Times New Roman"/>
          <w:noProof/>
        </w:rPr>
        <w:t>(2), 251–270. http://doi.org/10.1177/004908571104100204</w:t>
      </w:r>
    </w:p>
    <w:p w14:paraId="280D585F"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Scoones, I. (2015). </w:t>
      </w:r>
      <w:r w:rsidRPr="0001330C">
        <w:rPr>
          <w:rFonts w:ascii="Times New Roman" w:hAnsi="Times New Roman" w:cs="Times New Roman"/>
          <w:i/>
          <w:iCs/>
          <w:noProof/>
        </w:rPr>
        <w:t>Sustainable livelihoods and rural development</w:t>
      </w:r>
      <w:r w:rsidRPr="0001330C">
        <w:rPr>
          <w:rFonts w:ascii="Times New Roman" w:hAnsi="Times New Roman" w:cs="Times New Roman"/>
          <w:noProof/>
        </w:rPr>
        <w:t>. Practical Action Publishing.</w:t>
      </w:r>
    </w:p>
    <w:p w14:paraId="230404C3"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Singh, P. K., &amp; Hiremath, B. N. (2010). Sustainable livelihood security index in a developing country: A tool for development planning. </w:t>
      </w:r>
      <w:r w:rsidRPr="0001330C">
        <w:rPr>
          <w:rFonts w:ascii="Times New Roman" w:hAnsi="Times New Roman" w:cs="Times New Roman"/>
          <w:i/>
          <w:iCs/>
          <w:noProof/>
        </w:rPr>
        <w:t>Ecological Indicators</w:t>
      </w:r>
      <w:r w:rsidRPr="0001330C">
        <w:rPr>
          <w:rFonts w:ascii="Times New Roman" w:hAnsi="Times New Roman" w:cs="Times New Roman"/>
          <w:noProof/>
        </w:rPr>
        <w:t xml:space="preserve">, </w:t>
      </w:r>
      <w:r w:rsidRPr="0001330C">
        <w:rPr>
          <w:rFonts w:ascii="Times New Roman" w:hAnsi="Times New Roman" w:cs="Times New Roman"/>
          <w:i/>
          <w:iCs/>
          <w:noProof/>
        </w:rPr>
        <w:t>10</w:t>
      </w:r>
      <w:r w:rsidRPr="0001330C">
        <w:rPr>
          <w:rFonts w:ascii="Times New Roman" w:hAnsi="Times New Roman" w:cs="Times New Roman"/>
          <w:noProof/>
        </w:rPr>
        <w:t>(2), 442–451. http://doi.org/10.1016/j.ecolind.2009.07.015</w:t>
      </w:r>
    </w:p>
    <w:p w14:paraId="6C3774EB"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Testa, S., Soudani, K., Boschetti, L., &amp; Borgogno Mondino, E. (2018). MODIS-derived EVI, NDVI and WDRVI time series to estimate phenological metrics in French deciduous forests. </w:t>
      </w:r>
      <w:r w:rsidRPr="0001330C">
        <w:rPr>
          <w:rFonts w:ascii="Times New Roman" w:hAnsi="Times New Roman" w:cs="Times New Roman"/>
          <w:i/>
          <w:iCs/>
          <w:noProof/>
        </w:rPr>
        <w:t>International Journal of Applied Earth Observation and Geoinformation</w:t>
      </w:r>
      <w:r w:rsidRPr="0001330C">
        <w:rPr>
          <w:rFonts w:ascii="Times New Roman" w:hAnsi="Times New Roman" w:cs="Times New Roman"/>
          <w:noProof/>
        </w:rPr>
        <w:t xml:space="preserve">, </w:t>
      </w:r>
      <w:r w:rsidRPr="0001330C">
        <w:rPr>
          <w:rFonts w:ascii="Times New Roman" w:hAnsi="Times New Roman" w:cs="Times New Roman"/>
          <w:i/>
          <w:iCs/>
          <w:noProof/>
        </w:rPr>
        <w:t>64</w:t>
      </w:r>
      <w:r w:rsidRPr="0001330C">
        <w:rPr>
          <w:rFonts w:ascii="Times New Roman" w:hAnsi="Times New Roman" w:cs="Times New Roman"/>
          <w:noProof/>
        </w:rPr>
        <w:t>(August 2017), 132–144. http://doi.org/10.1016/j.jag.2017.08.006</w:t>
      </w:r>
    </w:p>
    <w:p w14:paraId="268D5189"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Turner, K. G., Odgaard, M. V., Bøcher, P. K., Dalgaard, T., &amp; Svenning, J. C. (2014). Bundling ecosystem services in Denmark: Trade-offs and synergies in a cultural landscape. </w:t>
      </w:r>
      <w:r w:rsidRPr="0001330C">
        <w:rPr>
          <w:rFonts w:ascii="Times New Roman" w:hAnsi="Times New Roman" w:cs="Times New Roman"/>
          <w:i/>
          <w:iCs/>
          <w:noProof/>
        </w:rPr>
        <w:t>Landscape and Urban Planning</w:t>
      </w:r>
      <w:r w:rsidRPr="0001330C">
        <w:rPr>
          <w:rFonts w:ascii="Times New Roman" w:hAnsi="Times New Roman" w:cs="Times New Roman"/>
          <w:noProof/>
        </w:rPr>
        <w:t xml:space="preserve">, </w:t>
      </w:r>
      <w:r w:rsidRPr="0001330C">
        <w:rPr>
          <w:rFonts w:ascii="Times New Roman" w:hAnsi="Times New Roman" w:cs="Times New Roman"/>
          <w:i/>
          <w:iCs/>
          <w:noProof/>
        </w:rPr>
        <w:t>125</w:t>
      </w:r>
      <w:r w:rsidRPr="0001330C">
        <w:rPr>
          <w:rFonts w:ascii="Times New Roman" w:hAnsi="Times New Roman" w:cs="Times New Roman"/>
          <w:noProof/>
        </w:rPr>
        <w:t>, 89–104. http://doi.org/10.1016/j.landurbplan.2014.02.007</w:t>
      </w:r>
    </w:p>
    <w:p w14:paraId="167DB97B"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van den Berg, M. (2010). Household income strategies and natural disasters: Dynamic livelihoods in rural Nicaragua. </w:t>
      </w:r>
      <w:r w:rsidRPr="0001330C">
        <w:rPr>
          <w:rFonts w:ascii="Times New Roman" w:hAnsi="Times New Roman" w:cs="Times New Roman"/>
          <w:i/>
          <w:iCs/>
          <w:noProof/>
        </w:rPr>
        <w:t>Ecological Economics</w:t>
      </w:r>
      <w:r w:rsidRPr="0001330C">
        <w:rPr>
          <w:rFonts w:ascii="Times New Roman" w:hAnsi="Times New Roman" w:cs="Times New Roman"/>
          <w:noProof/>
        </w:rPr>
        <w:t xml:space="preserve">, </w:t>
      </w:r>
      <w:r w:rsidRPr="0001330C">
        <w:rPr>
          <w:rFonts w:ascii="Times New Roman" w:hAnsi="Times New Roman" w:cs="Times New Roman"/>
          <w:i/>
          <w:iCs/>
          <w:noProof/>
        </w:rPr>
        <w:t>69</w:t>
      </w:r>
      <w:r w:rsidRPr="0001330C">
        <w:rPr>
          <w:rFonts w:ascii="Times New Roman" w:hAnsi="Times New Roman" w:cs="Times New Roman"/>
          <w:noProof/>
        </w:rPr>
        <w:t>(3), 592–602. http://doi.org/10.1016/j.ecolecon.2009.09.006</w:t>
      </w:r>
    </w:p>
    <w:p w14:paraId="70416CD0"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van der Zanden, E. H., Levers, C., Verburg, P. H., &amp; Kuemmerle, T. (2016). Representing composition, spatial structure and management intensity of European agricultural </w:t>
      </w:r>
      <w:r w:rsidRPr="0001330C">
        <w:rPr>
          <w:rFonts w:ascii="Times New Roman" w:hAnsi="Times New Roman" w:cs="Times New Roman"/>
          <w:noProof/>
        </w:rPr>
        <w:lastRenderedPageBreak/>
        <w:t xml:space="preserve">landscapes: A new typology. </w:t>
      </w:r>
      <w:r w:rsidRPr="0001330C">
        <w:rPr>
          <w:rFonts w:ascii="Times New Roman" w:hAnsi="Times New Roman" w:cs="Times New Roman"/>
          <w:i/>
          <w:iCs/>
          <w:noProof/>
        </w:rPr>
        <w:t>Landscape and Urban Planning</w:t>
      </w:r>
      <w:r w:rsidRPr="0001330C">
        <w:rPr>
          <w:rFonts w:ascii="Times New Roman" w:hAnsi="Times New Roman" w:cs="Times New Roman"/>
          <w:noProof/>
        </w:rPr>
        <w:t xml:space="preserve">, </w:t>
      </w:r>
      <w:r w:rsidRPr="0001330C">
        <w:rPr>
          <w:rFonts w:ascii="Times New Roman" w:hAnsi="Times New Roman" w:cs="Times New Roman"/>
          <w:i/>
          <w:iCs/>
          <w:noProof/>
        </w:rPr>
        <w:t>150</w:t>
      </w:r>
      <w:r w:rsidRPr="0001330C">
        <w:rPr>
          <w:rFonts w:ascii="Times New Roman" w:hAnsi="Times New Roman" w:cs="Times New Roman"/>
          <w:noProof/>
        </w:rPr>
        <w:t>, 36–49. http://doi.org/10.1016/j.landurbplan.2016.02.005</w:t>
      </w:r>
    </w:p>
    <w:p w14:paraId="18F84C32"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Van Eetvelde, V., &amp; Antrop, M. (2009). A stepwise multi-scaled landscape typology and characterisation for trans-regional integration, applied on the federal state of Belgium. </w:t>
      </w:r>
      <w:r w:rsidRPr="0001330C">
        <w:rPr>
          <w:rFonts w:ascii="Times New Roman" w:hAnsi="Times New Roman" w:cs="Times New Roman"/>
          <w:i/>
          <w:iCs/>
          <w:noProof/>
        </w:rPr>
        <w:t>Landscape and Urban Planning</w:t>
      </w:r>
      <w:r w:rsidRPr="0001330C">
        <w:rPr>
          <w:rFonts w:ascii="Times New Roman" w:hAnsi="Times New Roman" w:cs="Times New Roman"/>
          <w:noProof/>
        </w:rPr>
        <w:t xml:space="preserve">, </w:t>
      </w:r>
      <w:r w:rsidRPr="0001330C">
        <w:rPr>
          <w:rFonts w:ascii="Times New Roman" w:hAnsi="Times New Roman" w:cs="Times New Roman"/>
          <w:i/>
          <w:iCs/>
          <w:noProof/>
        </w:rPr>
        <w:t>91</w:t>
      </w:r>
      <w:r w:rsidRPr="0001330C">
        <w:rPr>
          <w:rFonts w:ascii="Times New Roman" w:hAnsi="Times New Roman" w:cs="Times New Roman"/>
          <w:noProof/>
        </w:rPr>
        <w:t>(3), 160–170. http://doi.org/10.1016/j.landurbplan.2008.12.008</w:t>
      </w:r>
    </w:p>
    <w:p w14:paraId="088FCB8C"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van Etten, J. (2017). R Package gdistance : Distances and Routes on Geographical Grids . </w:t>
      </w:r>
      <w:r w:rsidRPr="0001330C">
        <w:rPr>
          <w:rFonts w:ascii="Times New Roman" w:hAnsi="Times New Roman" w:cs="Times New Roman"/>
          <w:i/>
          <w:iCs/>
          <w:noProof/>
        </w:rPr>
        <w:t>Journal of Statistical Software</w:t>
      </w:r>
      <w:r w:rsidRPr="0001330C">
        <w:rPr>
          <w:rFonts w:ascii="Times New Roman" w:hAnsi="Times New Roman" w:cs="Times New Roman"/>
          <w:noProof/>
        </w:rPr>
        <w:t xml:space="preserve">, </w:t>
      </w:r>
      <w:r w:rsidRPr="0001330C">
        <w:rPr>
          <w:rFonts w:ascii="Times New Roman" w:hAnsi="Times New Roman" w:cs="Times New Roman"/>
          <w:i/>
          <w:iCs/>
          <w:noProof/>
        </w:rPr>
        <w:t>76</w:t>
      </w:r>
      <w:r w:rsidRPr="0001330C">
        <w:rPr>
          <w:rFonts w:ascii="Times New Roman" w:hAnsi="Times New Roman" w:cs="Times New Roman"/>
          <w:noProof/>
        </w:rPr>
        <w:t>(13). http://doi.org/10.18637/jss.v076.i13</w:t>
      </w:r>
    </w:p>
    <w:p w14:paraId="0F8061E0"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Verbesselt, J., Hyndman, R., Newnham, G., &amp; Culvenor, D. (2010). Detecting trend and seasonal changes in satellite image time series. </w:t>
      </w:r>
      <w:r w:rsidRPr="0001330C">
        <w:rPr>
          <w:rFonts w:ascii="Times New Roman" w:hAnsi="Times New Roman" w:cs="Times New Roman"/>
          <w:i/>
          <w:iCs/>
          <w:noProof/>
        </w:rPr>
        <w:t>Remote Sensing of Environment</w:t>
      </w:r>
      <w:r w:rsidRPr="0001330C">
        <w:rPr>
          <w:rFonts w:ascii="Times New Roman" w:hAnsi="Times New Roman" w:cs="Times New Roman"/>
          <w:noProof/>
        </w:rPr>
        <w:t xml:space="preserve">, </w:t>
      </w:r>
      <w:r w:rsidRPr="0001330C">
        <w:rPr>
          <w:rFonts w:ascii="Times New Roman" w:hAnsi="Times New Roman" w:cs="Times New Roman"/>
          <w:i/>
          <w:iCs/>
          <w:noProof/>
        </w:rPr>
        <w:t>114</w:t>
      </w:r>
      <w:r w:rsidRPr="0001330C">
        <w:rPr>
          <w:rFonts w:ascii="Times New Roman" w:hAnsi="Times New Roman" w:cs="Times New Roman"/>
          <w:noProof/>
        </w:rPr>
        <w:t>(1), 106–115. http://doi.org/10.1016/j.rse.2009.08.014</w:t>
      </w:r>
    </w:p>
    <w:p w14:paraId="4B3781B3"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Wang, C., &amp; Burris, M. A. (1997). Photovoice: Concept, Methodology, and Use for participatory Needs Assessment. </w:t>
      </w:r>
      <w:r w:rsidRPr="0001330C">
        <w:rPr>
          <w:rFonts w:ascii="Times New Roman" w:hAnsi="Times New Roman" w:cs="Times New Roman"/>
          <w:i/>
          <w:iCs/>
          <w:noProof/>
        </w:rPr>
        <w:t>Health Education &amp; Behavior</w:t>
      </w:r>
      <w:r w:rsidRPr="0001330C">
        <w:rPr>
          <w:rFonts w:ascii="Times New Roman" w:hAnsi="Times New Roman" w:cs="Times New Roman"/>
          <w:noProof/>
        </w:rPr>
        <w:t xml:space="preserve">, </w:t>
      </w:r>
      <w:r w:rsidRPr="0001330C">
        <w:rPr>
          <w:rFonts w:ascii="Times New Roman" w:hAnsi="Times New Roman" w:cs="Times New Roman"/>
          <w:i/>
          <w:iCs/>
          <w:noProof/>
        </w:rPr>
        <w:t>24</w:t>
      </w:r>
      <w:r w:rsidRPr="0001330C">
        <w:rPr>
          <w:rFonts w:ascii="Times New Roman" w:hAnsi="Times New Roman" w:cs="Times New Roman"/>
          <w:noProof/>
        </w:rPr>
        <w:t>(3), 369–387.</w:t>
      </w:r>
    </w:p>
    <w:p w14:paraId="2B779A21"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Watmough, G. R., Atkinson, P. M., Saikia, A., &amp; Hutton, C. W. (2016). Understanding the Evidence Base for Poverty–Environment Relationships using Remotely Sensed Satellite Data: An Example from Assam, India. </w:t>
      </w:r>
      <w:r w:rsidRPr="0001330C">
        <w:rPr>
          <w:rFonts w:ascii="Times New Roman" w:hAnsi="Times New Roman" w:cs="Times New Roman"/>
          <w:i/>
          <w:iCs/>
          <w:noProof/>
        </w:rPr>
        <w:t>World Development</w:t>
      </w:r>
      <w:r w:rsidRPr="0001330C">
        <w:rPr>
          <w:rFonts w:ascii="Times New Roman" w:hAnsi="Times New Roman" w:cs="Times New Roman"/>
          <w:noProof/>
        </w:rPr>
        <w:t xml:space="preserve">, </w:t>
      </w:r>
      <w:r w:rsidRPr="0001330C">
        <w:rPr>
          <w:rFonts w:ascii="Times New Roman" w:hAnsi="Times New Roman" w:cs="Times New Roman"/>
          <w:i/>
          <w:iCs/>
          <w:noProof/>
        </w:rPr>
        <w:t>78</w:t>
      </w:r>
      <w:r w:rsidRPr="0001330C">
        <w:rPr>
          <w:rFonts w:ascii="Times New Roman" w:hAnsi="Times New Roman" w:cs="Times New Roman"/>
          <w:noProof/>
        </w:rPr>
        <w:t>, 188–203. http://doi.org/10.1016/j.worlddev.2015.10.031</w:t>
      </w:r>
    </w:p>
    <w:p w14:paraId="26609F42"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Watts, L. M., &amp; Laffan, S. W. (2014). Effectiveness of the BFAST algorithm for detecting vegetation response patterns in a semi-arid region. </w:t>
      </w:r>
      <w:r w:rsidRPr="0001330C">
        <w:rPr>
          <w:rFonts w:ascii="Times New Roman" w:hAnsi="Times New Roman" w:cs="Times New Roman"/>
          <w:i/>
          <w:iCs/>
          <w:noProof/>
        </w:rPr>
        <w:t>Remote Sensing of Environment</w:t>
      </w:r>
      <w:r w:rsidRPr="0001330C">
        <w:rPr>
          <w:rFonts w:ascii="Times New Roman" w:hAnsi="Times New Roman" w:cs="Times New Roman"/>
          <w:noProof/>
        </w:rPr>
        <w:t xml:space="preserve">, </w:t>
      </w:r>
      <w:r w:rsidRPr="0001330C">
        <w:rPr>
          <w:rFonts w:ascii="Times New Roman" w:hAnsi="Times New Roman" w:cs="Times New Roman"/>
          <w:i/>
          <w:iCs/>
          <w:noProof/>
        </w:rPr>
        <w:t>154</w:t>
      </w:r>
      <w:r w:rsidRPr="0001330C">
        <w:rPr>
          <w:rFonts w:ascii="Times New Roman" w:hAnsi="Times New Roman" w:cs="Times New Roman"/>
          <w:noProof/>
        </w:rPr>
        <w:t>(1), 234–245. http://doi.org/10.1016/j.rse.2014.08.023</w:t>
      </w:r>
    </w:p>
    <w:p w14:paraId="63CA7473"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Williams, L. J., Afroz, S., Brown, P. R., Chialue, L., Grünbühel, C. M., Jakimow, T., … Roth, C. H. (2016). Household types as a tool to understand adaptive capacity: case studies from Cambodia, Lao PDR, Bangladesh and India. </w:t>
      </w:r>
      <w:r w:rsidRPr="0001330C">
        <w:rPr>
          <w:rFonts w:ascii="Times New Roman" w:hAnsi="Times New Roman" w:cs="Times New Roman"/>
          <w:i/>
          <w:iCs/>
          <w:noProof/>
        </w:rPr>
        <w:t>Climate and Development</w:t>
      </w:r>
      <w:r w:rsidRPr="0001330C">
        <w:rPr>
          <w:rFonts w:ascii="Times New Roman" w:hAnsi="Times New Roman" w:cs="Times New Roman"/>
          <w:noProof/>
        </w:rPr>
        <w:t xml:space="preserve">, </w:t>
      </w:r>
      <w:r w:rsidRPr="0001330C">
        <w:rPr>
          <w:rFonts w:ascii="Times New Roman" w:hAnsi="Times New Roman" w:cs="Times New Roman"/>
          <w:i/>
          <w:iCs/>
          <w:noProof/>
        </w:rPr>
        <w:t>8</w:t>
      </w:r>
      <w:r w:rsidRPr="0001330C">
        <w:rPr>
          <w:rFonts w:ascii="Times New Roman" w:hAnsi="Times New Roman" w:cs="Times New Roman"/>
          <w:noProof/>
        </w:rPr>
        <w:t xml:space="preserve">(5), 423–434. </w:t>
      </w:r>
      <w:r w:rsidRPr="0001330C">
        <w:rPr>
          <w:rFonts w:ascii="Times New Roman" w:hAnsi="Times New Roman" w:cs="Times New Roman"/>
          <w:noProof/>
        </w:rPr>
        <w:lastRenderedPageBreak/>
        <w:t>http://doi.org/10.1080/17565529.2015.1085362</w:t>
      </w:r>
    </w:p>
    <w:p w14:paraId="68E258EF"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Yang, G., Ge, Y., Xue, H., Yang, W., Shi, Y., Peng, C., … Chang, J. (2015). Using ecosystem service bundles to detect trade-offs and synergies across urban-rural complexes. </w:t>
      </w:r>
      <w:r w:rsidRPr="0001330C">
        <w:rPr>
          <w:rFonts w:ascii="Times New Roman" w:hAnsi="Times New Roman" w:cs="Times New Roman"/>
          <w:i/>
          <w:iCs/>
          <w:noProof/>
        </w:rPr>
        <w:t>Landscape and Urban Planning</w:t>
      </w:r>
      <w:r w:rsidRPr="0001330C">
        <w:rPr>
          <w:rFonts w:ascii="Times New Roman" w:hAnsi="Times New Roman" w:cs="Times New Roman"/>
          <w:noProof/>
        </w:rPr>
        <w:t xml:space="preserve">, </w:t>
      </w:r>
      <w:r w:rsidRPr="0001330C">
        <w:rPr>
          <w:rFonts w:ascii="Times New Roman" w:hAnsi="Times New Roman" w:cs="Times New Roman"/>
          <w:i/>
          <w:iCs/>
          <w:noProof/>
        </w:rPr>
        <w:t>136</w:t>
      </w:r>
      <w:r w:rsidRPr="0001330C">
        <w:rPr>
          <w:rFonts w:ascii="Times New Roman" w:hAnsi="Times New Roman" w:cs="Times New Roman"/>
          <w:noProof/>
        </w:rPr>
        <w:t>, 110–121. http://doi.org/10.1016/j.landurbplan.2014.12.006</w:t>
      </w:r>
    </w:p>
    <w:p w14:paraId="4E7ABE03" w14:textId="77777777" w:rsidR="0001330C" w:rsidRPr="0001330C" w:rsidRDefault="0001330C" w:rsidP="0001330C">
      <w:pPr>
        <w:widowControl w:val="0"/>
        <w:autoSpaceDE w:val="0"/>
        <w:autoSpaceDN w:val="0"/>
        <w:adjustRightInd w:val="0"/>
        <w:ind w:left="480" w:hanging="480"/>
        <w:rPr>
          <w:rFonts w:ascii="Times New Roman" w:hAnsi="Times New Roman" w:cs="Times New Roman"/>
          <w:noProof/>
        </w:rPr>
      </w:pPr>
      <w:r w:rsidRPr="0001330C">
        <w:rPr>
          <w:rFonts w:ascii="Times New Roman" w:hAnsi="Times New Roman" w:cs="Times New Roman"/>
          <w:noProof/>
        </w:rPr>
        <w:t xml:space="preserve">Zenteno, M., Zuidema, P. A., de Jong, W., &amp; Boot, R. G. A. (2013). Livelihood strategies and forest dependence: New insights from Bolivian forest communities. </w:t>
      </w:r>
      <w:r w:rsidRPr="0001330C">
        <w:rPr>
          <w:rFonts w:ascii="Times New Roman" w:hAnsi="Times New Roman" w:cs="Times New Roman"/>
          <w:i/>
          <w:iCs/>
          <w:noProof/>
        </w:rPr>
        <w:t>Forest Policy and Economics</w:t>
      </w:r>
      <w:r w:rsidRPr="0001330C">
        <w:rPr>
          <w:rFonts w:ascii="Times New Roman" w:hAnsi="Times New Roman" w:cs="Times New Roman"/>
          <w:noProof/>
        </w:rPr>
        <w:t xml:space="preserve">, </w:t>
      </w:r>
      <w:r w:rsidRPr="0001330C">
        <w:rPr>
          <w:rFonts w:ascii="Times New Roman" w:hAnsi="Times New Roman" w:cs="Times New Roman"/>
          <w:i/>
          <w:iCs/>
          <w:noProof/>
        </w:rPr>
        <w:t>26</w:t>
      </w:r>
      <w:r w:rsidRPr="0001330C">
        <w:rPr>
          <w:rFonts w:ascii="Times New Roman" w:hAnsi="Times New Roman" w:cs="Times New Roman"/>
          <w:noProof/>
        </w:rPr>
        <w:t>, 12–21. http://doi.org/10.1016/j.forpol.2012.09.011</w:t>
      </w:r>
    </w:p>
    <w:p w14:paraId="556F02FB" w14:textId="3A892DBC" w:rsidR="00543DE2" w:rsidRPr="006E32E9" w:rsidRDefault="000E6C8B" w:rsidP="0001330C">
      <w:pPr>
        <w:widowControl w:val="0"/>
        <w:autoSpaceDE w:val="0"/>
        <w:autoSpaceDN w:val="0"/>
        <w:adjustRightInd w:val="0"/>
        <w:ind w:left="480" w:hanging="480"/>
        <w:rPr>
          <w:lang w:val="en-GB"/>
        </w:rPr>
      </w:pPr>
      <w:r w:rsidRPr="006E32E9">
        <w:rPr>
          <w:lang w:val="en-GB"/>
        </w:rPr>
        <w:fldChar w:fldCharType="end"/>
      </w:r>
    </w:p>
    <w:sectPr w:rsidR="00543DE2" w:rsidRPr="006E32E9" w:rsidSect="00C80829">
      <w:headerReference w:type="default" r:id="rId24"/>
      <w:footerReference w:type="default" r:id="rId25"/>
      <w:headerReference w:type="first" r:id="rId26"/>
      <w:footnotePr>
        <w:pos w:val="beneathText"/>
      </w:footnotePr>
      <w:type w:val="continuous"/>
      <w:pgSz w:w="12240" w:h="15840"/>
      <w:pgMar w:top="1440" w:right="1440" w:bottom="1440" w:left="144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6C4B53" w14:textId="77777777" w:rsidR="005C0B5A" w:rsidRDefault="005C0B5A">
      <w:pPr>
        <w:spacing w:line="240" w:lineRule="auto"/>
      </w:pPr>
      <w:r>
        <w:separator/>
      </w:r>
    </w:p>
    <w:p w14:paraId="28929954" w14:textId="77777777" w:rsidR="005C0B5A" w:rsidRDefault="005C0B5A"/>
    <w:p w14:paraId="1B10F938" w14:textId="77777777" w:rsidR="005C0B5A" w:rsidRDefault="005C0B5A"/>
    <w:p w14:paraId="75359AAE" w14:textId="77777777" w:rsidR="005C0B5A" w:rsidRDefault="005C0B5A" w:rsidP="005D6FA8"/>
  </w:endnote>
  <w:endnote w:type="continuationSeparator" w:id="0">
    <w:p w14:paraId="4167AD9B" w14:textId="77777777" w:rsidR="005C0B5A" w:rsidRDefault="005C0B5A">
      <w:pPr>
        <w:spacing w:line="240" w:lineRule="auto"/>
      </w:pPr>
      <w:r>
        <w:continuationSeparator/>
      </w:r>
    </w:p>
    <w:p w14:paraId="417BE116" w14:textId="77777777" w:rsidR="005C0B5A" w:rsidRDefault="005C0B5A"/>
    <w:p w14:paraId="4876D14C" w14:textId="77777777" w:rsidR="005C0B5A" w:rsidRDefault="005C0B5A"/>
    <w:p w14:paraId="11483551" w14:textId="77777777" w:rsidR="005C0B5A" w:rsidRDefault="005C0B5A" w:rsidP="005D6F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altName w:val="Arial"/>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Helvetica Neue">
    <w:charset w:val="00"/>
    <w:family w:val="auto"/>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869913"/>
      <w:docPartObj>
        <w:docPartGallery w:val="Page Numbers (Bottom of Page)"/>
        <w:docPartUnique/>
      </w:docPartObj>
    </w:sdtPr>
    <w:sdtEndPr>
      <w:rPr>
        <w:noProof/>
      </w:rPr>
    </w:sdtEndPr>
    <w:sdtContent>
      <w:p w14:paraId="4C91B48E" w14:textId="32A37A2A" w:rsidR="002D0371" w:rsidRDefault="002D0371">
        <w:pPr>
          <w:pStyle w:val="Footer"/>
          <w:jc w:val="right"/>
        </w:pPr>
        <w:r>
          <w:fldChar w:fldCharType="begin"/>
        </w:r>
        <w:r>
          <w:instrText xml:space="preserve"> PAGE   \* MERGEFORMAT </w:instrText>
        </w:r>
        <w:r>
          <w:fldChar w:fldCharType="separate"/>
        </w:r>
        <w:r w:rsidR="0087316F">
          <w:rPr>
            <w:noProof/>
          </w:rPr>
          <w:t>2</w:t>
        </w:r>
        <w:r>
          <w:rPr>
            <w:noProof/>
          </w:rPr>
          <w:fldChar w:fldCharType="end"/>
        </w:r>
      </w:p>
    </w:sdtContent>
  </w:sdt>
  <w:p w14:paraId="42E357AE" w14:textId="77777777" w:rsidR="002D0371" w:rsidRDefault="002D0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03B1B7" w14:textId="77777777" w:rsidR="005C0B5A" w:rsidRDefault="005C0B5A">
      <w:pPr>
        <w:spacing w:line="240" w:lineRule="auto"/>
      </w:pPr>
      <w:r>
        <w:separator/>
      </w:r>
    </w:p>
    <w:p w14:paraId="31C56B16" w14:textId="77777777" w:rsidR="005C0B5A" w:rsidRDefault="005C0B5A"/>
    <w:p w14:paraId="7DA9E7E8" w14:textId="77777777" w:rsidR="005C0B5A" w:rsidRDefault="005C0B5A"/>
    <w:p w14:paraId="7A32A2F8" w14:textId="77777777" w:rsidR="005C0B5A" w:rsidRDefault="005C0B5A" w:rsidP="005D6FA8"/>
  </w:footnote>
  <w:footnote w:type="continuationSeparator" w:id="0">
    <w:p w14:paraId="1CC3CD92" w14:textId="77777777" w:rsidR="005C0B5A" w:rsidRDefault="005C0B5A">
      <w:pPr>
        <w:spacing w:line="240" w:lineRule="auto"/>
      </w:pPr>
      <w:r>
        <w:continuationSeparator/>
      </w:r>
    </w:p>
    <w:p w14:paraId="1EB21708" w14:textId="77777777" w:rsidR="005C0B5A" w:rsidRDefault="005C0B5A"/>
    <w:p w14:paraId="312A6234" w14:textId="77777777" w:rsidR="005C0B5A" w:rsidRDefault="005C0B5A"/>
    <w:p w14:paraId="420625A1" w14:textId="77777777" w:rsidR="005C0B5A" w:rsidRDefault="005C0B5A" w:rsidP="005D6FA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27819" w14:textId="194DBC08" w:rsidR="002D0371" w:rsidRDefault="005C0B5A" w:rsidP="00F13C88">
    <w:pPr>
      <w:pStyle w:val="Header"/>
    </w:pPr>
    <w:sdt>
      <w:sdtPr>
        <w:rPr>
          <w:rFonts w:ascii="Arial" w:eastAsia="Times New Roman" w:hAnsi="Arial" w:cs="Arial"/>
          <w:kern w:val="0"/>
          <w:sz w:val="20"/>
          <w:szCs w:val="20"/>
          <w:lang w:val="en-GB" w:eastAsia="en-US"/>
        </w:rPr>
        <w:alias w:val="Running head"/>
        <w:tag w:val=""/>
        <w:id w:val="12739865"/>
        <w:placeholder>
          <w:docPart w:val="D2F2424FB379B44B8C4EE5BF98F62286"/>
        </w:placeholder>
        <w:dataBinding w:prefixMappings="xmlns:ns0='http://schemas.microsoft.com/office/2006/coverPageProps' " w:xpath="/ns0:CoverPageProperties[1]/ns0:Abstract[1]" w:storeItemID="{55AF091B-3C7A-41E3-B477-F2FDAA23CFDA}"/>
        <w:text/>
      </w:sdtPr>
      <w:sdtEndPr/>
      <w:sdtContent>
        <w:r w:rsidR="002D0371">
          <w:rPr>
            <w:rFonts w:ascii="Arial" w:eastAsia="Times New Roman" w:hAnsi="Arial" w:cs="Arial"/>
            <w:kern w:val="0"/>
            <w:sz w:val="20"/>
            <w:szCs w:val="20"/>
            <w:lang w:val="en-GB" w:eastAsia="en-US"/>
          </w:rPr>
          <w:t>Agricultural shocks and drivers of livelihood precariousness across Indian rural communities</w:t>
        </w:r>
      </w:sdtContent>
    </w:sdt>
    <w:r w:rsidR="002D0371">
      <w:rPr>
        <w:rStyle w:val="Strong"/>
      </w:rPr>
      <w:ptab w:relativeTo="margin" w:alignment="right" w:leader="none"/>
    </w:r>
    <w:r w:rsidR="002D0371">
      <w:rPr>
        <w:rStyle w:val="Strong"/>
      </w:rPr>
      <w:fldChar w:fldCharType="begin"/>
    </w:r>
    <w:r w:rsidR="002D0371">
      <w:rPr>
        <w:rStyle w:val="Strong"/>
      </w:rPr>
      <w:instrText xml:space="preserve"> PAGE   \* MERGEFORMAT </w:instrText>
    </w:r>
    <w:r w:rsidR="002D0371">
      <w:rPr>
        <w:rStyle w:val="Strong"/>
      </w:rPr>
      <w:fldChar w:fldCharType="separate"/>
    </w:r>
    <w:r w:rsidR="0087316F">
      <w:rPr>
        <w:rStyle w:val="Strong"/>
        <w:noProof/>
      </w:rPr>
      <w:t>2</w:t>
    </w:r>
    <w:r w:rsidR="002D0371">
      <w:rPr>
        <w:rStyle w:val="Strong"/>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D73E9" w14:textId="3A210579" w:rsidR="002D0371" w:rsidRPr="00A8044E" w:rsidRDefault="005C0B5A" w:rsidP="00A8044E">
    <w:pPr>
      <w:pStyle w:val="Header"/>
      <w:rPr>
        <w:caps/>
      </w:rPr>
    </w:pPr>
    <w:sdt>
      <w:sdtPr>
        <w:rPr>
          <w:rFonts w:ascii="Arial" w:eastAsia="Times New Roman" w:hAnsi="Arial" w:cs="Arial"/>
          <w:kern w:val="0"/>
          <w:sz w:val="20"/>
          <w:szCs w:val="20"/>
          <w:lang w:val="en-GB" w:eastAsia="en-US"/>
        </w:rPr>
        <w:alias w:val="Running head"/>
        <w:tag w:val=""/>
        <w:id w:val="1917893157"/>
        <w:placeholder>
          <w:docPart w:val="EAE4713C5AA75F4AA6610ED3DC1B4636"/>
        </w:placeholder>
        <w:dataBinding w:prefixMappings="xmlns:ns0='http://schemas.microsoft.com/office/2006/coverPageProps' " w:xpath="/ns0:CoverPageProperties[1]/ns0:Abstract[1]" w:storeItemID="{55AF091B-3C7A-41E3-B477-F2FDAA23CFDA}"/>
        <w:text/>
      </w:sdtPr>
      <w:sdtEndPr/>
      <w:sdtContent>
        <w:r w:rsidR="002D0371">
          <w:rPr>
            <w:rFonts w:ascii="Arial" w:eastAsia="Times New Roman" w:hAnsi="Arial" w:cs="Arial"/>
            <w:kern w:val="0"/>
            <w:sz w:val="20"/>
            <w:szCs w:val="20"/>
            <w:lang w:val="en-GB" w:eastAsia="en-US"/>
          </w:rPr>
          <w:t>Agricultural shocks</w:t>
        </w:r>
        <w:r w:rsidR="002D0371" w:rsidRPr="00074D6F">
          <w:rPr>
            <w:rFonts w:ascii="Arial" w:eastAsia="Times New Roman" w:hAnsi="Arial" w:cs="Arial"/>
            <w:kern w:val="0"/>
            <w:sz w:val="20"/>
            <w:szCs w:val="20"/>
            <w:lang w:val="en-GB" w:eastAsia="en-US"/>
          </w:rPr>
          <w:t xml:space="preserve"> and drivers of livelihood precariousness across Indian rural </w:t>
        </w:r>
        <w:r w:rsidR="002D0371">
          <w:rPr>
            <w:rFonts w:ascii="Arial" w:eastAsia="Times New Roman" w:hAnsi="Arial" w:cs="Arial"/>
            <w:kern w:val="0"/>
            <w:sz w:val="20"/>
            <w:szCs w:val="20"/>
            <w:lang w:val="en-GB" w:eastAsia="en-US"/>
          </w:rPr>
          <w:t>communities</w:t>
        </w:r>
      </w:sdtContent>
    </w:sdt>
    <w:r w:rsidR="002D0371">
      <w:rPr>
        <w:rStyle w:val="Strong"/>
      </w:rPr>
      <w:t xml:space="preserve"> </w:t>
    </w:r>
    <w:r w:rsidR="002D0371">
      <w:rPr>
        <w:rStyle w:val="Strong"/>
      </w:rPr>
      <w:ptab w:relativeTo="margin" w:alignment="right" w:leader="none"/>
    </w:r>
    <w:r w:rsidR="002D0371">
      <w:rPr>
        <w:rStyle w:val="Strong"/>
      </w:rPr>
      <w:fldChar w:fldCharType="begin"/>
    </w:r>
    <w:r w:rsidR="002D0371">
      <w:rPr>
        <w:rStyle w:val="Strong"/>
      </w:rPr>
      <w:instrText xml:space="preserve"> PAGE   \* MERGEFORMAT </w:instrText>
    </w:r>
    <w:r w:rsidR="002D0371">
      <w:rPr>
        <w:rStyle w:val="Strong"/>
      </w:rPr>
      <w:fldChar w:fldCharType="separate"/>
    </w:r>
    <w:r w:rsidR="0087316F">
      <w:rPr>
        <w:rStyle w:val="Strong"/>
        <w:noProof/>
      </w:rPr>
      <w:t>1</w:t>
    </w:r>
    <w:r w:rsidR="002D0371">
      <w:rPr>
        <w:rStyle w:val="Strong"/>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nsid w:val="0A562F00"/>
    <w:multiLevelType w:val="multilevel"/>
    <w:tmpl w:val="8C9CB8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BCD3052"/>
    <w:multiLevelType w:val="multilevel"/>
    <w:tmpl w:val="157A3C4C"/>
    <w:lvl w:ilvl="0">
      <w:start w:val="1"/>
      <w:numFmt w:val="decimal"/>
      <w:lvlText w:val="%1."/>
      <w:lvlJc w:val="left"/>
      <w:pPr>
        <w:ind w:left="720" w:hanging="360"/>
      </w:pPr>
    </w:lvl>
    <w:lvl w:ilvl="1">
      <w:start w:val="2"/>
      <w:numFmt w:val="decimal"/>
      <w:isLgl/>
      <w:lvlText w:val="%1.%2"/>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4EA6D6B"/>
    <w:multiLevelType w:val="hybridMultilevel"/>
    <w:tmpl w:val="1CBE2BF4"/>
    <w:lvl w:ilvl="0" w:tplc="93EA11F6">
      <w:start w:val="1"/>
      <w:numFmt w:val="decimal"/>
      <w:pStyle w:val="Bibliography"/>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BE2B41"/>
    <w:multiLevelType w:val="multilevel"/>
    <w:tmpl w:val="FB8E444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2BC13F22"/>
    <w:multiLevelType w:val="multilevel"/>
    <w:tmpl w:val="9EC68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D844CE6"/>
    <w:multiLevelType w:val="multilevel"/>
    <w:tmpl w:val="B6B00B58"/>
    <w:numStyleLink w:val="111111"/>
  </w:abstractNum>
  <w:abstractNum w:abstractNumId="16">
    <w:nsid w:val="2E813B46"/>
    <w:multiLevelType w:val="multilevel"/>
    <w:tmpl w:val="B680BD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0AB5DC9"/>
    <w:multiLevelType w:val="multilevel"/>
    <w:tmpl w:val="B6B00B58"/>
    <w:numStyleLink w:val="111111"/>
  </w:abstractNum>
  <w:abstractNum w:abstractNumId="18">
    <w:nsid w:val="32C9026D"/>
    <w:multiLevelType w:val="multilevel"/>
    <w:tmpl w:val="31804D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7E05989"/>
    <w:multiLevelType w:val="multilevel"/>
    <w:tmpl w:val="491E88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B864FCC"/>
    <w:multiLevelType w:val="multilevel"/>
    <w:tmpl w:val="84E0F1E6"/>
    <w:lvl w:ilvl="0">
      <w:start w:val="1"/>
      <w:numFmt w:val="decimal"/>
      <w:lvlText w:val="%1."/>
      <w:lvlJc w:val="left"/>
      <w:pPr>
        <w:ind w:left="720" w:hanging="360"/>
      </w:pPr>
    </w:lvl>
    <w:lvl w:ilvl="1">
      <w:start w:val="2"/>
      <w:numFmt w:val="decimal"/>
      <w:isLgl/>
      <w:lvlText w:val="%1.%2"/>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EEF17B9"/>
    <w:multiLevelType w:val="multilevel"/>
    <w:tmpl w:val="B6B00B58"/>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34C0B47"/>
    <w:multiLevelType w:val="multilevel"/>
    <w:tmpl w:val="84E0F1E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445469F"/>
    <w:multiLevelType w:val="multilevel"/>
    <w:tmpl w:val="2EA6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nsid w:val="4F8575CA"/>
    <w:multiLevelType w:val="multilevel"/>
    <w:tmpl w:val="83363F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4463B47"/>
    <w:multiLevelType w:val="multilevel"/>
    <w:tmpl w:val="998ABA64"/>
    <w:lvl w:ilvl="0">
      <w:start w:val="7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9194F98"/>
    <w:multiLevelType w:val="multilevel"/>
    <w:tmpl w:val="9AECE104"/>
    <w:lvl w:ilvl="0">
      <w:start w:val="2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AC210F9"/>
    <w:multiLevelType w:val="multilevel"/>
    <w:tmpl w:val="B6B00B58"/>
    <w:numStyleLink w:val="111111"/>
  </w:abstractNum>
  <w:abstractNum w:abstractNumId="30">
    <w:nsid w:val="62720327"/>
    <w:multiLevelType w:val="hybridMultilevel"/>
    <w:tmpl w:val="BFB61BB2"/>
    <w:lvl w:ilvl="0" w:tplc="7712633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50F05B7"/>
    <w:multiLevelType w:val="hybridMultilevel"/>
    <w:tmpl w:val="D78A4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4B444D"/>
    <w:multiLevelType w:val="hybridMultilevel"/>
    <w:tmpl w:val="0108EE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845467D"/>
    <w:multiLevelType w:val="multilevel"/>
    <w:tmpl w:val="EA0C54A6"/>
    <w:lvl w:ilvl="0">
      <w:start w:val="7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AF905CB"/>
    <w:multiLevelType w:val="multilevel"/>
    <w:tmpl w:val="B4BC0F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CC01B64"/>
    <w:multiLevelType w:val="multilevel"/>
    <w:tmpl w:val="094E560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7CEB0B2C"/>
    <w:multiLevelType w:val="multilevel"/>
    <w:tmpl w:val="AE1290E0"/>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32"/>
  </w:num>
  <w:num w:numId="13">
    <w:abstractNumId w:val="27"/>
  </w:num>
  <w:num w:numId="14">
    <w:abstractNumId w:val="24"/>
  </w:num>
  <w:num w:numId="15">
    <w:abstractNumId w:val="31"/>
  </w:num>
  <w:num w:numId="16">
    <w:abstractNumId w:val="30"/>
  </w:num>
  <w:num w:numId="17">
    <w:abstractNumId w:val="11"/>
  </w:num>
  <w:num w:numId="18">
    <w:abstractNumId w:val="18"/>
  </w:num>
  <w:num w:numId="19">
    <w:abstractNumId w:val="10"/>
  </w:num>
  <w:num w:numId="20">
    <w:abstractNumId w:val="25"/>
  </w:num>
  <w:num w:numId="21">
    <w:abstractNumId w:val="19"/>
  </w:num>
  <w:num w:numId="22">
    <w:abstractNumId w:val="21"/>
  </w:num>
  <w:num w:numId="23">
    <w:abstractNumId w:val="29"/>
  </w:num>
  <w:num w:numId="24">
    <w:abstractNumId w:val="11"/>
    <w:lvlOverride w:ilvl="0">
      <w:startOverride w:val="5"/>
    </w:lvlOverride>
    <w:lvlOverride w:ilvl="1">
      <w:startOverride w:val="1"/>
    </w:lvlOverride>
  </w:num>
  <w:num w:numId="25">
    <w:abstractNumId w:val="37"/>
  </w:num>
  <w:num w:numId="26">
    <w:abstractNumId w:val="11"/>
    <w:lvlOverride w:ilvl="0">
      <w:startOverride w:val="4"/>
    </w:lvlOverride>
    <w:lvlOverride w:ilvl="1">
      <w:startOverride w:val="1"/>
    </w:lvlOverride>
  </w:num>
  <w:num w:numId="27">
    <w:abstractNumId w:val="38"/>
  </w:num>
  <w:num w:numId="28">
    <w:abstractNumId w:val="22"/>
  </w:num>
  <w:num w:numId="29">
    <w:abstractNumId w:val="11"/>
    <w:lvlOverride w:ilvl="0">
      <w:startOverride w:val="5"/>
    </w:lvlOverride>
    <w:lvlOverride w:ilvl="1">
      <w:startOverride w:val="1"/>
    </w:lvlOverride>
    <w:lvlOverride w:ilvl="2">
      <w:startOverride w:val="1"/>
    </w:lvlOverride>
  </w:num>
  <w:num w:numId="30">
    <w:abstractNumId w:val="11"/>
    <w:lvlOverride w:ilvl="0">
      <w:startOverride w:val="5"/>
    </w:lvlOverride>
    <w:lvlOverride w:ilvl="1">
      <w:startOverride w:val="1"/>
    </w:lvlOverride>
    <w:lvlOverride w:ilvl="2">
      <w:startOverride w:val="1"/>
    </w:lvlOverride>
  </w:num>
  <w:num w:numId="31">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16"/>
  </w:num>
  <w:num w:numId="34">
    <w:abstractNumId w:val="20"/>
  </w:num>
  <w:num w:numId="35">
    <w:abstractNumId w:val="15"/>
  </w:num>
  <w:num w:numId="36">
    <w:abstractNumId w:val="11"/>
    <w:lvlOverride w:ilvl="0">
      <w:startOverride w:val="4"/>
    </w:lvlOverride>
    <w:lvlOverride w:ilvl="1">
      <w:startOverride w:val="1"/>
    </w:lvlOverride>
  </w:num>
  <w:num w:numId="37">
    <w:abstractNumId w:val="36"/>
  </w:num>
  <w:num w:numId="38">
    <w:abstractNumId w:val="13"/>
  </w:num>
  <w:num w:numId="39">
    <w:abstractNumId w:val="12"/>
  </w:num>
  <w:num w:numId="40">
    <w:abstractNumId w:val="33"/>
  </w:num>
  <w:num w:numId="41">
    <w:abstractNumId w:val="34"/>
  </w:num>
  <w:num w:numId="42">
    <w:abstractNumId w:val="28"/>
  </w:num>
  <w:num w:numId="43">
    <w:abstractNumId w:val="35"/>
  </w:num>
  <w:num w:numId="44">
    <w:abstractNumId w:val="26"/>
  </w:num>
  <w:num w:numId="45">
    <w:abstractNumId w:val="14"/>
  </w:num>
  <w:num w:numId="46">
    <w:abstractNumId w:val="23"/>
  </w:num>
  <w:num w:numId="47">
    <w:abstractNumId w:val="13"/>
    <w:lvlOverride w:ilvl="0">
      <w:startOverride w:val="1"/>
    </w:lvlOverride>
    <w:lvlOverride w:ilvl="1">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0EE"/>
    <w:rsid w:val="000007B0"/>
    <w:rsid w:val="00004020"/>
    <w:rsid w:val="000053DD"/>
    <w:rsid w:val="00005497"/>
    <w:rsid w:val="0001033D"/>
    <w:rsid w:val="00010DA7"/>
    <w:rsid w:val="00010E42"/>
    <w:rsid w:val="00012438"/>
    <w:rsid w:val="0001330C"/>
    <w:rsid w:val="00014E0D"/>
    <w:rsid w:val="00015A6E"/>
    <w:rsid w:val="00017588"/>
    <w:rsid w:val="0002317F"/>
    <w:rsid w:val="000231E9"/>
    <w:rsid w:val="00025679"/>
    <w:rsid w:val="00025F15"/>
    <w:rsid w:val="0002764C"/>
    <w:rsid w:val="00030281"/>
    <w:rsid w:val="000306CA"/>
    <w:rsid w:val="000335B8"/>
    <w:rsid w:val="00034F58"/>
    <w:rsid w:val="00040F3B"/>
    <w:rsid w:val="00044BBE"/>
    <w:rsid w:val="00045D72"/>
    <w:rsid w:val="000469F2"/>
    <w:rsid w:val="000503BB"/>
    <w:rsid w:val="00052058"/>
    <w:rsid w:val="0005343D"/>
    <w:rsid w:val="0005384F"/>
    <w:rsid w:val="00061385"/>
    <w:rsid w:val="00062262"/>
    <w:rsid w:val="00062756"/>
    <w:rsid w:val="00063CCC"/>
    <w:rsid w:val="00063F35"/>
    <w:rsid w:val="0006680E"/>
    <w:rsid w:val="00067A2B"/>
    <w:rsid w:val="00072881"/>
    <w:rsid w:val="0007388F"/>
    <w:rsid w:val="00074D44"/>
    <w:rsid w:val="00074D6F"/>
    <w:rsid w:val="00075A52"/>
    <w:rsid w:val="00080654"/>
    <w:rsid w:val="00082FFC"/>
    <w:rsid w:val="00083D2C"/>
    <w:rsid w:val="00084E3B"/>
    <w:rsid w:val="00086A30"/>
    <w:rsid w:val="00087A0C"/>
    <w:rsid w:val="0009175F"/>
    <w:rsid w:val="00091864"/>
    <w:rsid w:val="00096727"/>
    <w:rsid w:val="00097383"/>
    <w:rsid w:val="000A0251"/>
    <w:rsid w:val="000A06CC"/>
    <w:rsid w:val="000A0CC9"/>
    <w:rsid w:val="000A1014"/>
    <w:rsid w:val="000A1819"/>
    <w:rsid w:val="000A3C72"/>
    <w:rsid w:val="000A3EE0"/>
    <w:rsid w:val="000B03D1"/>
    <w:rsid w:val="000B1E0D"/>
    <w:rsid w:val="000B2C2E"/>
    <w:rsid w:val="000B2D6E"/>
    <w:rsid w:val="000B3A83"/>
    <w:rsid w:val="000B485F"/>
    <w:rsid w:val="000B51B2"/>
    <w:rsid w:val="000B56A4"/>
    <w:rsid w:val="000B6381"/>
    <w:rsid w:val="000B65B0"/>
    <w:rsid w:val="000C4040"/>
    <w:rsid w:val="000C458F"/>
    <w:rsid w:val="000C491D"/>
    <w:rsid w:val="000C521B"/>
    <w:rsid w:val="000C5AB4"/>
    <w:rsid w:val="000C6B95"/>
    <w:rsid w:val="000D0196"/>
    <w:rsid w:val="000D2B31"/>
    <w:rsid w:val="000D2C85"/>
    <w:rsid w:val="000D3F41"/>
    <w:rsid w:val="000E17E5"/>
    <w:rsid w:val="000E1DF0"/>
    <w:rsid w:val="000E4B39"/>
    <w:rsid w:val="000E54A2"/>
    <w:rsid w:val="000E60AA"/>
    <w:rsid w:val="000E6C8B"/>
    <w:rsid w:val="000F19DD"/>
    <w:rsid w:val="000F1BD0"/>
    <w:rsid w:val="000F341B"/>
    <w:rsid w:val="000F74B5"/>
    <w:rsid w:val="001011A4"/>
    <w:rsid w:val="00101E39"/>
    <w:rsid w:val="00102328"/>
    <w:rsid w:val="0010358C"/>
    <w:rsid w:val="00104794"/>
    <w:rsid w:val="00105280"/>
    <w:rsid w:val="001121BA"/>
    <w:rsid w:val="0011487B"/>
    <w:rsid w:val="00116076"/>
    <w:rsid w:val="00121E13"/>
    <w:rsid w:val="00126E13"/>
    <w:rsid w:val="00126F6B"/>
    <w:rsid w:val="00133461"/>
    <w:rsid w:val="00133D7C"/>
    <w:rsid w:val="00135D5F"/>
    <w:rsid w:val="001379C4"/>
    <w:rsid w:val="001379FA"/>
    <w:rsid w:val="0014042D"/>
    <w:rsid w:val="001410E4"/>
    <w:rsid w:val="00142EC1"/>
    <w:rsid w:val="001434D9"/>
    <w:rsid w:val="00146996"/>
    <w:rsid w:val="001555C5"/>
    <w:rsid w:val="00156BDF"/>
    <w:rsid w:val="00160381"/>
    <w:rsid w:val="00163012"/>
    <w:rsid w:val="0016396C"/>
    <w:rsid w:val="00164E5A"/>
    <w:rsid w:val="0017416A"/>
    <w:rsid w:val="00176491"/>
    <w:rsid w:val="00180156"/>
    <w:rsid w:val="0018137B"/>
    <w:rsid w:val="00181FA0"/>
    <w:rsid w:val="00182E7A"/>
    <w:rsid w:val="00185CEC"/>
    <w:rsid w:val="00185D1A"/>
    <w:rsid w:val="00186FDA"/>
    <w:rsid w:val="00187D24"/>
    <w:rsid w:val="00190123"/>
    <w:rsid w:val="00193C0B"/>
    <w:rsid w:val="00194C74"/>
    <w:rsid w:val="001973A6"/>
    <w:rsid w:val="001975BD"/>
    <w:rsid w:val="001A0AC7"/>
    <w:rsid w:val="001A1C27"/>
    <w:rsid w:val="001A3201"/>
    <w:rsid w:val="001A4C64"/>
    <w:rsid w:val="001A5E9F"/>
    <w:rsid w:val="001B0526"/>
    <w:rsid w:val="001B17E3"/>
    <w:rsid w:val="001B1A1C"/>
    <w:rsid w:val="001B4464"/>
    <w:rsid w:val="001B4F0D"/>
    <w:rsid w:val="001B56F0"/>
    <w:rsid w:val="001B5B8D"/>
    <w:rsid w:val="001C0E9E"/>
    <w:rsid w:val="001C15D2"/>
    <w:rsid w:val="001C4FD3"/>
    <w:rsid w:val="001C630A"/>
    <w:rsid w:val="001C73E2"/>
    <w:rsid w:val="001C7FF3"/>
    <w:rsid w:val="001D32DD"/>
    <w:rsid w:val="001D43E2"/>
    <w:rsid w:val="001D4B13"/>
    <w:rsid w:val="001E0E77"/>
    <w:rsid w:val="001E3EDD"/>
    <w:rsid w:val="001E5CF8"/>
    <w:rsid w:val="001F0A0B"/>
    <w:rsid w:val="001F0E6A"/>
    <w:rsid w:val="001F1370"/>
    <w:rsid w:val="001F468A"/>
    <w:rsid w:val="001F64C5"/>
    <w:rsid w:val="001F6DE8"/>
    <w:rsid w:val="001F7073"/>
    <w:rsid w:val="001F7134"/>
    <w:rsid w:val="00202C8C"/>
    <w:rsid w:val="00202D6A"/>
    <w:rsid w:val="002046A1"/>
    <w:rsid w:val="0020581E"/>
    <w:rsid w:val="00212111"/>
    <w:rsid w:val="00213DE7"/>
    <w:rsid w:val="00214DFF"/>
    <w:rsid w:val="00214F88"/>
    <w:rsid w:val="00215069"/>
    <w:rsid w:val="00216D20"/>
    <w:rsid w:val="002171DC"/>
    <w:rsid w:val="00217AC8"/>
    <w:rsid w:val="00217F86"/>
    <w:rsid w:val="00221A27"/>
    <w:rsid w:val="00223247"/>
    <w:rsid w:val="00223340"/>
    <w:rsid w:val="00223ADB"/>
    <w:rsid w:val="00227849"/>
    <w:rsid w:val="00230CBF"/>
    <w:rsid w:val="00235860"/>
    <w:rsid w:val="00235E2A"/>
    <w:rsid w:val="002375AF"/>
    <w:rsid w:val="00243090"/>
    <w:rsid w:val="00243CC0"/>
    <w:rsid w:val="00244DCA"/>
    <w:rsid w:val="00247BB0"/>
    <w:rsid w:val="00247BB4"/>
    <w:rsid w:val="0025170A"/>
    <w:rsid w:val="00251AF6"/>
    <w:rsid w:val="00253590"/>
    <w:rsid w:val="002571E4"/>
    <w:rsid w:val="0026041B"/>
    <w:rsid w:val="00261EE8"/>
    <w:rsid w:val="00262C9F"/>
    <w:rsid w:val="00263B02"/>
    <w:rsid w:val="002673F4"/>
    <w:rsid w:val="002703B5"/>
    <w:rsid w:val="002720B9"/>
    <w:rsid w:val="0027287C"/>
    <w:rsid w:val="00272889"/>
    <w:rsid w:val="00274B68"/>
    <w:rsid w:val="002766E9"/>
    <w:rsid w:val="00280881"/>
    <w:rsid w:val="002826DB"/>
    <w:rsid w:val="00282A4C"/>
    <w:rsid w:val="00284190"/>
    <w:rsid w:val="00286681"/>
    <w:rsid w:val="002873A2"/>
    <w:rsid w:val="002946AF"/>
    <w:rsid w:val="00295B15"/>
    <w:rsid w:val="0029790A"/>
    <w:rsid w:val="002A030E"/>
    <w:rsid w:val="002A0A78"/>
    <w:rsid w:val="002A1A80"/>
    <w:rsid w:val="002A24C8"/>
    <w:rsid w:val="002A5049"/>
    <w:rsid w:val="002A52DE"/>
    <w:rsid w:val="002A5F6E"/>
    <w:rsid w:val="002B0367"/>
    <w:rsid w:val="002B1146"/>
    <w:rsid w:val="002B1556"/>
    <w:rsid w:val="002B3B1D"/>
    <w:rsid w:val="002B4836"/>
    <w:rsid w:val="002B68B6"/>
    <w:rsid w:val="002B7E65"/>
    <w:rsid w:val="002C09CA"/>
    <w:rsid w:val="002C0D26"/>
    <w:rsid w:val="002C1FA2"/>
    <w:rsid w:val="002C265B"/>
    <w:rsid w:val="002C309C"/>
    <w:rsid w:val="002C5A57"/>
    <w:rsid w:val="002C5E72"/>
    <w:rsid w:val="002C6ED8"/>
    <w:rsid w:val="002D0371"/>
    <w:rsid w:val="002D1168"/>
    <w:rsid w:val="002D2C84"/>
    <w:rsid w:val="002D5DE5"/>
    <w:rsid w:val="002D746D"/>
    <w:rsid w:val="002E223C"/>
    <w:rsid w:val="002E3B1B"/>
    <w:rsid w:val="002E3D43"/>
    <w:rsid w:val="002E79A4"/>
    <w:rsid w:val="002F0C9E"/>
    <w:rsid w:val="002F12D4"/>
    <w:rsid w:val="002F157F"/>
    <w:rsid w:val="002F33E8"/>
    <w:rsid w:val="002F34EC"/>
    <w:rsid w:val="002F38EC"/>
    <w:rsid w:val="002F41A2"/>
    <w:rsid w:val="002F4F23"/>
    <w:rsid w:val="002F5CF5"/>
    <w:rsid w:val="003001F4"/>
    <w:rsid w:val="00301A7A"/>
    <w:rsid w:val="00303168"/>
    <w:rsid w:val="00303FDD"/>
    <w:rsid w:val="003061D7"/>
    <w:rsid w:val="003068B7"/>
    <w:rsid w:val="00306AB7"/>
    <w:rsid w:val="00310FC7"/>
    <w:rsid w:val="003118CD"/>
    <w:rsid w:val="0031774B"/>
    <w:rsid w:val="00320202"/>
    <w:rsid w:val="0032186B"/>
    <w:rsid w:val="0032204C"/>
    <w:rsid w:val="003231C0"/>
    <w:rsid w:val="0032480A"/>
    <w:rsid w:val="00325435"/>
    <w:rsid w:val="00326B61"/>
    <w:rsid w:val="00330716"/>
    <w:rsid w:val="00330E64"/>
    <w:rsid w:val="00331FAB"/>
    <w:rsid w:val="0033317E"/>
    <w:rsid w:val="00333399"/>
    <w:rsid w:val="00341540"/>
    <w:rsid w:val="003469C7"/>
    <w:rsid w:val="003508B3"/>
    <w:rsid w:val="00354BC5"/>
    <w:rsid w:val="003559E0"/>
    <w:rsid w:val="00355DCA"/>
    <w:rsid w:val="00356E72"/>
    <w:rsid w:val="00360B74"/>
    <w:rsid w:val="0036162C"/>
    <w:rsid w:val="00361F08"/>
    <w:rsid w:val="00364036"/>
    <w:rsid w:val="00365315"/>
    <w:rsid w:val="003658DE"/>
    <w:rsid w:val="00366C4F"/>
    <w:rsid w:val="00370765"/>
    <w:rsid w:val="003707E7"/>
    <w:rsid w:val="003711B9"/>
    <w:rsid w:val="00381650"/>
    <w:rsid w:val="00381B9C"/>
    <w:rsid w:val="0038522E"/>
    <w:rsid w:val="0038647B"/>
    <w:rsid w:val="00390A84"/>
    <w:rsid w:val="003951FD"/>
    <w:rsid w:val="003956CE"/>
    <w:rsid w:val="00395EA5"/>
    <w:rsid w:val="003967E5"/>
    <w:rsid w:val="00396C38"/>
    <w:rsid w:val="0039721C"/>
    <w:rsid w:val="00397697"/>
    <w:rsid w:val="003A3FA3"/>
    <w:rsid w:val="003A40BD"/>
    <w:rsid w:val="003A5067"/>
    <w:rsid w:val="003A57E5"/>
    <w:rsid w:val="003B28EB"/>
    <w:rsid w:val="003B3723"/>
    <w:rsid w:val="003B395E"/>
    <w:rsid w:val="003B5401"/>
    <w:rsid w:val="003B6F89"/>
    <w:rsid w:val="003C0B94"/>
    <w:rsid w:val="003C0D37"/>
    <w:rsid w:val="003C16DE"/>
    <w:rsid w:val="003C1F7D"/>
    <w:rsid w:val="003C20DF"/>
    <w:rsid w:val="003C29D0"/>
    <w:rsid w:val="003C6006"/>
    <w:rsid w:val="003C6FA9"/>
    <w:rsid w:val="003D0706"/>
    <w:rsid w:val="003D0CF2"/>
    <w:rsid w:val="003D1E72"/>
    <w:rsid w:val="003D3758"/>
    <w:rsid w:val="003D6476"/>
    <w:rsid w:val="003E167C"/>
    <w:rsid w:val="003E3264"/>
    <w:rsid w:val="003E453D"/>
    <w:rsid w:val="003E4E5D"/>
    <w:rsid w:val="003E78DA"/>
    <w:rsid w:val="003E7A55"/>
    <w:rsid w:val="003E7E4D"/>
    <w:rsid w:val="003F6A24"/>
    <w:rsid w:val="003F77A1"/>
    <w:rsid w:val="003F7932"/>
    <w:rsid w:val="00407EBC"/>
    <w:rsid w:val="00407FDF"/>
    <w:rsid w:val="00410344"/>
    <w:rsid w:val="00410A2A"/>
    <w:rsid w:val="00415390"/>
    <w:rsid w:val="00422621"/>
    <w:rsid w:val="00423F54"/>
    <w:rsid w:val="0042528A"/>
    <w:rsid w:val="0042553E"/>
    <w:rsid w:val="00426EE6"/>
    <w:rsid w:val="00430834"/>
    <w:rsid w:val="00431230"/>
    <w:rsid w:val="00431391"/>
    <w:rsid w:val="004319B0"/>
    <w:rsid w:val="00432C29"/>
    <w:rsid w:val="00432CF2"/>
    <w:rsid w:val="00433B5E"/>
    <w:rsid w:val="00433EDF"/>
    <w:rsid w:val="00435D05"/>
    <w:rsid w:val="00437B1A"/>
    <w:rsid w:val="00437D55"/>
    <w:rsid w:val="00445002"/>
    <w:rsid w:val="00446D1D"/>
    <w:rsid w:val="00452C0A"/>
    <w:rsid w:val="004555C9"/>
    <w:rsid w:val="00455BEA"/>
    <w:rsid w:val="00457AD9"/>
    <w:rsid w:val="00462AE0"/>
    <w:rsid w:val="0046355A"/>
    <w:rsid w:val="004654A6"/>
    <w:rsid w:val="00466681"/>
    <w:rsid w:val="00466AFE"/>
    <w:rsid w:val="00466F99"/>
    <w:rsid w:val="00470EB8"/>
    <w:rsid w:val="0047166F"/>
    <w:rsid w:val="00471DAA"/>
    <w:rsid w:val="00472FBF"/>
    <w:rsid w:val="0047370A"/>
    <w:rsid w:val="0047511C"/>
    <w:rsid w:val="00483D4C"/>
    <w:rsid w:val="00483F67"/>
    <w:rsid w:val="004853BB"/>
    <w:rsid w:val="0049399E"/>
    <w:rsid w:val="00493ABC"/>
    <w:rsid w:val="00495DA1"/>
    <w:rsid w:val="0049694E"/>
    <w:rsid w:val="00496F98"/>
    <w:rsid w:val="00496FEF"/>
    <w:rsid w:val="00497026"/>
    <w:rsid w:val="004A1664"/>
    <w:rsid w:val="004A2632"/>
    <w:rsid w:val="004A2D3F"/>
    <w:rsid w:val="004A334F"/>
    <w:rsid w:val="004A3AE4"/>
    <w:rsid w:val="004A4E16"/>
    <w:rsid w:val="004A594A"/>
    <w:rsid w:val="004A74CD"/>
    <w:rsid w:val="004B2446"/>
    <w:rsid w:val="004B30BC"/>
    <w:rsid w:val="004B49A3"/>
    <w:rsid w:val="004B4E77"/>
    <w:rsid w:val="004B6989"/>
    <w:rsid w:val="004C06B5"/>
    <w:rsid w:val="004C10DB"/>
    <w:rsid w:val="004C19B0"/>
    <w:rsid w:val="004C4737"/>
    <w:rsid w:val="004D02B6"/>
    <w:rsid w:val="004D0800"/>
    <w:rsid w:val="004D0933"/>
    <w:rsid w:val="004D2214"/>
    <w:rsid w:val="004D2728"/>
    <w:rsid w:val="004E0D4B"/>
    <w:rsid w:val="004E446D"/>
    <w:rsid w:val="004E608C"/>
    <w:rsid w:val="004E6BDB"/>
    <w:rsid w:val="004E7B4D"/>
    <w:rsid w:val="004F1126"/>
    <w:rsid w:val="004F1310"/>
    <w:rsid w:val="004F22EC"/>
    <w:rsid w:val="004F3809"/>
    <w:rsid w:val="004F3B27"/>
    <w:rsid w:val="004F50FA"/>
    <w:rsid w:val="004F7316"/>
    <w:rsid w:val="004F76C3"/>
    <w:rsid w:val="00500540"/>
    <w:rsid w:val="005009E0"/>
    <w:rsid w:val="00505A29"/>
    <w:rsid w:val="005078D0"/>
    <w:rsid w:val="00511AFC"/>
    <w:rsid w:val="005127C2"/>
    <w:rsid w:val="0051294E"/>
    <w:rsid w:val="00514A3F"/>
    <w:rsid w:val="0051623A"/>
    <w:rsid w:val="00516590"/>
    <w:rsid w:val="00522039"/>
    <w:rsid w:val="00522206"/>
    <w:rsid w:val="00522F84"/>
    <w:rsid w:val="0052398C"/>
    <w:rsid w:val="00532752"/>
    <w:rsid w:val="005336A8"/>
    <w:rsid w:val="0053570D"/>
    <w:rsid w:val="00535A45"/>
    <w:rsid w:val="005376DF"/>
    <w:rsid w:val="00537B16"/>
    <w:rsid w:val="00543DE2"/>
    <w:rsid w:val="0054479C"/>
    <w:rsid w:val="005467BD"/>
    <w:rsid w:val="00546F5A"/>
    <w:rsid w:val="00547174"/>
    <w:rsid w:val="00550253"/>
    <w:rsid w:val="00550AAC"/>
    <w:rsid w:val="00551A02"/>
    <w:rsid w:val="005526E2"/>
    <w:rsid w:val="005529E5"/>
    <w:rsid w:val="005534FA"/>
    <w:rsid w:val="00560F31"/>
    <w:rsid w:val="005613B3"/>
    <w:rsid w:val="00563AF1"/>
    <w:rsid w:val="005725E0"/>
    <w:rsid w:val="0057277C"/>
    <w:rsid w:val="00576280"/>
    <w:rsid w:val="005766AD"/>
    <w:rsid w:val="00580C41"/>
    <w:rsid w:val="00581C88"/>
    <w:rsid w:val="00582C72"/>
    <w:rsid w:val="00582EE1"/>
    <w:rsid w:val="005831A1"/>
    <w:rsid w:val="00583833"/>
    <w:rsid w:val="00583EEB"/>
    <w:rsid w:val="00587565"/>
    <w:rsid w:val="0059073B"/>
    <w:rsid w:val="00591C31"/>
    <w:rsid w:val="0059504B"/>
    <w:rsid w:val="00595A2F"/>
    <w:rsid w:val="00595FA1"/>
    <w:rsid w:val="00597B4E"/>
    <w:rsid w:val="00597CF8"/>
    <w:rsid w:val="005A244F"/>
    <w:rsid w:val="005A27D6"/>
    <w:rsid w:val="005A28C4"/>
    <w:rsid w:val="005A2E93"/>
    <w:rsid w:val="005A3F04"/>
    <w:rsid w:val="005A59DA"/>
    <w:rsid w:val="005A7C32"/>
    <w:rsid w:val="005B36C2"/>
    <w:rsid w:val="005B59A8"/>
    <w:rsid w:val="005B5BD5"/>
    <w:rsid w:val="005C0B5A"/>
    <w:rsid w:val="005C5360"/>
    <w:rsid w:val="005D051C"/>
    <w:rsid w:val="005D24EA"/>
    <w:rsid w:val="005D3056"/>
    <w:rsid w:val="005D3A03"/>
    <w:rsid w:val="005D5C0B"/>
    <w:rsid w:val="005D62D1"/>
    <w:rsid w:val="005D69E7"/>
    <w:rsid w:val="005D6D1F"/>
    <w:rsid w:val="005D6FA8"/>
    <w:rsid w:val="005E17D6"/>
    <w:rsid w:val="005E471F"/>
    <w:rsid w:val="005E4B5A"/>
    <w:rsid w:val="005E50D0"/>
    <w:rsid w:val="005E6B87"/>
    <w:rsid w:val="005E7F82"/>
    <w:rsid w:val="005F262C"/>
    <w:rsid w:val="005F31EE"/>
    <w:rsid w:val="005F3EF6"/>
    <w:rsid w:val="005F405B"/>
    <w:rsid w:val="005F5118"/>
    <w:rsid w:val="005F52FC"/>
    <w:rsid w:val="0060027D"/>
    <w:rsid w:val="0060031A"/>
    <w:rsid w:val="00602BB3"/>
    <w:rsid w:val="00604833"/>
    <w:rsid w:val="0060549D"/>
    <w:rsid w:val="00605626"/>
    <w:rsid w:val="00606792"/>
    <w:rsid w:val="006113C7"/>
    <w:rsid w:val="006126E1"/>
    <w:rsid w:val="0061271E"/>
    <w:rsid w:val="006142BC"/>
    <w:rsid w:val="00616855"/>
    <w:rsid w:val="00616AFA"/>
    <w:rsid w:val="00616D42"/>
    <w:rsid w:val="006179F2"/>
    <w:rsid w:val="00620727"/>
    <w:rsid w:val="00624532"/>
    <w:rsid w:val="00625715"/>
    <w:rsid w:val="006259B7"/>
    <w:rsid w:val="00626576"/>
    <w:rsid w:val="00626683"/>
    <w:rsid w:val="006327ED"/>
    <w:rsid w:val="006340D8"/>
    <w:rsid w:val="0063682E"/>
    <w:rsid w:val="006371F2"/>
    <w:rsid w:val="0063767B"/>
    <w:rsid w:val="00641E83"/>
    <w:rsid w:val="00641FE7"/>
    <w:rsid w:val="00642FCA"/>
    <w:rsid w:val="0064557B"/>
    <w:rsid w:val="00645746"/>
    <w:rsid w:val="00651EBB"/>
    <w:rsid w:val="00654837"/>
    <w:rsid w:val="006567A8"/>
    <w:rsid w:val="00660BFB"/>
    <w:rsid w:val="0066430F"/>
    <w:rsid w:val="006665EC"/>
    <w:rsid w:val="00674DBC"/>
    <w:rsid w:val="00676092"/>
    <w:rsid w:val="00676D1C"/>
    <w:rsid w:val="00676E0E"/>
    <w:rsid w:val="00682DF0"/>
    <w:rsid w:val="00684154"/>
    <w:rsid w:val="00692830"/>
    <w:rsid w:val="006A2D91"/>
    <w:rsid w:val="006A43A7"/>
    <w:rsid w:val="006B414B"/>
    <w:rsid w:val="006C3361"/>
    <w:rsid w:val="006C5BFD"/>
    <w:rsid w:val="006C5F02"/>
    <w:rsid w:val="006D08C8"/>
    <w:rsid w:val="006D168E"/>
    <w:rsid w:val="006D27A0"/>
    <w:rsid w:val="006D2E5D"/>
    <w:rsid w:val="006D3943"/>
    <w:rsid w:val="006D58FE"/>
    <w:rsid w:val="006E1178"/>
    <w:rsid w:val="006E32E9"/>
    <w:rsid w:val="006E3CD4"/>
    <w:rsid w:val="006E4BAE"/>
    <w:rsid w:val="006E6E0D"/>
    <w:rsid w:val="006F1139"/>
    <w:rsid w:val="006F119F"/>
    <w:rsid w:val="006F1242"/>
    <w:rsid w:val="006F355E"/>
    <w:rsid w:val="006F3DC3"/>
    <w:rsid w:val="006F494D"/>
    <w:rsid w:val="006F573A"/>
    <w:rsid w:val="006F5CCF"/>
    <w:rsid w:val="006F7BB9"/>
    <w:rsid w:val="00700BEC"/>
    <w:rsid w:val="007015E7"/>
    <w:rsid w:val="00701FB0"/>
    <w:rsid w:val="00702948"/>
    <w:rsid w:val="00702FFC"/>
    <w:rsid w:val="007046C1"/>
    <w:rsid w:val="00705521"/>
    <w:rsid w:val="007057E5"/>
    <w:rsid w:val="00705CB1"/>
    <w:rsid w:val="0070621B"/>
    <w:rsid w:val="0070774A"/>
    <w:rsid w:val="007103E5"/>
    <w:rsid w:val="00713813"/>
    <w:rsid w:val="00716333"/>
    <w:rsid w:val="007169F1"/>
    <w:rsid w:val="00720926"/>
    <w:rsid w:val="00730CFC"/>
    <w:rsid w:val="00734575"/>
    <w:rsid w:val="00734FDB"/>
    <w:rsid w:val="0073519E"/>
    <w:rsid w:val="007352EE"/>
    <w:rsid w:val="007356CE"/>
    <w:rsid w:val="00737A6E"/>
    <w:rsid w:val="00741BAF"/>
    <w:rsid w:val="00742191"/>
    <w:rsid w:val="0074408C"/>
    <w:rsid w:val="00744A4A"/>
    <w:rsid w:val="00744B04"/>
    <w:rsid w:val="0074657F"/>
    <w:rsid w:val="00747183"/>
    <w:rsid w:val="007506B9"/>
    <w:rsid w:val="00751BEC"/>
    <w:rsid w:val="00754484"/>
    <w:rsid w:val="00755297"/>
    <w:rsid w:val="007554B3"/>
    <w:rsid w:val="0075640F"/>
    <w:rsid w:val="00761B6D"/>
    <w:rsid w:val="00761C82"/>
    <w:rsid w:val="00770862"/>
    <w:rsid w:val="00774BF6"/>
    <w:rsid w:val="0077537A"/>
    <w:rsid w:val="00775557"/>
    <w:rsid w:val="00775558"/>
    <w:rsid w:val="00775575"/>
    <w:rsid w:val="00775645"/>
    <w:rsid w:val="007810D4"/>
    <w:rsid w:val="00783129"/>
    <w:rsid w:val="007831BA"/>
    <w:rsid w:val="00783CAD"/>
    <w:rsid w:val="007857F1"/>
    <w:rsid w:val="00790740"/>
    <w:rsid w:val="007915BF"/>
    <w:rsid w:val="00794CE7"/>
    <w:rsid w:val="00795389"/>
    <w:rsid w:val="00796B91"/>
    <w:rsid w:val="007A2CE9"/>
    <w:rsid w:val="007A480A"/>
    <w:rsid w:val="007A4BB8"/>
    <w:rsid w:val="007A7981"/>
    <w:rsid w:val="007B123F"/>
    <w:rsid w:val="007B19AD"/>
    <w:rsid w:val="007B52CD"/>
    <w:rsid w:val="007B5465"/>
    <w:rsid w:val="007B5A2D"/>
    <w:rsid w:val="007B6044"/>
    <w:rsid w:val="007C1C57"/>
    <w:rsid w:val="007C24D2"/>
    <w:rsid w:val="007C24E6"/>
    <w:rsid w:val="007D0F2D"/>
    <w:rsid w:val="007D5352"/>
    <w:rsid w:val="007E1280"/>
    <w:rsid w:val="007E391D"/>
    <w:rsid w:val="007E4D74"/>
    <w:rsid w:val="007E652A"/>
    <w:rsid w:val="007F3A72"/>
    <w:rsid w:val="007F45C7"/>
    <w:rsid w:val="007F50B5"/>
    <w:rsid w:val="007F793D"/>
    <w:rsid w:val="007F7BA2"/>
    <w:rsid w:val="007F7FEA"/>
    <w:rsid w:val="008002C0"/>
    <w:rsid w:val="008056E8"/>
    <w:rsid w:val="008151C0"/>
    <w:rsid w:val="008163C5"/>
    <w:rsid w:val="00817D41"/>
    <w:rsid w:val="008220C7"/>
    <w:rsid w:val="00824089"/>
    <w:rsid w:val="00827204"/>
    <w:rsid w:val="00827D5B"/>
    <w:rsid w:val="008329B0"/>
    <w:rsid w:val="00832F71"/>
    <w:rsid w:val="0083306C"/>
    <w:rsid w:val="008366A3"/>
    <w:rsid w:val="008374B5"/>
    <w:rsid w:val="0084304B"/>
    <w:rsid w:val="0084377B"/>
    <w:rsid w:val="0084391E"/>
    <w:rsid w:val="008447A9"/>
    <w:rsid w:val="008453B9"/>
    <w:rsid w:val="00854056"/>
    <w:rsid w:val="00855242"/>
    <w:rsid w:val="008558C9"/>
    <w:rsid w:val="0085610B"/>
    <w:rsid w:val="00860A94"/>
    <w:rsid w:val="0086291A"/>
    <w:rsid w:val="00864B8C"/>
    <w:rsid w:val="00870916"/>
    <w:rsid w:val="008711F3"/>
    <w:rsid w:val="0087316F"/>
    <w:rsid w:val="0087496C"/>
    <w:rsid w:val="00877FC0"/>
    <w:rsid w:val="00880BE9"/>
    <w:rsid w:val="0088178A"/>
    <w:rsid w:val="00881F2E"/>
    <w:rsid w:val="00885041"/>
    <w:rsid w:val="0088730B"/>
    <w:rsid w:val="008906E1"/>
    <w:rsid w:val="00890BF9"/>
    <w:rsid w:val="008920CB"/>
    <w:rsid w:val="00894D87"/>
    <w:rsid w:val="00895BB5"/>
    <w:rsid w:val="008A2A15"/>
    <w:rsid w:val="008A3CE2"/>
    <w:rsid w:val="008A3E02"/>
    <w:rsid w:val="008A45B1"/>
    <w:rsid w:val="008A5C02"/>
    <w:rsid w:val="008A604F"/>
    <w:rsid w:val="008B0AAA"/>
    <w:rsid w:val="008B18D5"/>
    <w:rsid w:val="008B2695"/>
    <w:rsid w:val="008B4083"/>
    <w:rsid w:val="008B63CB"/>
    <w:rsid w:val="008B7E73"/>
    <w:rsid w:val="008C0192"/>
    <w:rsid w:val="008C3D35"/>
    <w:rsid w:val="008C445F"/>
    <w:rsid w:val="008C5323"/>
    <w:rsid w:val="008C7B33"/>
    <w:rsid w:val="008D0FE8"/>
    <w:rsid w:val="008D1AB3"/>
    <w:rsid w:val="008D1BE9"/>
    <w:rsid w:val="008D4ED0"/>
    <w:rsid w:val="008D53CE"/>
    <w:rsid w:val="008D77B0"/>
    <w:rsid w:val="008E0E57"/>
    <w:rsid w:val="008E2F5C"/>
    <w:rsid w:val="008E4B9F"/>
    <w:rsid w:val="008E61CD"/>
    <w:rsid w:val="008F2656"/>
    <w:rsid w:val="008F53C1"/>
    <w:rsid w:val="008F67EA"/>
    <w:rsid w:val="00900E04"/>
    <w:rsid w:val="0090150C"/>
    <w:rsid w:val="00902211"/>
    <w:rsid w:val="0090273B"/>
    <w:rsid w:val="009058B0"/>
    <w:rsid w:val="00910FAF"/>
    <w:rsid w:val="0091194A"/>
    <w:rsid w:val="00915807"/>
    <w:rsid w:val="00917CE2"/>
    <w:rsid w:val="0092472E"/>
    <w:rsid w:val="0092475E"/>
    <w:rsid w:val="0092508B"/>
    <w:rsid w:val="00930210"/>
    <w:rsid w:val="009343AD"/>
    <w:rsid w:val="00936FF3"/>
    <w:rsid w:val="00945CA0"/>
    <w:rsid w:val="0094608B"/>
    <w:rsid w:val="0094616E"/>
    <w:rsid w:val="009504F0"/>
    <w:rsid w:val="009521E2"/>
    <w:rsid w:val="0096399A"/>
    <w:rsid w:val="00964D88"/>
    <w:rsid w:val="009677FF"/>
    <w:rsid w:val="009700C8"/>
    <w:rsid w:val="0097043D"/>
    <w:rsid w:val="00975D28"/>
    <w:rsid w:val="00977281"/>
    <w:rsid w:val="009811DB"/>
    <w:rsid w:val="009836E7"/>
    <w:rsid w:val="0098513D"/>
    <w:rsid w:val="00985903"/>
    <w:rsid w:val="00986DE1"/>
    <w:rsid w:val="0098707D"/>
    <w:rsid w:val="00991370"/>
    <w:rsid w:val="00991D12"/>
    <w:rsid w:val="00993388"/>
    <w:rsid w:val="00994F2E"/>
    <w:rsid w:val="00995599"/>
    <w:rsid w:val="009955F1"/>
    <w:rsid w:val="009A003A"/>
    <w:rsid w:val="009A07A7"/>
    <w:rsid w:val="009A2238"/>
    <w:rsid w:val="009A2903"/>
    <w:rsid w:val="009A52EF"/>
    <w:rsid w:val="009A6A3B"/>
    <w:rsid w:val="009B2C3B"/>
    <w:rsid w:val="009B3AEB"/>
    <w:rsid w:val="009B4023"/>
    <w:rsid w:val="009B64FC"/>
    <w:rsid w:val="009B6FB0"/>
    <w:rsid w:val="009B7130"/>
    <w:rsid w:val="009C083B"/>
    <w:rsid w:val="009C26D7"/>
    <w:rsid w:val="009C40EE"/>
    <w:rsid w:val="009C5482"/>
    <w:rsid w:val="009C67B6"/>
    <w:rsid w:val="009D1885"/>
    <w:rsid w:val="009D1F88"/>
    <w:rsid w:val="009D2E9D"/>
    <w:rsid w:val="009D31AD"/>
    <w:rsid w:val="009D57B0"/>
    <w:rsid w:val="009D5FF9"/>
    <w:rsid w:val="009E2455"/>
    <w:rsid w:val="009E6506"/>
    <w:rsid w:val="009F052F"/>
    <w:rsid w:val="009F14F1"/>
    <w:rsid w:val="009F29E6"/>
    <w:rsid w:val="009F5721"/>
    <w:rsid w:val="009F7088"/>
    <w:rsid w:val="009F7D6B"/>
    <w:rsid w:val="00A000C7"/>
    <w:rsid w:val="00A013A1"/>
    <w:rsid w:val="00A048EC"/>
    <w:rsid w:val="00A0701F"/>
    <w:rsid w:val="00A10647"/>
    <w:rsid w:val="00A11561"/>
    <w:rsid w:val="00A15E94"/>
    <w:rsid w:val="00A21400"/>
    <w:rsid w:val="00A22292"/>
    <w:rsid w:val="00A25BEF"/>
    <w:rsid w:val="00A25D1A"/>
    <w:rsid w:val="00A260B8"/>
    <w:rsid w:val="00A27E68"/>
    <w:rsid w:val="00A32C23"/>
    <w:rsid w:val="00A34096"/>
    <w:rsid w:val="00A36804"/>
    <w:rsid w:val="00A40D1D"/>
    <w:rsid w:val="00A50014"/>
    <w:rsid w:val="00A505AA"/>
    <w:rsid w:val="00A52186"/>
    <w:rsid w:val="00A53C94"/>
    <w:rsid w:val="00A53EBE"/>
    <w:rsid w:val="00A5450E"/>
    <w:rsid w:val="00A56227"/>
    <w:rsid w:val="00A56820"/>
    <w:rsid w:val="00A576B7"/>
    <w:rsid w:val="00A63CDB"/>
    <w:rsid w:val="00A65475"/>
    <w:rsid w:val="00A67F13"/>
    <w:rsid w:val="00A708CD"/>
    <w:rsid w:val="00A71529"/>
    <w:rsid w:val="00A721C8"/>
    <w:rsid w:val="00A725D1"/>
    <w:rsid w:val="00A74A9F"/>
    <w:rsid w:val="00A77AB0"/>
    <w:rsid w:val="00A77F47"/>
    <w:rsid w:val="00A8044E"/>
    <w:rsid w:val="00A84A02"/>
    <w:rsid w:val="00A8561B"/>
    <w:rsid w:val="00A87204"/>
    <w:rsid w:val="00A95091"/>
    <w:rsid w:val="00A95301"/>
    <w:rsid w:val="00AA14D4"/>
    <w:rsid w:val="00AA293A"/>
    <w:rsid w:val="00AA2B28"/>
    <w:rsid w:val="00AA3F52"/>
    <w:rsid w:val="00AA48F9"/>
    <w:rsid w:val="00AA4A13"/>
    <w:rsid w:val="00AB00DC"/>
    <w:rsid w:val="00AB091A"/>
    <w:rsid w:val="00AB0D39"/>
    <w:rsid w:val="00AB1712"/>
    <w:rsid w:val="00AB5DCD"/>
    <w:rsid w:val="00AC0679"/>
    <w:rsid w:val="00AC1D6C"/>
    <w:rsid w:val="00AD0F85"/>
    <w:rsid w:val="00AD10DC"/>
    <w:rsid w:val="00AD3017"/>
    <w:rsid w:val="00AD3AA1"/>
    <w:rsid w:val="00AD43F9"/>
    <w:rsid w:val="00AD5790"/>
    <w:rsid w:val="00AE0A3B"/>
    <w:rsid w:val="00AE1E80"/>
    <w:rsid w:val="00AE2D7B"/>
    <w:rsid w:val="00AE4849"/>
    <w:rsid w:val="00AE6B3E"/>
    <w:rsid w:val="00AF0ECA"/>
    <w:rsid w:val="00AF3F7F"/>
    <w:rsid w:val="00B011EF"/>
    <w:rsid w:val="00B11C58"/>
    <w:rsid w:val="00B12E30"/>
    <w:rsid w:val="00B17AB5"/>
    <w:rsid w:val="00B17BD7"/>
    <w:rsid w:val="00B17D68"/>
    <w:rsid w:val="00B20C95"/>
    <w:rsid w:val="00B267DA"/>
    <w:rsid w:val="00B276AA"/>
    <w:rsid w:val="00B30731"/>
    <w:rsid w:val="00B31FE1"/>
    <w:rsid w:val="00B3231A"/>
    <w:rsid w:val="00B366C6"/>
    <w:rsid w:val="00B40E8C"/>
    <w:rsid w:val="00B41198"/>
    <w:rsid w:val="00B430D2"/>
    <w:rsid w:val="00B460E3"/>
    <w:rsid w:val="00B50F89"/>
    <w:rsid w:val="00B525F5"/>
    <w:rsid w:val="00B54AC9"/>
    <w:rsid w:val="00B61C6C"/>
    <w:rsid w:val="00B6373D"/>
    <w:rsid w:val="00B676C0"/>
    <w:rsid w:val="00B67E59"/>
    <w:rsid w:val="00B70373"/>
    <w:rsid w:val="00B7062D"/>
    <w:rsid w:val="00B70C66"/>
    <w:rsid w:val="00B7132F"/>
    <w:rsid w:val="00B71557"/>
    <w:rsid w:val="00B7439C"/>
    <w:rsid w:val="00B77048"/>
    <w:rsid w:val="00B77725"/>
    <w:rsid w:val="00B80077"/>
    <w:rsid w:val="00B81C95"/>
    <w:rsid w:val="00B82312"/>
    <w:rsid w:val="00B823AA"/>
    <w:rsid w:val="00B8313F"/>
    <w:rsid w:val="00B86F2D"/>
    <w:rsid w:val="00B8731D"/>
    <w:rsid w:val="00B87376"/>
    <w:rsid w:val="00B90306"/>
    <w:rsid w:val="00B90A4F"/>
    <w:rsid w:val="00B91F87"/>
    <w:rsid w:val="00B9517B"/>
    <w:rsid w:val="00B956A9"/>
    <w:rsid w:val="00B97ED8"/>
    <w:rsid w:val="00BA11F9"/>
    <w:rsid w:val="00BA265C"/>
    <w:rsid w:val="00BA347A"/>
    <w:rsid w:val="00BA45DB"/>
    <w:rsid w:val="00BA5D5B"/>
    <w:rsid w:val="00BA5E2F"/>
    <w:rsid w:val="00BB282B"/>
    <w:rsid w:val="00BB312C"/>
    <w:rsid w:val="00BB6158"/>
    <w:rsid w:val="00BC240F"/>
    <w:rsid w:val="00BC37D3"/>
    <w:rsid w:val="00BC43FB"/>
    <w:rsid w:val="00BC6D8E"/>
    <w:rsid w:val="00BC7A96"/>
    <w:rsid w:val="00BD37F7"/>
    <w:rsid w:val="00BD5629"/>
    <w:rsid w:val="00BE15EC"/>
    <w:rsid w:val="00BE2AFF"/>
    <w:rsid w:val="00BE6FA7"/>
    <w:rsid w:val="00BE7299"/>
    <w:rsid w:val="00BF3D59"/>
    <w:rsid w:val="00BF4184"/>
    <w:rsid w:val="00BF6E8A"/>
    <w:rsid w:val="00C003A8"/>
    <w:rsid w:val="00C01098"/>
    <w:rsid w:val="00C044C2"/>
    <w:rsid w:val="00C0601E"/>
    <w:rsid w:val="00C06B1E"/>
    <w:rsid w:val="00C06B8B"/>
    <w:rsid w:val="00C111F9"/>
    <w:rsid w:val="00C13A8C"/>
    <w:rsid w:val="00C14613"/>
    <w:rsid w:val="00C14B7F"/>
    <w:rsid w:val="00C14C4D"/>
    <w:rsid w:val="00C2004F"/>
    <w:rsid w:val="00C20A46"/>
    <w:rsid w:val="00C218A0"/>
    <w:rsid w:val="00C2194D"/>
    <w:rsid w:val="00C21C47"/>
    <w:rsid w:val="00C23B99"/>
    <w:rsid w:val="00C258EC"/>
    <w:rsid w:val="00C272FA"/>
    <w:rsid w:val="00C31D30"/>
    <w:rsid w:val="00C33E34"/>
    <w:rsid w:val="00C35777"/>
    <w:rsid w:val="00C36CA4"/>
    <w:rsid w:val="00C36E48"/>
    <w:rsid w:val="00C40048"/>
    <w:rsid w:val="00C41985"/>
    <w:rsid w:val="00C431AE"/>
    <w:rsid w:val="00C541C4"/>
    <w:rsid w:val="00C54353"/>
    <w:rsid w:val="00C55567"/>
    <w:rsid w:val="00C56FC4"/>
    <w:rsid w:val="00C575D3"/>
    <w:rsid w:val="00C60652"/>
    <w:rsid w:val="00C63BBE"/>
    <w:rsid w:val="00C6649C"/>
    <w:rsid w:val="00C66E4F"/>
    <w:rsid w:val="00C77091"/>
    <w:rsid w:val="00C80829"/>
    <w:rsid w:val="00C823E4"/>
    <w:rsid w:val="00C82F7D"/>
    <w:rsid w:val="00C83283"/>
    <w:rsid w:val="00C85EF7"/>
    <w:rsid w:val="00C864B5"/>
    <w:rsid w:val="00C86B87"/>
    <w:rsid w:val="00C86F65"/>
    <w:rsid w:val="00C871F3"/>
    <w:rsid w:val="00C87882"/>
    <w:rsid w:val="00C90C6F"/>
    <w:rsid w:val="00C95778"/>
    <w:rsid w:val="00C96BA3"/>
    <w:rsid w:val="00CA1AD5"/>
    <w:rsid w:val="00CA2C06"/>
    <w:rsid w:val="00CA2C73"/>
    <w:rsid w:val="00CA46EA"/>
    <w:rsid w:val="00CB1E56"/>
    <w:rsid w:val="00CC1D5D"/>
    <w:rsid w:val="00CC28F2"/>
    <w:rsid w:val="00CC6DD4"/>
    <w:rsid w:val="00CC78FF"/>
    <w:rsid w:val="00CD04AB"/>
    <w:rsid w:val="00CD2355"/>
    <w:rsid w:val="00CD6E39"/>
    <w:rsid w:val="00CE2771"/>
    <w:rsid w:val="00CE359E"/>
    <w:rsid w:val="00CE4B9B"/>
    <w:rsid w:val="00CF15B9"/>
    <w:rsid w:val="00CF1676"/>
    <w:rsid w:val="00CF1EEF"/>
    <w:rsid w:val="00CF2F98"/>
    <w:rsid w:val="00CF5849"/>
    <w:rsid w:val="00CF6E91"/>
    <w:rsid w:val="00CF7850"/>
    <w:rsid w:val="00D00367"/>
    <w:rsid w:val="00D003D3"/>
    <w:rsid w:val="00D0094A"/>
    <w:rsid w:val="00D0228C"/>
    <w:rsid w:val="00D06257"/>
    <w:rsid w:val="00D10F6C"/>
    <w:rsid w:val="00D10FA6"/>
    <w:rsid w:val="00D11CA5"/>
    <w:rsid w:val="00D177CD"/>
    <w:rsid w:val="00D22A7A"/>
    <w:rsid w:val="00D25357"/>
    <w:rsid w:val="00D25774"/>
    <w:rsid w:val="00D265BE"/>
    <w:rsid w:val="00D32942"/>
    <w:rsid w:val="00D35B2F"/>
    <w:rsid w:val="00D37B35"/>
    <w:rsid w:val="00D37CED"/>
    <w:rsid w:val="00D37F15"/>
    <w:rsid w:val="00D40BEA"/>
    <w:rsid w:val="00D41E9B"/>
    <w:rsid w:val="00D420FA"/>
    <w:rsid w:val="00D43A83"/>
    <w:rsid w:val="00D43BCF"/>
    <w:rsid w:val="00D445FE"/>
    <w:rsid w:val="00D44B72"/>
    <w:rsid w:val="00D512FB"/>
    <w:rsid w:val="00D533E0"/>
    <w:rsid w:val="00D537A9"/>
    <w:rsid w:val="00D540A0"/>
    <w:rsid w:val="00D579F3"/>
    <w:rsid w:val="00D6087F"/>
    <w:rsid w:val="00D619F7"/>
    <w:rsid w:val="00D636E8"/>
    <w:rsid w:val="00D645B1"/>
    <w:rsid w:val="00D73957"/>
    <w:rsid w:val="00D77844"/>
    <w:rsid w:val="00D81CE0"/>
    <w:rsid w:val="00D839D1"/>
    <w:rsid w:val="00D85B68"/>
    <w:rsid w:val="00D8603E"/>
    <w:rsid w:val="00D862B7"/>
    <w:rsid w:val="00D8793A"/>
    <w:rsid w:val="00D91CEC"/>
    <w:rsid w:val="00D94911"/>
    <w:rsid w:val="00D94DBD"/>
    <w:rsid w:val="00D952BD"/>
    <w:rsid w:val="00DA02DE"/>
    <w:rsid w:val="00DA2A02"/>
    <w:rsid w:val="00DA561A"/>
    <w:rsid w:val="00DA6FCD"/>
    <w:rsid w:val="00DB0736"/>
    <w:rsid w:val="00DB186B"/>
    <w:rsid w:val="00DB259F"/>
    <w:rsid w:val="00DB4D90"/>
    <w:rsid w:val="00DB6E83"/>
    <w:rsid w:val="00DB6F49"/>
    <w:rsid w:val="00DC1D29"/>
    <w:rsid w:val="00DC30E3"/>
    <w:rsid w:val="00DC3F5E"/>
    <w:rsid w:val="00DC6602"/>
    <w:rsid w:val="00DC7547"/>
    <w:rsid w:val="00DD0433"/>
    <w:rsid w:val="00DD1B0E"/>
    <w:rsid w:val="00DD4DDC"/>
    <w:rsid w:val="00DD6E37"/>
    <w:rsid w:val="00DE0F62"/>
    <w:rsid w:val="00DE51CA"/>
    <w:rsid w:val="00DF1081"/>
    <w:rsid w:val="00DF322C"/>
    <w:rsid w:val="00DF3C23"/>
    <w:rsid w:val="00DF493B"/>
    <w:rsid w:val="00DF6633"/>
    <w:rsid w:val="00DF7A27"/>
    <w:rsid w:val="00E00F6E"/>
    <w:rsid w:val="00E02F8C"/>
    <w:rsid w:val="00E03358"/>
    <w:rsid w:val="00E05F2F"/>
    <w:rsid w:val="00E06BA4"/>
    <w:rsid w:val="00E101B6"/>
    <w:rsid w:val="00E11AE2"/>
    <w:rsid w:val="00E129EE"/>
    <w:rsid w:val="00E13391"/>
    <w:rsid w:val="00E14BB0"/>
    <w:rsid w:val="00E15C64"/>
    <w:rsid w:val="00E165BF"/>
    <w:rsid w:val="00E209E9"/>
    <w:rsid w:val="00E21708"/>
    <w:rsid w:val="00E2276E"/>
    <w:rsid w:val="00E22779"/>
    <w:rsid w:val="00E24AEE"/>
    <w:rsid w:val="00E259CF"/>
    <w:rsid w:val="00E26DF8"/>
    <w:rsid w:val="00E272AB"/>
    <w:rsid w:val="00E30C48"/>
    <w:rsid w:val="00E33CDB"/>
    <w:rsid w:val="00E364E2"/>
    <w:rsid w:val="00E404D4"/>
    <w:rsid w:val="00E4191B"/>
    <w:rsid w:val="00E44F0D"/>
    <w:rsid w:val="00E46FB0"/>
    <w:rsid w:val="00E47895"/>
    <w:rsid w:val="00E47CDD"/>
    <w:rsid w:val="00E50CCA"/>
    <w:rsid w:val="00E51193"/>
    <w:rsid w:val="00E51434"/>
    <w:rsid w:val="00E51C1C"/>
    <w:rsid w:val="00E528E6"/>
    <w:rsid w:val="00E53594"/>
    <w:rsid w:val="00E53E15"/>
    <w:rsid w:val="00E56002"/>
    <w:rsid w:val="00E6004D"/>
    <w:rsid w:val="00E61776"/>
    <w:rsid w:val="00E63B9D"/>
    <w:rsid w:val="00E6418E"/>
    <w:rsid w:val="00E65EF3"/>
    <w:rsid w:val="00E705CD"/>
    <w:rsid w:val="00E7709D"/>
    <w:rsid w:val="00E7779C"/>
    <w:rsid w:val="00E804FF"/>
    <w:rsid w:val="00E805E6"/>
    <w:rsid w:val="00E8123E"/>
    <w:rsid w:val="00E8173D"/>
    <w:rsid w:val="00E81978"/>
    <w:rsid w:val="00E81ABE"/>
    <w:rsid w:val="00E8230B"/>
    <w:rsid w:val="00E827D5"/>
    <w:rsid w:val="00E83613"/>
    <w:rsid w:val="00E83C6A"/>
    <w:rsid w:val="00E865D2"/>
    <w:rsid w:val="00E94581"/>
    <w:rsid w:val="00E979FD"/>
    <w:rsid w:val="00EA023D"/>
    <w:rsid w:val="00EA0543"/>
    <w:rsid w:val="00EA0FAE"/>
    <w:rsid w:val="00EA1AD6"/>
    <w:rsid w:val="00EA2722"/>
    <w:rsid w:val="00EA43DF"/>
    <w:rsid w:val="00EA562B"/>
    <w:rsid w:val="00EA7A29"/>
    <w:rsid w:val="00EB1B74"/>
    <w:rsid w:val="00EB73CA"/>
    <w:rsid w:val="00EC062C"/>
    <w:rsid w:val="00EC3239"/>
    <w:rsid w:val="00EC46E9"/>
    <w:rsid w:val="00ED04BA"/>
    <w:rsid w:val="00ED0909"/>
    <w:rsid w:val="00ED11DE"/>
    <w:rsid w:val="00ED30BF"/>
    <w:rsid w:val="00ED31CD"/>
    <w:rsid w:val="00ED382B"/>
    <w:rsid w:val="00ED7D11"/>
    <w:rsid w:val="00EE178B"/>
    <w:rsid w:val="00EE6993"/>
    <w:rsid w:val="00EE72D2"/>
    <w:rsid w:val="00EE7BFE"/>
    <w:rsid w:val="00EF3CF9"/>
    <w:rsid w:val="00EF533E"/>
    <w:rsid w:val="00F022AC"/>
    <w:rsid w:val="00F04B2C"/>
    <w:rsid w:val="00F06116"/>
    <w:rsid w:val="00F0623C"/>
    <w:rsid w:val="00F0667C"/>
    <w:rsid w:val="00F07BE9"/>
    <w:rsid w:val="00F13C88"/>
    <w:rsid w:val="00F167EC"/>
    <w:rsid w:val="00F17448"/>
    <w:rsid w:val="00F176A6"/>
    <w:rsid w:val="00F212D7"/>
    <w:rsid w:val="00F22462"/>
    <w:rsid w:val="00F24D28"/>
    <w:rsid w:val="00F27907"/>
    <w:rsid w:val="00F27D46"/>
    <w:rsid w:val="00F303CE"/>
    <w:rsid w:val="00F31C5D"/>
    <w:rsid w:val="00F33D08"/>
    <w:rsid w:val="00F3562B"/>
    <w:rsid w:val="00F379B7"/>
    <w:rsid w:val="00F42DBE"/>
    <w:rsid w:val="00F42E5A"/>
    <w:rsid w:val="00F430BE"/>
    <w:rsid w:val="00F45F50"/>
    <w:rsid w:val="00F47AFA"/>
    <w:rsid w:val="00F50CAB"/>
    <w:rsid w:val="00F525FA"/>
    <w:rsid w:val="00F53C46"/>
    <w:rsid w:val="00F55791"/>
    <w:rsid w:val="00F60A8A"/>
    <w:rsid w:val="00F61DCD"/>
    <w:rsid w:val="00F62BFC"/>
    <w:rsid w:val="00F67C15"/>
    <w:rsid w:val="00F67E08"/>
    <w:rsid w:val="00F71992"/>
    <w:rsid w:val="00F71E7F"/>
    <w:rsid w:val="00F736A5"/>
    <w:rsid w:val="00F73B2D"/>
    <w:rsid w:val="00F7710A"/>
    <w:rsid w:val="00F77394"/>
    <w:rsid w:val="00F77822"/>
    <w:rsid w:val="00F80690"/>
    <w:rsid w:val="00F81605"/>
    <w:rsid w:val="00F848CE"/>
    <w:rsid w:val="00F85CE9"/>
    <w:rsid w:val="00F86EE6"/>
    <w:rsid w:val="00F87708"/>
    <w:rsid w:val="00F925F7"/>
    <w:rsid w:val="00F934DE"/>
    <w:rsid w:val="00F94F39"/>
    <w:rsid w:val="00F9594E"/>
    <w:rsid w:val="00F9599D"/>
    <w:rsid w:val="00F9601D"/>
    <w:rsid w:val="00F976E8"/>
    <w:rsid w:val="00FA0062"/>
    <w:rsid w:val="00FA1E77"/>
    <w:rsid w:val="00FA1FC5"/>
    <w:rsid w:val="00FA22DF"/>
    <w:rsid w:val="00FA54A2"/>
    <w:rsid w:val="00FA6656"/>
    <w:rsid w:val="00FA7A21"/>
    <w:rsid w:val="00FB3616"/>
    <w:rsid w:val="00FB5140"/>
    <w:rsid w:val="00FB541B"/>
    <w:rsid w:val="00FB661A"/>
    <w:rsid w:val="00FB744A"/>
    <w:rsid w:val="00FC11D2"/>
    <w:rsid w:val="00FC1AEE"/>
    <w:rsid w:val="00FE39D5"/>
    <w:rsid w:val="00FE5B62"/>
    <w:rsid w:val="00FE7D57"/>
    <w:rsid w:val="00FE7DAB"/>
    <w:rsid w:val="00FF0435"/>
    <w:rsid w:val="00FF0D86"/>
    <w:rsid w:val="00FF2002"/>
    <w:rsid w:val="00FF21FB"/>
    <w:rsid w:val="00FF7543"/>
    <w:rsid w:val="00FF75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85A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4" w:qFormat="1"/>
    <w:lsdException w:name="heading 3" w:uiPriority="4" w:qFormat="1"/>
    <w:lsdException w:name="heading 4" w:uiPriority="4" w:qFormat="1"/>
    <w:lsdException w:name="heading 5" w:uiPriority="4"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footnote reference" w:uiPriority="5" w:qFormat="1"/>
    <w:lsdException w:name="endnote text" w:qFormat="1"/>
    <w:lsdException w:name="List Bullet" w:uiPriority="9" w:qFormat="1"/>
    <w:lsdException w:name="List Number" w:uiPriority="9" w:qFormat="1"/>
    <w:lsdException w:name="Title" w:semiHidden="0" w:uiPriority="0" w:unhideWhenUsed="0"/>
    <w:lsdException w:name="Default Paragraph Font" w:uiPriority="1"/>
    <w:lsdException w:name="Subtitle" w:semiHidden="0" w:uiPriority="18" w:unhideWhenUsed="0" w:qFormat="1"/>
    <w:lsdException w:name="Strong" w:semiHidden="0" w:uiPriority="22" w:unhideWhenUsed="0" w:qFormat="1"/>
    <w:lsdException w:name="Emphasis" w:semiHidden="0" w:uiPriority="4" w:unhideWhenUsed="0"/>
    <w:lsdException w:name="Table Grid" w:semiHidden="0" w:uiPriority="39" w:unhideWhenUsed="0"/>
    <w:lsdException w:name="Placeholder Text" w:unhideWhenUsed="0"/>
    <w:lsdException w:name="No Spacing" w:semiHidden="0" w:uiPriority="3"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5D62D1"/>
    <w:rPr>
      <w:kern w:val="24"/>
    </w:rPr>
  </w:style>
  <w:style w:type="paragraph" w:styleId="Heading1">
    <w:name w:val="heading 1"/>
    <w:basedOn w:val="SectionTitle"/>
    <w:next w:val="Normal"/>
    <w:link w:val="Heading1Char"/>
    <w:uiPriority w:val="4"/>
    <w:qFormat/>
    <w:rsid w:val="00E528E6"/>
    <w:pPr>
      <w:numPr>
        <w:numId w:val="38"/>
      </w:numPr>
      <w:jc w:val="left"/>
    </w:pPr>
  </w:style>
  <w:style w:type="paragraph" w:styleId="Heading2">
    <w:name w:val="heading 2"/>
    <w:basedOn w:val="Normal"/>
    <w:next w:val="Normal"/>
    <w:link w:val="Heading2Char"/>
    <w:uiPriority w:val="4"/>
    <w:unhideWhenUsed/>
    <w:qFormat/>
    <w:rsid w:val="00457AD9"/>
    <w:pPr>
      <w:keepNext/>
      <w:keepLines/>
      <w:numPr>
        <w:ilvl w:val="1"/>
        <w:numId w:val="38"/>
      </w:numPr>
      <w:outlineLvl w:val="1"/>
    </w:pPr>
    <w:rPr>
      <w:rFonts w:asciiTheme="majorHAnsi" w:eastAsiaTheme="majorEastAsia" w:hAnsiTheme="majorHAnsi" w:cstheme="majorBidi"/>
      <w:b/>
      <w:bCs/>
      <w:lang w:val="en-GB"/>
    </w:rPr>
  </w:style>
  <w:style w:type="paragraph" w:styleId="Heading3">
    <w:name w:val="heading 3"/>
    <w:basedOn w:val="Normal"/>
    <w:next w:val="Normal"/>
    <w:link w:val="Heading3Char"/>
    <w:uiPriority w:val="4"/>
    <w:unhideWhenUsed/>
    <w:qFormat/>
    <w:rsid w:val="00410A2A"/>
    <w:pPr>
      <w:keepNext/>
      <w:keepLines/>
      <w:numPr>
        <w:ilvl w:val="2"/>
        <w:numId w:val="38"/>
      </w:numPr>
      <w:outlineLvl w:val="2"/>
    </w:pPr>
    <w:rPr>
      <w:rFonts w:asciiTheme="majorHAnsi" w:eastAsiaTheme="majorEastAsia" w:hAnsiTheme="majorHAnsi" w:cstheme="majorBidi"/>
      <w:bCs/>
      <w:i/>
      <w:lang w:val="en-GB"/>
    </w:rPr>
  </w:style>
  <w:style w:type="paragraph" w:styleId="Heading4">
    <w:name w:val="heading 4"/>
    <w:basedOn w:val="Normal"/>
    <w:next w:val="Normal"/>
    <w:link w:val="Heading4Char"/>
    <w:uiPriority w:val="4"/>
    <w:unhideWhenUsed/>
    <w:qFormat/>
    <w:rsid w:val="00C31D30"/>
    <w:pPr>
      <w:keepNext/>
      <w:keepLines/>
      <w:numPr>
        <w:ilvl w:val="3"/>
        <w:numId w:val="38"/>
      </w:numPr>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numPr>
        <w:ilvl w:val="4"/>
        <w:numId w:val="38"/>
      </w:numPr>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numPr>
        <w:ilvl w:val="5"/>
        <w:numId w:val="38"/>
      </w:numPr>
      <w:spacing w:before="4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numPr>
        <w:ilvl w:val="6"/>
        <w:numId w:val="38"/>
      </w:numPr>
      <w:spacing w:before="4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numPr>
        <w:ilvl w:val="7"/>
        <w:numId w:val="38"/>
      </w:numPr>
      <w:spacing w:before="4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numPr>
        <w:ilvl w:val="8"/>
        <w:numId w:val="38"/>
      </w:numPr>
      <w:spacing w:before="4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rsid w:val="00900E04"/>
    <w:pPr>
      <w:pageBreakBefore/>
      <w:ind w:firstLine="0"/>
      <w:jc w:val="center"/>
      <w:outlineLvl w:val="0"/>
    </w:pPr>
    <w:rPr>
      <w:rFonts w:asciiTheme="majorHAnsi" w:eastAsiaTheme="majorEastAsia" w:hAnsiTheme="majorHAnsi" w:cstheme="majorBidi"/>
      <w:b/>
      <w:sz w:val="28"/>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pPr>
      <w:ind w:firstLine="0"/>
    </w:pPr>
  </w:style>
  <w:style w:type="character" w:customStyle="1" w:styleId="Heading1Char">
    <w:name w:val="Heading 1 Char"/>
    <w:basedOn w:val="DefaultParagraphFont"/>
    <w:link w:val="Heading1"/>
    <w:uiPriority w:val="4"/>
    <w:rsid w:val="00E528E6"/>
    <w:rPr>
      <w:rFonts w:asciiTheme="majorHAnsi" w:eastAsiaTheme="majorEastAsia" w:hAnsiTheme="majorHAnsi" w:cstheme="majorBidi"/>
      <w:b/>
      <w:kern w:val="24"/>
      <w:sz w:val="28"/>
    </w:rPr>
  </w:style>
  <w:style w:type="character" w:customStyle="1" w:styleId="Heading2Char">
    <w:name w:val="Heading 2 Char"/>
    <w:basedOn w:val="DefaultParagraphFont"/>
    <w:link w:val="Heading2"/>
    <w:uiPriority w:val="4"/>
    <w:rsid w:val="00457AD9"/>
    <w:rPr>
      <w:rFonts w:asciiTheme="majorHAnsi" w:eastAsiaTheme="majorEastAsia" w:hAnsiTheme="majorHAnsi" w:cstheme="majorBidi"/>
      <w:b/>
      <w:bCs/>
      <w:kern w:val="24"/>
      <w:lang w:val="en-GB"/>
    </w:rPr>
  </w:style>
  <w:style w:type="paragraph" w:styleId="Title">
    <w:name w:val="Title"/>
    <w:basedOn w:val="Normal"/>
    <w:link w:val="TitleChar"/>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4"/>
    <w:unhideWhenUsed/>
    <w:rPr>
      <w:i/>
      <w:iCs/>
    </w:rPr>
  </w:style>
  <w:style w:type="character" w:customStyle="1" w:styleId="Heading3Char">
    <w:name w:val="Heading 3 Char"/>
    <w:basedOn w:val="DefaultParagraphFont"/>
    <w:link w:val="Heading3"/>
    <w:uiPriority w:val="4"/>
    <w:rsid w:val="00410A2A"/>
    <w:rPr>
      <w:rFonts w:asciiTheme="majorHAnsi" w:eastAsiaTheme="majorEastAsia" w:hAnsiTheme="majorHAnsi" w:cstheme="majorBidi"/>
      <w:bCs/>
      <w:i/>
      <w:kern w:val="24"/>
      <w:lang w:val="en-GB"/>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rsid w:val="00CF5849"/>
    <w:pPr>
      <w:numPr>
        <w:numId w:val="39"/>
      </w:numPr>
      <w:suppressLineNumbers/>
    </w:pPr>
    <w:rPr>
      <w:lang w:val="en-GB"/>
    </w:r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unhideWhenUsed/>
    <w:qFormat/>
    <w:rsid w:val="005336A8"/>
    <w:pPr>
      <w:suppressLineNumbers/>
      <w:spacing w:after="200" w:line="240" w:lineRule="auto"/>
      <w:ind w:firstLine="0"/>
    </w:pPr>
    <w:rPr>
      <w:b/>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rsid w:val="00FF2002"/>
    <w:rPr>
      <w:kern w:val="24"/>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5"/>
    <w:unhideWhenUsed/>
    <w:qFormat/>
    <w:rPr>
      <w:vertAlign w:val="superscript"/>
    </w:rPr>
  </w:style>
  <w:style w:type="table" w:customStyle="1" w:styleId="APAReport">
    <w:name w:val="APA Report"/>
    <w:basedOn w:val="TableNormal"/>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rsid w:val="005336A8"/>
    <w:pPr>
      <w:suppressLineNumbers/>
      <w:spacing w:before="240"/>
      <w:ind w:firstLine="0"/>
      <w:contextualSpacing/>
      <w:jc w:val="center"/>
    </w:pPr>
    <w:rPr>
      <w:lang w:val="en-GB"/>
    </w:rPr>
  </w:style>
  <w:style w:type="table" w:customStyle="1" w:styleId="PlainTable11">
    <w:name w:val="Plain Table 11"/>
    <w:basedOn w:val="TableNormal"/>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outlineLvl w:val="9"/>
    </w:pPr>
    <w:rPr>
      <w:bCs/>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rsid w:val="00B823AA"/>
    <w:pPr>
      <w:ind w:firstLine="0"/>
      <w:jc w:val="center"/>
    </w:pPr>
  </w:style>
  <w:style w:type="paragraph" w:styleId="Revision">
    <w:name w:val="Revision"/>
    <w:hidden/>
    <w:uiPriority w:val="99"/>
    <w:semiHidden/>
    <w:rsid w:val="009F7088"/>
    <w:pPr>
      <w:spacing w:line="240" w:lineRule="auto"/>
      <w:ind w:firstLine="0"/>
    </w:pPr>
    <w:rPr>
      <w:kern w:val="24"/>
    </w:rPr>
  </w:style>
  <w:style w:type="paragraph" w:customStyle="1" w:styleId="p1">
    <w:name w:val="p1"/>
    <w:basedOn w:val="Normal"/>
    <w:rsid w:val="00AE4849"/>
    <w:pPr>
      <w:spacing w:line="240" w:lineRule="auto"/>
      <w:ind w:firstLine="0"/>
    </w:pPr>
    <w:rPr>
      <w:rFonts w:ascii="Helvetica Neue" w:hAnsi="Helvetica Neue" w:cs="Times New Roman"/>
      <w:color w:val="000000"/>
      <w:kern w:val="0"/>
      <w:sz w:val="20"/>
      <w:szCs w:val="20"/>
      <w:lang w:val="en-GB" w:eastAsia="en-GB"/>
    </w:rPr>
  </w:style>
  <w:style w:type="paragraph" w:customStyle="1" w:styleId="p2">
    <w:name w:val="p2"/>
    <w:basedOn w:val="Normal"/>
    <w:rsid w:val="00AE4849"/>
    <w:pPr>
      <w:spacing w:line="240" w:lineRule="auto"/>
      <w:ind w:firstLine="0"/>
    </w:pPr>
    <w:rPr>
      <w:rFonts w:ascii="Helvetica Neue" w:hAnsi="Helvetica Neue" w:cs="Times New Roman"/>
      <w:color w:val="000000"/>
      <w:kern w:val="0"/>
      <w:sz w:val="20"/>
      <w:szCs w:val="20"/>
      <w:lang w:val="en-GB" w:eastAsia="en-GB"/>
    </w:rPr>
  </w:style>
  <w:style w:type="character" w:customStyle="1" w:styleId="apple-converted-space">
    <w:name w:val="apple-converted-space"/>
    <w:basedOn w:val="DefaultParagraphFont"/>
    <w:rsid w:val="00AE4849"/>
  </w:style>
  <w:style w:type="character" w:styleId="LineNumber">
    <w:name w:val="line number"/>
    <w:basedOn w:val="DefaultParagraphFont"/>
    <w:uiPriority w:val="99"/>
    <w:semiHidden/>
    <w:unhideWhenUsed/>
    <w:rsid w:val="00C80829"/>
  </w:style>
  <w:style w:type="character" w:styleId="Hyperlink">
    <w:name w:val="Hyperlink"/>
    <w:basedOn w:val="DefaultParagraphFont"/>
    <w:uiPriority w:val="99"/>
    <w:unhideWhenUsed/>
    <w:rsid w:val="003E453D"/>
    <w:rPr>
      <w:color w:val="5F5F5F" w:themeColor="hyperlink"/>
      <w:u w:val="single"/>
    </w:rPr>
  </w:style>
  <w:style w:type="character" w:customStyle="1" w:styleId="UnresolvedMention">
    <w:name w:val="Unresolved Mention"/>
    <w:basedOn w:val="DefaultParagraphFont"/>
    <w:uiPriority w:val="99"/>
    <w:semiHidden/>
    <w:unhideWhenUsed/>
    <w:rsid w:val="00A25BEF"/>
    <w:rPr>
      <w:color w:val="605E5C"/>
      <w:shd w:val="clear" w:color="auto" w:fill="E1DFDD"/>
    </w:rPr>
  </w:style>
  <w:style w:type="character" w:styleId="BookTitle">
    <w:name w:val="Book Title"/>
    <w:basedOn w:val="DefaultParagraphFont"/>
    <w:uiPriority w:val="33"/>
    <w:qFormat/>
    <w:rsid w:val="00737A6E"/>
    <w:rPr>
      <w:b/>
      <w:bCs/>
      <w:i/>
      <w:iCs/>
      <w:spacing w:val="5"/>
    </w:rPr>
  </w:style>
  <w:style w:type="numbering" w:styleId="111111">
    <w:name w:val="Outline List 2"/>
    <w:basedOn w:val="NoList"/>
    <w:uiPriority w:val="99"/>
    <w:semiHidden/>
    <w:unhideWhenUsed/>
    <w:rsid w:val="00E528E6"/>
    <w:pPr>
      <w:numPr>
        <w:numId w:val="22"/>
      </w:numPr>
    </w:pPr>
  </w:style>
  <w:style w:type="character" w:styleId="SubtleReference">
    <w:name w:val="Subtle Reference"/>
    <w:basedOn w:val="DefaultParagraphFont"/>
    <w:uiPriority w:val="31"/>
    <w:qFormat/>
    <w:rsid w:val="00581C88"/>
    <w:rPr>
      <w:smallCaps/>
      <w:color w:val="5A5A5A" w:themeColor="text1" w:themeTint="A5"/>
    </w:rPr>
  </w:style>
  <w:style w:type="character" w:styleId="SubtleEmphasis">
    <w:name w:val="Subtle Emphasis"/>
    <w:basedOn w:val="DefaultParagraphFont"/>
    <w:uiPriority w:val="19"/>
    <w:qFormat/>
    <w:rsid w:val="00581C88"/>
    <w:rPr>
      <w:i/>
      <w:iCs/>
      <w:color w:val="404040" w:themeColor="text1" w:themeTint="BF"/>
    </w:rPr>
  </w:style>
  <w:style w:type="paragraph" w:styleId="Subtitle">
    <w:name w:val="Subtitle"/>
    <w:basedOn w:val="Normal"/>
    <w:next w:val="Normal"/>
    <w:link w:val="SubtitleChar"/>
    <w:uiPriority w:val="18"/>
    <w:qFormat/>
    <w:rsid w:val="00581C88"/>
    <w:pPr>
      <w:numPr>
        <w:ilvl w:val="1"/>
      </w:numPr>
      <w:spacing w:after="160"/>
      <w:ind w:firstLine="720"/>
    </w:pPr>
    <w:rPr>
      <w:color w:val="5A5A5A" w:themeColor="text1" w:themeTint="A5"/>
      <w:spacing w:val="15"/>
      <w:sz w:val="22"/>
      <w:szCs w:val="22"/>
    </w:rPr>
  </w:style>
  <w:style w:type="character" w:customStyle="1" w:styleId="SubtitleChar">
    <w:name w:val="Subtitle Char"/>
    <w:basedOn w:val="DefaultParagraphFont"/>
    <w:link w:val="Subtitle"/>
    <w:uiPriority w:val="18"/>
    <w:rsid w:val="00581C88"/>
    <w:rPr>
      <w:color w:val="5A5A5A" w:themeColor="text1" w:themeTint="A5"/>
      <w:spacing w:val="15"/>
      <w:kern w:val="24"/>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4" w:qFormat="1"/>
    <w:lsdException w:name="heading 3" w:uiPriority="4" w:qFormat="1"/>
    <w:lsdException w:name="heading 4" w:uiPriority="4" w:qFormat="1"/>
    <w:lsdException w:name="heading 5" w:uiPriority="4"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footnote reference" w:uiPriority="5" w:qFormat="1"/>
    <w:lsdException w:name="endnote text" w:qFormat="1"/>
    <w:lsdException w:name="List Bullet" w:uiPriority="9" w:qFormat="1"/>
    <w:lsdException w:name="List Number" w:uiPriority="9" w:qFormat="1"/>
    <w:lsdException w:name="Title" w:semiHidden="0" w:uiPriority="0" w:unhideWhenUsed="0"/>
    <w:lsdException w:name="Default Paragraph Font" w:uiPriority="1"/>
    <w:lsdException w:name="Subtitle" w:semiHidden="0" w:uiPriority="18" w:unhideWhenUsed="0" w:qFormat="1"/>
    <w:lsdException w:name="Strong" w:semiHidden="0" w:uiPriority="22" w:unhideWhenUsed="0" w:qFormat="1"/>
    <w:lsdException w:name="Emphasis" w:semiHidden="0" w:uiPriority="4" w:unhideWhenUsed="0"/>
    <w:lsdException w:name="Table Grid" w:semiHidden="0" w:uiPriority="39" w:unhideWhenUsed="0"/>
    <w:lsdException w:name="Placeholder Text" w:unhideWhenUsed="0"/>
    <w:lsdException w:name="No Spacing" w:semiHidden="0" w:uiPriority="3"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5D62D1"/>
    <w:rPr>
      <w:kern w:val="24"/>
    </w:rPr>
  </w:style>
  <w:style w:type="paragraph" w:styleId="Heading1">
    <w:name w:val="heading 1"/>
    <w:basedOn w:val="SectionTitle"/>
    <w:next w:val="Normal"/>
    <w:link w:val="Heading1Char"/>
    <w:uiPriority w:val="4"/>
    <w:qFormat/>
    <w:rsid w:val="00E528E6"/>
    <w:pPr>
      <w:numPr>
        <w:numId w:val="38"/>
      </w:numPr>
      <w:jc w:val="left"/>
    </w:pPr>
  </w:style>
  <w:style w:type="paragraph" w:styleId="Heading2">
    <w:name w:val="heading 2"/>
    <w:basedOn w:val="Normal"/>
    <w:next w:val="Normal"/>
    <w:link w:val="Heading2Char"/>
    <w:uiPriority w:val="4"/>
    <w:unhideWhenUsed/>
    <w:qFormat/>
    <w:rsid w:val="00457AD9"/>
    <w:pPr>
      <w:keepNext/>
      <w:keepLines/>
      <w:numPr>
        <w:ilvl w:val="1"/>
        <w:numId w:val="38"/>
      </w:numPr>
      <w:outlineLvl w:val="1"/>
    </w:pPr>
    <w:rPr>
      <w:rFonts w:asciiTheme="majorHAnsi" w:eastAsiaTheme="majorEastAsia" w:hAnsiTheme="majorHAnsi" w:cstheme="majorBidi"/>
      <w:b/>
      <w:bCs/>
      <w:lang w:val="en-GB"/>
    </w:rPr>
  </w:style>
  <w:style w:type="paragraph" w:styleId="Heading3">
    <w:name w:val="heading 3"/>
    <w:basedOn w:val="Normal"/>
    <w:next w:val="Normal"/>
    <w:link w:val="Heading3Char"/>
    <w:uiPriority w:val="4"/>
    <w:unhideWhenUsed/>
    <w:qFormat/>
    <w:rsid w:val="00410A2A"/>
    <w:pPr>
      <w:keepNext/>
      <w:keepLines/>
      <w:numPr>
        <w:ilvl w:val="2"/>
        <w:numId w:val="38"/>
      </w:numPr>
      <w:outlineLvl w:val="2"/>
    </w:pPr>
    <w:rPr>
      <w:rFonts w:asciiTheme="majorHAnsi" w:eastAsiaTheme="majorEastAsia" w:hAnsiTheme="majorHAnsi" w:cstheme="majorBidi"/>
      <w:bCs/>
      <w:i/>
      <w:lang w:val="en-GB"/>
    </w:rPr>
  </w:style>
  <w:style w:type="paragraph" w:styleId="Heading4">
    <w:name w:val="heading 4"/>
    <w:basedOn w:val="Normal"/>
    <w:next w:val="Normal"/>
    <w:link w:val="Heading4Char"/>
    <w:uiPriority w:val="4"/>
    <w:unhideWhenUsed/>
    <w:qFormat/>
    <w:rsid w:val="00C31D30"/>
    <w:pPr>
      <w:keepNext/>
      <w:keepLines/>
      <w:numPr>
        <w:ilvl w:val="3"/>
        <w:numId w:val="38"/>
      </w:numPr>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numPr>
        <w:ilvl w:val="4"/>
        <w:numId w:val="38"/>
      </w:numPr>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numPr>
        <w:ilvl w:val="5"/>
        <w:numId w:val="38"/>
      </w:numPr>
      <w:spacing w:before="4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numPr>
        <w:ilvl w:val="6"/>
        <w:numId w:val="38"/>
      </w:numPr>
      <w:spacing w:before="4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numPr>
        <w:ilvl w:val="7"/>
        <w:numId w:val="38"/>
      </w:numPr>
      <w:spacing w:before="4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numPr>
        <w:ilvl w:val="8"/>
        <w:numId w:val="38"/>
      </w:numPr>
      <w:spacing w:before="4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rsid w:val="00900E04"/>
    <w:pPr>
      <w:pageBreakBefore/>
      <w:ind w:firstLine="0"/>
      <w:jc w:val="center"/>
      <w:outlineLvl w:val="0"/>
    </w:pPr>
    <w:rPr>
      <w:rFonts w:asciiTheme="majorHAnsi" w:eastAsiaTheme="majorEastAsia" w:hAnsiTheme="majorHAnsi" w:cstheme="majorBidi"/>
      <w:b/>
      <w:sz w:val="28"/>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pPr>
      <w:ind w:firstLine="0"/>
    </w:pPr>
  </w:style>
  <w:style w:type="character" w:customStyle="1" w:styleId="Heading1Char">
    <w:name w:val="Heading 1 Char"/>
    <w:basedOn w:val="DefaultParagraphFont"/>
    <w:link w:val="Heading1"/>
    <w:uiPriority w:val="4"/>
    <w:rsid w:val="00E528E6"/>
    <w:rPr>
      <w:rFonts w:asciiTheme="majorHAnsi" w:eastAsiaTheme="majorEastAsia" w:hAnsiTheme="majorHAnsi" w:cstheme="majorBidi"/>
      <w:b/>
      <w:kern w:val="24"/>
      <w:sz w:val="28"/>
    </w:rPr>
  </w:style>
  <w:style w:type="character" w:customStyle="1" w:styleId="Heading2Char">
    <w:name w:val="Heading 2 Char"/>
    <w:basedOn w:val="DefaultParagraphFont"/>
    <w:link w:val="Heading2"/>
    <w:uiPriority w:val="4"/>
    <w:rsid w:val="00457AD9"/>
    <w:rPr>
      <w:rFonts w:asciiTheme="majorHAnsi" w:eastAsiaTheme="majorEastAsia" w:hAnsiTheme="majorHAnsi" w:cstheme="majorBidi"/>
      <w:b/>
      <w:bCs/>
      <w:kern w:val="24"/>
      <w:lang w:val="en-GB"/>
    </w:rPr>
  </w:style>
  <w:style w:type="paragraph" w:styleId="Title">
    <w:name w:val="Title"/>
    <w:basedOn w:val="Normal"/>
    <w:link w:val="TitleChar"/>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4"/>
    <w:unhideWhenUsed/>
    <w:rPr>
      <w:i/>
      <w:iCs/>
    </w:rPr>
  </w:style>
  <w:style w:type="character" w:customStyle="1" w:styleId="Heading3Char">
    <w:name w:val="Heading 3 Char"/>
    <w:basedOn w:val="DefaultParagraphFont"/>
    <w:link w:val="Heading3"/>
    <w:uiPriority w:val="4"/>
    <w:rsid w:val="00410A2A"/>
    <w:rPr>
      <w:rFonts w:asciiTheme="majorHAnsi" w:eastAsiaTheme="majorEastAsia" w:hAnsiTheme="majorHAnsi" w:cstheme="majorBidi"/>
      <w:bCs/>
      <w:i/>
      <w:kern w:val="24"/>
      <w:lang w:val="en-GB"/>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rsid w:val="00CF5849"/>
    <w:pPr>
      <w:numPr>
        <w:numId w:val="39"/>
      </w:numPr>
      <w:suppressLineNumbers/>
    </w:pPr>
    <w:rPr>
      <w:lang w:val="en-GB"/>
    </w:r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unhideWhenUsed/>
    <w:qFormat/>
    <w:rsid w:val="005336A8"/>
    <w:pPr>
      <w:suppressLineNumbers/>
      <w:spacing w:after="200" w:line="240" w:lineRule="auto"/>
      <w:ind w:firstLine="0"/>
    </w:pPr>
    <w:rPr>
      <w:b/>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rsid w:val="00FF2002"/>
    <w:rPr>
      <w:kern w:val="24"/>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5"/>
    <w:unhideWhenUsed/>
    <w:qFormat/>
    <w:rPr>
      <w:vertAlign w:val="superscript"/>
    </w:rPr>
  </w:style>
  <w:style w:type="table" w:customStyle="1" w:styleId="APAReport">
    <w:name w:val="APA Report"/>
    <w:basedOn w:val="TableNormal"/>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rsid w:val="005336A8"/>
    <w:pPr>
      <w:suppressLineNumbers/>
      <w:spacing w:before="240"/>
      <w:ind w:firstLine="0"/>
      <w:contextualSpacing/>
      <w:jc w:val="center"/>
    </w:pPr>
    <w:rPr>
      <w:lang w:val="en-GB"/>
    </w:rPr>
  </w:style>
  <w:style w:type="table" w:customStyle="1" w:styleId="PlainTable11">
    <w:name w:val="Plain Table 11"/>
    <w:basedOn w:val="TableNormal"/>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outlineLvl w:val="9"/>
    </w:pPr>
    <w:rPr>
      <w:bCs/>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rsid w:val="00B823AA"/>
    <w:pPr>
      <w:ind w:firstLine="0"/>
      <w:jc w:val="center"/>
    </w:pPr>
  </w:style>
  <w:style w:type="paragraph" w:styleId="Revision">
    <w:name w:val="Revision"/>
    <w:hidden/>
    <w:uiPriority w:val="99"/>
    <w:semiHidden/>
    <w:rsid w:val="009F7088"/>
    <w:pPr>
      <w:spacing w:line="240" w:lineRule="auto"/>
      <w:ind w:firstLine="0"/>
    </w:pPr>
    <w:rPr>
      <w:kern w:val="24"/>
    </w:rPr>
  </w:style>
  <w:style w:type="paragraph" w:customStyle="1" w:styleId="p1">
    <w:name w:val="p1"/>
    <w:basedOn w:val="Normal"/>
    <w:rsid w:val="00AE4849"/>
    <w:pPr>
      <w:spacing w:line="240" w:lineRule="auto"/>
      <w:ind w:firstLine="0"/>
    </w:pPr>
    <w:rPr>
      <w:rFonts w:ascii="Helvetica Neue" w:hAnsi="Helvetica Neue" w:cs="Times New Roman"/>
      <w:color w:val="000000"/>
      <w:kern w:val="0"/>
      <w:sz w:val="20"/>
      <w:szCs w:val="20"/>
      <w:lang w:val="en-GB" w:eastAsia="en-GB"/>
    </w:rPr>
  </w:style>
  <w:style w:type="paragraph" w:customStyle="1" w:styleId="p2">
    <w:name w:val="p2"/>
    <w:basedOn w:val="Normal"/>
    <w:rsid w:val="00AE4849"/>
    <w:pPr>
      <w:spacing w:line="240" w:lineRule="auto"/>
      <w:ind w:firstLine="0"/>
    </w:pPr>
    <w:rPr>
      <w:rFonts w:ascii="Helvetica Neue" w:hAnsi="Helvetica Neue" w:cs="Times New Roman"/>
      <w:color w:val="000000"/>
      <w:kern w:val="0"/>
      <w:sz w:val="20"/>
      <w:szCs w:val="20"/>
      <w:lang w:val="en-GB" w:eastAsia="en-GB"/>
    </w:rPr>
  </w:style>
  <w:style w:type="character" w:customStyle="1" w:styleId="apple-converted-space">
    <w:name w:val="apple-converted-space"/>
    <w:basedOn w:val="DefaultParagraphFont"/>
    <w:rsid w:val="00AE4849"/>
  </w:style>
  <w:style w:type="character" w:styleId="LineNumber">
    <w:name w:val="line number"/>
    <w:basedOn w:val="DefaultParagraphFont"/>
    <w:uiPriority w:val="99"/>
    <w:semiHidden/>
    <w:unhideWhenUsed/>
    <w:rsid w:val="00C80829"/>
  </w:style>
  <w:style w:type="character" w:styleId="Hyperlink">
    <w:name w:val="Hyperlink"/>
    <w:basedOn w:val="DefaultParagraphFont"/>
    <w:uiPriority w:val="99"/>
    <w:unhideWhenUsed/>
    <w:rsid w:val="003E453D"/>
    <w:rPr>
      <w:color w:val="5F5F5F" w:themeColor="hyperlink"/>
      <w:u w:val="single"/>
    </w:rPr>
  </w:style>
  <w:style w:type="character" w:customStyle="1" w:styleId="UnresolvedMention">
    <w:name w:val="Unresolved Mention"/>
    <w:basedOn w:val="DefaultParagraphFont"/>
    <w:uiPriority w:val="99"/>
    <w:semiHidden/>
    <w:unhideWhenUsed/>
    <w:rsid w:val="00A25BEF"/>
    <w:rPr>
      <w:color w:val="605E5C"/>
      <w:shd w:val="clear" w:color="auto" w:fill="E1DFDD"/>
    </w:rPr>
  </w:style>
  <w:style w:type="character" w:styleId="BookTitle">
    <w:name w:val="Book Title"/>
    <w:basedOn w:val="DefaultParagraphFont"/>
    <w:uiPriority w:val="33"/>
    <w:qFormat/>
    <w:rsid w:val="00737A6E"/>
    <w:rPr>
      <w:b/>
      <w:bCs/>
      <w:i/>
      <w:iCs/>
      <w:spacing w:val="5"/>
    </w:rPr>
  </w:style>
  <w:style w:type="numbering" w:styleId="111111">
    <w:name w:val="Outline List 2"/>
    <w:basedOn w:val="NoList"/>
    <w:uiPriority w:val="99"/>
    <w:semiHidden/>
    <w:unhideWhenUsed/>
    <w:rsid w:val="00E528E6"/>
    <w:pPr>
      <w:numPr>
        <w:numId w:val="22"/>
      </w:numPr>
    </w:pPr>
  </w:style>
  <w:style w:type="character" w:styleId="SubtleReference">
    <w:name w:val="Subtle Reference"/>
    <w:basedOn w:val="DefaultParagraphFont"/>
    <w:uiPriority w:val="31"/>
    <w:qFormat/>
    <w:rsid w:val="00581C88"/>
    <w:rPr>
      <w:smallCaps/>
      <w:color w:val="5A5A5A" w:themeColor="text1" w:themeTint="A5"/>
    </w:rPr>
  </w:style>
  <w:style w:type="character" w:styleId="SubtleEmphasis">
    <w:name w:val="Subtle Emphasis"/>
    <w:basedOn w:val="DefaultParagraphFont"/>
    <w:uiPriority w:val="19"/>
    <w:qFormat/>
    <w:rsid w:val="00581C88"/>
    <w:rPr>
      <w:i/>
      <w:iCs/>
      <w:color w:val="404040" w:themeColor="text1" w:themeTint="BF"/>
    </w:rPr>
  </w:style>
  <w:style w:type="paragraph" w:styleId="Subtitle">
    <w:name w:val="Subtitle"/>
    <w:basedOn w:val="Normal"/>
    <w:next w:val="Normal"/>
    <w:link w:val="SubtitleChar"/>
    <w:uiPriority w:val="18"/>
    <w:qFormat/>
    <w:rsid w:val="00581C88"/>
    <w:pPr>
      <w:numPr>
        <w:ilvl w:val="1"/>
      </w:numPr>
      <w:spacing w:after="160"/>
      <w:ind w:firstLine="720"/>
    </w:pPr>
    <w:rPr>
      <w:color w:val="5A5A5A" w:themeColor="text1" w:themeTint="A5"/>
      <w:spacing w:val="15"/>
      <w:sz w:val="22"/>
      <w:szCs w:val="22"/>
    </w:rPr>
  </w:style>
  <w:style w:type="character" w:customStyle="1" w:styleId="SubtitleChar">
    <w:name w:val="Subtitle Char"/>
    <w:basedOn w:val="DefaultParagraphFont"/>
    <w:link w:val="Subtitle"/>
    <w:uiPriority w:val="18"/>
    <w:rsid w:val="00581C88"/>
    <w:rPr>
      <w:color w:val="5A5A5A" w:themeColor="text1" w:themeTint="A5"/>
      <w:spacing w:val="15"/>
      <w:kern w:val="24"/>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7614">
      <w:bodyDiv w:val="1"/>
      <w:marLeft w:val="0"/>
      <w:marRight w:val="0"/>
      <w:marTop w:val="0"/>
      <w:marBottom w:val="0"/>
      <w:divBdr>
        <w:top w:val="none" w:sz="0" w:space="0" w:color="auto"/>
        <w:left w:val="none" w:sz="0" w:space="0" w:color="auto"/>
        <w:bottom w:val="none" w:sz="0" w:space="0" w:color="auto"/>
        <w:right w:val="none" w:sz="0" w:space="0" w:color="auto"/>
      </w:divBdr>
    </w:div>
    <w:div w:id="88043159">
      <w:bodyDiv w:val="1"/>
      <w:marLeft w:val="0"/>
      <w:marRight w:val="0"/>
      <w:marTop w:val="0"/>
      <w:marBottom w:val="0"/>
      <w:divBdr>
        <w:top w:val="none" w:sz="0" w:space="0" w:color="auto"/>
        <w:left w:val="none" w:sz="0" w:space="0" w:color="auto"/>
        <w:bottom w:val="none" w:sz="0" w:space="0" w:color="auto"/>
        <w:right w:val="none" w:sz="0" w:space="0" w:color="auto"/>
      </w:divBdr>
      <w:divsChild>
        <w:div w:id="2146699279">
          <w:marLeft w:val="0"/>
          <w:marRight w:val="0"/>
          <w:marTop w:val="0"/>
          <w:marBottom w:val="0"/>
          <w:divBdr>
            <w:top w:val="none" w:sz="0" w:space="0" w:color="auto"/>
            <w:left w:val="none" w:sz="0" w:space="0" w:color="auto"/>
            <w:bottom w:val="none" w:sz="0" w:space="0" w:color="auto"/>
            <w:right w:val="none" w:sz="0" w:space="0" w:color="auto"/>
          </w:divBdr>
        </w:div>
        <w:div w:id="774864890">
          <w:marLeft w:val="0"/>
          <w:marRight w:val="0"/>
          <w:marTop w:val="0"/>
          <w:marBottom w:val="0"/>
          <w:divBdr>
            <w:top w:val="none" w:sz="0" w:space="0" w:color="auto"/>
            <w:left w:val="none" w:sz="0" w:space="0" w:color="auto"/>
            <w:bottom w:val="none" w:sz="0" w:space="0" w:color="auto"/>
            <w:right w:val="none" w:sz="0" w:space="0" w:color="auto"/>
          </w:divBdr>
        </w:div>
        <w:div w:id="1145390875">
          <w:marLeft w:val="0"/>
          <w:marRight w:val="0"/>
          <w:marTop w:val="0"/>
          <w:marBottom w:val="0"/>
          <w:divBdr>
            <w:top w:val="none" w:sz="0" w:space="0" w:color="auto"/>
            <w:left w:val="none" w:sz="0" w:space="0" w:color="auto"/>
            <w:bottom w:val="none" w:sz="0" w:space="0" w:color="auto"/>
            <w:right w:val="none" w:sz="0" w:space="0" w:color="auto"/>
          </w:divBdr>
        </w:div>
      </w:divsChild>
    </w:div>
    <w:div w:id="125052982">
      <w:bodyDiv w:val="1"/>
      <w:marLeft w:val="0"/>
      <w:marRight w:val="0"/>
      <w:marTop w:val="0"/>
      <w:marBottom w:val="0"/>
      <w:divBdr>
        <w:top w:val="none" w:sz="0" w:space="0" w:color="auto"/>
        <w:left w:val="none" w:sz="0" w:space="0" w:color="auto"/>
        <w:bottom w:val="none" w:sz="0" w:space="0" w:color="auto"/>
        <w:right w:val="none" w:sz="0" w:space="0" w:color="auto"/>
      </w:divBdr>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36342136">
      <w:bodyDiv w:val="1"/>
      <w:marLeft w:val="0"/>
      <w:marRight w:val="0"/>
      <w:marTop w:val="0"/>
      <w:marBottom w:val="0"/>
      <w:divBdr>
        <w:top w:val="none" w:sz="0" w:space="0" w:color="auto"/>
        <w:left w:val="none" w:sz="0" w:space="0" w:color="auto"/>
        <w:bottom w:val="none" w:sz="0" w:space="0" w:color="auto"/>
        <w:right w:val="none" w:sz="0" w:space="0" w:color="auto"/>
      </w:divBdr>
      <w:divsChild>
        <w:div w:id="448278808">
          <w:marLeft w:val="0"/>
          <w:marRight w:val="0"/>
          <w:marTop w:val="0"/>
          <w:marBottom w:val="0"/>
          <w:divBdr>
            <w:top w:val="none" w:sz="0" w:space="0" w:color="auto"/>
            <w:left w:val="none" w:sz="0" w:space="0" w:color="auto"/>
            <w:bottom w:val="none" w:sz="0" w:space="0" w:color="auto"/>
            <w:right w:val="none" w:sz="0" w:space="0" w:color="auto"/>
          </w:divBdr>
          <w:divsChild>
            <w:div w:id="576944391">
              <w:marLeft w:val="0"/>
              <w:marRight w:val="0"/>
              <w:marTop w:val="0"/>
              <w:marBottom w:val="0"/>
              <w:divBdr>
                <w:top w:val="none" w:sz="0" w:space="0" w:color="auto"/>
                <w:left w:val="none" w:sz="0" w:space="0" w:color="auto"/>
                <w:bottom w:val="none" w:sz="0" w:space="0" w:color="auto"/>
                <w:right w:val="none" w:sz="0" w:space="0" w:color="auto"/>
              </w:divBdr>
              <w:divsChild>
                <w:div w:id="4428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18901">
      <w:bodyDiv w:val="1"/>
      <w:marLeft w:val="0"/>
      <w:marRight w:val="0"/>
      <w:marTop w:val="0"/>
      <w:marBottom w:val="0"/>
      <w:divBdr>
        <w:top w:val="none" w:sz="0" w:space="0" w:color="auto"/>
        <w:left w:val="none" w:sz="0" w:space="0" w:color="auto"/>
        <w:bottom w:val="none" w:sz="0" w:space="0" w:color="auto"/>
        <w:right w:val="none" w:sz="0" w:space="0" w:color="auto"/>
      </w:divBdr>
    </w:div>
    <w:div w:id="142166002">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3786529">
      <w:bodyDiv w:val="1"/>
      <w:marLeft w:val="0"/>
      <w:marRight w:val="0"/>
      <w:marTop w:val="0"/>
      <w:marBottom w:val="0"/>
      <w:divBdr>
        <w:top w:val="none" w:sz="0" w:space="0" w:color="auto"/>
        <w:left w:val="none" w:sz="0" w:space="0" w:color="auto"/>
        <w:bottom w:val="none" w:sz="0" w:space="0" w:color="auto"/>
        <w:right w:val="none" w:sz="0" w:space="0" w:color="auto"/>
      </w:divBdr>
      <w:divsChild>
        <w:div w:id="351885315">
          <w:marLeft w:val="0"/>
          <w:marRight w:val="0"/>
          <w:marTop w:val="0"/>
          <w:marBottom w:val="0"/>
          <w:divBdr>
            <w:top w:val="none" w:sz="0" w:space="0" w:color="auto"/>
            <w:left w:val="none" w:sz="0" w:space="0" w:color="auto"/>
            <w:bottom w:val="none" w:sz="0" w:space="0" w:color="auto"/>
            <w:right w:val="none" w:sz="0" w:space="0" w:color="auto"/>
          </w:divBdr>
          <w:divsChild>
            <w:div w:id="1416971016">
              <w:marLeft w:val="0"/>
              <w:marRight w:val="0"/>
              <w:marTop w:val="0"/>
              <w:marBottom w:val="0"/>
              <w:divBdr>
                <w:top w:val="none" w:sz="0" w:space="0" w:color="auto"/>
                <w:left w:val="none" w:sz="0" w:space="0" w:color="auto"/>
                <w:bottom w:val="none" w:sz="0" w:space="0" w:color="auto"/>
                <w:right w:val="none" w:sz="0" w:space="0" w:color="auto"/>
              </w:divBdr>
              <w:divsChild>
                <w:div w:id="147182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152525437">
      <w:bodyDiv w:val="1"/>
      <w:marLeft w:val="0"/>
      <w:marRight w:val="0"/>
      <w:marTop w:val="0"/>
      <w:marBottom w:val="0"/>
      <w:divBdr>
        <w:top w:val="none" w:sz="0" w:space="0" w:color="auto"/>
        <w:left w:val="none" w:sz="0" w:space="0" w:color="auto"/>
        <w:bottom w:val="none" w:sz="0" w:space="0" w:color="auto"/>
        <w:right w:val="none" w:sz="0" w:space="0" w:color="auto"/>
      </w:divBdr>
      <w:divsChild>
        <w:div w:id="1202785404">
          <w:marLeft w:val="0"/>
          <w:marRight w:val="0"/>
          <w:marTop w:val="0"/>
          <w:marBottom w:val="0"/>
          <w:divBdr>
            <w:top w:val="none" w:sz="0" w:space="0" w:color="auto"/>
            <w:left w:val="none" w:sz="0" w:space="0" w:color="auto"/>
            <w:bottom w:val="none" w:sz="0" w:space="0" w:color="auto"/>
            <w:right w:val="none" w:sz="0" w:space="0" w:color="auto"/>
          </w:divBdr>
          <w:divsChild>
            <w:div w:id="30693394">
              <w:marLeft w:val="0"/>
              <w:marRight w:val="0"/>
              <w:marTop w:val="0"/>
              <w:marBottom w:val="0"/>
              <w:divBdr>
                <w:top w:val="none" w:sz="0" w:space="0" w:color="auto"/>
                <w:left w:val="none" w:sz="0" w:space="0" w:color="auto"/>
                <w:bottom w:val="none" w:sz="0" w:space="0" w:color="auto"/>
                <w:right w:val="none" w:sz="0" w:space="0" w:color="auto"/>
              </w:divBdr>
              <w:divsChild>
                <w:div w:id="208733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94791">
      <w:bodyDiv w:val="1"/>
      <w:marLeft w:val="0"/>
      <w:marRight w:val="0"/>
      <w:marTop w:val="0"/>
      <w:marBottom w:val="0"/>
      <w:divBdr>
        <w:top w:val="none" w:sz="0" w:space="0" w:color="auto"/>
        <w:left w:val="none" w:sz="0" w:space="0" w:color="auto"/>
        <w:bottom w:val="none" w:sz="0" w:space="0" w:color="auto"/>
        <w:right w:val="none" w:sz="0" w:space="0" w:color="auto"/>
      </w:divBdr>
      <w:divsChild>
        <w:div w:id="1390421989">
          <w:marLeft w:val="0"/>
          <w:marRight w:val="0"/>
          <w:marTop w:val="0"/>
          <w:marBottom w:val="0"/>
          <w:divBdr>
            <w:top w:val="none" w:sz="0" w:space="0" w:color="auto"/>
            <w:left w:val="none" w:sz="0" w:space="0" w:color="auto"/>
            <w:bottom w:val="none" w:sz="0" w:space="0" w:color="auto"/>
            <w:right w:val="none" w:sz="0" w:space="0" w:color="auto"/>
          </w:divBdr>
          <w:divsChild>
            <w:div w:id="50660478">
              <w:marLeft w:val="0"/>
              <w:marRight w:val="0"/>
              <w:marTop w:val="0"/>
              <w:marBottom w:val="0"/>
              <w:divBdr>
                <w:top w:val="none" w:sz="0" w:space="0" w:color="auto"/>
                <w:left w:val="none" w:sz="0" w:space="0" w:color="auto"/>
                <w:bottom w:val="none" w:sz="0" w:space="0" w:color="auto"/>
                <w:right w:val="none" w:sz="0" w:space="0" w:color="auto"/>
              </w:divBdr>
              <w:divsChild>
                <w:div w:id="18234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5629">
      <w:bodyDiv w:val="1"/>
      <w:marLeft w:val="0"/>
      <w:marRight w:val="0"/>
      <w:marTop w:val="0"/>
      <w:marBottom w:val="0"/>
      <w:divBdr>
        <w:top w:val="none" w:sz="0" w:space="0" w:color="auto"/>
        <w:left w:val="none" w:sz="0" w:space="0" w:color="auto"/>
        <w:bottom w:val="none" w:sz="0" w:space="0" w:color="auto"/>
        <w:right w:val="none" w:sz="0" w:space="0" w:color="auto"/>
      </w:divBdr>
      <w:divsChild>
        <w:div w:id="1468931955">
          <w:marLeft w:val="0"/>
          <w:marRight w:val="0"/>
          <w:marTop w:val="0"/>
          <w:marBottom w:val="0"/>
          <w:divBdr>
            <w:top w:val="none" w:sz="0" w:space="0" w:color="auto"/>
            <w:left w:val="none" w:sz="0" w:space="0" w:color="auto"/>
            <w:bottom w:val="none" w:sz="0" w:space="0" w:color="auto"/>
            <w:right w:val="none" w:sz="0" w:space="0" w:color="auto"/>
          </w:divBdr>
          <w:divsChild>
            <w:div w:id="335042335">
              <w:marLeft w:val="0"/>
              <w:marRight w:val="0"/>
              <w:marTop w:val="0"/>
              <w:marBottom w:val="0"/>
              <w:divBdr>
                <w:top w:val="none" w:sz="0" w:space="0" w:color="auto"/>
                <w:left w:val="none" w:sz="0" w:space="0" w:color="auto"/>
                <w:bottom w:val="none" w:sz="0" w:space="0" w:color="auto"/>
                <w:right w:val="none" w:sz="0" w:space="0" w:color="auto"/>
              </w:divBdr>
              <w:divsChild>
                <w:div w:id="2086103992">
                  <w:marLeft w:val="0"/>
                  <w:marRight w:val="0"/>
                  <w:marTop w:val="0"/>
                  <w:marBottom w:val="0"/>
                  <w:divBdr>
                    <w:top w:val="none" w:sz="0" w:space="0" w:color="auto"/>
                    <w:left w:val="none" w:sz="0" w:space="0" w:color="auto"/>
                    <w:bottom w:val="none" w:sz="0" w:space="0" w:color="auto"/>
                    <w:right w:val="none" w:sz="0" w:space="0" w:color="auto"/>
                  </w:divBdr>
                  <w:divsChild>
                    <w:div w:id="28890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36768">
      <w:bodyDiv w:val="1"/>
      <w:marLeft w:val="0"/>
      <w:marRight w:val="0"/>
      <w:marTop w:val="0"/>
      <w:marBottom w:val="0"/>
      <w:divBdr>
        <w:top w:val="none" w:sz="0" w:space="0" w:color="auto"/>
        <w:left w:val="none" w:sz="0" w:space="0" w:color="auto"/>
        <w:bottom w:val="none" w:sz="0" w:space="0" w:color="auto"/>
        <w:right w:val="none" w:sz="0" w:space="0" w:color="auto"/>
      </w:divBdr>
    </w:div>
    <w:div w:id="202059416">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267737633">
      <w:bodyDiv w:val="1"/>
      <w:marLeft w:val="0"/>
      <w:marRight w:val="0"/>
      <w:marTop w:val="0"/>
      <w:marBottom w:val="0"/>
      <w:divBdr>
        <w:top w:val="none" w:sz="0" w:space="0" w:color="auto"/>
        <w:left w:val="none" w:sz="0" w:space="0" w:color="auto"/>
        <w:bottom w:val="none" w:sz="0" w:space="0" w:color="auto"/>
        <w:right w:val="none" w:sz="0" w:space="0" w:color="auto"/>
      </w:divBdr>
      <w:divsChild>
        <w:div w:id="268894575">
          <w:marLeft w:val="0"/>
          <w:marRight w:val="0"/>
          <w:marTop w:val="0"/>
          <w:marBottom w:val="0"/>
          <w:divBdr>
            <w:top w:val="none" w:sz="0" w:space="0" w:color="auto"/>
            <w:left w:val="none" w:sz="0" w:space="0" w:color="auto"/>
            <w:bottom w:val="none" w:sz="0" w:space="0" w:color="auto"/>
            <w:right w:val="none" w:sz="0" w:space="0" w:color="auto"/>
          </w:divBdr>
          <w:divsChild>
            <w:div w:id="514266444">
              <w:marLeft w:val="0"/>
              <w:marRight w:val="0"/>
              <w:marTop w:val="0"/>
              <w:marBottom w:val="0"/>
              <w:divBdr>
                <w:top w:val="none" w:sz="0" w:space="0" w:color="auto"/>
                <w:left w:val="none" w:sz="0" w:space="0" w:color="auto"/>
                <w:bottom w:val="none" w:sz="0" w:space="0" w:color="auto"/>
                <w:right w:val="none" w:sz="0" w:space="0" w:color="auto"/>
              </w:divBdr>
              <w:divsChild>
                <w:div w:id="91366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78791">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33151685">
      <w:bodyDiv w:val="1"/>
      <w:marLeft w:val="0"/>
      <w:marRight w:val="0"/>
      <w:marTop w:val="0"/>
      <w:marBottom w:val="0"/>
      <w:divBdr>
        <w:top w:val="none" w:sz="0" w:space="0" w:color="auto"/>
        <w:left w:val="none" w:sz="0" w:space="0" w:color="auto"/>
        <w:bottom w:val="none" w:sz="0" w:space="0" w:color="auto"/>
        <w:right w:val="none" w:sz="0" w:space="0" w:color="auto"/>
      </w:divBdr>
      <w:divsChild>
        <w:div w:id="388111572">
          <w:marLeft w:val="0"/>
          <w:marRight w:val="0"/>
          <w:marTop w:val="0"/>
          <w:marBottom w:val="0"/>
          <w:divBdr>
            <w:top w:val="none" w:sz="0" w:space="0" w:color="auto"/>
            <w:left w:val="none" w:sz="0" w:space="0" w:color="auto"/>
            <w:bottom w:val="none" w:sz="0" w:space="0" w:color="auto"/>
            <w:right w:val="none" w:sz="0" w:space="0" w:color="auto"/>
          </w:divBdr>
          <w:divsChild>
            <w:div w:id="190190861">
              <w:marLeft w:val="0"/>
              <w:marRight w:val="0"/>
              <w:marTop w:val="0"/>
              <w:marBottom w:val="0"/>
              <w:divBdr>
                <w:top w:val="none" w:sz="0" w:space="0" w:color="auto"/>
                <w:left w:val="none" w:sz="0" w:space="0" w:color="auto"/>
                <w:bottom w:val="none" w:sz="0" w:space="0" w:color="auto"/>
                <w:right w:val="none" w:sz="0" w:space="0" w:color="auto"/>
              </w:divBdr>
              <w:divsChild>
                <w:div w:id="222955834">
                  <w:marLeft w:val="0"/>
                  <w:marRight w:val="0"/>
                  <w:marTop w:val="0"/>
                  <w:marBottom w:val="0"/>
                  <w:divBdr>
                    <w:top w:val="none" w:sz="0" w:space="0" w:color="auto"/>
                    <w:left w:val="none" w:sz="0" w:space="0" w:color="auto"/>
                    <w:bottom w:val="none" w:sz="0" w:space="0" w:color="auto"/>
                    <w:right w:val="none" w:sz="0" w:space="0" w:color="auto"/>
                  </w:divBdr>
                  <w:divsChild>
                    <w:div w:id="17072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78974">
      <w:bodyDiv w:val="1"/>
      <w:marLeft w:val="0"/>
      <w:marRight w:val="0"/>
      <w:marTop w:val="0"/>
      <w:marBottom w:val="0"/>
      <w:divBdr>
        <w:top w:val="none" w:sz="0" w:space="0" w:color="auto"/>
        <w:left w:val="none" w:sz="0" w:space="0" w:color="auto"/>
        <w:bottom w:val="none" w:sz="0" w:space="0" w:color="auto"/>
        <w:right w:val="none" w:sz="0" w:space="0" w:color="auto"/>
      </w:divBdr>
      <w:divsChild>
        <w:div w:id="732578344">
          <w:marLeft w:val="0"/>
          <w:marRight w:val="0"/>
          <w:marTop w:val="0"/>
          <w:marBottom w:val="0"/>
          <w:divBdr>
            <w:top w:val="none" w:sz="0" w:space="0" w:color="auto"/>
            <w:left w:val="none" w:sz="0" w:space="0" w:color="auto"/>
            <w:bottom w:val="none" w:sz="0" w:space="0" w:color="auto"/>
            <w:right w:val="none" w:sz="0" w:space="0" w:color="auto"/>
          </w:divBdr>
          <w:divsChild>
            <w:div w:id="2111074456">
              <w:marLeft w:val="0"/>
              <w:marRight w:val="0"/>
              <w:marTop w:val="0"/>
              <w:marBottom w:val="0"/>
              <w:divBdr>
                <w:top w:val="none" w:sz="0" w:space="0" w:color="auto"/>
                <w:left w:val="none" w:sz="0" w:space="0" w:color="auto"/>
                <w:bottom w:val="none" w:sz="0" w:space="0" w:color="auto"/>
                <w:right w:val="none" w:sz="0" w:space="0" w:color="auto"/>
              </w:divBdr>
              <w:divsChild>
                <w:div w:id="19609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58563">
      <w:bodyDiv w:val="1"/>
      <w:marLeft w:val="0"/>
      <w:marRight w:val="0"/>
      <w:marTop w:val="0"/>
      <w:marBottom w:val="0"/>
      <w:divBdr>
        <w:top w:val="none" w:sz="0" w:space="0" w:color="auto"/>
        <w:left w:val="none" w:sz="0" w:space="0" w:color="auto"/>
        <w:bottom w:val="none" w:sz="0" w:space="0" w:color="auto"/>
        <w:right w:val="none" w:sz="0" w:space="0" w:color="auto"/>
      </w:divBdr>
      <w:divsChild>
        <w:div w:id="362097220">
          <w:marLeft w:val="0"/>
          <w:marRight w:val="0"/>
          <w:marTop w:val="0"/>
          <w:marBottom w:val="0"/>
          <w:divBdr>
            <w:top w:val="none" w:sz="0" w:space="0" w:color="auto"/>
            <w:left w:val="none" w:sz="0" w:space="0" w:color="auto"/>
            <w:bottom w:val="none" w:sz="0" w:space="0" w:color="auto"/>
            <w:right w:val="none" w:sz="0" w:space="0" w:color="auto"/>
          </w:divBdr>
          <w:divsChild>
            <w:div w:id="1481925646">
              <w:marLeft w:val="0"/>
              <w:marRight w:val="0"/>
              <w:marTop w:val="0"/>
              <w:marBottom w:val="0"/>
              <w:divBdr>
                <w:top w:val="none" w:sz="0" w:space="0" w:color="auto"/>
                <w:left w:val="none" w:sz="0" w:space="0" w:color="auto"/>
                <w:bottom w:val="none" w:sz="0" w:space="0" w:color="auto"/>
                <w:right w:val="none" w:sz="0" w:space="0" w:color="auto"/>
              </w:divBdr>
              <w:divsChild>
                <w:div w:id="214495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75620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372845340">
      <w:bodyDiv w:val="1"/>
      <w:marLeft w:val="0"/>
      <w:marRight w:val="0"/>
      <w:marTop w:val="0"/>
      <w:marBottom w:val="0"/>
      <w:divBdr>
        <w:top w:val="none" w:sz="0" w:space="0" w:color="auto"/>
        <w:left w:val="none" w:sz="0" w:space="0" w:color="auto"/>
        <w:bottom w:val="none" w:sz="0" w:space="0" w:color="auto"/>
        <w:right w:val="none" w:sz="0" w:space="0" w:color="auto"/>
      </w:divBdr>
    </w:div>
    <w:div w:id="393898356">
      <w:bodyDiv w:val="1"/>
      <w:marLeft w:val="0"/>
      <w:marRight w:val="0"/>
      <w:marTop w:val="0"/>
      <w:marBottom w:val="0"/>
      <w:divBdr>
        <w:top w:val="none" w:sz="0" w:space="0" w:color="auto"/>
        <w:left w:val="none" w:sz="0" w:space="0" w:color="auto"/>
        <w:bottom w:val="none" w:sz="0" w:space="0" w:color="auto"/>
        <w:right w:val="none" w:sz="0" w:space="0" w:color="auto"/>
      </w:divBdr>
      <w:divsChild>
        <w:div w:id="136916125">
          <w:marLeft w:val="0"/>
          <w:marRight w:val="0"/>
          <w:marTop w:val="0"/>
          <w:marBottom w:val="0"/>
          <w:divBdr>
            <w:top w:val="none" w:sz="0" w:space="0" w:color="auto"/>
            <w:left w:val="none" w:sz="0" w:space="0" w:color="auto"/>
            <w:bottom w:val="none" w:sz="0" w:space="0" w:color="auto"/>
            <w:right w:val="none" w:sz="0" w:space="0" w:color="auto"/>
          </w:divBdr>
          <w:divsChild>
            <w:div w:id="737674043">
              <w:marLeft w:val="0"/>
              <w:marRight w:val="0"/>
              <w:marTop w:val="0"/>
              <w:marBottom w:val="0"/>
              <w:divBdr>
                <w:top w:val="none" w:sz="0" w:space="0" w:color="auto"/>
                <w:left w:val="none" w:sz="0" w:space="0" w:color="auto"/>
                <w:bottom w:val="none" w:sz="0" w:space="0" w:color="auto"/>
                <w:right w:val="none" w:sz="0" w:space="0" w:color="auto"/>
              </w:divBdr>
              <w:divsChild>
                <w:div w:id="1644232892">
                  <w:marLeft w:val="0"/>
                  <w:marRight w:val="0"/>
                  <w:marTop w:val="0"/>
                  <w:marBottom w:val="0"/>
                  <w:divBdr>
                    <w:top w:val="none" w:sz="0" w:space="0" w:color="auto"/>
                    <w:left w:val="none" w:sz="0" w:space="0" w:color="auto"/>
                    <w:bottom w:val="none" w:sz="0" w:space="0" w:color="auto"/>
                    <w:right w:val="none" w:sz="0" w:space="0" w:color="auto"/>
                  </w:divBdr>
                  <w:divsChild>
                    <w:div w:id="10181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54336">
      <w:bodyDiv w:val="1"/>
      <w:marLeft w:val="0"/>
      <w:marRight w:val="0"/>
      <w:marTop w:val="0"/>
      <w:marBottom w:val="0"/>
      <w:divBdr>
        <w:top w:val="none" w:sz="0" w:space="0" w:color="auto"/>
        <w:left w:val="none" w:sz="0" w:space="0" w:color="auto"/>
        <w:bottom w:val="none" w:sz="0" w:space="0" w:color="auto"/>
        <w:right w:val="none" w:sz="0" w:space="0" w:color="auto"/>
      </w:divBdr>
    </w:div>
    <w:div w:id="446968312">
      <w:bodyDiv w:val="1"/>
      <w:marLeft w:val="0"/>
      <w:marRight w:val="0"/>
      <w:marTop w:val="0"/>
      <w:marBottom w:val="0"/>
      <w:divBdr>
        <w:top w:val="none" w:sz="0" w:space="0" w:color="auto"/>
        <w:left w:val="none" w:sz="0" w:space="0" w:color="auto"/>
        <w:bottom w:val="none" w:sz="0" w:space="0" w:color="auto"/>
        <w:right w:val="none" w:sz="0" w:space="0" w:color="auto"/>
      </w:divBdr>
      <w:divsChild>
        <w:div w:id="526217274">
          <w:marLeft w:val="0"/>
          <w:marRight w:val="0"/>
          <w:marTop w:val="0"/>
          <w:marBottom w:val="0"/>
          <w:divBdr>
            <w:top w:val="none" w:sz="0" w:space="0" w:color="auto"/>
            <w:left w:val="none" w:sz="0" w:space="0" w:color="auto"/>
            <w:bottom w:val="none" w:sz="0" w:space="0" w:color="auto"/>
            <w:right w:val="none" w:sz="0" w:space="0" w:color="auto"/>
          </w:divBdr>
          <w:divsChild>
            <w:div w:id="329211644">
              <w:marLeft w:val="0"/>
              <w:marRight w:val="0"/>
              <w:marTop w:val="0"/>
              <w:marBottom w:val="0"/>
              <w:divBdr>
                <w:top w:val="none" w:sz="0" w:space="0" w:color="auto"/>
                <w:left w:val="none" w:sz="0" w:space="0" w:color="auto"/>
                <w:bottom w:val="none" w:sz="0" w:space="0" w:color="auto"/>
                <w:right w:val="none" w:sz="0" w:space="0" w:color="auto"/>
              </w:divBdr>
              <w:divsChild>
                <w:div w:id="1149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7884">
      <w:bodyDiv w:val="1"/>
      <w:marLeft w:val="0"/>
      <w:marRight w:val="0"/>
      <w:marTop w:val="0"/>
      <w:marBottom w:val="0"/>
      <w:divBdr>
        <w:top w:val="none" w:sz="0" w:space="0" w:color="auto"/>
        <w:left w:val="none" w:sz="0" w:space="0" w:color="auto"/>
        <w:bottom w:val="none" w:sz="0" w:space="0" w:color="auto"/>
        <w:right w:val="none" w:sz="0" w:space="0" w:color="auto"/>
      </w:divBdr>
      <w:divsChild>
        <w:div w:id="1738942834">
          <w:marLeft w:val="0"/>
          <w:marRight w:val="0"/>
          <w:marTop w:val="0"/>
          <w:marBottom w:val="0"/>
          <w:divBdr>
            <w:top w:val="none" w:sz="0" w:space="0" w:color="auto"/>
            <w:left w:val="none" w:sz="0" w:space="0" w:color="auto"/>
            <w:bottom w:val="none" w:sz="0" w:space="0" w:color="auto"/>
            <w:right w:val="none" w:sz="0" w:space="0" w:color="auto"/>
          </w:divBdr>
          <w:divsChild>
            <w:div w:id="240331008">
              <w:marLeft w:val="0"/>
              <w:marRight w:val="0"/>
              <w:marTop w:val="0"/>
              <w:marBottom w:val="0"/>
              <w:divBdr>
                <w:top w:val="none" w:sz="0" w:space="0" w:color="auto"/>
                <w:left w:val="none" w:sz="0" w:space="0" w:color="auto"/>
                <w:bottom w:val="none" w:sz="0" w:space="0" w:color="auto"/>
                <w:right w:val="none" w:sz="0" w:space="0" w:color="auto"/>
              </w:divBdr>
              <w:divsChild>
                <w:div w:id="1883519367">
                  <w:marLeft w:val="0"/>
                  <w:marRight w:val="0"/>
                  <w:marTop w:val="0"/>
                  <w:marBottom w:val="0"/>
                  <w:divBdr>
                    <w:top w:val="none" w:sz="0" w:space="0" w:color="auto"/>
                    <w:left w:val="none" w:sz="0" w:space="0" w:color="auto"/>
                    <w:bottom w:val="none" w:sz="0" w:space="0" w:color="auto"/>
                    <w:right w:val="none" w:sz="0" w:space="0" w:color="auto"/>
                  </w:divBdr>
                  <w:divsChild>
                    <w:div w:id="20600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61432">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460149468">
      <w:bodyDiv w:val="1"/>
      <w:marLeft w:val="0"/>
      <w:marRight w:val="0"/>
      <w:marTop w:val="0"/>
      <w:marBottom w:val="0"/>
      <w:divBdr>
        <w:top w:val="none" w:sz="0" w:space="0" w:color="auto"/>
        <w:left w:val="none" w:sz="0" w:space="0" w:color="auto"/>
        <w:bottom w:val="none" w:sz="0" w:space="0" w:color="auto"/>
        <w:right w:val="none" w:sz="0" w:space="0" w:color="auto"/>
      </w:divBdr>
      <w:divsChild>
        <w:div w:id="733358120">
          <w:marLeft w:val="0"/>
          <w:marRight w:val="0"/>
          <w:marTop w:val="0"/>
          <w:marBottom w:val="0"/>
          <w:divBdr>
            <w:top w:val="none" w:sz="0" w:space="0" w:color="auto"/>
            <w:left w:val="none" w:sz="0" w:space="0" w:color="auto"/>
            <w:bottom w:val="none" w:sz="0" w:space="0" w:color="auto"/>
            <w:right w:val="none" w:sz="0" w:space="0" w:color="auto"/>
          </w:divBdr>
          <w:divsChild>
            <w:div w:id="1914965644">
              <w:marLeft w:val="0"/>
              <w:marRight w:val="0"/>
              <w:marTop w:val="0"/>
              <w:marBottom w:val="0"/>
              <w:divBdr>
                <w:top w:val="none" w:sz="0" w:space="0" w:color="auto"/>
                <w:left w:val="none" w:sz="0" w:space="0" w:color="auto"/>
                <w:bottom w:val="none" w:sz="0" w:space="0" w:color="auto"/>
                <w:right w:val="none" w:sz="0" w:space="0" w:color="auto"/>
              </w:divBdr>
              <w:divsChild>
                <w:div w:id="20127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46754">
      <w:bodyDiv w:val="1"/>
      <w:marLeft w:val="0"/>
      <w:marRight w:val="0"/>
      <w:marTop w:val="0"/>
      <w:marBottom w:val="0"/>
      <w:divBdr>
        <w:top w:val="none" w:sz="0" w:space="0" w:color="auto"/>
        <w:left w:val="none" w:sz="0" w:space="0" w:color="auto"/>
        <w:bottom w:val="none" w:sz="0" w:space="0" w:color="auto"/>
        <w:right w:val="none" w:sz="0" w:space="0" w:color="auto"/>
      </w:divBdr>
      <w:divsChild>
        <w:div w:id="369190873">
          <w:marLeft w:val="0"/>
          <w:marRight w:val="0"/>
          <w:marTop w:val="0"/>
          <w:marBottom w:val="0"/>
          <w:divBdr>
            <w:top w:val="none" w:sz="0" w:space="0" w:color="auto"/>
            <w:left w:val="none" w:sz="0" w:space="0" w:color="auto"/>
            <w:bottom w:val="none" w:sz="0" w:space="0" w:color="auto"/>
            <w:right w:val="none" w:sz="0" w:space="0" w:color="auto"/>
          </w:divBdr>
          <w:divsChild>
            <w:div w:id="1422146708">
              <w:marLeft w:val="0"/>
              <w:marRight w:val="0"/>
              <w:marTop w:val="0"/>
              <w:marBottom w:val="0"/>
              <w:divBdr>
                <w:top w:val="none" w:sz="0" w:space="0" w:color="auto"/>
                <w:left w:val="none" w:sz="0" w:space="0" w:color="auto"/>
                <w:bottom w:val="none" w:sz="0" w:space="0" w:color="auto"/>
                <w:right w:val="none" w:sz="0" w:space="0" w:color="auto"/>
              </w:divBdr>
              <w:divsChild>
                <w:div w:id="1238326441">
                  <w:marLeft w:val="0"/>
                  <w:marRight w:val="0"/>
                  <w:marTop w:val="0"/>
                  <w:marBottom w:val="0"/>
                  <w:divBdr>
                    <w:top w:val="none" w:sz="0" w:space="0" w:color="auto"/>
                    <w:left w:val="none" w:sz="0" w:space="0" w:color="auto"/>
                    <w:bottom w:val="none" w:sz="0" w:space="0" w:color="auto"/>
                    <w:right w:val="none" w:sz="0" w:space="0" w:color="auto"/>
                  </w:divBdr>
                  <w:divsChild>
                    <w:div w:id="41131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864794">
      <w:bodyDiv w:val="1"/>
      <w:marLeft w:val="0"/>
      <w:marRight w:val="0"/>
      <w:marTop w:val="0"/>
      <w:marBottom w:val="0"/>
      <w:divBdr>
        <w:top w:val="none" w:sz="0" w:space="0" w:color="auto"/>
        <w:left w:val="none" w:sz="0" w:space="0" w:color="auto"/>
        <w:bottom w:val="none" w:sz="0" w:space="0" w:color="auto"/>
        <w:right w:val="none" w:sz="0" w:space="0" w:color="auto"/>
      </w:divBdr>
      <w:divsChild>
        <w:div w:id="1337656391">
          <w:marLeft w:val="0"/>
          <w:marRight w:val="0"/>
          <w:marTop w:val="0"/>
          <w:marBottom w:val="0"/>
          <w:divBdr>
            <w:top w:val="none" w:sz="0" w:space="0" w:color="auto"/>
            <w:left w:val="none" w:sz="0" w:space="0" w:color="auto"/>
            <w:bottom w:val="none" w:sz="0" w:space="0" w:color="auto"/>
            <w:right w:val="none" w:sz="0" w:space="0" w:color="auto"/>
          </w:divBdr>
          <w:divsChild>
            <w:div w:id="1410612153">
              <w:marLeft w:val="0"/>
              <w:marRight w:val="0"/>
              <w:marTop w:val="0"/>
              <w:marBottom w:val="0"/>
              <w:divBdr>
                <w:top w:val="none" w:sz="0" w:space="0" w:color="auto"/>
                <w:left w:val="none" w:sz="0" w:space="0" w:color="auto"/>
                <w:bottom w:val="none" w:sz="0" w:space="0" w:color="auto"/>
                <w:right w:val="none" w:sz="0" w:space="0" w:color="auto"/>
              </w:divBdr>
              <w:divsChild>
                <w:div w:id="152289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00114">
      <w:bodyDiv w:val="1"/>
      <w:marLeft w:val="0"/>
      <w:marRight w:val="0"/>
      <w:marTop w:val="0"/>
      <w:marBottom w:val="0"/>
      <w:divBdr>
        <w:top w:val="none" w:sz="0" w:space="0" w:color="auto"/>
        <w:left w:val="none" w:sz="0" w:space="0" w:color="auto"/>
        <w:bottom w:val="none" w:sz="0" w:space="0" w:color="auto"/>
        <w:right w:val="none" w:sz="0" w:space="0" w:color="auto"/>
      </w:divBdr>
      <w:divsChild>
        <w:div w:id="1595479326">
          <w:marLeft w:val="0"/>
          <w:marRight w:val="0"/>
          <w:marTop w:val="0"/>
          <w:marBottom w:val="0"/>
          <w:divBdr>
            <w:top w:val="none" w:sz="0" w:space="0" w:color="auto"/>
            <w:left w:val="none" w:sz="0" w:space="0" w:color="auto"/>
            <w:bottom w:val="none" w:sz="0" w:space="0" w:color="auto"/>
            <w:right w:val="none" w:sz="0" w:space="0" w:color="auto"/>
          </w:divBdr>
          <w:divsChild>
            <w:div w:id="2099330401">
              <w:marLeft w:val="0"/>
              <w:marRight w:val="0"/>
              <w:marTop w:val="0"/>
              <w:marBottom w:val="0"/>
              <w:divBdr>
                <w:top w:val="none" w:sz="0" w:space="0" w:color="auto"/>
                <w:left w:val="none" w:sz="0" w:space="0" w:color="auto"/>
                <w:bottom w:val="none" w:sz="0" w:space="0" w:color="auto"/>
                <w:right w:val="none" w:sz="0" w:space="0" w:color="auto"/>
              </w:divBdr>
              <w:divsChild>
                <w:div w:id="17781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13308">
      <w:bodyDiv w:val="1"/>
      <w:marLeft w:val="0"/>
      <w:marRight w:val="0"/>
      <w:marTop w:val="0"/>
      <w:marBottom w:val="0"/>
      <w:divBdr>
        <w:top w:val="none" w:sz="0" w:space="0" w:color="auto"/>
        <w:left w:val="none" w:sz="0" w:space="0" w:color="auto"/>
        <w:bottom w:val="none" w:sz="0" w:space="0" w:color="auto"/>
        <w:right w:val="none" w:sz="0" w:space="0" w:color="auto"/>
      </w:divBdr>
      <w:divsChild>
        <w:div w:id="1099134251">
          <w:marLeft w:val="0"/>
          <w:marRight w:val="0"/>
          <w:marTop w:val="0"/>
          <w:marBottom w:val="0"/>
          <w:divBdr>
            <w:top w:val="none" w:sz="0" w:space="0" w:color="auto"/>
            <w:left w:val="none" w:sz="0" w:space="0" w:color="auto"/>
            <w:bottom w:val="none" w:sz="0" w:space="0" w:color="auto"/>
            <w:right w:val="none" w:sz="0" w:space="0" w:color="auto"/>
          </w:divBdr>
          <w:divsChild>
            <w:div w:id="310715686">
              <w:marLeft w:val="0"/>
              <w:marRight w:val="0"/>
              <w:marTop w:val="0"/>
              <w:marBottom w:val="0"/>
              <w:divBdr>
                <w:top w:val="none" w:sz="0" w:space="0" w:color="auto"/>
                <w:left w:val="none" w:sz="0" w:space="0" w:color="auto"/>
                <w:bottom w:val="none" w:sz="0" w:space="0" w:color="auto"/>
                <w:right w:val="none" w:sz="0" w:space="0" w:color="auto"/>
              </w:divBdr>
              <w:divsChild>
                <w:div w:id="129636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16380">
      <w:bodyDiv w:val="1"/>
      <w:marLeft w:val="0"/>
      <w:marRight w:val="0"/>
      <w:marTop w:val="0"/>
      <w:marBottom w:val="0"/>
      <w:divBdr>
        <w:top w:val="none" w:sz="0" w:space="0" w:color="auto"/>
        <w:left w:val="none" w:sz="0" w:space="0" w:color="auto"/>
        <w:bottom w:val="none" w:sz="0" w:space="0" w:color="auto"/>
        <w:right w:val="none" w:sz="0" w:space="0" w:color="auto"/>
      </w:divBdr>
    </w:div>
    <w:div w:id="570702729">
      <w:bodyDiv w:val="1"/>
      <w:marLeft w:val="0"/>
      <w:marRight w:val="0"/>
      <w:marTop w:val="0"/>
      <w:marBottom w:val="0"/>
      <w:divBdr>
        <w:top w:val="none" w:sz="0" w:space="0" w:color="auto"/>
        <w:left w:val="none" w:sz="0" w:space="0" w:color="auto"/>
        <w:bottom w:val="none" w:sz="0" w:space="0" w:color="auto"/>
        <w:right w:val="none" w:sz="0" w:space="0" w:color="auto"/>
      </w:divBdr>
      <w:divsChild>
        <w:div w:id="920139324">
          <w:marLeft w:val="0"/>
          <w:marRight w:val="0"/>
          <w:marTop w:val="0"/>
          <w:marBottom w:val="0"/>
          <w:divBdr>
            <w:top w:val="none" w:sz="0" w:space="0" w:color="auto"/>
            <w:left w:val="none" w:sz="0" w:space="0" w:color="auto"/>
            <w:bottom w:val="none" w:sz="0" w:space="0" w:color="auto"/>
            <w:right w:val="none" w:sz="0" w:space="0" w:color="auto"/>
          </w:divBdr>
          <w:divsChild>
            <w:div w:id="475219921">
              <w:marLeft w:val="0"/>
              <w:marRight w:val="0"/>
              <w:marTop w:val="0"/>
              <w:marBottom w:val="0"/>
              <w:divBdr>
                <w:top w:val="none" w:sz="0" w:space="0" w:color="auto"/>
                <w:left w:val="none" w:sz="0" w:space="0" w:color="auto"/>
                <w:bottom w:val="none" w:sz="0" w:space="0" w:color="auto"/>
                <w:right w:val="none" w:sz="0" w:space="0" w:color="auto"/>
              </w:divBdr>
              <w:divsChild>
                <w:div w:id="13914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99340">
      <w:bodyDiv w:val="1"/>
      <w:marLeft w:val="0"/>
      <w:marRight w:val="0"/>
      <w:marTop w:val="0"/>
      <w:marBottom w:val="0"/>
      <w:divBdr>
        <w:top w:val="none" w:sz="0" w:space="0" w:color="auto"/>
        <w:left w:val="none" w:sz="0" w:space="0" w:color="auto"/>
        <w:bottom w:val="none" w:sz="0" w:space="0" w:color="auto"/>
        <w:right w:val="none" w:sz="0" w:space="0" w:color="auto"/>
      </w:divBdr>
    </w:div>
    <w:div w:id="604264954">
      <w:bodyDiv w:val="1"/>
      <w:marLeft w:val="0"/>
      <w:marRight w:val="0"/>
      <w:marTop w:val="0"/>
      <w:marBottom w:val="0"/>
      <w:divBdr>
        <w:top w:val="none" w:sz="0" w:space="0" w:color="auto"/>
        <w:left w:val="none" w:sz="0" w:space="0" w:color="auto"/>
        <w:bottom w:val="none" w:sz="0" w:space="0" w:color="auto"/>
        <w:right w:val="none" w:sz="0" w:space="0" w:color="auto"/>
      </w:divBdr>
    </w:div>
    <w:div w:id="625235054">
      <w:bodyDiv w:val="1"/>
      <w:marLeft w:val="0"/>
      <w:marRight w:val="0"/>
      <w:marTop w:val="0"/>
      <w:marBottom w:val="0"/>
      <w:divBdr>
        <w:top w:val="none" w:sz="0" w:space="0" w:color="auto"/>
        <w:left w:val="none" w:sz="0" w:space="0" w:color="auto"/>
        <w:bottom w:val="none" w:sz="0" w:space="0" w:color="auto"/>
        <w:right w:val="none" w:sz="0" w:space="0" w:color="auto"/>
      </w:divBdr>
      <w:divsChild>
        <w:div w:id="139932740">
          <w:marLeft w:val="0"/>
          <w:marRight w:val="0"/>
          <w:marTop w:val="0"/>
          <w:marBottom w:val="0"/>
          <w:divBdr>
            <w:top w:val="none" w:sz="0" w:space="0" w:color="auto"/>
            <w:left w:val="none" w:sz="0" w:space="0" w:color="auto"/>
            <w:bottom w:val="none" w:sz="0" w:space="0" w:color="auto"/>
            <w:right w:val="none" w:sz="0" w:space="0" w:color="auto"/>
          </w:divBdr>
          <w:divsChild>
            <w:div w:id="2080054945">
              <w:marLeft w:val="0"/>
              <w:marRight w:val="0"/>
              <w:marTop w:val="0"/>
              <w:marBottom w:val="0"/>
              <w:divBdr>
                <w:top w:val="none" w:sz="0" w:space="0" w:color="auto"/>
                <w:left w:val="none" w:sz="0" w:space="0" w:color="auto"/>
                <w:bottom w:val="none" w:sz="0" w:space="0" w:color="auto"/>
                <w:right w:val="none" w:sz="0" w:space="0" w:color="auto"/>
              </w:divBdr>
              <w:divsChild>
                <w:div w:id="20522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43078">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1617434">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684593463">
      <w:bodyDiv w:val="1"/>
      <w:marLeft w:val="0"/>
      <w:marRight w:val="0"/>
      <w:marTop w:val="0"/>
      <w:marBottom w:val="0"/>
      <w:divBdr>
        <w:top w:val="none" w:sz="0" w:space="0" w:color="auto"/>
        <w:left w:val="none" w:sz="0" w:space="0" w:color="auto"/>
        <w:bottom w:val="none" w:sz="0" w:space="0" w:color="auto"/>
        <w:right w:val="none" w:sz="0" w:space="0" w:color="auto"/>
      </w:divBdr>
      <w:divsChild>
        <w:div w:id="1909143467">
          <w:marLeft w:val="0"/>
          <w:marRight w:val="0"/>
          <w:marTop w:val="0"/>
          <w:marBottom w:val="0"/>
          <w:divBdr>
            <w:top w:val="none" w:sz="0" w:space="0" w:color="auto"/>
            <w:left w:val="none" w:sz="0" w:space="0" w:color="auto"/>
            <w:bottom w:val="none" w:sz="0" w:space="0" w:color="auto"/>
            <w:right w:val="none" w:sz="0" w:space="0" w:color="auto"/>
          </w:divBdr>
          <w:divsChild>
            <w:div w:id="731151965">
              <w:marLeft w:val="0"/>
              <w:marRight w:val="0"/>
              <w:marTop w:val="0"/>
              <w:marBottom w:val="0"/>
              <w:divBdr>
                <w:top w:val="none" w:sz="0" w:space="0" w:color="auto"/>
                <w:left w:val="none" w:sz="0" w:space="0" w:color="auto"/>
                <w:bottom w:val="none" w:sz="0" w:space="0" w:color="auto"/>
                <w:right w:val="none" w:sz="0" w:space="0" w:color="auto"/>
              </w:divBdr>
              <w:divsChild>
                <w:div w:id="1822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62868">
      <w:bodyDiv w:val="1"/>
      <w:marLeft w:val="0"/>
      <w:marRight w:val="0"/>
      <w:marTop w:val="0"/>
      <w:marBottom w:val="0"/>
      <w:divBdr>
        <w:top w:val="none" w:sz="0" w:space="0" w:color="auto"/>
        <w:left w:val="none" w:sz="0" w:space="0" w:color="auto"/>
        <w:bottom w:val="none" w:sz="0" w:space="0" w:color="auto"/>
        <w:right w:val="none" w:sz="0" w:space="0" w:color="auto"/>
      </w:divBdr>
      <w:divsChild>
        <w:div w:id="743726197">
          <w:marLeft w:val="0"/>
          <w:marRight w:val="0"/>
          <w:marTop w:val="0"/>
          <w:marBottom w:val="0"/>
          <w:divBdr>
            <w:top w:val="none" w:sz="0" w:space="0" w:color="auto"/>
            <w:left w:val="none" w:sz="0" w:space="0" w:color="auto"/>
            <w:bottom w:val="none" w:sz="0" w:space="0" w:color="auto"/>
            <w:right w:val="none" w:sz="0" w:space="0" w:color="auto"/>
          </w:divBdr>
          <w:divsChild>
            <w:div w:id="1185943531">
              <w:marLeft w:val="0"/>
              <w:marRight w:val="0"/>
              <w:marTop w:val="0"/>
              <w:marBottom w:val="0"/>
              <w:divBdr>
                <w:top w:val="none" w:sz="0" w:space="0" w:color="auto"/>
                <w:left w:val="none" w:sz="0" w:space="0" w:color="auto"/>
                <w:bottom w:val="none" w:sz="0" w:space="0" w:color="auto"/>
                <w:right w:val="none" w:sz="0" w:space="0" w:color="auto"/>
              </w:divBdr>
              <w:divsChild>
                <w:div w:id="934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250682">
      <w:bodyDiv w:val="1"/>
      <w:marLeft w:val="0"/>
      <w:marRight w:val="0"/>
      <w:marTop w:val="0"/>
      <w:marBottom w:val="0"/>
      <w:divBdr>
        <w:top w:val="none" w:sz="0" w:space="0" w:color="auto"/>
        <w:left w:val="none" w:sz="0" w:space="0" w:color="auto"/>
        <w:bottom w:val="none" w:sz="0" w:space="0" w:color="auto"/>
        <w:right w:val="none" w:sz="0" w:space="0" w:color="auto"/>
      </w:divBdr>
    </w:div>
    <w:div w:id="758060157">
      <w:bodyDiv w:val="1"/>
      <w:marLeft w:val="0"/>
      <w:marRight w:val="0"/>
      <w:marTop w:val="0"/>
      <w:marBottom w:val="0"/>
      <w:divBdr>
        <w:top w:val="none" w:sz="0" w:space="0" w:color="auto"/>
        <w:left w:val="none" w:sz="0" w:space="0" w:color="auto"/>
        <w:bottom w:val="none" w:sz="0" w:space="0" w:color="auto"/>
        <w:right w:val="none" w:sz="0" w:space="0" w:color="auto"/>
      </w:divBdr>
    </w:div>
    <w:div w:id="760102070">
      <w:bodyDiv w:val="1"/>
      <w:marLeft w:val="0"/>
      <w:marRight w:val="0"/>
      <w:marTop w:val="0"/>
      <w:marBottom w:val="0"/>
      <w:divBdr>
        <w:top w:val="none" w:sz="0" w:space="0" w:color="auto"/>
        <w:left w:val="none" w:sz="0" w:space="0" w:color="auto"/>
        <w:bottom w:val="none" w:sz="0" w:space="0" w:color="auto"/>
        <w:right w:val="none" w:sz="0" w:space="0" w:color="auto"/>
      </w:divBdr>
    </w:div>
    <w:div w:id="834108931">
      <w:bodyDiv w:val="1"/>
      <w:marLeft w:val="0"/>
      <w:marRight w:val="0"/>
      <w:marTop w:val="0"/>
      <w:marBottom w:val="0"/>
      <w:divBdr>
        <w:top w:val="none" w:sz="0" w:space="0" w:color="auto"/>
        <w:left w:val="none" w:sz="0" w:space="0" w:color="auto"/>
        <w:bottom w:val="none" w:sz="0" w:space="0" w:color="auto"/>
        <w:right w:val="none" w:sz="0" w:space="0" w:color="auto"/>
      </w:divBdr>
    </w:div>
    <w:div w:id="892666641">
      <w:bodyDiv w:val="1"/>
      <w:marLeft w:val="0"/>
      <w:marRight w:val="0"/>
      <w:marTop w:val="0"/>
      <w:marBottom w:val="0"/>
      <w:divBdr>
        <w:top w:val="none" w:sz="0" w:space="0" w:color="auto"/>
        <w:left w:val="none" w:sz="0" w:space="0" w:color="auto"/>
        <w:bottom w:val="none" w:sz="0" w:space="0" w:color="auto"/>
        <w:right w:val="none" w:sz="0" w:space="0" w:color="auto"/>
      </w:divBdr>
    </w:div>
    <w:div w:id="912005280">
      <w:bodyDiv w:val="1"/>
      <w:marLeft w:val="0"/>
      <w:marRight w:val="0"/>
      <w:marTop w:val="0"/>
      <w:marBottom w:val="0"/>
      <w:divBdr>
        <w:top w:val="none" w:sz="0" w:space="0" w:color="auto"/>
        <w:left w:val="none" w:sz="0" w:space="0" w:color="auto"/>
        <w:bottom w:val="none" w:sz="0" w:space="0" w:color="auto"/>
        <w:right w:val="none" w:sz="0" w:space="0" w:color="auto"/>
      </w:divBdr>
      <w:divsChild>
        <w:div w:id="1075668193">
          <w:marLeft w:val="0"/>
          <w:marRight w:val="0"/>
          <w:marTop w:val="0"/>
          <w:marBottom w:val="0"/>
          <w:divBdr>
            <w:top w:val="none" w:sz="0" w:space="0" w:color="auto"/>
            <w:left w:val="none" w:sz="0" w:space="0" w:color="auto"/>
            <w:bottom w:val="none" w:sz="0" w:space="0" w:color="auto"/>
            <w:right w:val="none" w:sz="0" w:space="0" w:color="auto"/>
          </w:divBdr>
          <w:divsChild>
            <w:div w:id="61409766">
              <w:marLeft w:val="0"/>
              <w:marRight w:val="0"/>
              <w:marTop w:val="0"/>
              <w:marBottom w:val="0"/>
              <w:divBdr>
                <w:top w:val="none" w:sz="0" w:space="0" w:color="auto"/>
                <w:left w:val="none" w:sz="0" w:space="0" w:color="auto"/>
                <w:bottom w:val="none" w:sz="0" w:space="0" w:color="auto"/>
                <w:right w:val="none" w:sz="0" w:space="0" w:color="auto"/>
              </w:divBdr>
              <w:divsChild>
                <w:div w:id="14988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150799">
      <w:bodyDiv w:val="1"/>
      <w:marLeft w:val="0"/>
      <w:marRight w:val="0"/>
      <w:marTop w:val="0"/>
      <w:marBottom w:val="0"/>
      <w:divBdr>
        <w:top w:val="none" w:sz="0" w:space="0" w:color="auto"/>
        <w:left w:val="none" w:sz="0" w:space="0" w:color="auto"/>
        <w:bottom w:val="none" w:sz="0" w:space="0" w:color="auto"/>
        <w:right w:val="none" w:sz="0" w:space="0" w:color="auto"/>
      </w:divBdr>
      <w:divsChild>
        <w:div w:id="235750189">
          <w:marLeft w:val="0"/>
          <w:marRight w:val="0"/>
          <w:marTop w:val="0"/>
          <w:marBottom w:val="0"/>
          <w:divBdr>
            <w:top w:val="none" w:sz="0" w:space="0" w:color="auto"/>
            <w:left w:val="none" w:sz="0" w:space="0" w:color="auto"/>
            <w:bottom w:val="none" w:sz="0" w:space="0" w:color="auto"/>
            <w:right w:val="none" w:sz="0" w:space="0" w:color="auto"/>
          </w:divBdr>
          <w:divsChild>
            <w:div w:id="1649550859">
              <w:marLeft w:val="0"/>
              <w:marRight w:val="0"/>
              <w:marTop w:val="0"/>
              <w:marBottom w:val="0"/>
              <w:divBdr>
                <w:top w:val="none" w:sz="0" w:space="0" w:color="auto"/>
                <w:left w:val="none" w:sz="0" w:space="0" w:color="auto"/>
                <w:bottom w:val="none" w:sz="0" w:space="0" w:color="auto"/>
                <w:right w:val="none" w:sz="0" w:space="0" w:color="auto"/>
              </w:divBdr>
              <w:divsChild>
                <w:div w:id="475487308">
                  <w:marLeft w:val="0"/>
                  <w:marRight w:val="0"/>
                  <w:marTop w:val="0"/>
                  <w:marBottom w:val="0"/>
                  <w:divBdr>
                    <w:top w:val="none" w:sz="0" w:space="0" w:color="auto"/>
                    <w:left w:val="none" w:sz="0" w:space="0" w:color="auto"/>
                    <w:bottom w:val="none" w:sz="0" w:space="0" w:color="auto"/>
                    <w:right w:val="none" w:sz="0" w:space="0" w:color="auto"/>
                  </w:divBdr>
                  <w:divsChild>
                    <w:div w:id="10665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406940">
      <w:bodyDiv w:val="1"/>
      <w:marLeft w:val="0"/>
      <w:marRight w:val="0"/>
      <w:marTop w:val="0"/>
      <w:marBottom w:val="0"/>
      <w:divBdr>
        <w:top w:val="none" w:sz="0" w:space="0" w:color="auto"/>
        <w:left w:val="none" w:sz="0" w:space="0" w:color="auto"/>
        <w:bottom w:val="none" w:sz="0" w:space="0" w:color="auto"/>
        <w:right w:val="none" w:sz="0" w:space="0" w:color="auto"/>
      </w:divBdr>
      <w:divsChild>
        <w:div w:id="1416246087">
          <w:marLeft w:val="0"/>
          <w:marRight w:val="0"/>
          <w:marTop w:val="0"/>
          <w:marBottom w:val="0"/>
          <w:divBdr>
            <w:top w:val="none" w:sz="0" w:space="0" w:color="auto"/>
            <w:left w:val="none" w:sz="0" w:space="0" w:color="auto"/>
            <w:bottom w:val="none" w:sz="0" w:space="0" w:color="auto"/>
            <w:right w:val="none" w:sz="0" w:space="0" w:color="auto"/>
          </w:divBdr>
        </w:div>
        <w:div w:id="1142425679">
          <w:marLeft w:val="0"/>
          <w:marRight w:val="0"/>
          <w:marTop w:val="0"/>
          <w:marBottom w:val="0"/>
          <w:divBdr>
            <w:top w:val="none" w:sz="0" w:space="0" w:color="auto"/>
            <w:left w:val="none" w:sz="0" w:space="0" w:color="auto"/>
            <w:bottom w:val="none" w:sz="0" w:space="0" w:color="auto"/>
            <w:right w:val="none" w:sz="0" w:space="0" w:color="auto"/>
          </w:divBdr>
        </w:div>
      </w:divsChild>
    </w:div>
    <w:div w:id="961569897">
      <w:bodyDiv w:val="1"/>
      <w:marLeft w:val="0"/>
      <w:marRight w:val="0"/>
      <w:marTop w:val="0"/>
      <w:marBottom w:val="0"/>
      <w:divBdr>
        <w:top w:val="none" w:sz="0" w:space="0" w:color="auto"/>
        <w:left w:val="none" w:sz="0" w:space="0" w:color="auto"/>
        <w:bottom w:val="none" w:sz="0" w:space="0" w:color="auto"/>
        <w:right w:val="none" w:sz="0" w:space="0" w:color="auto"/>
      </w:divBdr>
      <w:divsChild>
        <w:div w:id="438334247">
          <w:marLeft w:val="0"/>
          <w:marRight w:val="0"/>
          <w:marTop w:val="0"/>
          <w:marBottom w:val="0"/>
          <w:divBdr>
            <w:top w:val="none" w:sz="0" w:space="0" w:color="auto"/>
            <w:left w:val="none" w:sz="0" w:space="0" w:color="auto"/>
            <w:bottom w:val="none" w:sz="0" w:space="0" w:color="auto"/>
            <w:right w:val="none" w:sz="0" w:space="0" w:color="auto"/>
          </w:divBdr>
          <w:divsChild>
            <w:div w:id="1212957828">
              <w:marLeft w:val="0"/>
              <w:marRight w:val="0"/>
              <w:marTop w:val="0"/>
              <w:marBottom w:val="0"/>
              <w:divBdr>
                <w:top w:val="none" w:sz="0" w:space="0" w:color="auto"/>
                <w:left w:val="none" w:sz="0" w:space="0" w:color="auto"/>
                <w:bottom w:val="none" w:sz="0" w:space="0" w:color="auto"/>
                <w:right w:val="none" w:sz="0" w:space="0" w:color="auto"/>
              </w:divBdr>
              <w:divsChild>
                <w:div w:id="514921882">
                  <w:marLeft w:val="0"/>
                  <w:marRight w:val="0"/>
                  <w:marTop w:val="0"/>
                  <w:marBottom w:val="0"/>
                  <w:divBdr>
                    <w:top w:val="none" w:sz="0" w:space="0" w:color="auto"/>
                    <w:left w:val="none" w:sz="0" w:space="0" w:color="auto"/>
                    <w:bottom w:val="none" w:sz="0" w:space="0" w:color="auto"/>
                    <w:right w:val="none" w:sz="0" w:space="0" w:color="auto"/>
                  </w:divBdr>
                  <w:divsChild>
                    <w:div w:id="60064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27767">
      <w:bodyDiv w:val="1"/>
      <w:marLeft w:val="0"/>
      <w:marRight w:val="0"/>
      <w:marTop w:val="0"/>
      <w:marBottom w:val="0"/>
      <w:divBdr>
        <w:top w:val="none" w:sz="0" w:space="0" w:color="auto"/>
        <w:left w:val="none" w:sz="0" w:space="0" w:color="auto"/>
        <w:bottom w:val="none" w:sz="0" w:space="0" w:color="auto"/>
        <w:right w:val="none" w:sz="0" w:space="0" w:color="auto"/>
      </w:divBdr>
    </w:div>
    <w:div w:id="985164881">
      <w:bodyDiv w:val="1"/>
      <w:marLeft w:val="0"/>
      <w:marRight w:val="0"/>
      <w:marTop w:val="0"/>
      <w:marBottom w:val="0"/>
      <w:divBdr>
        <w:top w:val="none" w:sz="0" w:space="0" w:color="auto"/>
        <w:left w:val="none" w:sz="0" w:space="0" w:color="auto"/>
        <w:bottom w:val="none" w:sz="0" w:space="0" w:color="auto"/>
        <w:right w:val="none" w:sz="0" w:space="0" w:color="auto"/>
      </w:divBdr>
      <w:divsChild>
        <w:div w:id="604076465">
          <w:marLeft w:val="0"/>
          <w:marRight w:val="0"/>
          <w:marTop w:val="0"/>
          <w:marBottom w:val="0"/>
          <w:divBdr>
            <w:top w:val="none" w:sz="0" w:space="0" w:color="auto"/>
            <w:left w:val="none" w:sz="0" w:space="0" w:color="auto"/>
            <w:bottom w:val="none" w:sz="0" w:space="0" w:color="auto"/>
            <w:right w:val="none" w:sz="0" w:space="0" w:color="auto"/>
          </w:divBdr>
          <w:divsChild>
            <w:div w:id="1275677135">
              <w:marLeft w:val="0"/>
              <w:marRight w:val="0"/>
              <w:marTop w:val="0"/>
              <w:marBottom w:val="0"/>
              <w:divBdr>
                <w:top w:val="none" w:sz="0" w:space="0" w:color="auto"/>
                <w:left w:val="none" w:sz="0" w:space="0" w:color="auto"/>
                <w:bottom w:val="none" w:sz="0" w:space="0" w:color="auto"/>
                <w:right w:val="none" w:sz="0" w:space="0" w:color="auto"/>
              </w:divBdr>
              <w:divsChild>
                <w:div w:id="5798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91739">
      <w:bodyDiv w:val="1"/>
      <w:marLeft w:val="0"/>
      <w:marRight w:val="0"/>
      <w:marTop w:val="0"/>
      <w:marBottom w:val="0"/>
      <w:divBdr>
        <w:top w:val="none" w:sz="0" w:space="0" w:color="auto"/>
        <w:left w:val="none" w:sz="0" w:space="0" w:color="auto"/>
        <w:bottom w:val="none" w:sz="0" w:space="0" w:color="auto"/>
        <w:right w:val="none" w:sz="0" w:space="0" w:color="auto"/>
      </w:divBdr>
    </w:div>
    <w:div w:id="998725721">
      <w:bodyDiv w:val="1"/>
      <w:marLeft w:val="0"/>
      <w:marRight w:val="0"/>
      <w:marTop w:val="0"/>
      <w:marBottom w:val="0"/>
      <w:divBdr>
        <w:top w:val="none" w:sz="0" w:space="0" w:color="auto"/>
        <w:left w:val="none" w:sz="0" w:space="0" w:color="auto"/>
        <w:bottom w:val="none" w:sz="0" w:space="0" w:color="auto"/>
        <w:right w:val="none" w:sz="0" w:space="0" w:color="auto"/>
      </w:divBdr>
      <w:divsChild>
        <w:div w:id="982346240">
          <w:marLeft w:val="0"/>
          <w:marRight w:val="0"/>
          <w:marTop w:val="0"/>
          <w:marBottom w:val="0"/>
          <w:divBdr>
            <w:top w:val="none" w:sz="0" w:space="0" w:color="auto"/>
            <w:left w:val="none" w:sz="0" w:space="0" w:color="auto"/>
            <w:bottom w:val="none" w:sz="0" w:space="0" w:color="auto"/>
            <w:right w:val="none" w:sz="0" w:space="0" w:color="auto"/>
          </w:divBdr>
          <w:divsChild>
            <w:div w:id="720322789">
              <w:marLeft w:val="0"/>
              <w:marRight w:val="0"/>
              <w:marTop w:val="0"/>
              <w:marBottom w:val="0"/>
              <w:divBdr>
                <w:top w:val="none" w:sz="0" w:space="0" w:color="auto"/>
                <w:left w:val="none" w:sz="0" w:space="0" w:color="auto"/>
                <w:bottom w:val="none" w:sz="0" w:space="0" w:color="auto"/>
                <w:right w:val="none" w:sz="0" w:space="0" w:color="auto"/>
              </w:divBdr>
              <w:divsChild>
                <w:div w:id="544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913325">
      <w:bodyDiv w:val="1"/>
      <w:marLeft w:val="0"/>
      <w:marRight w:val="0"/>
      <w:marTop w:val="0"/>
      <w:marBottom w:val="0"/>
      <w:divBdr>
        <w:top w:val="none" w:sz="0" w:space="0" w:color="auto"/>
        <w:left w:val="none" w:sz="0" w:space="0" w:color="auto"/>
        <w:bottom w:val="none" w:sz="0" w:space="0" w:color="auto"/>
        <w:right w:val="none" w:sz="0" w:space="0" w:color="auto"/>
      </w:divBdr>
      <w:divsChild>
        <w:div w:id="313682456">
          <w:marLeft w:val="0"/>
          <w:marRight w:val="0"/>
          <w:marTop w:val="0"/>
          <w:marBottom w:val="0"/>
          <w:divBdr>
            <w:top w:val="none" w:sz="0" w:space="0" w:color="auto"/>
            <w:left w:val="none" w:sz="0" w:space="0" w:color="auto"/>
            <w:bottom w:val="none" w:sz="0" w:space="0" w:color="auto"/>
            <w:right w:val="none" w:sz="0" w:space="0" w:color="auto"/>
          </w:divBdr>
          <w:divsChild>
            <w:div w:id="378936339">
              <w:marLeft w:val="0"/>
              <w:marRight w:val="0"/>
              <w:marTop w:val="0"/>
              <w:marBottom w:val="0"/>
              <w:divBdr>
                <w:top w:val="none" w:sz="0" w:space="0" w:color="auto"/>
                <w:left w:val="none" w:sz="0" w:space="0" w:color="auto"/>
                <w:bottom w:val="none" w:sz="0" w:space="0" w:color="auto"/>
                <w:right w:val="none" w:sz="0" w:space="0" w:color="auto"/>
              </w:divBdr>
              <w:divsChild>
                <w:div w:id="202207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034766263">
      <w:bodyDiv w:val="1"/>
      <w:marLeft w:val="0"/>
      <w:marRight w:val="0"/>
      <w:marTop w:val="0"/>
      <w:marBottom w:val="0"/>
      <w:divBdr>
        <w:top w:val="none" w:sz="0" w:space="0" w:color="auto"/>
        <w:left w:val="none" w:sz="0" w:space="0" w:color="auto"/>
        <w:bottom w:val="none" w:sz="0" w:space="0" w:color="auto"/>
        <w:right w:val="none" w:sz="0" w:space="0" w:color="auto"/>
      </w:divBdr>
      <w:divsChild>
        <w:div w:id="1268923448">
          <w:marLeft w:val="0"/>
          <w:marRight w:val="0"/>
          <w:marTop w:val="0"/>
          <w:marBottom w:val="0"/>
          <w:divBdr>
            <w:top w:val="none" w:sz="0" w:space="0" w:color="auto"/>
            <w:left w:val="none" w:sz="0" w:space="0" w:color="auto"/>
            <w:bottom w:val="none" w:sz="0" w:space="0" w:color="auto"/>
            <w:right w:val="none" w:sz="0" w:space="0" w:color="auto"/>
          </w:divBdr>
          <w:divsChild>
            <w:div w:id="71048026">
              <w:marLeft w:val="0"/>
              <w:marRight w:val="0"/>
              <w:marTop w:val="0"/>
              <w:marBottom w:val="0"/>
              <w:divBdr>
                <w:top w:val="none" w:sz="0" w:space="0" w:color="auto"/>
                <w:left w:val="none" w:sz="0" w:space="0" w:color="auto"/>
                <w:bottom w:val="none" w:sz="0" w:space="0" w:color="auto"/>
                <w:right w:val="none" w:sz="0" w:space="0" w:color="auto"/>
              </w:divBdr>
              <w:divsChild>
                <w:div w:id="1335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471793">
      <w:bodyDiv w:val="1"/>
      <w:marLeft w:val="0"/>
      <w:marRight w:val="0"/>
      <w:marTop w:val="0"/>
      <w:marBottom w:val="0"/>
      <w:divBdr>
        <w:top w:val="none" w:sz="0" w:space="0" w:color="auto"/>
        <w:left w:val="none" w:sz="0" w:space="0" w:color="auto"/>
        <w:bottom w:val="none" w:sz="0" w:space="0" w:color="auto"/>
        <w:right w:val="none" w:sz="0" w:space="0" w:color="auto"/>
      </w:divBdr>
    </w:div>
    <w:div w:id="1048997443">
      <w:bodyDiv w:val="1"/>
      <w:marLeft w:val="0"/>
      <w:marRight w:val="0"/>
      <w:marTop w:val="0"/>
      <w:marBottom w:val="0"/>
      <w:divBdr>
        <w:top w:val="none" w:sz="0" w:space="0" w:color="auto"/>
        <w:left w:val="none" w:sz="0" w:space="0" w:color="auto"/>
        <w:bottom w:val="none" w:sz="0" w:space="0" w:color="auto"/>
        <w:right w:val="none" w:sz="0" w:space="0" w:color="auto"/>
      </w:divBdr>
      <w:divsChild>
        <w:div w:id="2072725771">
          <w:marLeft w:val="0"/>
          <w:marRight w:val="0"/>
          <w:marTop w:val="0"/>
          <w:marBottom w:val="0"/>
          <w:divBdr>
            <w:top w:val="none" w:sz="0" w:space="0" w:color="auto"/>
            <w:left w:val="none" w:sz="0" w:space="0" w:color="auto"/>
            <w:bottom w:val="none" w:sz="0" w:space="0" w:color="auto"/>
            <w:right w:val="none" w:sz="0" w:space="0" w:color="auto"/>
          </w:divBdr>
          <w:divsChild>
            <w:div w:id="1899244120">
              <w:marLeft w:val="0"/>
              <w:marRight w:val="0"/>
              <w:marTop w:val="0"/>
              <w:marBottom w:val="0"/>
              <w:divBdr>
                <w:top w:val="none" w:sz="0" w:space="0" w:color="auto"/>
                <w:left w:val="none" w:sz="0" w:space="0" w:color="auto"/>
                <w:bottom w:val="none" w:sz="0" w:space="0" w:color="auto"/>
                <w:right w:val="none" w:sz="0" w:space="0" w:color="auto"/>
              </w:divBdr>
              <w:divsChild>
                <w:div w:id="2110421100">
                  <w:marLeft w:val="0"/>
                  <w:marRight w:val="0"/>
                  <w:marTop w:val="0"/>
                  <w:marBottom w:val="0"/>
                  <w:divBdr>
                    <w:top w:val="none" w:sz="0" w:space="0" w:color="auto"/>
                    <w:left w:val="none" w:sz="0" w:space="0" w:color="auto"/>
                    <w:bottom w:val="none" w:sz="0" w:space="0" w:color="auto"/>
                    <w:right w:val="none" w:sz="0" w:space="0" w:color="auto"/>
                  </w:divBdr>
                  <w:divsChild>
                    <w:div w:id="105666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157643">
      <w:bodyDiv w:val="1"/>
      <w:marLeft w:val="0"/>
      <w:marRight w:val="0"/>
      <w:marTop w:val="0"/>
      <w:marBottom w:val="0"/>
      <w:divBdr>
        <w:top w:val="none" w:sz="0" w:space="0" w:color="auto"/>
        <w:left w:val="none" w:sz="0" w:space="0" w:color="auto"/>
        <w:bottom w:val="none" w:sz="0" w:space="0" w:color="auto"/>
        <w:right w:val="none" w:sz="0" w:space="0" w:color="auto"/>
      </w:divBdr>
      <w:divsChild>
        <w:div w:id="121385150">
          <w:marLeft w:val="0"/>
          <w:marRight w:val="0"/>
          <w:marTop w:val="0"/>
          <w:marBottom w:val="0"/>
          <w:divBdr>
            <w:top w:val="none" w:sz="0" w:space="0" w:color="auto"/>
            <w:left w:val="none" w:sz="0" w:space="0" w:color="auto"/>
            <w:bottom w:val="none" w:sz="0" w:space="0" w:color="auto"/>
            <w:right w:val="none" w:sz="0" w:space="0" w:color="auto"/>
          </w:divBdr>
        </w:div>
        <w:div w:id="1999460796">
          <w:marLeft w:val="0"/>
          <w:marRight w:val="0"/>
          <w:marTop w:val="0"/>
          <w:marBottom w:val="0"/>
          <w:divBdr>
            <w:top w:val="none" w:sz="0" w:space="0" w:color="auto"/>
            <w:left w:val="none" w:sz="0" w:space="0" w:color="auto"/>
            <w:bottom w:val="none" w:sz="0" w:space="0" w:color="auto"/>
            <w:right w:val="none" w:sz="0" w:space="0" w:color="auto"/>
          </w:divBdr>
        </w:div>
        <w:div w:id="462625759">
          <w:marLeft w:val="0"/>
          <w:marRight w:val="0"/>
          <w:marTop w:val="0"/>
          <w:marBottom w:val="0"/>
          <w:divBdr>
            <w:top w:val="none" w:sz="0" w:space="0" w:color="auto"/>
            <w:left w:val="none" w:sz="0" w:space="0" w:color="auto"/>
            <w:bottom w:val="none" w:sz="0" w:space="0" w:color="auto"/>
            <w:right w:val="none" w:sz="0" w:space="0" w:color="auto"/>
          </w:divBdr>
        </w:div>
      </w:divsChild>
    </w:div>
    <w:div w:id="1101294428">
      <w:bodyDiv w:val="1"/>
      <w:marLeft w:val="0"/>
      <w:marRight w:val="0"/>
      <w:marTop w:val="0"/>
      <w:marBottom w:val="0"/>
      <w:divBdr>
        <w:top w:val="none" w:sz="0" w:space="0" w:color="auto"/>
        <w:left w:val="none" w:sz="0" w:space="0" w:color="auto"/>
        <w:bottom w:val="none" w:sz="0" w:space="0" w:color="auto"/>
        <w:right w:val="none" w:sz="0" w:space="0" w:color="auto"/>
      </w:divBdr>
      <w:divsChild>
        <w:div w:id="1992908284">
          <w:marLeft w:val="0"/>
          <w:marRight w:val="0"/>
          <w:marTop w:val="0"/>
          <w:marBottom w:val="0"/>
          <w:divBdr>
            <w:top w:val="none" w:sz="0" w:space="0" w:color="auto"/>
            <w:left w:val="none" w:sz="0" w:space="0" w:color="auto"/>
            <w:bottom w:val="none" w:sz="0" w:space="0" w:color="auto"/>
            <w:right w:val="none" w:sz="0" w:space="0" w:color="auto"/>
          </w:divBdr>
          <w:divsChild>
            <w:div w:id="522282591">
              <w:marLeft w:val="0"/>
              <w:marRight w:val="0"/>
              <w:marTop w:val="0"/>
              <w:marBottom w:val="0"/>
              <w:divBdr>
                <w:top w:val="none" w:sz="0" w:space="0" w:color="auto"/>
                <w:left w:val="none" w:sz="0" w:space="0" w:color="auto"/>
                <w:bottom w:val="none" w:sz="0" w:space="0" w:color="auto"/>
                <w:right w:val="none" w:sz="0" w:space="0" w:color="auto"/>
              </w:divBdr>
              <w:divsChild>
                <w:div w:id="1620449983">
                  <w:marLeft w:val="0"/>
                  <w:marRight w:val="0"/>
                  <w:marTop w:val="0"/>
                  <w:marBottom w:val="0"/>
                  <w:divBdr>
                    <w:top w:val="none" w:sz="0" w:space="0" w:color="auto"/>
                    <w:left w:val="none" w:sz="0" w:space="0" w:color="auto"/>
                    <w:bottom w:val="none" w:sz="0" w:space="0" w:color="auto"/>
                    <w:right w:val="none" w:sz="0" w:space="0" w:color="auto"/>
                  </w:divBdr>
                  <w:divsChild>
                    <w:div w:id="176549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507233">
      <w:bodyDiv w:val="1"/>
      <w:marLeft w:val="0"/>
      <w:marRight w:val="0"/>
      <w:marTop w:val="0"/>
      <w:marBottom w:val="0"/>
      <w:divBdr>
        <w:top w:val="none" w:sz="0" w:space="0" w:color="auto"/>
        <w:left w:val="none" w:sz="0" w:space="0" w:color="auto"/>
        <w:bottom w:val="none" w:sz="0" w:space="0" w:color="auto"/>
        <w:right w:val="none" w:sz="0" w:space="0" w:color="auto"/>
      </w:divBdr>
    </w:div>
    <w:div w:id="1148205917">
      <w:bodyDiv w:val="1"/>
      <w:marLeft w:val="0"/>
      <w:marRight w:val="0"/>
      <w:marTop w:val="0"/>
      <w:marBottom w:val="0"/>
      <w:divBdr>
        <w:top w:val="none" w:sz="0" w:space="0" w:color="auto"/>
        <w:left w:val="none" w:sz="0" w:space="0" w:color="auto"/>
        <w:bottom w:val="none" w:sz="0" w:space="0" w:color="auto"/>
        <w:right w:val="none" w:sz="0" w:space="0" w:color="auto"/>
      </w:divBdr>
      <w:divsChild>
        <w:div w:id="1327200066">
          <w:marLeft w:val="0"/>
          <w:marRight w:val="0"/>
          <w:marTop w:val="0"/>
          <w:marBottom w:val="0"/>
          <w:divBdr>
            <w:top w:val="none" w:sz="0" w:space="0" w:color="auto"/>
            <w:left w:val="none" w:sz="0" w:space="0" w:color="auto"/>
            <w:bottom w:val="none" w:sz="0" w:space="0" w:color="auto"/>
            <w:right w:val="none" w:sz="0" w:space="0" w:color="auto"/>
          </w:divBdr>
          <w:divsChild>
            <w:div w:id="1951622467">
              <w:marLeft w:val="0"/>
              <w:marRight w:val="0"/>
              <w:marTop w:val="0"/>
              <w:marBottom w:val="0"/>
              <w:divBdr>
                <w:top w:val="none" w:sz="0" w:space="0" w:color="auto"/>
                <w:left w:val="none" w:sz="0" w:space="0" w:color="auto"/>
                <w:bottom w:val="none" w:sz="0" w:space="0" w:color="auto"/>
                <w:right w:val="none" w:sz="0" w:space="0" w:color="auto"/>
              </w:divBdr>
              <w:divsChild>
                <w:div w:id="7289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3316">
      <w:bodyDiv w:val="1"/>
      <w:marLeft w:val="0"/>
      <w:marRight w:val="0"/>
      <w:marTop w:val="0"/>
      <w:marBottom w:val="0"/>
      <w:divBdr>
        <w:top w:val="none" w:sz="0" w:space="0" w:color="auto"/>
        <w:left w:val="none" w:sz="0" w:space="0" w:color="auto"/>
        <w:bottom w:val="none" w:sz="0" w:space="0" w:color="auto"/>
        <w:right w:val="none" w:sz="0" w:space="0" w:color="auto"/>
      </w:divBdr>
      <w:divsChild>
        <w:div w:id="1793859912">
          <w:marLeft w:val="0"/>
          <w:marRight w:val="0"/>
          <w:marTop w:val="0"/>
          <w:marBottom w:val="0"/>
          <w:divBdr>
            <w:top w:val="none" w:sz="0" w:space="0" w:color="auto"/>
            <w:left w:val="none" w:sz="0" w:space="0" w:color="auto"/>
            <w:bottom w:val="none" w:sz="0" w:space="0" w:color="auto"/>
            <w:right w:val="none" w:sz="0" w:space="0" w:color="auto"/>
          </w:divBdr>
          <w:divsChild>
            <w:div w:id="54089376">
              <w:marLeft w:val="0"/>
              <w:marRight w:val="0"/>
              <w:marTop w:val="0"/>
              <w:marBottom w:val="0"/>
              <w:divBdr>
                <w:top w:val="none" w:sz="0" w:space="0" w:color="auto"/>
                <w:left w:val="none" w:sz="0" w:space="0" w:color="auto"/>
                <w:bottom w:val="none" w:sz="0" w:space="0" w:color="auto"/>
                <w:right w:val="none" w:sz="0" w:space="0" w:color="auto"/>
              </w:divBdr>
              <w:divsChild>
                <w:div w:id="31217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185511560">
      <w:bodyDiv w:val="1"/>
      <w:marLeft w:val="0"/>
      <w:marRight w:val="0"/>
      <w:marTop w:val="0"/>
      <w:marBottom w:val="0"/>
      <w:divBdr>
        <w:top w:val="none" w:sz="0" w:space="0" w:color="auto"/>
        <w:left w:val="none" w:sz="0" w:space="0" w:color="auto"/>
        <w:bottom w:val="none" w:sz="0" w:space="0" w:color="auto"/>
        <w:right w:val="none" w:sz="0" w:space="0" w:color="auto"/>
      </w:divBdr>
      <w:divsChild>
        <w:div w:id="1137456374">
          <w:marLeft w:val="0"/>
          <w:marRight w:val="0"/>
          <w:marTop w:val="0"/>
          <w:marBottom w:val="0"/>
          <w:divBdr>
            <w:top w:val="none" w:sz="0" w:space="0" w:color="auto"/>
            <w:left w:val="none" w:sz="0" w:space="0" w:color="auto"/>
            <w:bottom w:val="none" w:sz="0" w:space="0" w:color="auto"/>
            <w:right w:val="none" w:sz="0" w:space="0" w:color="auto"/>
          </w:divBdr>
          <w:divsChild>
            <w:div w:id="1479490092">
              <w:marLeft w:val="0"/>
              <w:marRight w:val="0"/>
              <w:marTop w:val="0"/>
              <w:marBottom w:val="0"/>
              <w:divBdr>
                <w:top w:val="none" w:sz="0" w:space="0" w:color="auto"/>
                <w:left w:val="none" w:sz="0" w:space="0" w:color="auto"/>
                <w:bottom w:val="none" w:sz="0" w:space="0" w:color="auto"/>
                <w:right w:val="none" w:sz="0" w:space="0" w:color="auto"/>
              </w:divBdr>
              <w:divsChild>
                <w:div w:id="179532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89254">
      <w:bodyDiv w:val="1"/>
      <w:marLeft w:val="0"/>
      <w:marRight w:val="0"/>
      <w:marTop w:val="0"/>
      <w:marBottom w:val="0"/>
      <w:divBdr>
        <w:top w:val="none" w:sz="0" w:space="0" w:color="auto"/>
        <w:left w:val="none" w:sz="0" w:space="0" w:color="auto"/>
        <w:bottom w:val="none" w:sz="0" w:space="0" w:color="auto"/>
        <w:right w:val="none" w:sz="0" w:space="0" w:color="auto"/>
      </w:divBdr>
    </w:div>
    <w:div w:id="1202864387">
      <w:bodyDiv w:val="1"/>
      <w:marLeft w:val="0"/>
      <w:marRight w:val="0"/>
      <w:marTop w:val="0"/>
      <w:marBottom w:val="0"/>
      <w:divBdr>
        <w:top w:val="none" w:sz="0" w:space="0" w:color="auto"/>
        <w:left w:val="none" w:sz="0" w:space="0" w:color="auto"/>
        <w:bottom w:val="none" w:sz="0" w:space="0" w:color="auto"/>
        <w:right w:val="none" w:sz="0" w:space="0" w:color="auto"/>
      </w:divBdr>
      <w:divsChild>
        <w:div w:id="1172840502">
          <w:marLeft w:val="0"/>
          <w:marRight w:val="0"/>
          <w:marTop w:val="0"/>
          <w:marBottom w:val="0"/>
          <w:divBdr>
            <w:top w:val="none" w:sz="0" w:space="0" w:color="auto"/>
            <w:left w:val="none" w:sz="0" w:space="0" w:color="auto"/>
            <w:bottom w:val="none" w:sz="0" w:space="0" w:color="auto"/>
            <w:right w:val="none" w:sz="0" w:space="0" w:color="auto"/>
          </w:divBdr>
          <w:divsChild>
            <w:div w:id="1798642748">
              <w:marLeft w:val="0"/>
              <w:marRight w:val="0"/>
              <w:marTop w:val="0"/>
              <w:marBottom w:val="0"/>
              <w:divBdr>
                <w:top w:val="none" w:sz="0" w:space="0" w:color="auto"/>
                <w:left w:val="none" w:sz="0" w:space="0" w:color="auto"/>
                <w:bottom w:val="none" w:sz="0" w:space="0" w:color="auto"/>
                <w:right w:val="none" w:sz="0" w:space="0" w:color="auto"/>
              </w:divBdr>
              <w:divsChild>
                <w:div w:id="1076174686">
                  <w:marLeft w:val="0"/>
                  <w:marRight w:val="0"/>
                  <w:marTop w:val="0"/>
                  <w:marBottom w:val="0"/>
                  <w:divBdr>
                    <w:top w:val="none" w:sz="0" w:space="0" w:color="auto"/>
                    <w:left w:val="none" w:sz="0" w:space="0" w:color="auto"/>
                    <w:bottom w:val="none" w:sz="0" w:space="0" w:color="auto"/>
                    <w:right w:val="none" w:sz="0" w:space="0" w:color="auto"/>
                  </w:divBdr>
                  <w:divsChild>
                    <w:div w:id="12707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706690">
      <w:bodyDiv w:val="1"/>
      <w:marLeft w:val="0"/>
      <w:marRight w:val="0"/>
      <w:marTop w:val="0"/>
      <w:marBottom w:val="0"/>
      <w:divBdr>
        <w:top w:val="none" w:sz="0" w:space="0" w:color="auto"/>
        <w:left w:val="none" w:sz="0" w:space="0" w:color="auto"/>
        <w:bottom w:val="none" w:sz="0" w:space="0" w:color="auto"/>
        <w:right w:val="none" w:sz="0" w:space="0" w:color="auto"/>
      </w:divBdr>
    </w:div>
    <w:div w:id="1222902868">
      <w:bodyDiv w:val="1"/>
      <w:marLeft w:val="0"/>
      <w:marRight w:val="0"/>
      <w:marTop w:val="0"/>
      <w:marBottom w:val="0"/>
      <w:divBdr>
        <w:top w:val="none" w:sz="0" w:space="0" w:color="auto"/>
        <w:left w:val="none" w:sz="0" w:space="0" w:color="auto"/>
        <w:bottom w:val="none" w:sz="0" w:space="0" w:color="auto"/>
        <w:right w:val="none" w:sz="0" w:space="0" w:color="auto"/>
      </w:divBdr>
      <w:divsChild>
        <w:div w:id="1811705565">
          <w:marLeft w:val="0"/>
          <w:marRight w:val="0"/>
          <w:marTop w:val="0"/>
          <w:marBottom w:val="0"/>
          <w:divBdr>
            <w:top w:val="none" w:sz="0" w:space="0" w:color="auto"/>
            <w:left w:val="none" w:sz="0" w:space="0" w:color="auto"/>
            <w:bottom w:val="none" w:sz="0" w:space="0" w:color="auto"/>
            <w:right w:val="none" w:sz="0" w:space="0" w:color="auto"/>
          </w:divBdr>
          <w:divsChild>
            <w:div w:id="291640254">
              <w:marLeft w:val="0"/>
              <w:marRight w:val="0"/>
              <w:marTop w:val="0"/>
              <w:marBottom w:val="0"/>
              <w:divBdr>
                <w:top w:val="none" w:sz="0" w:space="0" w:color="auto"/>
                <w:left w:val="none" w:sz="0" w:space="0" w:color="auto"/>
                <w:bottom w:val="none" w:sz="0" w:space="0" w:color="auto"/>
                <w:right w:val="none" w:sz="0" w:space="0" w:color="auto"/>
              </w:divBdr>
              <w:divsChild>
                <w:div w:id="214415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166184">
      <w:bodyDiv w:val="1"/>
      <w:marLeft w:val="0"/>
      <w:marRight w:val="0"/>
      <w:marTop w:val="0"/>
      <w:marBottom w:val="0"/>
      <w:divBdr>
        <w:top w:val="none" w:sz="0" w:space="0" w:color="auto"/>
        <w:left w:val="none" w:sz="0" w:space="0" w:color="auto"/>
        <w:bottom w:val="none" w:sz="0" w:space="0" w:color="auto"/>
        <w:right w:val="none" w:sz="0" w:space="0" w:color="auto"/>
      </w:divBdr>
      <w:divsChild>
        <w:div w:id="160511418">
          <w:marLeft w:val="0"/>
          <w:marRight w:val="0"/>
          <w:marTop w:val="0"/>
          <w:marBottom w:val="0"/>
          <w:divBdr>
            <w:top w:val="none" w:sz="0" w:space="0" w:color="auto"/>
            <w:left w:val="none" w:sz="0" w:space="0" w:color="auto"/>
            <w:bottom w:val="none" w:sz="0" w:space="0" w:color="auto"/>
            <w:right w:val="none" w:sz="0" w:space="0" w:color="auto"/>
          </w:divBdr>
          <w:divsChild>
            <w:div w:id="969171014">
              <w:marLeft w:val="0"/>
              <w:marRight w:val="0"/>
              <w:marTop w:val="0"/>
              <w:marBottom w:val="0"/>
              <w:divBdr>
                <w:top w:val="none" w:sz="0" w:space="0" w:color="auto"/>
                <w:left w:val="none" w:sz="0" w:space="0" w:color="auto"/>
                <w:bottom w:val="none" w:sz="0" w:space="0" w:color="auto"/>
                <w:right w:val="none" w:sz="0" w:space="0" w:color="auto"/>
              </w:divBdr>
              <w:divsChild>
                <w:div w:id="392966222">
                  <w:marLeft w:val="0"/>
                  <w:marRight w:val="0"/>
                  <w:marTop w:val="0"/>
                  <w:marBottom w:val="0"/>
                  <w:divBdr>
                    <w:top w:val="none" w:sz="0" w:space="0" w:color="auto"/>
                    <w:left w:val="none" w:sz="0" w:space="0" w:color="auto"/>
                    <w:bottom w:val="none" w:sz="0" w:space="0" w:color="auto"/>
                    <w:right w:val="none" w:sz="0" w:space="0" w:color="auto"/>
                  </w:divBdr>
                  <w:divsChild>
                    <w:div w:id="209007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293829934">
      <w:bodyDiv w:val="1"/>
      <w:marLeft w:val="0"/>
      <w:marRight w:val="0"/>
      <w:marTop w:val="0"/>
      <w:marBottom w:val="0"/>
      <w:divBdr>
        <w:top w:val="none" w:sz="0" w:space="0" w:color="auto"/>
        <w:left w:val="none" w:sz="0" w:space="0" w:color="auto"/>
        <w:bottom w:val="none" w:sz="0" w:space="0" w:color="auto"/>
        <w:right w:val="none" w:sz="0" w:space="0" w:color="auto"/>
      </w:divBdr>
    </w:div>
    <w:div w:id="1332371352">
      <w:bodyDiv w:val="1"/>
      <w:marLeft w:val="0"/>
      <w:marRight w:val="0"/>
      <w:marTop w:val="0"/>
      <w:marBottom w:val="0"/>
      <w:divBdr>
        <w:top w:val="none" w:sz="0" w:space="0" w:color="auto"/>
        <w:left w:val="none" w:sz="0" w:space="0" w:color="auto"/>
        <w:bottom w:val="none" w:sz="0" w:space="0" w:color="auto"/>
        <w:right w:val="none" w:sz="0" w:space="0" w:color="auto"/>
      </w:divBdr>
    </w:div>
    <w:div w:id="1412893568">
      <w:bodyDiv w:val="1"/>
      <w:marLeft w:val="0"/>
      <w:marRight w:val="0"/>
      <w:marTop w:val="0"/>
      <w:marBottom w:val="0"/>
      <w:divBdr>
        <w:top w:val="none" w:sz="0" w:space="0" w:color="auto"/>
        <w:left w:val="none" w:sz="0" w:space="0" w:color="auto"/>
        <w:bottom w:val="none" w:sz="0" w:space="0" w:color="auto"/>
        <w:right w:val="none" w:sz="0" w:space="0" w:color="auto"/>
      </w:divBdr>
      <w:divsChild>
        <w:div w:id="1015499063">
          <w:marLeft w:val="0"/>
          <w:marRight w:val="0"/>
          <w:marTop w:val="0"/>
          <w:marBottom w:val="0"/>
          <w:divBdr>
            <w:top w:val="none" w:sz="0" w:space="0" w:color="auto"/>
            <w:left w:val="none" w:sz="0" w:space="0" w:color="auto"/>
            <w:bottom w:val="none" w:sz="0" w:space="0" w:color="auto"/>
            <w:right w:val="none" w:sz="0" w:space="0" w:color="auto"/>
          </w:divBdr>
          <w:divsChild>
            <w:div w:id="1552958614">
              <w:marLeft w:val="0"/>
              <w:marRight w:val="0"/>
              <w:marTop w:val="0"/>
              <w:marBottom w:val="0"/>
              <w:divBdr>
                <w:top w:val="none" w:sz="0" w:space="0" w:color="auto"/>
                <w:left w:val="none" w:sz="0" w:space="0" w:color="auto"/>
                <w:bottom w:val="none" w:sz="0" w:space="0" w:color="auto"/>
                <w:right w:val="none" w:sz="0" w:space="0" w:color="auto"/>
              </w:divBdr>
              <w:divsChild>
                <w:div w:id="62720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16365999">
      <w:bodyDiv w:val="1"/>
      <w:marLeft w:val="0"/>
      <w:marRight w:val="0"/>
      <w:marTop w:val="0"/>
      <w:marBottom w:val="0"/>
      <w:divBdr>
        <w:top w:val="none" w:sz="0" w:space="0" w:color="auto"/>
        <w:left w:val="none" w:sz="0" w:space="0" w:color="auto"/>
        <w:bottom w:val="none" w:sz="0" w:space="0" w:color="auto"/>
        <w:right w:val="none" w:sz="0" w:space="0" w:color="auto"/>
      </w:divBdr>
    </w:div>
    <w:div w:id="1427918246">
      <w:bodyDiv w:val="1"/>
      <w:marLeft w:val="0"/>
      <w:marRight w:val="0"/>
      <w:marTop w:val="0"/>
      <w:marBottom w:val="0"/>
      <w:divBdr>
        <w:top w:val="none" w:sz="0" w:space="0" w:color="auto"/>
        <w:left w:val="none" w:sz="0" w:space="0" w:color="auto"/>
        <w:bottom w:val="none" w:sz="0" w:space="0" w:color="auto"/>
        <w:right w:val="none" w:sz="0" w:space="0" w:color="auto"/>
      </w:divBdr>
    </w:div>
    <w:div w:id="1445610133">
      <w:bodyDiv w:val="1"/>
      <w:marLeft w:val="0"/>
      <w:marRight w:val="0"/>
      <w:marTop w:val="0"/>
      <w:marBottom w:val="0"/>
      <w:divBdr>
        <w:top w:val="none" w:sz="0" w:space="0" w:color="auto"/>
        <w:left w:val="none" w:sz="0" w:space="0" w:color="auto"/>
        <w:bottom w:val="none" w:sz="0" w:space="0" w:color="auto"/>
        <w:right w:val="none" w:sz="0" w:space="0" w:color="auto"/>
      </w:divBdr>
      <w:divsChild>
        <w:div w:id="1215460869">
          <w:marLeft w:val="0"/>
          <w:marRight w:val="0"/>
          <w:marTop w:val="0"/>
          <w:marBottom w:val="0"/>
          <w:divBdr>
            <w:top w:val="none" w:sz="0" w:space="0" w:color="auto"/>
            <w:left w:val="none" w:sz="0" w:space="0" w:color="auto"/>
            <w:bottom w:val="none" w:sz="0" w:space="0" w:color="auto"/>
            <w:right w:val="none" w:sz="0" w:space="0" w:color="auto"/>
          </w:divBdr>
          <w:divsChild>
            <w:div w:id="437331996">
              <w:marLeft w:val="0"/>
              <w:marRight w:val="0"/>
              <w:marTop w:val="0"/>
              <w:marBottom w:val="0"/>
              <w:divBdr>
                <w:top w:val="none" w:sz="0" w:space="0" w:color="auto"/>
                <w:left w:val="none" w:sz="0" w:space="0" w:color="auto"/>
                <w:bottom w:val="none" w:sz="0" w:space="0" w:color="auto"/>
                <w:right w:val="none" w:sz="0" w:space="0" w:color="auto"/>
              </w:divBdr>
              <w:divsChild>
                <w:div w:id="11358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21620408">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587224868">
      <w:bodyDiv w:val="1"/>
      <w:marLeft w:val="0"/>
      <w:marRight w:val="0"/>
      <w:marTop w:val="0"/>
      <w:marBottom w:val="0"/>
      <w:divBdr>
        <w:top w:val="none" w:sz="0" w:space="0" w:color="auto"/>
        <w:left w:val="none" w:sz="0" w:space="0" w:color="auto"/>
        <w:bottom w:val="none" w:sz="0" w:space="0" w:color="auto"/>
        <w:right w:val="none" w:sz="0" w:space="0" w:color="auto"/>
      </w:divBdr>
      <w:divsChild>
        <w:div w:id="1420716385">
          <w:marLeft w:val="0"/>
          <w:marRight w:val="0"/>
          <w:marTop w:val="0"/>
          <w:marBottom w:val="0"/>
          <w:divBdr>
            <w:top w:val="none" w:sz="0" w:space="0" w:color="auto"/>
            <w:left w:val="none" w:sz="0" w:space="0" w:color="auto"/>
            <w:bottom w:val="none" w:sz="0" w:space="0" w:color="auto"/>
            <w:right w:val="none" w:sz="0" w:space="0" w:color="auto"/>
          </w:divBdr>
          <w:divsChild>
            <w:div w:id="2076199570">
              <w:marLeft w:val="0"/>
              <w:marRight w:val="0"/>
              <w:marTop w:val="0"/>
              <w:marBottom w:val="0"/>
              <w:divBdr>
                <w:top w:val="none" w:sz="0" w:space="0" w:color="auto"/>
                <w:left w:val="none" w:sz="0" w:space="0" w:color="auto"/>
                <w:bottom w:val="none" w:sz="0" w:space="0" w:color="auto"/>
                <w:right w:val="none" w:sz="0" w:space="0" w:color="auto"/>
              </w:divBdr>
              <w:divsChild>
                <w:div w:id="138139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780470">
      <w:bodyDiv w:val="1"/>
      <w:marLeft w:val="0"/>
      <w:marRight w:val="0"/>
      <w:marTop w:val="0"/>
      <w:marBottom w:val="0"/>
      <w:divBdr>
        <w:top w:val="none" w:sz="0" w:space="0" w:color="auto"/>
        <w:left w:val="none" w:sz="0" w:space="0" w:color="auto"/>
        <w:bottom w:val="none" w:sz="0" w:space="0" w:color="auto"/>
        <w:right w:val="none" w:sz="0" w:space="0" w:color="auto"/>
      </w:divBdr>
    </w:div>
    <w:div w:id="1620064455">
      <w:bodyDiv w:val="1"/>
      <w:marLeft w:val="0"/>
      <w:marRight w:val="0"/>
      <w:marTop w:val="0"/>
      <w:marBottom w:val="0"/>
      <w:divBdr>
        <w:top w:val="none" w:sz="0" w:space="0" w:color="auto"/>
        <w:left w:val="none" w:sz="0" w:space="0" w:color="auto"/>
        <w:bottom w:val="none" w:sz="0" w:space="0" w:color="auto"/>
        <w:right w:val="none" w:sz="0" w:space="0" w:color="auto"/>
      </w:divBdr>
      <w:divsChild>
        <w:div w:id="1242253470">
          <w:marLeft w:val="0"/>
          <w:marRight w:val="0"/>
          <w:marTop w:val="0"/>
          <w:marBottom w:val="0"/>
          <w:divBdr>
            <w:top w:val="none" w:sz="0" w:space="0" w:color="auto"/>
            <w:left w:val="none" w:sz="0" w:space="0" w:color="auto"/>
            <w:bottom w:val="none" w:sz="0" w:space="0" w:color="auto"/>
            <w:right w:val="none" w:sz="0" w:space="0" w:color="auto"/>
          </w:divBdr>
          <w:divsChild>
            <w:div w:id="1750030688">
              <w:marLeft w:val="0"/>
              <w:marRight w:val="0"/>
              <w:marTop w:val="0"/>
              <w:marBottom w:val="0"/>
              <w:divBdr>
                <w:top w:val="none" w:sz="0" w:space="0" w:color="auto"/>
                <w:left w:val="none" w:sz="0" w:space="0" w:color="auto"/>
                <w:bottom w:val="none" w:sz="0" w:space="0" w:color="auto"/>
                <w:right w:val="none" w:sz="0" w:space="0" w:color="auto"/>
              </w:divBdr>
              <w:divsChild>
                <w:div w:id="210641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921570">
      <w:bodyDiv w:val="1"/>
      <w:marLeft w:val="0"/>
      <w:marRight w:val="0"/>
      <w:marTop w:val="0"/>
      <w:marBottom w:val="0"/>
      <w:divBdr>
        <w:top w:val="none" w:sz="0" w:space="0" w:color="auto"/>
        <w:left w:val="none" w:sz="0" w:space="0" w:color="auto"/>
        <w:bottom w:val="none" w:sz="0" w:space="0" w:color="auto"/>
        <w:right w:val="none" w:sz="0" w:space="0" w:color="auto"/>
      </w:divBdr>
      <w:divsChild>
        <w:div w:id="1170220040">
          <w:marLeft w:val="0"/>
          <w:marRight w:val="0"/>
          <w:marTop w:val="0"/>
          <w:marBottom w:val="0"/>
          <w:divBdr>
            <w:top w:val="none" w:sz="0" w:space="0" w:color="auto"/>
            <w:left w:val="none" w:sz="0" w:space="0" w:color="auto"/>
            <w:bottom w:val="none" w:sz="0" w:space="0" w:color="auto"/>
            <w:right w:val="none" w:sz="0" w:space="0" w:color="auto"/>
          </w:divBdr>
          <w:divsChild>
            <w:div w:id="813374674">
              <w:marLeft w:val="0"/>
              <w:marRight w:val="0"/>
              <w:marTop w:val="0"/>
              <w:marBottom w:val="0"/>
              <w:divBdr>
                <w:top w:val="none" w:sz="0" w:space="0" w:color="auto"/>
                <w:left w:val="none" w:sz="0" w:space="0" w:color="auto"/>
                <w:bottom w:val="none" w:sz="0" w:space="0" w:color="auto"/>
                <w:right w:val="none" w:sz="0" w:space="0" w:color="auto"/>
              </w:divBdr>
              <w:divsChild>
                <w:div w:id="2120295057">
                  <w:marLeft w:val="0"/>
                  <w:marRight w:val="0"/>
                  <w:marTop w:val="0"/>
                  <w:marBottom w:val="0"/>
                  <w:divBdr>
                    <w:top w:val="none" w:sz="0" w:space="0" w:color="auto"/>
                    <w:left w:val="none" w:sz="0" w:space="0" w:color="auto"/>
                    <w:bottom w:val="none" w:sz="0" w:space="0" w:color="auto"/>
                    <w:right w:val="none" w:sz="0" w:space="0" w:color="auto"/>
                  </w:divBdr>
                  <w:divsChild>
                    <w:div w:id="2794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480469">
      <w:bodyDiv w:val="1"/>
      <w:marLeft w:val="0"/>
      <w:marRight w:val="0"/>
      <w:marTop w:val="0"/>
      <w:marBottom w:val="0"/>
      <w:divBdr>
        <w:top w:val="none" w:sz="0" w:space="0" w:color="auto"/>
        <w:left w:val="none" w:sz="0" w:space="0" w:color="auto"/>
        <w:bottom w:val="none" w:sz="0" w:space="0" w:color="auto"/>
        <w:right w:val="none" w:sz="0" w:space="0" w:color="auto"/>
      </w:divBdr>
    </w:div>
    <w:div w:id="1670983213">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715806710">
      <w:bodyDiv w:val="1"/>
      <w:marLeft w:val="0"/>
      <w:marRight w:val="0"/>
      <w:marTop w:val="0"/>
      <w:marBottom w:val="0"/>
      <w:divBdr>
        <w:top w:val="none" w:sz="0" w:space="0" w:color="auto"/>
        <w:left w:val="none" w:sz="0" w:space="0" w:color="auto"/>
        <w:bottom w:val="none" w:sz="0" w:space="0" w:color="auto"/>
        <w:right w:val="none" w:sz="0" w:space="0" w:color="auto"/>
      </w:divBdr>
      <w:divsChild>
        <w:div w:id="398675337">
          <w:marLeft w:val="0"/>
          <w:marRight w:val="0"/>
          <w:marTop w:val="0"/>
          <w:marBottom w:val="0"/>
          <w:divBdr>
            <w:top w:val="none" w:sz="0" w:space="0" w:color="auto"/>
            <w:left w:val="none" w:sz="0" w:space="0" w:color="auto"/>
            <w:bottom w:val="none" w:sz="0" w:space="0" w:color="auto"/>
            <w:right w:val="none" w:sz="0" w:space="0" w:color="auto"/>
          </w:divBdr>
        </w:div>
        <w:div w:id="417365704">
          <w:marLeft w:val="0"/>
          <w:marRight w:val="0"/>
          <w:marTop w:val="0"/>
          <w:marBottom w:val="0"/>
          <w:divBdr>
            <w:top w:val="none" w:sz="0" w:space="0" w:color="auto"/>
            <w:left w:val="none" w:sz="0" w:space="0" w:color="auto"/>
            <w:bottom w:val="none" w:sz="0" w:space="0" w:color="auto"/>
            <w:right w:val="none" w:sz="0" w:space="0" w:color="auto"/>
          </w:divBdr>
        </w:div>
      </w:divsChild>
    </w:div>
    <w:div w:id="1727751845">
      <w:bodyDiv w:val="1"/>
      <w:marLeft w:val="0"/>
      <w:marRight w:val="0"/>
      <w:marTop w:val="0"/>
      <w:marBottom w:val="0"/>
      <w:divBdr>
        <w:top w:val="none" w:sz="0" w:space="0" w:color="auto"/>
        <w:left w:val="none" w:sz="0" w:space="0" w:color="auto"/>
        <w:bottom w:val="none" w:sz="0" w:space="0" w:color="auto"/>
        <w:right w:val="none" w:sz="0" w:space="0" w:color="auto"/>
      </w:divBdr>
      <w:divsChild>
        <w:div w:id="1733962541">
          <w:marLeft w:val="0"/>
          <w:marRight w:val="0"/>
          <w:marTop w:val="0"/>
          <w:marBottom w:val="0"/>
          <w:divBdr>
            <w:top w:val="none" w:sz="0" w:space="0" w:color="auto"/>
            <w:left w:val="none" w:sz="0" w:space="0" w:color="auto"/>
            <w:bottom w:val="none" w:sz="0" w:space="0" w:color="auto"/>
            <w:right w:val="none" w:sz="0" w:space="0" w:color="auto"/>
          </w:divBdr>
          <w:divsChild>
            <w:div w:id="1556896003">
              <w:marLeft w:val="0"/>
              <w:marRight w:val="0"/>
              <w:marTop w:val="0"/>
              <w:marBottom w:val="0"/>
              <w:divBdr>
                <w:top w:val="none" w:sz="0" w:space="0" w:color="auto"/>
                <w:left w:val="none" w:sz="0" w:space="0" w:color="auto"/>
                <w:bottom w:val="none" w:sz="0" w:space="0" w:color="auto"/>
                <w:right w:val="none" w:sz="0" w:space="0" w:color="auto"/>
              </w:divBdr>
              <w:divsChild>
                <w:div w:id="668872419">
                  <w:marLeft w:val="0"/>
                  <w:marRight w:val="0"/>
                  <w:marTop w:val="0"/>
                  <w:marBottom w:val="0"/>
                  <w:divBdr>
                    <w:top w:val="none" w:sz="0" w:space="0" w:color="auto"/>
                    <w:left w:val="none" w:sz="0" w:space="0" w:color="auto"/>
                    <w:bottom w:val="none" w:sz="0" w:space="0" w:color="auto"/>
                    <w:right w:val="none" w:sz="0" w:space="0" w:color="auto"/>
                  </w:divBdr>
                  <w:divsChild>
                    <w:div w:id="184427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914939">
      <w:bodyDiv w:val="1"/>
      <w:marLeft w:val="0"/>
      <w:marRight w:val="0"/>
      <w:marTop w:val="0"/>
      <w:marBottom w:val="0"/>
      <w:divBdr>
        <w:top w:val="none" w:sz="0" w:space="0" w:color="auto"/>
        <w:left w:val="none" w:sz="0" w:space="0" w:color="auto"/>
        <w:bottom w:val="none" w:sz="0" w:space="0" w:color="auto"/>
        <w:right w:val="none" w:sz="0" w:space="0" w:color="auto"/>
      </w:divBdr>
    </w:div>
    <w:div w:id="1738282429">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72699994">
      <w:bodyDiv w:val="1"/>
      <w:marLeft w:val="0"/>
      <w:marRight w:val="0"/>
      <w:marTop w:val="0"/>
      <w:marBottom w:val="0"/>
      <w:divBdr>
        <w:top w:val="none" w:sz="0" w:space="0" w:color="auto"/>
        <w:left w:val="none" w:sz="0" w:space="0" w:color="auto"/>
        <w:bottom w:val="none" w:sz="0" w:space="0" w:color="auto"/>
        <w:right w:val="none" w:sz="0" w:space="0" w:color="auto"/>
      </w:divBdr>
      <w:divsChild>
        <w:div w:id="192037005">
          <w:marLeft w:val="0"/>
          <w:marRight w:val="0"/>
          <w:marTop w:val="0"/>
          <w:marBottom w:val="0"/>
          <w:divBdr>
            <w:top w:val="none" w:sz="0" w:space="0" w:color="auto"/>
            <w:left w:val="none" w:sz="0" w:space="0" w:color="auto"/>
            <w:bottom w:val="none" w:sz="0" w:space="0" w:color="auto"/>
            <w:right w:val="none" w:sz="0" w:space="0" w:color="auto"/>
          </w:divBdr>
          <w:divsChild>
            <w:div w:id="1894543418">
              <w:marLeft w:val="0"/>
              <w:marRight w:val="0"/>
              <w:marTop w:val="0"/>
              <w:marBottom w:val="0"/>
              <w:divBdr>
                <w:top w:val="none" w:sz="0" w:space="0" w:color="auto"/>
                <w:left w:val="none" w:sz="0" w:space="0" w:color="auto"/>
                <w:bottom w:val="none" w:sz="0" w:space="0" w:color="auto"/>
                <w:right w:val="none" w:sz="0" w:space="0" w:color="auto"/>
              </w:divBdr>
              <w:divsChild>
                <w:div w:id="871766761">
                  <w:marLeft w:val="0"/>
                  <w:marRight w:val="0"/>
                  <w:marTop w:val="0"/>
                  <w:marBottom w:val="0"/>
                  <w:divBdr>
                    <w:top w:val="none" w:sz="0" w:space="0" w:color="auto"/>
                    <w:left w:val="none" w:sz="0" w:space="0" w:color="auto"/>
                    <w:bottom w:val="none" w:sz="0" w:space="0" w:color="auto"/>
                    <w:right w:val="none" w:sz="0" w:space="0" w:color="auto"/>
                  </w:divBdr>
                  <w:divsChild>
                    <w:div w:id="2914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623488">
      <w:bodyDiv w:val="1"/>
      <w:marLeft w:val="0"/>
      <w:marRight w:val="0"/>
      <w:marTop w:val="0"/>
      <w:marBottom w:val="0"/>
      <w:divBdr>
        <w:top w:val="none" w:sz="0" w:space="0" w:color="auto"/>
        <w:left w:val="none" w:sz="0" w:space="0" w:color="auto"/>
        <w:bottom w:val="none" w:sz="0" w:space="0" w:color="auto"/>
        <w:right w:val="none" w:sz="0" w:space="0" w:color="auto"/>
      </w:divBdr>
    </w:div>
    <w:div w:id="1780447389">
      <w:bodyDiv w:val="1"/>
      <w:marLeft w:val="0"/>
      <w:marRight w:val="0"/>
      <w:marTop w:val="0"/>
      <w:marBottom w:val="0"/>
      <w:divBdr>
        <w:top w:val="none" w:sz="0" w:space="0" w:color="auto"/>
        <w:left w:val="none" w:sz="0" w:space="0" w:color="auto"/>
        <w:bottom w:val="none" w:sz="0" w:space="0" w:color="auto"/>
        <w:right w:val="none" w:sz="0" w:space="0" w:color="auto"/>
      </w:divBdr>
    </w:div>
    <w:div w:id="1785688381">
      <w:bodyDiv w:val="1"/>
      <w:marLeft w:val="0"/>
      <w:marRight w:val="0"/>
      <w:marTop w:val="0"/>
      <w:marBottom w:val="0"/>
      <w:divBdr>
        <w:top w:val="none" w:sz="0" w:space="0" w:color="auto"/>
        <w:left w:val="none" w:sz="0" w:space="0" w:color="auto"/>
        <w:bottom w:val="none" w:sz="0" w:space="0" w:color="auto"/>
        <w:right w:val="none" w:sz="0" w:space="0" w:color="auto"/>
      </w:divBdr>
      <w:divsChild>
        <w:div w:id="772937799">
          <w:marLeft w:val="0"/>
          <w:marRight w:val="0"/>
          <w:marTop w:val="0"/>
          <w:marBottom w:val="0"/>
          <w:divBdr>
            <w:top w:val="none" w:sz="0" w:space="0" w:color="auto"/>
            <w:left w:val="none" w:sz="0" w:space="0" w:color="auto"/>
            <w:bottom w:val="none" w:sz="0" w:space="0" w:color="auto"/>
            <w:right w:val="none" w:sz="0" w:space="0" w:color="auto"/>
          </w:divBdr>
          <w:divsChild>
            <w:div w:id="1030762757">
              <w:marLeft w:val="0"/>
              <w:marRight w:val="0"/>
              <w:marTop w:val="0"/>
              <w:marBottom w:val="0"/>
              <w:divBdr>
                <w:top w:val="none" w:sz="0" w:space="0" w:color="auto"/>
                <w:left w:val="none" w:sz="0" w:space="0" w:color="auto"/>
                <w:bottom w:val="none" w:sz="0" w:space="0" w:color="auto"/>
                <w:right w:val="none" w:sz="0" w:space="0" w:color="auto"/>
              </w:divBdr>
              <w:divsChild>
                <w:div w:id="8285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1045997">
      <w:bodyDiv w:val="1"/>
      <w:marLeft w:val="0"/>
      <w:marRight w:val="0"/>
      <w:marTop w:val="0"/>
      <w:marBottom w:val="0"/>
      <w:divBdr>
        <w:top w:val="none" w:sz="0" w:space="0" w:color="auto"/>
        <w:left w:val="none" w:sz="0" w:space="0" w:color="auto"/>
        <w:bottom w:val="none" w:sz="0" w:space="0" w:color="auto"/>
        <w:right w:val="none" w:sz="0" w:space="0" w:color="auto"/>
      </w:divBdr>
      <w:divsChild>
        <w:div w:id="800464207">
          <w:marLeft w:val="0"/>
          <w:marRight w:val="0"/>
          <w:marTop w:val="0"/>
          <w:marBottom w:val="0"/>
          <w:divBdr>
            <w:top w:val="none" w:sz="0" w:space="0" w:color="auto"/>
            <w:left w:val="none" w:sz="0" w:space="0" w:color="auto"/>
            <w:bottom w:val="none" w:sz="0" w:space="0" w:color="auto"/>
            <w:right w:val="none" w:sz="0" w:space="0" w:color="auto"/>
          </w:divBdr>
          <w:divsChild>
            <w:div w:id="1593053129">
              <w:marLeft w:val="0"/>
              <w:marRight w:val="0"/>
              <w:marTop w:val="0"/>
              <w:marBottom w:val="0"/>
              <w:divBdr>
                <w:top w:val="none" w:sz="0" w:space="0" w:color="auto"/>
                <w:left w:val="none" w:sz="0" w:space="0" w:color="auto"/>
                <w:bottom w:val="none" w:sz="0" w:space="0" w:color="auto"/>
                <w:right w:val="none" w:sz="0" w:space="0" w:color="auto"/>
              </w:divBdr>
              <w:divsChild>
                <w:div w:id="132169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848517906">
      <w:bodyDiv w:val="1"/>
      <w:marLeft w:val="0"/>
      <w:marRight w:val="0"/>
      <w:marTop w:val="0"/>
      <w:marBottom w:val="0"/>
      <w:divBdr>
        <w:top w:val="none" w:sz="0" w:space="0" w:color="auto"/>
        <w:left w:val="none" w:sz="0" w:space="0" w:color="auto"/>
        <w:bottom w:val="none" w:sz="0" w:space="0" w:color="auto"/>
        <w:right w:val="none" w:sz="0" w:space="0" w:color="auto"/>
      </w:divBdr>
      <w:divsChild>
        <w:div w:id="1554075082">
          <w:marLeft w:val="0"/>
          <w:marRight w:val="0"/>
          <w:marTop w:val="0"/>
          <w:marBottom w:val="0"/>
          <w:divBdr>
            <w:top w:val="none" w:sz="0" w:space="0" w:color="auto"/>
            <w:left w:val="none" w:sz="0" w:space="0" w:color="auto"/>
            <w:bottom w:val="none" w:sz="0" w:space="0" w:color="auto"/>
            <w:right w:val="none" w:sz="0" w:space="0" w:color="auto"/>
          </w:divBdr>
          <w:divsChild>
            <w:div w:id="620720392">
              <w:marLeft w:val="0"/>
              <w:marRight w:val="0"/>
              <w:marTop w:val="0"/>
              <w:marBottom w:val="0"/>
              <w:divBdr>
                <w:top w:val="none" w:sz="0" w:space="0" w:color="auto"/>
                <w:left w:val="none" w:sz="0" w:space="0" w:color="auto"/>
                <w:bottom w:val="none" w:sz="0" w:space="0" w:color="auto"/>
                <w:right w:val="none" w:sz="0" w:space="0" w:color="auto"/>
              </w:divBdr>
              <w:divsChild>
                <w:div w:id="93929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52103">
      <w:bodyDiv w:val="1"/>
      <w:marLeft w:val="0"/>
      <w:marRight w:val="0"/>
      <w:marTop w:val="0"/>
      <w:marBottom w:val="0"/>
      <w:divBdr>
        <w:top w:val="none" w:sz="0" w:space="0" w:color="auto"/>
        <w:left w:val="none" w:sz="0" w:space="0" w:color="auto"/>
        <w:bottom w:val="none" w:sz="0" w:space="0" w:color="auto"/>
        <w:right w:val="none" w:sz="0" w:space="0" w:color="auto"/>
      </w:divBdr>
      <w:divsChild>
        <w:div w:id="1124424626">
          <w:marLeft w:val="0"/>
          <w:marRight w:val="0"/>
          <w:marTop w:val="0"/>
          <w:marBottom w:val="0"/>
          <w:divBdr>
            <w:top w:val="none" w:sz="0" w:space="0" w:color="auto"/>
            <w:left w:val="none" w:sz="0" w:space="0" w:color="auto"/>
            <w:bottom w:val="none" w:sz="0" w:space="0" w:color="auto"/>
            <w:right w:val="none" w:sz="0" w:space="0" w:color="auto"/>
          </w:divBdr>
          <w:divsChild>
            <w:div w:id="54202174">
              <w:marLeft w:val="0"/>
              <w:marRight w:val="0"/>
              <w:marTop w:val="0"/>
              <w:marBottom w:val="0"/>
              <w:divBdr>
                <w:top w:val="none" w:sz="0" w:space="0" w:color="auto"/>
                <w:left w:val="none" w:sz="0" w:space="0" w:color="auto"/>
                <w:bottom w:val="none" w:sz="0" w:space="0" w:color="auto"/>
                <w:right w:val="none" w:sz="0" w:space="0" w:color="auto"/>
              </w:divBdr>
              <w:divsChild>
                <w:div w:id="1838885707">
                  <w:marLeft w:val="0"/>
                  <w:marRight w:val="0"/>
                  <w:marTop w:val="0"/>
                  <w:marBottom w:val="0"/>
                  <w:divBdr>
                    <w:top w:val="none" w:sz="0" w:space="0" w:color="auto"/>
                    <w:left w:val="none" w:sz="0" w:space="0" w:color="auto"/>
                    <w:bottom w:val="none" w:sz="0" w:space="0" w:color="auto"/>
                    <w:right w:val="none" w:sz="0" w:space="0" w:color="auto"/>
                  </w:divBdr>
                  <w:divsChild>
                    <w:div w:id="87670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805466">
      <w:bodyDiv w:val="1"/>
      <w:marLeft w:val="0"/>
      <w:marRight w:val="0"/>
      <w:marTop w:val="0"/>
      <w:marBottom w:val="0"/>
      <w:divBdr>
        <w:top w:val="none" w:sz="0" w:space="0" w:color="auto"/>
        <w:left w:val="none" w:sz="0" w:space="0" w:color="auto"/>
        <w:bottom w:val="none" w:sz="0" w:space="0" w:color="auto"/>
        <w:right w:val="none" w:sz="0" w:space="0" w:color="auto"/>
      </w:divBdr>
      <w:divsChild>
        <w:div w:id="1677685190">
          <w:marLeft w:val="0"/>
          <w:marRight w:val="0"/>
          <w:marTop w:val="0"/>
          <w:marBottom w:val="0"/>
          <w:divBdr>
            <w:top w:val="none" w:sz="0" w:space="0" w:color="auto"/>
            <w:left w:val="none" w:sz="0" w:space="0" w:color="auto"/>
            <w:bottom w:val="none" w:sz="0" w:space="0" w:color="auto"/>
            <w:right w:val="none" w:sz="0" w:space="0" w:color="auto"/>
          </w:divBdr>
          <w:divsChild>
            <w:div w:id="165480287">
              <w:marLeft w:val="0"/>
              <w:marRight w:val="0"/>
              <w:marTop w:val="0"/>
              <w:marBottom w:val="0"/>
              <w:divBdr>
                <w:top w:val="none" w:sz="0" w:space="0" w:color="auto"/>
                <w:left w:val="none" w:sz="0" w:space="0" w:color="auto"/>
                <w:bottom w:val="none" w:sz="0" w:space="0" w:color="auto"/>
                <w:right w:val="none" w:sz="0" w:space="0" w:color="auto"/>
              </w:divBdr>
              <w:divsChild>
                <w:div w:id="14066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522">
      <w:bodyDiv w:val="1"/>
      <w:marLeft w:val="0"/>
      <w:marRight w:val="0"/>
      <w:marTop w:val="0"/>
      <w:marBottom w:val="0"/>
      <w:divBdr>
        <w:top w:val="none" w:sz="0" w:space="0" w:color="auto"/>
        <w:left w:val="none" w:sz="0" w:space="0" w:color="auto"/>
        <w:bottom w:val="none" w:sz="0" w:space="0" w:color="auto"/>
        <w:right w:val="none" w:sz="0" w:space="0" w:color="auto"/>
      </w:divBdr>
    </w:div>
    <w:div w:id="1874925213">
      <w:bodyDiv w:val="1"/>
      <w:marLeft w:val="0"/>
      <w:marRight w:val="0"/>
      <w:marTop w:val="0"/>
      <w:marBottom w:val="0"/>
      <w:divBdr>
        <w:top w:val="none" w:sz="0" w:space="0" w:color="auto"/>
        <w:left w:val="none" w:sz="0" w:space="0" w:color="auto"/>
        <w:bottom w:val="none" w:sz="0" w:space="0" w:color="auto"/>
        <w:right w:val="none" w:sz="0" w:space="0" w:color="auto"/>
      </w:divBdr>
    </w:div>
    <w:div w:id="1897426323">
      <w:bodyDiv w:val="1"/>
      <w:marLeft w:val="0"/>
      <w:marRight w:val="0"/>
      <w:marTop w:val="0"/>
      <w:marBottom w:val="0"/>
      <w:divBdr>
        <w:top w:val="none" w:sz="0" w:space="0" w:color="auto"/>
        <w:left w:val="none" w:sz="0" w:space="0" w:color="auto"/>
        <w:bottom w:val="none" w:sz="0" w:space="0" w:color="auto"/>
        <w:right w:val="none" w:sz="0" w:space="0" w:color="auto"/>
      </w:divBdr>
      <w:divsChild>
        <w:div w:id="13263832">
          <w:marLeft w:val="0"/>
          <w:marRight w:val="0"/>
          <w:marTop w:val="0"/>
          <w:marBottom w:val="0"/>
          <w:divBdr>
            <w:top w:val="none" w:sz="0" w:space="0" w:color="auto"/>
            <w:left w:val="none" w:sz="0" w:space="0" w:color="auto"/>
            <w:bottom w:val="none" w:sz="0" w:space="0" w:color="auto"/>
            <w:right w:val="none" w:sz="0" w:space="0" w:color="auto"/>
          </w:divBdr>
          <w:divsChild>
            <w:div w:id="1976911607">
              <w:marLeft w:val="0"/>
              <w:marRight w:val="0"/>
              <w:marTop w:val="0"/>
              <w:marBottom w:val="0"/>
              <w:divBdr>
                <w:top w:val="none" w:sz="0" w:space="0" w:color="auto"/>
                <w:left w:val="none" w:sz="0" w:space="0" w:color="auto"/>
                <w:bottom w:val="none" w:sz="0" w:space="0" w:color="auto"/>
                <w:right w:val="none" w:sz="0" w:space="0" w:color="auto"/>
              </w:divBdr>
              <w:divsChild>
                <w:div w:id="33773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27028924">
      <w:bodyDiv w:val="1"/>
      <w:marLeft w:val="0"/>
      <w:marRight w:val="0"/>
      <w:marTop w:val="0"/>
      <w:marBottom w:val="0"/>
      <w:divBdr>
        <w:top w:val="none" w:sz="0" w:space="0" w:color="auto"/>
        <w:left w:val="none" w:sz="0" w:space="0" w:color="auto"/>
        <w:bottom w:val="none" w:sz="0" w:space="0" w:color="auto"/>
        <w:right w:val="none" w:sz="0" w:space="0" w:color="auto"/>
      </w:divBdr>
      <w:divsChild>
        <w:div w:id="82729426">
          <w:marLeft w:val="0"/>
          <w:marRight w:val="0"/>
          <w:marTop w:val="0"/>
          <w:marBottom w:val="0"/>
          <w:divBdr>
            <w:top w:val="none" w:sz="0" w:space="0" w:color="auto"/>
            <w:left w:val="none" w:sz="0" w:space="0" w:color="auto"/>
            <w:bottom w:val="none" w:sz="0" w:space="0" w:color="auto"/>
            <w:right w:val="none" w:sz="0" w:space="0" w:color="auto"/>
          </w:divBdr>
          <w:divsChild>
            <w:div w:id="274483695">
              <w:marLeft w:val="0"/>
              <w:marRight w:val="0"/>
              <w:marTop w:val="0"/>
              <w:marBottom w:val="0"/>
              <w:divBdr>
                <w:top w:val="none" w:sz="0" w:space="0" w:color="auto"/>
                <w:left w:val="none" w:sz="0" w:space="0" w:color="auto"/>
                <w:bottom w:val="none" w:sz="0" w:space="0" w:color="auto"/>
                <w:right w:val="none" w:sz="0" w:space="0" w:color="auto"/>
              </w:divBdr>
              <w:divsChild>
                <w:div w:id="7887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407530">
      <w:bodyDiv w:val="1"/>
      <w:marLeft w:val="0"/>
      <w:marRight w:val="0"/>
      <w:marTop w:val="0"/>
      <w:marBottom w:val="0"/>
      <w:divBdr>
        <w:top w:val="none" w:sz="0" w:space="0" w:color="auto"/>
        <w:left w:val="none" w:sz="0" w:space="0" w:color="auto"/>
        <w:bottom w:val="none" w:sz="0" w:space="0" w:color="auto"/>
        <w:right w:val="none" w:sz="0" w:space="0" w:color="auto"/>
      </w:divBdr>
      <w:divsChild>
        <w:div w:id="1658608168">
          <w:marLeft w:val="0"/>
          <w:marRight w:val="0"/>
          <w:marTop w:val="0"/>
          <w:marBottom w:val="0"/>
          <w:divBdr>
            <w:top w:val="none" w:sz="0" w:space="0" w:color="auto"/>
            <w:left w:val="none" w:sz="0" w:space="0" w:color="auto"/>
            <w:bottom w:val="none" w:sz="0" w:space="0" w:color="auto"/>
            <w:right w:val="none" w:sz="0" w:space="0" w:color="auto"/>
          </w:divBdr>
        </w:div>
        <w:div w:id="1443457321">
          <w:marLeft w:val="0"/>
          <w:marRight w:val="0"/>
          <w:marTop w:val="0"/>
          <w:marBottom w:val="0"/>
          <w:divBdr>
            <w:top w:val="none" w:sz="0" w:space="0" w:color="auto"/>
            <w:left w:val="none" w:sz="0" w:space="0" w:color="auto"/>
            <w:bottom w:val="none" w:sz="0" w:space="0" w:color="auto"/>
            <w:right w:val="none" w:sz="0" w:space="0" w:color="auto"/>
          </w:divBdr>
        </w:div>
      </w:divsChild>
    </w:div>
    <w:div w:id="1941601899">
      <w:bodyDiv w:val="1"/>
      <w:marLeft w:val="0"/>
      <w:marRight w:val="0"/>
      <w:marTop w:val="0"/>
      <w:marBottom w:val="0"/>
      <w:divBdr>
        <w:top w:val="none" w:sz="0" w:space="0" w:color="auto"/>
        <w:left w:val="none" w:sz="0" w:space="0" w:color="auto"/>
        <w:bottom w:val="none" w:sz="0" w:space="0" w:color="auto"/>
        <w:right w:val="none" w:sz="0" w:space="0" w:color="auto"/>
      </w:divBdr>
    </w:div>
    <w:div w:id="1975985915">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07709829">
      <w:bodyDiv w:val="1"/>
      <w:marLeft w:val="0"/>
      <w:marRight w:val="0"/>
      <w:marTop w:val="0"/>
      <w:marBottom w:val="0"/>
      <w:divBdr>
        <w:top w:val="none" w:sz="0" w:space="0" w:color="auto"/>
        <w:left w:val="none" w:sz="0" w:space="0" w:color="auto"/>
        <w:bottom w:val="none" w:sz="0" w:space="0" w:color="auto"/>
        <w:right w:val="none" w:sz="0" w:space="0" w:color="auto"/>
      </w:divBdr>
    </w:div>
    <w:div w:id="2054844564">
      <w:bodyDiv w:val="1"/>
      <w:marLeft w:val="0"/>
      <w:marRight w:val="0"/>
      <w:marTop w:val="0"/>
      <w:marBottom w:val="0"/>
      <w:divBdr>
        <w:top w:val="none" w:sz="0" w:space="0" w:color="auto"/>
        <w:left w:val="none" w:sz="0" w:space="0" w:color="auto"/>
        <w:bottom w:val="none" w:sz="0" w:space="0" w:color="auto"/>
        <w:right w:val="none" w:sz="0" w:space="0" w:color="auto"/>
      </w:divBdr>
      <w:divsChild>
        <w:div w:id="1851143458">
          <w:marLeft w:val="0"/>
          <w:marRight w:val="0"/>
          <w:marTop w:val="0"/>
          <w:marBottom w:val="0"/>
          <w:divBdr>
            <w:top w:val="none" w:sz="0" w:space="0" w:color="auto"/>
            <w:left w:val="none" w:sz="0" w:space="0" w:color="auto"/>
            <w:bottom w:val="none" w:sz="0" w:space="0" w:color="auto"/>
            <w:right w:val="none" w:sz="0" w:space="0" w:color="auto"/>
          </w:divBdr>
          <w:divsChild>
            <w:div w:id="204294158">
              <w:marLeft w:val="0"/>
              <w:marRight w:val="0"/>
              <w:marTop w:val="0"/>
              <w:marBottom w:val="0"/>
              <w:divBdr>
                <w:top w:val="none" w:sz="0" w:space="0" w:color="auto"/>
                <w:left w:val="none" w:sz="0" w:space="0" w:color="auto"/>
                <w:bottom w:val="none" w:sz="0" w:space="0" w:color="auto"/>
                <w:right w:val="none" w:sz="0" w:space="0" w:color="auto"/>
              </w:divBdr>
              <w:divsChild>
                <w:div w:id="11483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78377">
      <w:bodyDiv w:val="1"/>
      <w:marLeft w:val="0"/>
      <w:marRight w:val="0"/>
      <w:marTop w:val="0"/>
      <w:marBottom w:val="0"/>
      <w:divBdr>
        <w:top w:val="none" w:sz="0" w:space="0" w:color="auto"/>
        <w:left w:val="none" w:sz="0" w:space="0" w:color="auto"/>
        <w:bottom w:val="none" w:sz="0" w:space="0" w:color="auto"/>
        <w:right w:val="none" w:sz="0" w:space="0" w:color="auto"/>
      </w:divBdr>
      <w:divsChild>
        <w:div w:id="1162158739">
          <w:marLeft w:val="0"/>
          <w:marRight w:val="0"/>
          <w:marTop w:val="0"/>
          <w:marBottom w:val="0"/>
          <w:divBdr>
            <w:top w:val="none" w:sz="0" w:space="0" w:color="auto"/>
            <w:left w:val="none" w:sz="0" w:space="0" w:color="auto"/>
            <w:bottom w:val="none" w:sz="0" w:space="0" w:color="auto"/>
            <w:right w:val="none" w:sz="0" w:space="0" w:color="auto"/>
          </w:divBdr>
          <w:divsChild>
            <w:div w:id="986513446">
              <w:marLeft w:val="0"/>
              <w:marRight w:val="0"/>
              <w:marTop w:val="0"/>
              <w:marBottom w:val="0"/>
              <w:divBdr>
                <w:top w:val="none" w:sz="0" w:space="0" w:color="auto"/>
                <w:left w:val="none" w:sz="0" w:space="0" w:color="auto"/>
                <w:bottom w:val="none" w:sz="0" w:space="0" w:color="auto"/>
                <w:right w:val="none" w:sz="0" w:space="0" w:color="auto"/>
              </w:divBdr>
              <w:divsChild>
                <w:div w:id="1319071997">
                  <w:marLeft w:val="0"/>
                  <w:marRight w:val="0"/>
                  <w:marTop w:val="0"/>
                  <w:marBottom w:val="0"/>
                  <w:divBdr>
                    <w:top w:val="none" w:sz="0" w:space="0" w:color="auto"/>
                    <w:left w:val="none" w:sz="0" w:space="0" w:color="auto"/>
                    <w:bottom w:val="none" w:sz="0" w:space="0" w:color="auto"/>
                    <w:right w:val="none" w:sz="0" w:space="0" w:color="auto"/>
                  </w:divBdr>
                  <w:divsChild>
                    <w:div w:id="16759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450644">
      <w:bodyDiv w:val="1"/>
      <w:marLeft w:val="0"/>
      <w:marRight w:val="0"/>
      <w:marTop w:val="0"/>
      <w:marBottom w:val="0"/>
      <w:divBdr>
        <w:top w:val="none" w:sz="0" w:space="0" w:color="auto"/>
        <w:left w:val="none" w:sz="0" w:space="0" w:color="auto"/>
        <w:bottom w:val="none" w:sz="0" w:space="0" w:color="auto"/>
        <w:right w:val="none" w:sz="0" w:space="0" w:color="auto"/>
      </w:divBdr>
      <w:divsChild>
        <w:div w:id="985478267">
          <w:marLeft w:val="0"/>
          <w:marRight w:val="0"/>
          <w:marTop w:val="0"/>
          <w:marBottom w:val="0"/>
          <w:divBdr>
            <w:top w:val="none" w:sz="0" w:space="0" w:color="auto"/>
            <w:left w:val="none" w:sz="0" w:space="0" w:color="auto"/>
            <w:bottom w:val="none" w:sz="0" w:space="0" w:color="auto"/>
            <w:right w:val="none" w:sz="0" w:space="0" w:color="auto"/>
          </w:divBdr>
          <w:divsChild>
            <w:div w:id="1886601886">
              <w:marLeft w:val="0"/>
              <w:marRight w:val="0"/>
              <w:marTop w:val="0"/>
              <w:marBottom w:val="0"/>
              <w:divBdr>
                <w:top w:val="none" w:sz="0" w:space="0" w:color="auto"/>
                <w:left w:val="none" w:sz="0" w:space="0" w:color="auto"/>
                <w:bottom w:val="none" w:sz="0" w:space="0" w:color="auto"/>
                <w:right w:val="none" w:sz="0" w:space="0" w:color="auto"/>
              </w:divBdr>
              <w:divsChild>
                <w:div w:id="55623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16363">
      <w:bodyDiv w:val="1"/>
      <w:marLeft w:val="0"/>
      <w:marRight w:val="0"/>
      <w:marTop w:val="0"/>
      <w:marBottom w:val="0"/>
      <w:divBdr>
        <w:top w:val="none" w:sz="0" w:space="0" w:color="auto"/>
        <w:left w:val="none" w:sz="0" w:space="0" w:color="auto"/>
        <w:bottom w:val="none" w:sz="0" w:space="0" w:color="auto"/>
        <w:right w:val="none" w:sz="0" w:space="0" w:color="auto"/>
      </w:divBdr>
      <w:divsChild>
        <w:div w:id="381753202">
          <w:marLeft w:val="0"/>
          <w:marRight w:val="0"/>
          <w:marTop w:val="0"/>
          <w:marBottom w:val="0"/>
          <w:divBdr>
            <w:top w:val="none" w:sz="0" w:space="0" w:color="auto"/>
            <w:left w:val="none" w:sz="0" w:space="0" w:color="auto"/>
            <w:bottom w:val="none" w:sz="0" w:space="0" w:color="auto"/>
            <w:right w:val="none" w:sz="0" w:space="0" w:color="auto"/>
          </w:divBdr>
          <w:divsChild>
            <w:div w:id="1047028847">
              <w:marLeft w:val="0"/>
              <w:marRight w:val="0"/>
              <w:marTop w:val="0"/>
              <w:marBottom w:val="0"/>
              <w:divBdr>
                <w:top w:val="none" w:sz="0" w:space="0" w:color="auto"/>
                <w:left w:val="none" w:sz="0" w:space="0" w:color="auto"/>
                <w:bottom w:val="none" w:sz="0" w:space="0" w:color="auto"/>
                <w:right w:val="none" w:sz="0" w:space="0" w:color="auto"/>
              </w:divBdr>
              <w:divsChild>
                <w:div w:id="169391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45063">
      <w:bodyDiv w:val="1"/>
      <w:marLeft w:val="0"/>
      <w:marRight w:val="0"/>
      <w:marTop w:val="0"/>
      <w:marBottom w:val="0"/>
      <w:divBdr>
        <w:top w:val="none" w:sz="0" w:space="0" w:color="auto"/>
        <w:left w:val="none" w:sz="0" w:space="0" w:color="auto"/>
        <w:bottom w:val="none" w:sz="0" w:space="0" w:color="auto"/>
        <w:right w:val="none" w:sz="0" w:space="0" w:color="auto"/>
      </w:divBdr>
      <w:divsChild>
        <w:div w:id="2124880644">
          <w:marLeft w:val="0"/>
          <w:marRight w:val="0"/>
          <w:marTop w:val="0"/>
          <w:marBottom w:val="0"/>
          <w:divBdr>
            <w:top w:val="none" w:sz="0" w:space="0" w:color="auto"/>
            <w:left w:val="none" w:sz="0" w:space="0" w:color="auto"/>
            <w:bottom w:val="none" w:sz="0" w:space="0" w:color="auto"/>
            <w:right w:val="none" w:sz="0" w:space="0" w:color="auto"/>
          </w:divBdr>
          <w:divsChild>
            <w:div w:id="766462397">
              <w:marLeft w:val="0"/>
              <w:marRight w:val="0"/>
              <w:marTop w:val="0"/>
              <w:marBottom w:val="0"/>
              <w:divBdr>
                <w:top w:val="none" w:sz="0" w:space="0" w:color="auto"/>
                <w:left w:val="none" w:sz="0" w:space="0" w:color="auto"/>
                <w:bottom w:val="none" w:sz="0" w:space="0" w:color="auto"/>
                <w:right w:val="none" w:sz="0" w:space="0" w:color="auto"/>
              </w:divBdr>
              <w:divsChild>
                <w:div w:id="1398818392">
                  <w:marLeft w:val="0"/>
                  <w:marRight w:val="0"/>
                  <w:marTop w:val="0"/>
                  <w:marBottom w:val="0"/>
                  <w:divBdr>
                    <w:top w:val="none" w:sz="0" w:space="0" w:color="auto"/>
                    <w:left w:val="none" w:sz="0" w:space="0" w:color="auto"/>
                    <w:bottom w:val="none" w:sz="0" w:space="0" w:color="auto"/>
                    <w:right w:val="none" w:sz="0" w:space="0" w:color="auto"/>
                  </w:divBdr>
                  <w:divsChild>
                    <w:div w:id="13109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270947">
      <w:bodyDiv w:val="1"/>
      <w:marLeft w:val="0"/>
      <w:marRight w:val="0"/>
      <w:marTop w:val="0"/>
      <w:marBottom w:val="0"/>
      <w:divBdr>
        <w:top w:val="none" w:sz="0" w:space="0" w:color="auto"/>
        <w:left w:val="none" w:sz="0" w:space="0" w:color="auto"/>
        <w:bottom w:val="none" w:sz="0" w:space="0" w:color="auto"/>
        <w:right w:val="none" w:sz="0" w:space="0" w:color="auto"/>
      </w:divBdr>
      <w:divsChild>
        <w:div w:id="2020309347">
          <w:marLeft w:val="0"/>
          <w:marRight w:val="0"/>
          <w:marTop w:val="0"/>
          <w:marBottom w:val="0"/>
          <w:divBdr>
            <w:top w:val="none" w:sz="0" w:space="0" w:color="auto"/>
            <w:left w:val="none" w:sz="0" w:space="0" w:color="auto"/>
            <w:bottom w:val="none" w:sz="0" w:space="0" w:color="auto"/>
            <w:right w:val="none" w:sz="0" w:space="0" w:color="auto"/>
          </w:divBdr>
          <w:divsChild>
            <w:div w:id="1646005325">
              <w:marLeft w:val="0"/>
              <w:marRight w:val="0"/>
              <w:marTop w:val="0"/>
              <w:marBottom w:val="0"/>
              <w:divBdr>
                <w:top w:val="none" w:sz="0" w:space="0" w:color="auto"/>
                <w:left w:val="none" w:sz="0" w:space="0" w:color="auto"/>
                <w:bottom w:val="none" w:sz="0" w:space="0" w:color="auto"/>
                <w:right w:val="none" w:sz="0" w:space="0" w:color="auto"/>
              </w:divBdr>
              <w:divsChild>
                <w:div w:id="942301016">
                  <w:marLeft w:val="0"/>
                  <w:marRight w:val="0"/>
                  <w:marTop w:val="0"/>
                  <w:marBottom w:val="0"/>
                  <w:divBdr>
                    <w:top w:val="none" w:sz="0" w:space="0" w:color="auto"/>
                    <w:left w:val="none" w:sz="0" w:space="0" w:color="auto"/>
                    <w:bottom w:val="none" w:sz="0" w:space="0" w:color="auto"/>
                    <w:right w:val="none" w:sz="0" w:space="0" w:color="auto"/>
                  </w:divBdr>
                  <w:divsChild>
                    <w:div w:id="43440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 w:id="2117796642">
      <w:bodyDiv w:val="1"/>
      <w:marLeft w:val="0"/>
      <w:marRight w:val="0"/>
      <w:marTop w:val="0"/>
      <w:marBottom w:val="0"/>
      <w:divBdr>
        <w:top w:val="none" w:sz="0" w:space="0" w:color="auto"/>
        <w:left w:val="none" w:sz="0" w:space="0" w:color="auto"/>
        <w:bottom w:val="none" w:sz="0" w:space="0" w:color="auto"/>
        <w:right w:val="none" w:sz="0" w:space="0" w:color="auto"/>
      </w:divBdr>
      <w:divsChild>
        <w:div w:id="313267339">
          <w:marLeft w:val="0"/>
          <w:marRight w:val="0"/>
          <w:marTop w:val="0"/>
          <w:marBottom w:val="150"/>
          <w:divBdr>
            <w:top w:val="none" w:sz="0" w:space="0" w:color="auto"/>
            <w:left w:val="none" w:sz="0" w:space="0" w:color="auto"/>
            <w:bottom w:val="none" w:sz="0" w:space="0" w:color="auto"/>
            <w:right w:val="none" w:sz="0" w:space="0" w:color="auto"/>
          </w:divBdr>
        </w:div>
        <w:div w:id="1212155040">
          <w:marLeft w:val="0"/>
          <w:marRight w:val="0"/>
          <w:marTop w:val="0"/>
          <w:marBottom w:val="225"/>
          <w:divBdr>
            <w:top w:val="none" w:sz="0" w:space="0" w:color="auto"/>
            <w:left w:val="none" w:sz="0" w:space="0" w:color="auto"/>
            <w:bottom w:val="none" w:sz="0" w:space="0" w:color="auto"/>
            <w:right w:val="none" w:sz="0" w:space="0" w:color="auto"/>
          </w:divBdr>
          <w:divsChild>
            <w:div w:id="1466191012">
              <w:marLeft w:val="0"/>
              <w:marRight w:val="0"/>
              <w:marTop w:val="0"/>
              <w:marBottom w:val="0"/>
              <w:divBdr>
                <w:top w:val="none" w:sz="0" w:space="0" w:color="auto"/>
                <w:left w:val="none" w:sz="0" w:space="0" w:color="auto"/>
                <w:bottom w:val="none" w:sz="0" w:space="0" w:color="auto"/>
                <w:right w:val="none" w:sz="0" w:space="0" w:color="auto"/>
              </w:divBdr>
              <w:divsChild>
                <w:div w:id="661003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3444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ma@lancaster.ac.uk" TargetMode="External"/><Relationship Id="rId18" Type="http://schemas.openxmlformats.org/officeDocument/2006/relationships/image" Target="media/image4.emf"/><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mailto:cwh@geodata.soton.ac.uk" TargetMode="External"/><Relationship Id="rId17" Type="http://schemas.openxmlformats.org/officeDocument/2006/relationships/image" Target="media/image3.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ary.watmough@ed.ac.uk" TargetMode="External"/><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glossaryDocument" Target="glossary/document.xml"/><Relationship Id="rId10" Type="http://schemas.openxmlformats.org/officeDocument/2006/relationships/hyperlink" Target="mailto:t.berchoux@soton.ac.uk" TargetMode="External"/><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en.wikipedia.org/wiki/Population_and_housing_censuses_by_country" TargetMode="External"/><Relationship Id="rId22" Type="http://schemas.openxmlformats.org/officeDocument/2006/relationships/image" Target="media/image8.emf"/><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2F2424FB379B44B8C4EE5BF98F62286"/>
        <w:category>
          <w:name w:val="General"/>
          <w:gallery w:val="placeholder"/>
        </w:category>
        <w:types>
          <w:type w:val="bbPlcHdr"/>
        </w:types>
        <w:behaviors>
          <w:behavior w:val="content"/>
        </w:behaviors>
        <w:guid w:val="{142014DD-AF0B-3E42-8F50-A6EC9B48D5BE}"/>
      </w:docPartPr>
      <w:docPartBody>
        <w:p w:rsidR="001105B2" w:rsidRDefault="00E569B1">
          <w:pPr>
            <w:pStyle w:val="D2F2424FB379B44B8C4EE5BF98F62286"/>
          </w:pPr>
          <w:r>
            <w:rPr>
              <w:rStyle w:val="Strong"/>
            </w:rPr>
            <w:t>[Shortened Title up to 50 Characters]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altName w:val="Arial"/>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Helvetica Neue">
    <w:charset w:val="00"/>
    <w:family w:val="auto"/>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9B1"/>
    <w:rsid w:val="00021085"/>
    <w:rsid w:val="00033490"/>
    <w:rsid w:val="00035F76"/>
    <w:rsid w:val="000654A7"/>
    <w:rsid w:val="000F44B0"/>
    <w:rsid w:val="001105B2"/>
    <w:rsid w:val="00164B4D"/>
    <w:rsid w:val="00187AA1"/>
    <w:rsid w:val="002165AE"/>
    <w:rsid w:val="00262C11"/>
    <w:rsid w:val="0029478C"/>
    <w:rsid w:val="002A6389"/>
    <w:rsid w:val="002F1448"/>
    <w:rsid w:val="00306187"/>
    <w:rsid w:val="00310F83"/>
    <w:rsid w:val="00317C7C"/>
    <w:rsid w:val="0032271C"/>
    <w:rsid w:val="00325BAE"/>
    <w:rsid w:val="0035346C"/>
    <w:rsid w:val="0037362E"/>
    <w:rsid w:val="00374EC9"/>
    <w:rsid w:val="003966C4"/>
    <w:rsid w:val="003A38D0"/>
    <w:rsid w:val="003C2D80"/>
    <w:rsid w:val="003D43A7"/>
    <w:rsid w:val="00415CCF"/>
    <w:rsid w:val="0049679F"/>
    <w:rsid w:val="004C10CF"/>
    <w:rsid w:val="004D1193"/>
    <w:rsid w:val="004E4EFC"/>
    <w:rsid w:val="004F774C"/>
    <w:rsid w:val="005022CD"/>
    <w:rsid w:val="005079BA"/>
    <w:rsid w:val="00523C79"/>
    <w:rsid w:val="00524011"/>
    <w:rsid w:val="005B1627"/>
    <w:rsid w:val="00651DBB"/>
    <w:rsid w:val="006660E9"/>
    <w:rsid w:val="00674F2B"/>
    <w:rsid w:val="00677459"/>
    <w:rsid w:val="00697DA8"/>
    <w:rsid w:val="006A03CC"/>
    <w:rsid w:val="006D4E5C"/>
    <w:rsid w:val="00760A79"/>
    <w:rsid w:val="0076135F"/>
    <w:rsid w:val="007E3FD5"/>
    <w:rsid w:val="007F2128"/>
    <w:rsid w:val="00804F7A"/>
    <w:rsid w:val="00811C79"/>
    <w:rsid w:val="008730D0"/>
    <w:rsid w:val="008801C5"/>
    <w:rsid w:val="00913219"/>
    <w:rsid w:val="00957133"/>
    <w:rsid w:val="00976F48"/>
    <w:rsid w:val="00AB3448"/>
    <w:rsid w:val="00AC78F5"/>
    <w:rsid w:val="00AE53DC"/>
    <w:rsid w:val="00B04C01"/>
    <w:rsid w:val="00B64B4F"/>
    <w:rsid w:val="00B812DF"/>
    <w:rsid w:val="00BA434B"/>
    <w:rsid w:val="00BC2CEA"/>
    <w:rsid w:val="00BE0BD3"/>
    <w:rsid w:val="00C11192"/>
    <w:rsid w:val="00C13704"/>
    <w:rsid w:val="00C50150"/>
    <w:rsid w:val="00C56504"/>
    <w:rsid w:val="00C60E8C"/>
    <w:rsid w:val="00CB3C0E"/>
    <w:rsid w:val="00CC078C"/>
    <w:rsid w:val="00CE41CE"/>
    <w:rsid w:val="00D31A3F"/>
    <w:rsid w:val="00D625B1"/>
    <w:rsid w:val="00DD2111"/>
    <w:rsid w:val="00DF0332"/>
    <w:rsid w:val="00DF1A0D"/>
    <w:rsid w:val="00E012F8"/>
    <w:rsid w:val="00E16F25"/>
    <w:rsid w:val="00E20102"/>
    <w:rsid w:val="00E37763"/>
    <w:rsid w:val="00E45245"/>
    <w:rsid w:val="00E50377"/>
    <w:rsid w:val="00E569B1"/>
    <w:rsid w:val="00EB2C48"/>
    <w:rsid w:val="00EE4014"/>
    <w:rsid w:val="00F07D49"/>
    <w:rsid w:val="00F27A90"/>
    <w:rsid w:val="00F571FB"/>
    <w:rsid w:val="00F74B57"/>
    <w:rsid w:val="00F8079E"/>
    <w:rsid w:val="00F823A6"/>
    <w:rsid w:val="00F8619B"/>
    <w:rsid w:val="00F90000"/>
    <w:rsid w:val="00FC783A"/>
    <w:rsid w:val="00FD6836"/>
    <w:rsid w:val="00FD7A63"/>
    <w:rsid w:val="00FE765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276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4"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A00EFA242BBD43B8CF0E1C2EB7E175">
    <w:name w:val="35A00EFA242BBD43B8CF0E1C2EB7E175"/>
  </w:style>
  <w:style w:type="paragraph" w:customStyle="1" w:styleId="1FE79E7484918044B7A5E5DE2AF71F5F">
    <w:name w:val="1FE79E7484918044B7A5E5DE2AF71F5F"/>
  </w:style>
  <w:style w:type="paragraph" w:customStyle="1" w:styleId="34638CDEA8074B4390E11E5185D1E005">
    <w:name w:val="34638CDEA8074B4390E11E5185D1E005"/>
  </w:style>
  <w:style w:type="paragraph" w:customStyle="1" w:styleId="2B644FA0DED0074F84A1AE4320C38315">
    <w:name w:val="2B644FA0DED0074F84A1AE4320C38315"/>
  </w:style>
  <w:style w:type="paragraph" w:customStyle="1" w:styleId="8D21F30105483644AFEAA2E7E25E84CD">
    <w:name w:val="8D21F30105483644AFEAA2E7E25E84CD"/>
  </w:style>
  <w:style w:type="paragraph" w:customStyle="1" w:styleId="71F2D4D806A29542846E5E686EDEFEB6">
    <w:name w:val="71F2D4D806A29542846E5E686EDEFEB6"/>
  </w:style>
  <w:style w:type="character" w:styleId="Emphasis">
    <w:name w:val="Emphasis"/>
    <w:basedOn w:val="DefaultParagraphFont"/>
    <w:uiPriority w:val="4"/>
    <w:unhideWhenUsed/>
    <w:qFormat/>
    <w:rPr>
      <w:i/>
      <w:iCs/>
    </w:rPr>
  </w:style>
  <w:style w:type="paragraph" w:customStyle="1" w:styleId="D8A9EFE093F065408D7EC5BB22DD86A7">
    <w:name w:val="D8A9EFE093F065408D7EC5BB22DD86A7"/>
  </w:style>
  <w:style w:type="paragraph" w:customStyle="1" w:styleId="C3D3F190304A1A40BD72FAC2CF9A87F6">
    <w:name w:val="C3D3F190304A1A40BD72FAC2CF9A87F6"/>
  </w:style>
  <w:style w:type="paragraph" w:customStyle="1" w:styleId="06356EB80A8F5C46AFCB9B4FF9905351">
    <w:name w:val="06356EB80A8F5C46AFCB9B4FF9905351"/>
  </w:style>
  <w:style w:type="paragraph" w:customStyle="1" w:styleId="6CD4C05C4BD48042A7A06ED2B333EED0">
    <w:name w:val="6CD4C05C4BD48042A7A06ED2B333EED0"/>
  </w:style>
  <w:style w:type="paragraph" w:customStyle="1" w:styleId="05C885C86888B14AAEF86C24054DAFC1">
    <w:name w:val="05C885C86888B14AAEF86C24054DAFC1"/>
  </w:style>
  <w:style w:type="paragraph" w:customStyle="1" w:styleId="BD9D04CDEA259B47B19BF139020EB9C4">
    <w:name w:val="BD9D04CDEA259B47B19BF139020EB9C4"/>
  </w:style>
  <w:style w:type="paragraph" w:customStyle="1" w:styleId="6AB92CF73E355943AAD0F43160D238F8">
    <w:name w:val="6AB92CF73E355943AAD0F43160D238F8"/>
  </w:style>
  <w:style w:type="paragraph" w:customStyle="1" w:styleId="D5B29778B43B89488C0E850C4B46616A">
    <w:name w:val="D5B29778B43B89488C0E850C4B46616A"/>
  </w:style>
  <w:style w:type="paragraph" w:customStyle="1" w:styleId="ADB327A4C94BD7448DBBBAEF4F6C1A11">
    <w:name w:val="ADB327A4C94BD7448DBBBAEF4F6C1A11"/>
  </w:style>
  <w:style w:type="paragraph" w:customStyle="1" w:styleId="3D6DB789E26FEA48AF280AFF3FB093DD">
    <w:name w:val="3D6DB789E26FEA48AF280AFF3FB093DD"/>
  </w:style>
  <w:style w:type="paragraph" w:customStyle="1" w:styleId="5CF81103114FB849A717278BBF12D845">
    <w:name w:val="5CF81103114FB849A717278BBF12D845"/>
  </w:style>
  <w:style w:type="paragraph" w:customStyle="1" w:styleId="821E4507C07CA649AAAC9AEDAFF3A2B1">
    <w:name w:val="821E4507C07CA649AAAC9AEDAFF3A2B1"/>
  </w:style>
  <w:style w:type="paragraph" w:customStyle="1" w:styleId="01F53A1A13D6914494EF80393A490C2F">
    <w:name w:val="01F53A1A13D6914494EF80393A490C2F"/>
  </w:style>
  <w:style w:type="paragraph" w:customStyle="1" w:styleId="A2CE7C40DB353346B522AC63213D8802">
    <w:name w:val="A2CE7C40DB353346B522AC63213D8802"/>
  </w:style>
  <w:style w:type="paragraph" w:customStyle="1" w:styleId="953E01E6DE35B143AF533081856731C8">
    <w:name w:val="953E01E6DE35B143AF533081856731C8"/>
  </w:style>
  <w:style w:type="paragraph" w:customStyle="1" w:styleId="5B0B992F6E58BB4C84BE5ABE437DE68C">
    <w:name w:val="5B0B992F6E58BB4C84BE5ABE437DE68C"/>
  </w:style>
  <w:style w:type="paragraph" w:customStyle="1" w:styleId="9ACD80668C3D0F4D8979E3FFC073D552">
    <w:name w:val="9ACD80668C3D0F4D8979E3FFC073D552"/>
  </w:style>
  <w:style w:type="paragraph" w:customStyle="1" w:styleId="52823722DCD7C641AAC717BDC3AED4D4">
    <w:name w:val="52823722DCD7C641AAC717BDC3AED4D4"/>
  </w:style>
  <w:style w:type="paragraph" w:customStyle="1" w:styleId="F998228205FD0D4C85E790041DCE51D2">
    <w:name w:val="F998228205FD0D4C85E790041DCE51D2"/>
  </w:style>
  <w:style w:type="paragraph" w:customStyle="1" w:styleId="4702F81A93C2CC4BB68BF7C592236B7C">
    <w:name w:val="4702F81A93C2CC4BB68BF7C592236B7C"/>
  </w:style>
  <w:style w:type="paragraph" w:customStyle="1" w:styleId="DEF0A0AFF87ACC438A35324143D66374">
    <w:name w:val="DEF0A0AFF87ACC438A35324143D66374"/>
  </w:style>
  <w:style w:type="paragraph" w:customStyle="1" w:styleId="79DC0467B5B5BC44B7E1A6862FAE1247">
    <w:name w:val="79DC0467B5B5BC44B7E1A6862FAE1247"/>
  </w:style>
  <w:style w:type="paragraph" w:customStyle="1" w:styleId="32401BA0916B8C44AF825B3229C05515">
    <w:name w:val="32401BA0916B8C44AF825B3229C05515"/>
  </w:style>
  <w:style w:type="paragraph" w:customStyle="1" w:styleId="03199B8584296A4BB11AA3798F7A92CE">
    <w:name w:val="03199B8584296A4BB11AA3798F7A92CE"/>
  </w:style>
  <w:style w:type="paragraph" w:customStyle="1" w:styleId="476AB89DC938D543A010B186EEEF69C1">
    <w:name w:val="476AB89DC938D543A010B186EEEF69C1"/>
  </w:style>
  <w:style w:type="paragraph" w:customStyle="1" w:styleId="AFD5740D6297C64CB211D0B09EA59F24">
    <w:name w:val="AFD5740D6297C64CB211D0B09EA59F24"/>
  </w:style>
  <w:style w:type="paragraph" w:customStyle="1" w:styleId="A9C5A48AB4E88D45B6F5343AD3E74309">
    <w:name w:val="A9C5A48AB4E88D45B6F5343AD3E74309"/>
  </w:style>
  <w:style w:type="paragraph" w:customStyle="1" w:styleId="41FBC58C2724DB4C8C6C9EC96AB2027D">
    <w:name w:val="41FBC58C2724DB4C8C6C9EC96AB2027D"/>
  </w:style>
  <w:style w:type="paragraph" w:customStyle="1" w:styleId="3EC7D4974F96EF42A62FC715FE7FBDAB">
    <w:name w:val="3EC7D4974F96EF42A62FC715FE7FBDAB"/>
  </w:style>
  <w:style w:type="paragraph" w:customStyle="1" w:styleId="CB43B1A838437C4AA2B3A37539C09696">
    <w:name w:val="CB43B1A838437C4AA2B3A37539C09696"/>
  </w:style>
  <w:style w:type="paragraph" w:customStyle="1" w:styleId="64162B51CF7517448CE43E02D31FE99A">
    <w:name w:val="64162B51CF7517448CE43E02D31FE99A"/>
  </w:style>
  <w:style w:type="paragraph" w:customStyle="1" w:styleId="CC0AB6DB75A6554DABBFEDBA2B68C0DE">
    <w:name w:val="CC0AB6DB75A6554DABBFEDBA2B68C0DE"/>
  </w:style>
  <w:style w:type="paragraph" w:customStyle="1" w:styleId="04C24335FCFEFF468BFF6EC4CA04CB15">
    <w:name w:val="04C24335FCFEFF468BFF6EC4CA04CB15"/>
  </w:style>
  <w:style w:type="paragraph" w:customStyle="1" w:styleId="A3561295A7095F4EA3D68C8610E1391B">
    <w:name w:val="A3561295A7095F4EA3D68C8610E1391B"/>
  </w:style>
  <w:style w:type="paragraph" w:customStyle="1" w:styleId="7420754FD69EAA4BAE754BBF3E3AD322">
    <w:name w:val="7420754FD69EAA4BAE754BBF3E3AD322"/>
  </w:style>
  <w:style w:type="paragraph" w:customStyle="1" w:styleId="868D75B8D18EF24293257A721A0EAC10">
    <w:name w:val="868D75B8D18EF24293257A721A0EAC10"/>
  </w:style>
  <w:style w:type="paragraph" w:customStyle="1" w:styleId="013CE75CF9D1974C9377331950F716B3">
    <w:name w:val="013CE75CF9D1974C9377331950F716B3"/>
  </w:style>
  <w:style w:type="paragraph" w:customStyle="1" w:styleId="C136D70BAE52C043BEFA5BD906241C76">
    <w:name w:val="C136D70BAE52C043BEFA5BD906241C76"/>
  </w:style>
  <w:style w:type="paragraph" w:customStyle="1" w:styleId="AD7CDDEB75127C47B93D5F76ACE2D518">
    <w:name w:val="AD7CDDEB75127C47B93D5F76ACE2D518"/>
  </w:style>
  <w:style w:type="paragraph" w:customStyle="1" w:styleId="C2D2957631B47447B74CA7CF02CD8BF5">
    <w:name w:val="C2D2957631B47447B74CA7CF02CD8BF5"/>
  </w:style>
  <w:style w:type="paragraph" w:customStyle="1" w:styleId="328AC2D6C4249A4FB8A6367749B6F062">
    <w:name w:val="328AC2D6C4249A4FB8A6367749B6F062"/>
  </w:style>
  <w:style w:type="paragraph" w:customStyle="1" w:styleId="9E65171FB181B44EB8D3594C64F364A9">
    <w:name w:val="9E65171FB181B44EB8D3594C64F364A9"/>
  </w:style>
  <w:style w:type="paragraph" w:customStyle="1" w:styleId="0F3ABDD0F8A39A49B569ECE9B50262F0">
    <w:name w:val="0F3ABDD0F8A39A49B569ECE9B50262F0"/>
  </w:style>
  <w:style w:type="paragraph" w:customStyle="1" w:styleId="31C5CDC42AA6F84BB5AB10A8976F830A">
    <w:name w:val="31C5CDC42AA6F84BB5AB10A8976F830A"/>
  </w:style>
  <w:style w:type="paragraph" w:customStyle="1" w:styleId="6261A85F7D4C70468D832B1920C0C8B4">
    <w:name w:val="6261A85F7D4C70468D832B1920C0C8B4"/>
  </w:style>
  <w:style w:type="paragraph" w:customStyle="1" w:styleId="D9563D4BEF4DB0448BFF33F11A7B1C7F">
    <w:name w:val="D9563D4BEF4DB0448BFF33F11A7B1C7F"/>
  </w:style>
  <w:style w:type="paragraph" w:customStyle="1" w:styleId="5EC902343F2357499D8CBC904E7FD136">
    <w:name w:val="5EC902343F2357499D8CBC904E7FD136"/>
  </w:style>
  <w:style w:type="paragraph" w:customStyle="1" w:styleId="8937C9C599108549B3723EEF5B9783C7">
    <w:name w:val="8937C9C599108549B3723EEF5B9783C7"/>
  </w:style>
  <w:style w:type="paragraph" w:customStyle="1" w:styleId="1A32B0AEA66A8E4CAEB401E5B32ED833">
    <w:name w:val="1A32B0AEA66A8E4CAEB401E5B32ED833"/>
  </w:style>
  <w:style w:type="paragraph" w:customStyle="1" w:styleId="5BE0ADFFEE6254469513A921E2965FC7">
    <w:name w:val="5BE0ADFFEE6254469513A921E2965FC7"/>
  </w:style>
  <w:style w:type="paragraph" w:customStyle="1" w:styleId="56ADA96C93CD854AAB6BC2D17318A5C7">
    <w:name w:val="56ADA96C93CD854AAB6BC2D17318A5C7"/>
  </w:style>
  <w:style w:type="paragraph" w:customStyle="1" w:styleId="FA364BD611F85D4DB1CA7E2BF4571E0D">
    <w:name w:val="FA364BD611F85D4DB1CA7E2BF4571E0D"/>
  </w:style>
  <w:style w:type="paragraph" w:customStyle="1" w:styleId="83DB0C0FAA8D60418A2B18336590254B">
    <w:name w:val="83DB0C0FAA8D60418A2B18336590254B"/>
  </w:style>
  <w:style w:type="paragraph" w:customStyle="1" w:styleId="D2AEF1ABFB5F294EA03492A311B2121B">
    <w:name w:val="D2AEF1ABFB5F294EA03492A311B2121B"/>
  </w:style>
  <w:style w:type="paragraph" w:customStyle="1" w:styleId="B095701E2BCB8345A1A4BDD21664E1B9">
    <w:name w:val="B095701E2BCB8345A1A4BDD21664E1B9"/>
  </w:style>
  <w:style w:type="paragraph" w:customStyle="1" w:styleId="D5A34EADB459774297F575C595AD83B0">
    <w:name w:val="D5A34EADB459774297F575C595AD83B0"/>
  </w:style>
  <w:style w:type="paragraph" w:customStyle="1" w:styleId="8B6E2411C42EEE499DECBFCAC2EF23DD">
    <w:name w:val="8B6E2411C42EEE499DECBFCAC2EF23DD"/>
  </w:style>
  <w:style w:type="character" w:styleId="Strong">
    <w:name w:val="Strong"/>
    <w:basedOn w:val="DefaultParagraphFont"/>
    <w:uiPriority w:val="22"/>
    <w:unhideWhenUsed/>
    <w:qFormat/>
    <w:rsid w:val="00AB3448"/>
    <w:rPr>
      <w:b w:val="0"/>
      <w:bCs w:val="0"/>
      <w:caps/>
      <w:smallCaps w:val="0"/>
    </w:rPr>
  </w:style>
  <w:style w:type="paragraph" w:customStyle="1" w:styleId="D2F2424FB379B44B8C4EE5BF98F62286">
    <w:name w:val="D2F2424FB379B44B8C4EE5BF98F62286"/>
  </w:style>
  <w:style w:type="paragraph" w:customStyle="1" w:styleId="80F48C486AF5934994DD715719C5A342">
    <w:name w:val="80F48C486AF5934994DD715719C5A342"/>
  </w:style>
  <w:style w:type="character" w:styleId="PlaceholderText">
    <w:name w:val="Placeholder Text"/>
    <w:basedOn w:val="DefaultParagraphFont"/>
    <w:uiPriority w:val="99"/>
    <w:semiHidden/>
    <w:rsid w:val="00F8619B"/>
    <w:rPr>
      <w:color w:val="404040" w:themeColor="text1" w:themeTint="BF"/>
    </w:rPr>
  </w:style>
  <w:style w:type="paragraph" w:customStyle="1" w:styleId="EAE4713C5AA75F4AA6610ED3DC1B4636">
    <w:name w:val="EAE4713C5AA75F4AA6610ED3DC1B4636"/>
    <w:rsid w:val="00AB3448"/>
    <w:rPr>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4"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A00EFA242BBD43B8CF0E1C2EB7E175">
    <w:name w:val="35A00EFA242BBD43B8CF0E1C2EB7E175"/>
  </w:style>
  <w:style w:type="paragraph" w:customStyle="1" w:styleId="1FE79E7484918044B7A5E5DE2AF71F5F">
    <w:name w:val="1FE79E7484918044B7A5E5DE2AF71F5F"/>
  </w:style>
  <w:style w:type="paragraph" w:customStyle="1" w:styleId="34638CDEA8074B4390E11E5185D1E005">
    <w:name w:val="34638CDEA8074B4390E11E5185D1E005"/>
  </w:style>
  <w:style w:type="paragraph" w:customStyle="1" w:styleId="2B644FA0DED0074F84A1AE4320C38315">
    <w:name w:val="2B644FA0DED0074F84A1AE4320C38315"/>
  </w:style>
  <w:style w:type="paragraph" w:customStyle="1" w:styleId="8D21F30105483644AFEAA2E7E25E84CD">
    <w:name w:val="8D21F30105483644AFEAA2E7E25E84CD"/>
  </w:style>
  <w:style w:type="paragraph" w:customStyle="1" w:styleId="71F2D4D806A29542846E5E686EDEFEB6">
    <w:name w:val="71F2D4D806A29542846E5E686EDEFEB6"/>
  </w:style>
  <w:style w:type="character" w:styleId="Emphasis">
    <w:name w:val="Emphasis"/>
    <w:basedOn w:val="DefaultParagraphFont"/>
    <w:uiPriority w:val="4"/>
    <w:unhideWhenUsed/>
    <w:qFormat/>
    <w:rPr>
      <w:i/>
      <w:iCs/>
    </w:rPr>
  </w:style>
  <w:style w:type="paragraph" w:customStyle="1" w:styleId="D8A9EFE093F065408D7EC5BB22DD86A7">
    <w:name w:val="D8A9EFE093F065408D7EC5BB22DD86A7"/>
  </w:style>
  <w:style w:type="paragraph" w:customStyle="1" w:styleId="C3D3F190304A1A40BD72FAC2CF9A87F6">
    <w:name w:val="C3D3F190304A1A40BD72FAC2CF9A87F6"/>
  </w:style>
  <w:style w:type="paragraph" w:customStyle="1" w:styleId="06356EB80A8F5C46AFCB9B4FF9905351">
    <w:name w:val="06356EB80A8F5C46AFCB9B4FF9905351"/>
  </w:style>
  <w:style w:type="paragraph" w:customStyle="1" w:styleId="6CD4C05C4BD48042A7A06ED2B333EED0">
    <w:name w:val="6CD4C05C4BD48042A7A06ED2B333EED0"/>
  </w:style>
  <w:style w:type="paragraph" w:customStyle="1" w:styleId="05C885C86888B14AAEF86C24054DAFC1">
    <w:name w:val="05C885C86888B14AAEF86C24054DAFC1"/>
  </w:style>
  <w:style w:type="paragraph" w:customStyle="1" w:styleId="BD9D04CDEA259B47B19BF139020EB9C4">
    <w:name w:val="BD9D04CDEA259B47B19BF139020EB9C4"/>
  </w:style>
  <w:style w:type="paragraph" w:customStyle="1" w:styleId="6AB92CF73E355943AAD0F43160D238F8">
    <w:name w:val="6AB92CF73E355943AAD0F43160D238F8"/>
  </w:style>
  <w:style w:type="paragraph" w:customStyle="1" w:styleId="D5B29778B43B89488C0E850C4B46616A">
    <w:name w:val="D5B29778B43B89488C0E850C4B46616A"/>
  </w:style>
  <w:style w:type="paragraph" w:customStyle="1" w:styleId="ADB327A4C94BD7448DBBBAEF4F6C1A11">
    <w:name w:val="ADB327A4C94BD7448DBBBAEF4F6C1A11"/>
  </w:style>
  <w:style w:type="paragraph" w:customStyle="1" w:styleId="3D6DB789E26FEA48AF280AFF3FB093DD">
    <w:name w:val="3D6DB789E26FEA48AF280AFF3FB093DD"/>
  </w:style>
  <w:style w:type="paragraph" w:customStyle="1" w:styleId="5CF81103114FB849A717278BBF12D845">
    <w:name w:val="5CF81103114FB849A717278BBF12D845"/>
  </w:style>
  <w:style w:type="paragraph" w:customStyle="1" w:styleId="821E4507C07CA649AAAC9AEDAFF3A2B1">
    <w:name w:val="821E4507C07CA649AAAC9AEDAFF3A2B1"/>
  </w:style>
  <w:style w:type="paragraph" w:customStyle="1" w:styleId="01F53A1A13D6914494EF80393A490C2F">
    <w:name w:val="01F53A1A13D6914494EF80393A490C2F"/>
  </w:style>
  <w:style w:type="paragraph" w:customStyle="1" w:styleId="A2CE7C40DB353346B522AC63213D8802">
    <w:name w:val="A2CE7C40DB353346B522AC63213D8802"/>
  </w:style>
  <w:style w:type="paragraph" w:customStyle="1" w:styleId="953E01E6DE35B143AF533081856731C8">
    <w:name w:val="953E01E6DE35B143AF533081856731C8"/>
  </w:style>
  <w:style w:type="paragraph" w:customStyle="1" w:styleId="5B0B992F6E58BB4C84BE5ABE437DE68C">
    <w:name w:val="5B0B992F6E58BB4C84BE5ABE437DE68C"/>
  </w:style>
  <w:style w:type="paragraph" w:customStyle="1" w:styleId="9ACD80668C3D0F4D8979E3FFC073D552">
    <w:name w:val="9ACD80668C3D0F4D8979E3FFC073D552"/>
  </w:style>
  <w:style w:type="paragraph" w:customStyle="1" w:styleId="52823722DCD7C641AAC717BDC3AED4D4">
    <w:name w:val="52823722DCD7C641AAC717BDC3AED4D4"/>
  </w:style>
  <w:style w:type="paragraph" w:customStyle="1" w:styleId="F998228205FD0D4C85E790041DCE51D2">
    <w:name w:val="F998228205FD0D4C85E790041DCE51D2"/>
  </w:style>
  <w:style w:type="paragraph" w:customStyle="1" w:styleId="4702F81A93C2CC4BB68BF7C592236B7C">
    <w:name w:val="4702F81A93C2CC4BB68BF7C592236B7C"/>
  </w:style>
  <w:style w:type="paragraph" w:customStyle="1" w:styleId="DEF0A0AFF87ACC438A35324143D66374">
    <w:name w:val="DEF0A0AFF87ACC438A35324143D66374"/>
  </w:style>
  <w:style w:type="paragraph" w:customStyle="1" w:styleId="79DC0467B5B5BC44B7E1A6862FAE1247">
    <w:name w:val="79DC0467B5B5BC44B7E1A6862FAE1247"/>
  </w:style>
  <w:style w:type="paragraph" w:customStyle="1" w:styleId="32401BA0916B8C44AF825B3229C05515">
    <w:name w:val="32401BA0916B8C44AF825B3229C05515"/>
  </w:style>
  <w:style w:type="paragraph" w:customStyle="1" w:styleId="03199B8584296A4BB11AA3798F7A92CE">
    <w:name w:val="03199B8584296A4BB11AA3798F7A92CE"/>
  </w:style>
  <w:style w:type="paragraph" w:customStyle="1" w:styleId="476AB89DC938D543A010B186EEEF69C1">
    <w:name w:val="476AB89DC938D543A010B186EEEF69C1"/>
  </w:style>
  <w:style w:type="paragraph" w:customStyle="1" w:styleId="AFD5740D6297C64CB211D0B09EA59F24">
    <w:name w:val="AFD5740D6297C64CB211D0B09EA59F24"/>
  </w:style>
  <w:style w:type="paragraph" w:customStyle="1" w:styleId="A9C5A48AB4E88D45B6F5343AD3E74309">
    <w:name w:val="A9C5A48AB4E88D45B6F5343AD3E74309"/>
  </w:style>
  <w:style w:type="paragraph" w:customStyle="1" w:styleId="41FBC58C2724DB4C8C6C9EC96AB2027D">
    <w:name w:val="41FBC58C2724DB4C8C6C9EC96AB2027D"/>
  </w:style>
  <w:style w:type="paragraph" w:customStyle="1" w:styleId="3EC7D4974F96EF42A62FC715FE7FBDAB">
    <w:name w:val="3EC7D4974F96EF42A62FC715FE7FBDAB"/>
  </w:style>
  <w:style w:type="paragraph" w:customStyle="1" w:styleId="CB43B1A838437C4AA2B3A37539C09696">
    <w:name w:val="CB43B1A838437C4AA2B3A37539C09696"/>
  </w:style>
  <w:style w:type="paragraph" w:customStyle="1" w:styleId="64162B51CF7517448CE43E02D31FE99A">
    <w:name w:val="64162B51CF7517448CE43E02D31FE99A"/>
  </w:style>
  <w:style w:type="paragraph" w:customStyle="1" w:styleId="CC0AB6DB75A6554DABBFEDBA2B68C0DE">
    <w:name w:val="CC0AB6DB75A6554DABBFEDBA2B68C0DE"/>
  </w:style>
  <w:style w:type="paragraph" w:customStyle="1" w:styleId="04C24335FCFEFF468BFF6EC4CA04CB15">
    <w:name w:val="04C24335FCFEFF468BFF6EC4CA04CB15"/>
  </w:style>
  <w:style w:type="paragraph" w:customStyle="1" w:styleId="A3561295A7095F4EA3D68C8610E1391B">
    <w:name w:val="A3561295A7095F4EA3D68C8610E1391B"/>
  </w:style>
  <w:style w:type="paragraph" w:customStyle="1" w:styleId="7420754FD69EAA4BAE754BBF3E3AD322">
    <w:name w:val="7420754FD69EAA4BAE754BBF3E3AD322"/>
  </w:style>
  <w:style w:type="paragraph" w:customStyle="1" w:styleId="868D75B8D18EF24293257A721A0EAC10">
    <w:name w:val="868D75B8D18EF24293257A721A0EAC10"/>
  </w:style>
  <w:style w:type="paragraph" w:customStyle="1" w:styleId="013CE75CF9D1974C9377331950F716B3">
    <w:name w:val="013CE75CF9D1974C9377331950F716B3"/>
  </w:style>
  <w:style w:type="paragraph" w:customStyle="1" w:styleId="C136D70BAE52C043BEFA5BD906241C76">
    <w:name w:val="C136D70BAE52C043BEFA5BD906241C76"/>
  </w:style>
  <w:style w:type="paragraph" w:customStyle="1" w:styleId="AD7CDDEB75127C47B93D5F76ACE2D518">
    <w:name w:val="AD7CDDEB75127C47B93D5F76ACE2D518"/>
  </w:style>
  <w:style w:type="paragraph" w:customStyle="1" w:styleId="C2D2957631B47447B74CA7CF02CD8BF5">
    <w:name w:val="C2D2957631B47447B74CA7CF02CD8BF5"/>
  </w:style>
  <w:style w:type="paragraph" w:customStyle="1" w:styleId="328AC2D6C4249A4FB8A6367749B6F062">
    <w:name w:val="328AC2D6C4249A4FB8A6367749B6F062"/>
  </w:style>
  <w:style w:type="paragraph" w:customStyle="1" w:styleId="9E65171FB181B44EB8D3594C64F364A9">
    <w:name w:val="9E65171FB181B44EB8D3594C64F364A9"/>
  </w:style>
  <w:style w:type="paragraph" w:customStyle="1" w:styleId="0F3ABDD0F8A39A49B569ECE9B50262F0">
    <w:name w:val="0F3ABDD0F8A39A49B569ECE9B50262F0"/>
  </w:style>
  <w:style w:type="paragraph" w:customStyle="1" w:styleId="31C5CDC42AA6F84BB5AB10A8976F830A">
    <w:name w:val="31C5CDC42AA6F84BB5AB10A8976F830A"/>
  </w:style>
  <w:style w:type="paragraph" w:customStyle="1" w:styleId="6261A85F7D4C70468D832B1920C0C8B4">
    <w:name w:val="6261A85F7D4C70468D832B1920C0C8B4"/>
  </w:style>
  <w:style w:type="paragraph" w:customStyle="1" w:styleId="D9563D4BEF4DB0448BFF33F11A7B1C7F">
    <w:name w:val="D9563D4BEF4DB0448BFF33F11A7B1C7F"/>
  </w:style>
  <w:style w:type="paragraph" w:customStyle="1" w:styleId="5EC902343F2357499D8CBC904E7FD136">
    <w:name w:val="5EC902343F2357499D8CBC904E7FD136"/>
  </w:style>
  <w:style w:type="paragraph" w:customStyle="1" w:styleId="8937C9C599108549B3723EEF5B9783C7">
    <w:name w:val="8937C9C599108549B3723EEF5B9783C7"/>
  </w:style>
  <w:style w:type="paragraph" w:customStyle="1" w:styleId="1A32B0AEA66A8E4CAEB401E5B32ED833">
    <w:name w:val="1A32B0AEA66A8E4CAEB401E5B32ED833"/>
  </w:style>
  <w:style w:type="paragraph" w:customStyle="1" w:styleId="5BE0ADFFEE6254469513A921E2965FC7">
    <w:name w:val="5BE0ADFFEE6254469513A921E2965FC7"/>
  </w:style>
  <w:style w:type="paragraph" w:customStyle="1" w:styleId="56ADA96C93CD854AAB6BC2D17318A5C7">
    <w:name w:val="56ADA96C93CD854AAB6BC2D17318A5C7"/>
  </w:style>
  <w:style w:type="paragraph" w:customStyle="1" w:styleId="FA364BD611F85D4DB1CA7E2BF4571E0D">
    <w:name w:val="FA364BD611F85D4DB1CA7E2BF4571E0D"/>
  </w:style>
  <w:style w:type="paragraph" w:customStyle="1" w:styleId="83DB0C0FAA8D60418A2B18336590254B">
    <w:name w:val="83DB0C0FAA8D60418A2B18336590254B"/>
  </w:style>
  <w:style w:type="paragraph" w:customStyle="1" w:styleId="D2AEF1ABFB5F294EA03492A311B2121B">
    <w:name w:val="D2AEF1ABFB5F294EA03492A311B2121B"/>
  </w:style>
  <w:style w:type="paragraph" w:customStyle="1" w:styleId="B095701E2BCB8345A1A4BDD21664E1B9">
    <w:name w:val="B095701E2BCB8345A1A4BDD21664E1B9"/>
  </w:style>
  <w:style w:type="paragraph" w:customStyle="1" w:styleId="D5A34EADB459774297F575C595AD83B0">
    <w:name w:val="D5A34EADB459774297F575C595AD83B0"/>
  </w:style>
  <w:style w:type="paragraph" w:customStyle="1" w:styleId="8B6E2411C42EEE499DECBFCAC2EF23DD">
    <w:name w:val="8B6E2411C42EEE499DECBFCAC2EF23DD"/>
  </w:style>
  <w:style w:type="character" w:styleId="Strong">
    <w:name w:val="Strong"/>
    <w:basedOn w:val="DefaultParagraphFont"/>
    <w:uiPriority w:val="22"/>
    <w:unhideWhenUsed/>
    <w:qFormat/>
    <w:rsid w:val="00AB3448"/>
    <w:rPr>
      <w:b w:val="0"/>
      <w:bCs w:val="0"/>
      <w:caps/>
      <w:smallCaps w:val="0"/>
    </w:rPr>
  </w:style>
  <w:style w:type="paragraph" w:customStyle="1" w:styleId="D2F2424FB379B44B8C4EE5BF98F62286">
    <w:name w:val="D2F2424FB379B44B8C4EE5BF98F62286"/>
  </w:style>
  <w:style w:type="paragraph" w:customStyle="1" w:styleId="80F48C486AF5934994DD715719C5A342">
    <w:name w:val="80F48C486AF5934994DD715719C5A342"/>
  </w:style>
  <w:style w:type="character" w:styleId="PlaceholderText">
    <w:name w:val="Placeholder Text"/>
    <w:basedOn w:val="DefaultParagraphFont"/>
    <w:uiPriority w:val="99"/>
    <w:semiHidden/>
    <w:rsid w:val="00F8619B"/>
    <w:rPr>
      <w:color w:val="404040" w:themeColor="text1" w:themeTint="BF"/>
    </w:rPr>
  </w:style>
  <w:style w:type="paragraph" w:customStyle="1" w:styleId="EAE4713C5AA75F4AA6610ED3DC1B4636">
    <w:name w:val="EAE4713C5AA75F4AA6610ED3DC1B4636"/>
    <w:rsid w:val="00AB3448"/>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Agricultural shocks and drivers of livelihood precariousness across Indian rural communities</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42E858-2DF9-4667-AF31-FC6AC4D4A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749</TotalTime>
  <Pages>50</Pages>
  <Words>30455</Words>
  <Characters>173599</Characters>
  <Application>Microsoft Office Word</Application>
  <DocSecurity>0</DocSecurity>
  <Lines>1446</Lines>
  <Paragraphs>407</Paragraphs>
  <ScaleCrop>false</ScaleCrop>
  <HeadingPairs>
    <vt:vector size="2" baseType="variant">
      <vt:variant>
        <vt:lpstr>Title</vt:lpstr>
      </vt:variant>
      <vt:variant>
        <vt:i4>1</vt:i4>
      </vt:variant>
    </vt:vector>
  </HeadingPairs>
  <TitlesOfParts>
    <vt:vector size="1" baseType="lpstr">
      <vt:lpstr>Incorporating local knowledge into the Sustainable Livelihoods Framework to characterise the collective influence of household and community capitals on agricultural livelihoods: the case of landless agricultural labourers in the Mahanadi Delta of India</vt:lpstr>
    </vt:vector>
  </TitlesOfParts>
  <Company/>
  <LinksUpToDate>false</LinksUpToDate>
  <CharactersWithSpaces>203647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Incorporating local knowledge into the Sustainable Livelihoods Framework to characterise the collective influence of household and community capitals on agricultural livelihoods: the case of landless agricultural labourers in the Mahanadi Delta of India</dc:title>
  <dc:subject/>
  <dc:creator>Berchoux T.</dc:creator>
  <cp:keywords/>
  <dc:description/>
  <cp:lastModifiedBy>Despo</cp:lastModifiedBy>
  <cp:revision>86</cp:revision>
  <cp:lastPrinted>2018-03-08T15:26:00Z</cp:lastPrinted>
  <dcterms:created xsi:type="dcterms:W3CDTF">2019-02-20T12:57:00Z</dcterms:created>
  <dcterms:modified xsi:type="dcterms:W3CDTF">2019-04-23T15:19:00Z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27db3666-5b9b-34ee-ac96-023ed0ff365a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http://www.zotero.org/styles/global-environmental-change</vt:lpwstr>
  </property>
  <property fmtid="{D5CDD505-2E9C-101B-9397-08002B2CF9AE}" pid="13" name="Mendeley Recent Style Name 4_1">
    <vt:lpwstr>Global Environmental Change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http://www.zotero.org/styles/landscape-and-urban-planning</vt:lpwstr>
  </property>
  <property fmtid="{D5CDD505-2E9C-101B-9397-08002B2CF9AE}" pid="19" name="Mendeley Recent Style Name 7_1">
    <vt:lpwstr>Landscape and Urban Planning</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http://www.zotero.org/styles/world-development</vt:lpwstr>
  </property>
  <property fmtid="{D5CDD505-2E9C-101B-9397-08002B2CF9AE}" pid="23" name="Mendeley Recent Style Name 9_1">
    <vt:lpwstr>World Development</vt:lpwstr>
  </property>
  <property fmtid="{D5CDD505-2E9C-101B-9397-08002B2CF9AE}" pid="24" name="ContentRemapped">
    <vt:lpwstr>true</vt:lpwstr>
  </property>
  <property fmtid="{D5CDD505-2E9C-101B-9397-08002B2CF9AE}" pid="25" name="Mendeley Citation Style_1">
    <vt:lpwstr>http://www.zotero.org/styles/landscape-and-urban-planning</vt:lpwstr>
  </property>
</Properties>
</file>