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D2E4B" w14:textId="3CF44AA0" w:rsidR="002868E2" w:rsidRPr="009F6406" w:rsidRDefault="00245947" w:rsidP="00E10D32">
      <w:pPr>
        <w:pStyle w:val="Title"/>
      </w:pPr>
      <w:bookmarkStart w:id="0" w:name="_GoBack"/>
      <w:bookmarkEnd w:id="0"/>
      <w:r w:rsidRPr="009F6406">
        <w:t>Investigating</w:t>
      </w:r>
      <w:r w:rsidR="00946F18" w:rsidRPr="009F6406">
        <w:t xml:space="preserve"> </w:t>
      </w:r>
      <w:r w:rsidR="000343BC" w:rsidRPr="009F6406">
        <w:t xml:space="preserve">a Singapore-based </w:t>
      </w:r>
      <w:r w:rsidR="00E10D32" w:rsidRPr="009F6406">
        <w:t xml:space="preserve">mathematics </w:t>
      </w:r>
      <w:r w:rsidR="000343BC" w:rsidRPr="009F6406">
        <w:t xml:space="preserve">textbook and teaching approach in </w:t>
      </w:r>
      <w:r w:rsidR="00DB71AA" w:rsidRPr="009F6406">
        <w:t xml:space="preserve">classrooms in </w:t>
      </w:r>
      <w:r w:rsidR="000343BC" w:rsidRPr="009F6406">
        <w:t>England</w:t>
      </w:r>
    </w:p>
    <w:p w14:paraId="6E35B0E9" w14:textId="77777777" w:rsidR="002868E2" w:rsidRPr="009F6406" w:rsidRDefault="00351CE1" w:rsidP="00651CA2">
      <w:pPr>
        <w:pStyle w:val="AuthorList"/>
      </w:pPr>
      <w:r w:rsidRPr="009F6406">
        <w:t>Dr. Ariel Mariah Lindorff</w:t>
      </w:r>
      <w:r w:rsidR="00A75F87" w:rsidRPr="009F6406">
        <w:rPr>
          <w:vertAlign w:val="superscript"/>
        </w:rPr>
        <w:t>1</w:t>
      </w:r>
      <w:r w:rsidRPr="009F6406">
        <w:rPr>
          <w:vertAlign w:val="superscript"/>
        </w:rPr>
        <w:t>*</w:t>
      </w:r>
      <w:r w:rsidR="002868E2" w:rsidRPr="009F6406">
        <w:t xml:space="preserve">, </w:t>
      </w:r>
      <w:r w:rsidRPr="009F6406">
        <w:t>Dr. James Hall</w:t>
      </w:r>
      <w:r w:rsidR="002868E2" w:rsidRPr="009F6406">
        <w:rPr>
          <w:vertAlign w:val="superscript"/>
        </w:rPr>
        <w:t>2</w:t>
      </w:r>
      <w:r w:rsidR="002868E2" w:rsidRPr="009F6406">
        <w:t xml:space="preserve">, </w:t>
      </w:r>
      <w:r w:rsidRPr="009F6406">
        <w:t>Prof. Pamela Sammons</w:t>
      </w:r>
      <w:r w:rsidRPr="009F6406">
        <w:rPr>
          <w:vertAlign w:val="superscript"/>
        </w:rPr>
        <w:t>1</w:t>
      </w:r>
    </w:p>
    <w:p w14:paraId="1CD0C74B" w14:textId="77777777" w:rsidR="002868E2" w:rsidRPr="009F6406" w:rsidRDefault="002868E2" w:rsidP="006B2D5B">
      <w:pPr>
        <w:spacing w:before="240" w:after="0"/>
        <w:rPr>
          <w:rFonts w:cs="Times New Roman"/>
          <w:b/>
          <w:szCs w:val="24"/>
        </w:rPr>
      </w:pPr>
      <w:r w:rsidRPr="009F6406">
        <w:rPr>
          <w:rFonts w:cs="Times New Roman"/>
          <w:szCs w:val="24"/>
          <w:vertAlign w:val="superscript"/>
        </w:rPr>
        <w:t>1</w:t>
      </w:r>
      <w:r w:rsidR="00351CE1" w:rsidRPr="009F6406">
        <w:rPr>
          <w:rFonts w:cs="Times New Roman"/>
          <w:szCs w:val="24"/>
        </w:rPr>
        <w:t>Department of Education, University of Oxford</w:t>
      </w:r>
      <w:r w:rsidRPr="009F6406">
        <w:rPr>
          <w:rFonts w:cs="Times New Roman"/>
          <w:szCs w:val="24"/>
        </w:rPr>
        <w:t xml:space="preserve">, </w:t>
      </w:r>
      <w:r w:rsidR="00351CE1" w:rsidRPr="009F6406">
        <w:rPr>
          <w:rFonts w:cs="Times New Roman"/>
          <w:szCs w:val="24"/>
        </w:rPr>
        <w:t>Oxford</w:t>
      </w:r>
      <w:r w:rsidRPr="009F6406">
        <w:rPr>
          <w:rFonts w:cs="Times New Roman"/>
          <w:szCs w:val="24"/>
        </w:rPr>
        <w:t xml:space="preserve">, </w:t>
      </w:r>
      <w:r w:rsidR="00351CE1" w:rsidRPr="009F6406">
        <w:rPr>
          <w:rFonts w:cs="Times New Roman"/>
          <w:szCs w:val="24"/>
        </w:rPr>
        <w:t>UK</w:t>
      </w:r>
    </w:p>
    <w:p w14:paraId="107A4A69" w14:textId="77777777" w:rsidR="002868E2" w:rsidRPr="009F6406" w:rsidRDefault="002868E2" w:rsidP="006B2D5B">
      <w:pPr>
        <w:spacing w:after="0"/>
        <w:rPr>
          <w:rFonts w:cs="Times New Roman"/>
          <w:b/>
          <w:szCs w:val="24"/>
        </w:rPr>
      </w:pPr>
      <w:r w:rsidRPr="009F6406">
        <w:rPr>
          <w:rFonts w:cs="Times New Roman"/>
          <w:szCs w:val="24"/>
          <w:vertAlign w:val="superscript"/>
        </w:rPr>
        <w:t>2</w:t>
      </w:r>
      <w:r w:rsidR="00351CE1" w:rsidRPr="009F6406">
        <w:rPr>
          <w:rFonts w:cs="Times New Roman"/>
          <w:szCs w:val="24"/>
        </w:rPr>
        <w:t>Southampton Education School</w:t>
      </w:r>
      <w:r w:rsidRPr="009F6406">
        <w:rPr>
          <w:rFonts w:cs="Times New Roman"/>
          <w:szCs w:val="24"/>
        </w:rPr>
        <w:t xml:space="preserve">, </w:t>
      </w:r>
      <w:r w:rsidR="00351CE1" w:rsidRPr="009F6406">
        <w:rPr>
          <w:rFonts w:cs="Times New Roman"/>
          <w:szCs w:val="24"/>
        </w:rPr>
        <w:t>University of Southampton</w:t>
      </w:r>
      <w:r w:rsidRPr="009F6406">
        <w:rPr>
          <w:rFonts w:cs="Times New Roman"/>
          <w:szCs w:val="24"/>
        </w:rPr>
        <w:t xml:space="preserve">, </w:t>
      </w:r>
      <w:r w:rsidR="00351CE1" w:rsidRPr="009F6406">
        <w:rPr>
          <w:rFonts w:cs="Times New Roman"/>
          <w:szCs w:val="24"/>
        </w:rPr>
        <w:t>Southampton</w:t>
      </w:r>
      <w:r w:rsidRPr="009F6406">
        <w:rPr>
          <w:rFonts w:cs="Times New Roman"/>
          <w:szCs w:val="24"/>
        </w:rPr>
        <w:t xml:space="preserve">, </w:t>
      </w:r>
      <w:r w:rsidR="00351CE1" w:rsidRPr="009F6406">
        <w:rPr>
          <w:rFonts w:cs="Times New Roman"/>
          <w:szCs w:val="24"/>
        </w:rPr>
        <w:t>UK</w:t>
      </w:r>
    </w:p>
    <w:p w14:paraId="3E856088" w14:textId="77777777" w:rsidR="002868E2" w:rsidRPr="009F6406" w:rsidRDefault="002868E2" w:rsidP="00671D9A">
      <w:pPr>
        <w:spacing w:before="240" w:after="0"/>
        <w:rPr>
          <w:rFonts w:cs="Times New Roman"/>
          <w:b/>
          <w:szCs w:val="24"/>
          <w:lang w:val="fr-FR"/>
        </w:rPr>
      </w:pPr>
      <w:r w:rsidRPr="009F6406">
        <w:rPr>
          <w:rFonts w:cs="Times New Roman"/>
          <w:b/>
          <w:szCs w:val="24"/>
          <w:lang w:val="fr-FR"/>
        </w:rPr>
        <w:t xml:space="preserve">* Correspondence: </w:t>
      </w:r>
      <w:r w:rsidR="00671D9A" w:rsidRPr="009F6406">
        <w:rPr>
          <w:rFonts w:cs="Times New Roman"/>
          <w:b/>
          <w:szCs w:val="24"/>
          <w:lang w:val="fr-FR"/>
        </w:rPr>
        <w:br/>
      </w:r>
      <w:r w:rsidR="001252D2" w:rsidRPr="009F6406">
        <w:rPr>
          <w:rFonts w:cs="Times New Roman"/>
          <w:szCs w:val="24"/>
          <w:lang w:val="fr-FR"/>
        </w:rPr>
        <w:t>Dr. Ariel Lindorff</w:t>
      </w:r>
      <w:r w:rsidR="00671D9A" w:rsidRPr="009F6406">
        <w:rPr>
          <w:rFonts w:cs="Times New Roman"/>
          <w:szCs w:val="24"/>
          <w:lang w:val="fr-FR"/>
        </w:rPr>
        <w:br/>
      </w:r>
      <w:r w:rsidR="001252D2" w:rsidRPr="009F6406">
        <w:rPr>
          <w:rFonts w:cs="Times New Roman"/>
          <w:szCs w:val="24"/>
          <w:lang w:val="fr-FR"/>
        </w:rPr>
        <w:t>ariel.lindorff@education.ox.ac.uk</w:t>
      </w:r>
    </w:p>
    <w:p w14:paraId="1DD518B3" w14:textId="680A3DE3" w:rsidR="00EA3D3C" w:rsidRPr="009F6406" w:rsidRDefault="00817DD6" w:rsidP="00651CA2">
      <w:pPr>
        <w:pStyle w:val="AuthorList"/>
      </w:pPr>
      <w:r w:rsidRPr="009F6406">
        <w:t xml:space="preserve">Keywords: </w:t>
      </w:r>
      <w:r w:rsidR="001252D2" w:rsidRPr="009F6406">
        <w:t>mathematics education</w:t>
      </w:r>
      <w:r w:rsidRPr="009F6406">
        <w:t xml:space="preserve">, </w:t>
      </w:r>
      <w:r w:rsidR="001252D2" w:rsidRPr="009F6406">
        <w:t xml:space="preserve">mixed methods, </w:t>
      </w:r>
      <w:r w:rsidR="00162378" w:rsidRPr="009F6406">
        <w:t xml:space="preserve">cluster </w:t>
      </w:r>
      <w:r w:rsidR="001252D2" w:rsidRPr="009F6406">
        <w:t>randomized controlled trial, mastery-based teaching, Singapore mathematics, evaluation, primary education, experimental design</w:t>
      </w:r>
    </w:p>
    <w:p w14:paraId="17ED5A9B" w14:textId="4D04FA3C" w:rsidR="003E1705" w:rsidRPr="009F6406" w:rsidRDefault="003E1705" w:rsidP="003E1705">
      <w:r w:rsidRPr="009F6406">
        <w:t>Word count</w:t>
      </w:r>
      <w:r w:rsidR="002C2639" w:rsidRPr="009F6406">
        <w:t xml:space="preserve"> (main body text only)</w:t>
      </w:r>
      <w:r w:rsidR="00420A16">
        <w:t>: 12,918</w:t>
      </w:r>
      <w:r w:rsidR="00C909A7" w:rsidRPr="009F6406">
        <w:t>;</w:t>
      </w:r>
      <w:r w:rsidR="004D4D29" w:rsidRPr="009F6406">
        <w:t xml:space="preserve"> 6</w:t>
      </w:r>
      <w:r w:rsidR="00B57C32" w:rsidRPr="009F6406">
        <w:t xml:space="preserve"> tables</w:t>
      </w:r>
      <w:r w:rsidR="009C70E9" w:rsidRPr="009F6406">
        <w:t>, 1 figure</w:t>
      </w:r>
    </w:p>
    <w:p w14:paraId="132155F5" w14:textId="77777777" w:rsidR="008E2B54" w:rsidRPr="009F6406" w:rsidRDefault="00EA3D3C" w:rsidP="00147395">
      <w:pPr>
        <w:pStyle w:val="AuthorList"/>
      </w:pPr>
      <w:r w:rsidRPr="009F6406">
        <w:t>Abstract</w:t>
      </w:r>
      <w:r w:rsidR="007E62BF" w:rsidRPr="009F6406">
        <w:t xml:space="preserve"> </w:t>
      </w:r>
    </w:p>
    <w:p w14:paraId="00EB640F" w14:textId="3566D585" w:rsidR="00B53ADA" w:rsidRPr="009F6406" w:rsidRDefault="00B53ADA" w:rsidP="00B74EB4">
      <w:r w:rsidRPr="009F6406">
        <w:t xml:space="preserve">The high mathematics performance of </w:t>
      </w:r>
      <w:r w:rsidR="008478B6" w:rsidRPr="009F6406">
        <w:t>pupil</w:t>
      </w:r>
      <w:r w:rsidRPr="009F6406">
        <w:t xml:space="preserve">s in Singapore </w:t>
      </w:r>
      <w:r w:rsidR="00B45007" w:rsidRPr="009F6406">
        <w:t xml:space="preserve">on international assessments </w:t>
      </w:r>
      <w:r w:rsidRPr="009F6406">
        <w:t xml:space="preserve">has prompted </w:t>
      </w:r>
      <w:r w:rsidR="00B74EB4" w:rsidRPr="009F6406">
        <w:t xml:space="preserve">educational </w:t>
      </w:r>
      <w:r w:rsidRPr="009F6406">
        <w:t xml:space="preserve">initiatives in other countries – such as the UK and the USA – </w:t>
      </w:r>
      <w:r w:rsidR="00F101E6" w:rsidRPr="009F6406">
        <w:t>to adopt</w:t>
      </w:r>
      <w:r w:rsidR="00F172A1" w:rsidRPr="009F6406">
        <w:t xml:space="preserve"> Singapore-based approaches </w:t>
      </w:r>
      <w:r w:rsidR="00B74EB4" w:rsidRPr="009F6406">
        <w:t>in an</w:t>
      </w:r>
      <w:r w:rsidR="00B45007" w:rsidRPr="009F6406">
        <w:t xml:space="preserve"> attempt to </w:t>
      </w:r>
      <w:r w:rsidR="00F172A1" w:rsidRPr="009F6406">
        <w:t xml:space="preserve">raise </w:t>
      </w:r>
      <w:r w:rsidRPr="009F6406">
        <w:t xml:space="preserve">mathematics achievement. </w:t>
      </w:r>
      <w:r w:rsidR="00B45007" w:rsidRPr="009F6406">
        <w:t>E</w:t>
      </w:r>
      <w:r w:rsidRPr="009F6406">
        <w:t xml:space="preserve">mpirical evidence to support the transferability of such </w:t>
      </w:r>
      <w:r w:rsidR="00465760" w:rsidRPr="009F6406">
        <w:t>approaches</w:t>
      </w:r>
      <w:r w:rsidRPr="009F6406">
        <w:t xml:space="preserve"> beyond the Singaporean context, however, is limited. This article reports findings from a mixed methods</w:t>
      </w:r>
      <w:r w:rsidR="00A53269" w:rsidRPr="009F6406">
        <w:t xml:space="preserve"> Cluster</w:t>
      </w:r>
      <w:r w:rsidRPr="009F6406">
        <w:t xml:space="preserve"> Randomized Controlled Trial (mm</w:t>
      </w:r>
      <w:r w:rsidR="00A53269" w:rsidRPr="009F6406">
        <w:t>C</w:t>
      </w:r>
      <w:r w:rsidRPr="009F6406">
        <w:t xml:space="preserve">RCT) evaluating the use of a primary mathematics textbook series and teaching approach </w:t>
      </w:r>
      <w:r w:rsidR="00F172A1" w:rsidRPr="009F6406">
        <w:t xml:space="preserve">in </w:t>
      </w:r>
      <w:r w:rsidRPr="009F6406">
        <w:t xml:space="preserve">England based on a textbook and teaching approach from Singapore. </w:t>
      </w:r>
      <w:r w:rsidR="00605FA7" w:rsidRPr="009F6406">
        <w:t>M</w:t>
      </w:r>
      <w:r w:rsidRPr="009F6406">
        <w:t>ain features of the intervention included textbook u</w:t>
      </w:r>
      <w:r w:rsidR="00605FA7" w:rsidRPr="009F6406">
        <w:t>se, mixed-ability groups,</w:t>
      </w:r>
      <w:r w:rsidR="00F172A1" w:rsidRPr="009F6406">
        <w:t xml:space="preserve"> use of manipulatives, and </w:t>
      </w:r>
      <w:r w:rsidRPr="009F6406">
        <w:t>emphasis on master</w:t>
      </w:r>
      <w:r w:rsidR="0061401A" w:rsidRPr="009F6406">
        <w:t>y (i.e. ensuring all pupils grasp</w:t>
      </w:r>
      <w:r w:rsidRPr="009F6406">
        <w:t xml:space="preserve"> core concepts before proceeding to new topics). A delayed treatment experimental design was used</w:t>
      </w:r>
      <w:r w:rsidR="00534636" w:rsidRPr="009F6406">
        <w:t xml:space="preserve"> within the mm</w:t>
      </w:r>
      <w:r w:rsidR="00926168" w:rsidRPr="009F6406">
        <w:t>C</w:t>
      </w:r>
      <w:r w:rsidR="00534636" w:rsidRPr="009F6406">
        <w:t>RCT</w:t>
      </w:r>
      <w:r w:rsidR="00F172A1" w:rsidRPr="009F6406">
        <w:t xml:space="preserve">, with 12 </w:t>
      </w:r>
      <w:r w:rsidRPr="009F6406">
        <w:t>schools randomly allocated into two groups. The experimental group used the textbooks and teaching approach from September 2015. The delayed treatment control group proceeded with “business as usual” until January 2016</w:t>
      </w:r>
      <w:r w:rsidR="00F172A1" w:rsidRPr="009F6406">
        <w:t>,</w:t>
      </w:r>
      <w:r w:rsidRPr="009F6406">
        <w:t xml:space="preserve"> then started using the textbooks and teaching approach. </w:t>
      </w:r>
      <w:r w:rsidR="00B45007" w:rsidRPr="009F6406">
        <w:t>D</w:t>
      </w:r>
      <w:r w:rsidRPr="009F6406">
        <w:t xml:space="preserve">ata were collected </w:t>
      </w:r>
      <w:r w:rsidR="00B45007" w:rsidRPr="009F6406">
        <w:t xml:space="preserve">(in the first, second and third terms of one school year) </w:t>
      </w:r>
      <w:r w:rsidR="00F66D7B" w:rsidRPr="009F6406">
        <w:t>on</w:t>
      </w:r>
      <w:r w:rsidR="00F172A1" w:rsidRPr="009F6406">
        <w:t xml:space="preserve"> pupils’ mathematics knowledge and skills</w:t>
      </w:r>
      <w:r w:rsidRPr="009F6406">
        <w:t>, pupil</w:t>
      </w:r>
      <w:r w:rsidR="00F172A1" w:rsidRPr="009F6406">
        <w:t>s’</w:t>
      </w:r>
      <w:r w:rsidRPr="009F6406">
        <w:t xml:space="preserve"> attitudes towards mathematics, </w:t>
      </w:r>
      <w:r w:rsidR="00F66D7B" w:rsidRPr="009F6406">
        <w:t xml:space="preserve">classroom practice (based on </w:t>
      </w:r>
      <w:r w:rsidR="007E62BF" w:rsidRPr="009F6406">
        <w:t>structured</w:t>
      </w:r>
      <w:r w:rsidR="00F66D7B" w:rsidRPr="009F6406">
        <w:t xml:space="preserve"> observation schedules and qualitative field notes)</w:t>
      </w:r>
      <w:r w:rsidR="00B45007" w:rsidRPr="009F6406">
        <w:t>,</w:t>
      </w:r>
      <w:r w:rsidR="00F66D7B" w:rsidRPr="009F6406">
        <w:t xml:space="preserve"> teacher perspectives (</w:t>
      </w:r>
      <w:r w:rsidR="007E62BF" w:rsidRPr="009F6406">
        <w:t>from</w:t>
      </w:r>
      <w:r w:rsidR="00F66D7B" w:rsidRPr="009F6406">
        <w:t xml:space="preserve"> semi-structured interviews)</w:t>
      </w:r>
      <w:r w:rsidR="00B45007" w:rsidRPr="009F6406">
        <w:t>, and intervention-specific professional development (in July 2015 for the experimental group</w:t>
      </w:r>
      <w:r w:rsidR="00465760" w:rsidRPr="009F6406">
        <w:t>,</w:t>
      </w:r>
      <w:r w:rsidR="00B45007" w:rsidRPr="009F6406">
        <w:t xml:space="preserve"> December 2015 for the delayed treatment control group</w:t>
      </w:r>
      <w:r w:rsidR="00465760" w:rsidRPr="009F6406">
        <w:t>,</w:t>
      </w:r>
      <w:r w:rsidR="00B45007" w:rsidRPr="009F6406">
        <w:t xml:space="preserve"> observed by researchers and followed by focus-group interviews). </w:t>
      </w:r>
      <w:r w:rsidRPr="009F6406">
        <w:t>Results showed a small but significant positive effect</w:t>
      </w:r>
      <w:r w:rsidR="000910BC" w:rsidRPr="009F6406">
        <w:t xml:space="preserve"> by Term </w:t>
      </w:r>
      <w:r w:rsidR="00F101E6" w:rsidRPr="009F6406">
        <w:t>3</w:t>
      </w:r>
      <w:r w:rsidR="00E462A3" w:rsidRPr="009F6406">
        <w:t xml:space="preserve"> </w:t>
      </w:r>
      <w:r w:rsidRPr="009F6406">
        <w:t xml:space="preserve">of using the </w:t>
      </w:r>
      <w:r w:rsidR="00F101E6" w:rsidRPr="009F6406">
        <w:t xml:space="preserve">mastery-oriented </w:t>
      </w:r>
      <w:r w:rsidRPr="009F6406">
        <w:t>materi</w:t>
      </w:r>
      <w:r w:rsidR="00E462A3" w:rsidRPr="009F6406">
        <w:t>als and approach from September</w:t>
      </w:r>
      <w:r w:rsidRPr="009F6406">
        <w:t xml:space="preserve"> on pupils’ </w:t>
      </w:r>
      <w:r w:rsidR="00F101E6" w:rsidRPr="009F6406">
        <w:t xml:space="preserve">subsequent </w:t>
      </w:r>
      <w:r w:rsidRPr="009F6406">
        <w:t xml:space="preserve">mathematics knowledge and skills, but no </w:t>
      </w:r>
      <w:r w:rsidR="0061401A" w:rsidRPr="009F6406">
        <w:t>persistent difference</w:t>
      </w:r>
      <w:r w:rsidR="00F101E6" w:rsidRPr="009F6406">
        <w:t xml:space="preserve"> between groups</w:t>
      </w:r>
      <w:r w:rsidR="0061401A" w:rsidRPr="009F6406">
        <w:t xml:space="preserve"> across terms</w:t>
      </w:r>
      <w:r w:rsidRPr="009F6406">
        <w:t xml:space="preserve"> on their attitudes. </w:t>
      </w:r>
      <w:r w:rsidR="000910BC" w:rsidRPr="009F6406">
        <w:t xml:space="preserve">Differences in classroom practice </w:t>
      </w:r>
      <w:r w:rsidR="00534636" w:rsidRPr="009F6406">
        <w:t xml:space="preserve">between the two groups </w:t>
      </w:r>
      <w:r w:rsidR="000910BC" w:rsidRPr="009F6406">
        <w:t>were observed in the first</w:t>
      </w:r>
      <w:r w:rsidR="00F172A1" w:rsidRPr="009F6406">
        <w:t xml:space="preserve"> term</w:t>
      </w:r>
      <w:r w:rsidR="000910BC" w:rsidRPr="009F6406">
        <w:t xml:space="preserve"> but </w:t>
      </w:r>
      <w:r w:rsidR="0061401A" w:rsidRPr="009F6406">
        <w:t>insignificant</w:t>
      </w:r>
      <w:r w:rsidR="000910BC" w:rsidRPr="009F6406">
        <w:t xml:space="preserve"> by the </w:t>
      </w:r>
      <w:r w:rsidR="004B2E04" w:rsidRPr="009F6406">
        <w:t>third</w:t>
      </w:r>
      <w:r w:rsidR="000910BC" w:rsidRPr="009F6406">
        <w:t xml:space="preserve"> term</w:t>
      </w:r>
      <w:r w:rsidR="00F101E6" w:rsidRPr="009F6406">
        <w:t>.</w:t>
      </w:r>
      <w:r w:rsidR="000910BC" w:rsidRPr="009F6406">
        <w:t xml:space="preserve"> </w:t>
      </w:r>
      <w:r w:rsidR="00F101E6" w:rsidRPr="009F6406">
        <w:t>Q</w:t>
      </w:r>
      <w:r w:rsidR="000910BC" w:rsidRPr="009F6406">
        <w:t xml:space="preserve">ualitative findings elaborate on </w:t>
      </w:r>
      <w:r w:rsidR="0061401A" w:rsidRPr="009F6406">
        <w:t>and illustrate these first-term differences</w:t>
      </w:r>
      <w:r w:rsidR="00534636" w:rsidRPr="009F6406">
        <w:t xml:space="preserve">, </w:t>
      </w:r>
      <w:r w:rsidR="000910BC" w:rsidRPr="009F6406">
        <w:t>teachers’ perspectives</w:t>
      </w:r>
      <w:r w:rsidR="00F172A1" w:rsidRPr="009F6406">
        <w:t xml:space="preserve"> on their practice</w:t>
      </w:r>
      <w:r w:rsidR="0061401A" w:rsidRPr="009F6406">
        <w:t>, variations in</w:t>
      </w:r>
      <w:r w:rsidR="00F101E6" w:rsidRPr="009F6406">
        <w:t xml:space="preserve"> </w:t>
      </w:r>
      <w:r w:rsidR="0061401A" w:rsidRPr="009F6406">
        <w:t xml:space="preserve">textbook </w:t>
      </w:r>
      <w:r w:rsidR="00F101E6" w:rsidRPr="009F6406">
        <w:t xml:space="preserve">use </w:t>
      </w:r>
      <w:r w:rsidR="0061401A" w:rsidRPr="009F6406">
        <w:t xml:space="preserve">and teaching approach </w:t>
      </w:r>
      <w:r w:rsidR="00F101E6" w:rsidRPr="009F6406">
        <w:t>implementation</w:t>
      </w:r>
      <w:r w:rsidR="00534636" w:rsidRPr="009F6406">
        <w:t>,</w:t>
      </w:r>
      <w:r w:rsidR="00F101E6" w:rsidRPr="009F6406">
        <w:t xml:space="preserve"> </w:t>
      </w:r>
      <w:r w:rsidR="0061401A" w:rsidRPr="009F6406">
        <w:t xml:space="preserve">and </w:t>
      </w:r>
      <w:r w:rsidR="00534636" w:rsidRPr="009F6406">
        <w:t xml:space="preserve">considerations </w:t>
      </w:r>
      <w:r w:rsidR="0061401A" w:rsidRPr="009F6406">
        <w:t>of fidelity to intervention</w:t>
      </w:r>
      <w:r w:rsidR="00F172A1" w:rsidRPr="009F6406">
        <w:t xml:space="preserve">. Implications are drawn for policy and practice in mathematics teaching </w:t>
      </w:r>
      <w:r w:rsidR="00EA5849" w:rsidRPr="009F6406">
        <w:t>and</w:t>
      </w:r>
      <w:r w:rsidR="00F172A1" w:rsidRPr="009F6406">
        <w:t xml:space="preserve"> for research </w:t>
      </w:r>
      <w:r w:rsidR="0061401A" w:rsidRPr="009F6406">
        <w:t>using</w:t>
      </w:r>
      <w:r w:rsidR="00F172A1" w:rsidRPr="009F6406">
        <w:t xml:space="preserve"> mixed methods experimental designs to evaluate a combination of processes, perspectives and outcomes.</w:t>
      </w:r>
    </w:p>
    <w:p w14:paraId="616A54EF" w14:textId="77777777" w:rsidR="00EA3D3C" w:rsidRPr="009F6406" w:rsidRDefault="00EA3D3C" w:rsidP="00D9503C">
      <w:pPr>
        <w:pStyle w:val="Heading1"/>
      </w:pPr>
      <w:r w:rsidRPr="009F6406">
        <w:lastRenderedPageBreak/>
        <w:t>Introduction</w:t>
      </w:r>
    </w:p>
    <w:p w14:paraId="47494B96" w14:textId="64A474C1" w:rsidR="00151393" w:rsidRPr="009F6406" w:rsidRDefault="00151393" w:rsidP="00925416">
      <w:r w:rsidRPr="009F6406">
        <w:t xml:space="preserve">High-profile international assessments such as PISA and TIMSS have drawn considerable attention from policymakers across the globe. The high mathematics performance of </w:t>
      </w:r>
      <w:r w:rsidR="008478B6" w:rsidRPr="009F6406">
        <w:t>pupil</w:t>
      </w:r>
      <w:r w:rsidRPr="009F6406">
        <w:t xml:space="preserve">s in Singapore in particular </w:t>
      </w:r>
      <w:r w:rsidR="007815D6" w:rsidRPr="009F6406">
        <w:fldChar w:fldCharType="begin" w:fldLock="1"/>
      </w:r>
      <w:r w:rsidR="00A130BF" w:rsidRPr="009F6406">
        <w:instrText>ADDIN CSL_CITATION {"citationItems":[{"id":"ITEM-1","itemData":{"author":[{"dropping-particle":"","family":"OECD","given":"","non-dropping-particle":"","parse-names":false,"suffix":""}],"id":"ITEM-1","issued":{"date-parts":[["2016"]]},"publisher-place":"Paris: OECD","title":"PISA 2015 results (Volume 1): Excellence and equity in education","type":"report"},"uris":["http://www.mendeley.com/documents/?uuid=e9248abc-9944-4c58-955b-b999114d366f","http://www.mendeley.com/documents/?uuid=db8ba365-bb53-4989-9419-da5426176e69"]}],"mendeley":{"formattedCitation":"(OECD 2016)","manualFormatting":"(e.g. OECD 2016)","plainTextFormattedCitation":"(OECD 2016)","previouslyFormattedCitation":"(OECD 2016)"},"properties":{"noteIndex":0},"schema":"https://github.com/citation-style-language/schema/raw/master/csl-citation.json"}</w:instrText>
      </w:r>
      <w:r w:rsidR="007815D6" w:rsidRPr="009F6406">
        <w:fldChar w:fldCharType="separate"/>
      </w:r>
      <w:r w:rsidR="007815D6" w:rsidRPr="009F6406">
        <w:rPr>
          <w:noProof/>
        </w:rPr>
        <w:t>(e.g. OECD 2016)</w:t>
      </w:r>
      <w:r w:rsidR="007815D6" w:rsidRPr="009F6406">
        <w:fldChar w:fldCharType="end"/>
      </w:r>
      <w:r w:rsidRPr="009F6406">
        <w:t xml:space="preserve"> has prompted initiatives in other countries with comparatively lower performance on the same assessments – such as the UK and the USA – attempting to implement approaches to teaching mathematics that are based on those used in Singapore, with the hope that this will raise </w:t>
      </w:r>
      <w:r w:rsidR="008478B6" w:rsidRPr="009F6406">
        <w:t>pupil</w:t>
      </w:r>
      <w:r w:rsidR="00A706C9" w:rsidRPr="009F6406">
        <w:t xml:space="preserve">s’ mathematics achievement. </w:t>
      </w:r>
      <w:r w:rsidR="00925416" w:rsidRPr="009F6406">
        <w:t>F</w:t>
      </w:r>
      <w:r w:rsidR="00A706C9" w:rsidRPr="009F6406">
        <w:t>or example,</w:t>
      </w:r>
      <w:r w:rsidR="00925416" w:rsidRPr="009F6406">
        <w:t xml:space="preserve"> in 2016</w:t>
      </w:r>
      <w:r w:rsidR="00A706C9" w:rsidRPr="009F6406">
        <w:t xml:space="preserve"> the </w:t>
      </w:r>
      <w:r w:rsidR="00925416" w:rsidRPr="009F6406">
        <w:t>UK G</w:t>
      </w:r>
      <w:r w:rsidR="00A706C9" w:rsidRPr="009F6406">
        <w:t xml:space="preserve">overnment made a £41M investment to support schools in adopting mastery approaches based on East Asian – Shanghai and Singapore – approaches to teaching by purchasing mastery-oriented textbooks </w:t>
      </w:r>
      <w:r w:rsidR="00A706C9" w:rsidRPr="009F6406">
        <w:fldChar w:fldCharType="begin" w:fldLock="1"/>
      </w:r>
      <w:r w:rsidR="00E25EE9" w:rsidRPr="009F6406">
        <w:instrText>ADDIN CSL_CITATION {"citationItems":[{"id":"ITEM-1","itemData":{"author":[{"dropping-particle":"","family":"Department for Education","given":"","non-dropping-particle":"","parse-names":false,"suffix":""}],"container-title":"School and colllege qualifications and curriculum","id":"ITEM-1","issued":{"date-parts":[["2016","7","12"]]},"title":"8,000 primary schools in England will receive £41 million over 4 years to support the ‘maths mastery’ approach","type":"article-newspaper"},"uris":["http://www.mendeley.com/documents/?uuid=ea075876-3ae1-41eb-aa97-4fa0abd8128e"]}],"mendeley":{"formattedCitation":"(Department for Education 2016)","plainTextFormattedCitation":"(Department for Education 2016)","previouslyFormattedCitation":"(Department for Education 2016)"},"properties":{"noteIndex":0},"schema":"https://github.com/citation-style-language/schema/raw/master/csl-citation.json"}</w:instrText>
      </w:r>
      <w:r w:rsidR="00A706C9" w:rsidRPr="009F6406">
        <w:fldChar w:fldCharType="separate"/>
      </w:r>
      <w:r w:rsidR="00A706C9" w:rsidRPr="009F6406">
        <w:rPr>
          <w:noProof/>
        </w:rPr>
        <w:t>(Department for Education 2016)</w:t>
      </w:r>
      <w:r w:rsidR="00A706C9" w:rsidRPr="009F6406">
        <w:fldChar w:fldCharType="end"/>
      </w:r>
      <w:r w:rsidR="00925416" w:rsidRPr="009F6406">
        <w:t xml:space="preserve"> while</w:t>
      </w:r>
      <w:r w:rsidR="003E2E5A" w:rsidRPr="009F6406">
        <w:t xml:space="preserve"> </w:t>
      </w:r>
      <w:r w:rsidR="00A706C9" w:rsidRPr="009F6406">
        <w:t>in the USA</w:t>
      </w:r>
      <w:r w:rsidR="00925416" w:rsidRPr="009F6406">
        <w:t>,</w:t>
      </w:r>
      <w:r w:rsidR="00A706C9" w:rsidRPr="009F6406">
        <w:t xml:space="preserve"> most states ha</w:t>
      </w:r>
      <w:r w:rsidR="00925416" w:rsidRPr="009F6406">
        <w:t>d</w:t>
      </w:r>
      <w:r w:rsidR="00A706C9" w:rsidRPr="009F6406">
        <w:t xml:space="preserve"> adopted a set of standards that emphasize a mastery orientation </w:t>
      </w:r>
      <w:r w:rsidR="00A706C9" w:rsidRPr="009F6406">
        <w:fldChar w:fldCharType="begin" w:fldLock="1"/>
      </w:r>
      <w:r w:rsidR="00E25EE9" w:rsidRPr="009F6406">
        <w:instrText>ADDIN CSL_CITATION {"citationItems":[{"id":"ITEM-1","itemData":{"author":[{"dropping-particle":"","family":"Common Core State Standards Initiative","given":"","non-dropping-particle":"","parse-names":false,"suffix":""}],"id":"ITEM-1","issued":{"date-parts":[["2016"]]},"title":"About the Standards","type":"article"},"uris":["http://www.mendeley.com/documents/?uuid=f6caa750-1b98-4900-be24-021ebb02cba7"]}],"mendeley":{"formattedCitation":"(Common Core State Standards Initiative 2016)","plainTextFormattedCitation":"(Common Core State Standards Initiative 2016)","previouslyFormattedCitation":"(Common Core State Standards Initiative 2016)"},"properties":{"noteIndex":0},"schema":"https://github.com/citation-style-language/schema/raw/master/csl-citation.json"}</w:instrText>
      </w:r>
      <w:r w:rsidR="00A706C9" w:rsidRPr="009F6406">
        <w:fldChar w:fldCharType="separate"/>
      </w:r>
      <w:r w:rsidR="00A706C9" w:rsidRPr="009F6406">
        <w:rPr>
          <w:noProof/>
        </w:rPr>
        <w:t>(Common Core State Standards Initiative 2016)</w:t>
      </w:r>
      <w:r w:rsidR="00A706C9" w:rsidRPr="009F6406">
        <w:fldChar w:fldCharType="end"/>
      </w:r>
      <w:r w:rsidR="00A706C9" w:rsidRPr="009F6406">
        <w:t>.</w:t>
      </w:r>
    </w:p>
    <w:p w14:paraId="61E59AF9" w14:textId="21995994" w:rsidR="00ED3998" w:rsidRPr="009F6406" w:rsidRDefault="00151393" w:rsidP="00151393">
      <w:r w:rsidRPr="009F6406">
        <w:t xml:space="preserve">The approach to teaching primary mathematics in Singapore is characterized by </w:t>
      </w:r>
      <w:r w:rsidR="00C16C0F" w:rsidRPr="009F6406">
        <w:t xml:space="preserve">textbook use and </w:t>
      </w:r>
      <w:r w:rsidRPr="009F6406">
        <w:t>an emphasis on mastery</w:t>
      </w:r>
      <w:r w:rsidR="00C16C0F" w:rsidRPr="009F6406">
        <w:t>-based instruction</w:t>
      </w:r>
      <w:r w:rsidRPr="009F6406">
        <w:t xml:space="preserve">. ‘Mastery’ here refers to a focus on making sure that every </w:t>
      </w:r>
      <w:r w:rsidR="008478B6" w:rsidRPr="009F6406">
        <w:t>pupil</w:t>
      </w:r>
      <w:r w:rsidRPr="009F6406">
        <w:t xml:space="preserve"> secures understanding of a particular concept before moving on to the next, in contrast to </w:t>
      </w:r>
      <w:r w:rsidR="00C16C0F" w:rsidRPr="009F6406">
        <w:t>placing the priority on</w:t>
      </w:r>
      <w:r w:rsidRPr="009F6406">
        <w:t xml:space="preserve"> content coverage</w:t>
      </w:r>
      <w:r w:rsidR="00C16C0F" w:rsidRPr="009F6406">
        <w:t xml:space="preserve"> (which</w:t>
      </w:r>
      <w:r w:rsidR="006A1A4B" w:rsidRPr="009F6406">
        <w:t xml:space="preserve"> has</w:t>
      </w:r>
      <w:r w:rsidR="00C16C0F" w:rsidRPr="009F6406">
        <w:t xml:space="preserve"> traditionally characterized curricula in the UK)</w:t>
      </w:r>
      <w:r w:rsidRPr="009F6406">
        <w:t xml:space="preserve">. </w:t>
      </w:r>
      <w:r w:rsidR="003A395D" w:rsidRPr="009F6406">
        <w:t>Early mastery learning theory</w:t>
      </w:r>
      <w:r w:rsidR="00971B60" w:rsidRPr="009F6406">
        <w:t xml:space="preserve"> built on Carroll’s </w:t>
      </w:r>
      <w:r w:rsidR="00971B60" w:rsidRPr="009F6406">
        <w:fldChar w:fldCharType="begin" w:fldLock="1"/>
      </w:r>
      <w:r w:rsidR="005A6664" w:rsidRPr="009F6406">
        <w:instrText>ADDIN CSL_CITATION {"citationItems":[{"id":"ITEM-1","itemData":{"author":[{"dropping-particle":"","family":"Carroll","given":"John Bissell","non-dropping-particle":"","parse-names":false,"suffix":""}],"container-title":"Teachers College Record","id":"ITEM-1","issued":{"date-parts":[["1963"]]},"page":"723-733","title":"A model of school learning","type":"article-journal","volume":"64"},"uris":["http://www.mendeley.com/documents/?uuid=aeaa9e26-3a0a-4d05-a46f-b8bbd866a2d2","http://www.mendeley.com/documents/?uuid=9b2a94be-dd48-4d63-a749-d9a0fbc2c6a9"]}],"mendeley":{"formattedCitation":"(Carroll 1963)","manualFormatting":"(1963)","plainTextFormattedCitation":"(Carroll 1963)","previouslyFormattedCitation":"(Carroll 1963)"},"properties":{"noteIndex":0},"schema":"https://github.com/citation-style-language/schema/raw/master/csl-citation.json"}</w:instrText>
      </w:r>
      <w:r w:rsidR="00971B60" w:rsidRPr="009F6406">
        <w:fldChar w:fldCharType="separate"/>
      </w:r>
      <w:r w:rsidR="00971B60" w:rsidRPr="009F6406">
        <w:rPr>
          <w:noProof/>
        </w:rPr>
        <w:t>(1963)</w:t>
      </w:r>
      <w:r w:rsidR="00971B60" w:rsidRPr="009F6406">
        <w:fldChar w:fldCharType="end"/>
      </w:r>
      <w:r w:rsidR="00971B60" w:rsidRPr="009F6406">
        <w:t xml:space="preserve"> “Model of School Learning”, which conceptualized aptitude in terms of time to learn and time needed, thus identifying learners as “fast” or “slow” rather than possessed of some absolute level of ability</w:t>
      </w:r>
      <w:r w:rsidR="003A395D" w:rsidRPr="009F6406">
        <w:t xml:space="preserve">. </w:t>
      </w:r>
      <w:r w:rsidR="003A395D" w:rsidRPr="009F6406">
        <w:fldChar w:fldCharType="begin" w:fldLock="1"/>
      </w:r>
      <w:r w:rsidR="00E25EE9" w:rsidRPr="009F6406">
        <w:instrText>ADDIN CSL_CITATION {"citationItems":[{"id":"ITEM-1","itemData":{"author":[{"dropping-particle":"","family":"Bloom","given":"Benjamin S","non-dropping-particle":"","parse-names":false,"suffix":""}],"container-title":"Evaluation Comment","id":"ITEM-1","issue":"2","issued":{"date-parts":[["1968"]]},"page":"1-12","title":"Learning for mastery","type":"article-journal","volume":"1"},"uris":["http://www.mendeley.com/documents/?uuid=4f284144-ccad-4e9e-a205-bc59bf1c9928"]}],"mendeley":{"formattedCitation":"(Bloom 1968)","manualFormatting":"Bloom (1968)","plainTextFormattedCitation":"(Bloom 1968)","previouslyFormattedCitation":"(Bloom 1968)"},"properties":{"noteIndex":0},"schema":"https://github.com/citation-style-language/schema/raw/master/csl-citation.json"}</w:instrText>
      </w:r>
      <w:r w:rsidR="003A395D" w:rsidRPr="009F6406">
        <w:fldChar w:fldCharType="separate"/>
      </w:r>
      <w:r w:rsidR="003A395D" w:rsidRPr="009F6406">
        <w:rPr>
          <w:noProof/>
        </w:rPr>
        <w:t>Bloom (1968)</w:t>
      </w:r>
      <w:r w:rsidR="003A395D" w:rsidRPr="009F6406">
        <w:fldChar w:fldCharType="end"/>
      </w:r>
      <w:r w:rsidR="003A395D" w:rsidRPr="009F6406">
        <w:t xml:space="preserve"> built upon and applied this conceptualization to classroom instruction, focusing on “how individual differences in learners can be related to the learning and teaching process” (p.2) to provide the conditions for more pupils to master a subject, with the underlying principle that all or most pupils </w:t>
      </w:r>
      <w:r w:rsidR="003A395D" w:rsidRPr="009F6406">
        <w:rPr>
          <w:i/>
        </w:rPr>
        <w:t>can</w:t>
      </w:r>
      <w:r w:rsidR="003A395D" w:rsidRPr="009F6406">
        <w:t xml:space="preserve"> achieve mastery given the right conditions to support their learning</w:t>
      </w:r>
      <w:r w:rsidR="00971B60" w:rsidRPr="009F6406">
        <w:t xml:space="preserve">. </w:t>
      </w:r>
      <w:r w:rsidR="0082059C" w:rsidRPr="009F6406">
        <w:fldChar w:fldCharType="begin" w:fldLock="1"/>
      </w:r>
      <w:r w:rsidR="00E25EE9" w:rsidRPr="009F6406">
        <w:instrText>ADDIN CSL_CITATION {"citationItems":[{"id":"ITEM-1","itemData":{"DOI":"10.1080/00405848009542882","ISSN":"0040-5841","author":[{"dropping-particle":"","family":"Guskey","given":"Thomas R","non-dropping-particle":"","parse-names":false,"suffix":""}],"container-title":"Theory Into Practice","id":"ITEM-1","issue":"2","issued":{"date-parts":[["1980","3","1"]]},"note":"doi: 10.1080/00405848009542882","page":"104-111","publisher":"Routledge","title":"Mastery learning: Applying the theory","type":"article-journal","volume":"19"},"uris":["http://www.mendeley.com/documents/?uuid=c3c6fc82-fcd9-4dbf-b8a9-848606212af0"]}],"mendeley":{"formattedCitation":"(Guskey 1980)","manualFormatting":"Guskey (1980)","plainTextFormattedCitation":"(Guskey 1980)","previouslyFormattedCitation":"(Guskey 1980)"},"properties":{"noteIndex":0},"schema":"https://github.com/citation-style-language/schema/raw/master/csl-citation.json"}</w:instrText>
      </w:r>
      <w:r w:rsidR="0082059C" w:rsidRPr="009F6406">
        <w:fldChar w:fldCharType="separate"/>
      </w:r>
      <w:r w:rsidR="00971B60" w:rsidRPr="009F6406">
        <w:rPr>
          <w:noProof/>
        </w:rPr>
        <w:t>Guskey</w:t>
      </w:r>
      <w:r w:rsidR="0082059C" w:rsidRPr="009F6406">
        <w:rPr>
          <w:noProof/>
        </w:rPr>
        <w:t xml:space="preserve"> </w:t>
      </w:r>
      <w:r w:rsidR="00971B60" w:rsidRPr="009F6406">
        <w:rPr>
          <w:noProof/>
        </w:rPr>
        <w:t>(</w:t>
      </w:r>
      <w:r w:rsidR="0082059C" w:rsidRPr="009F6406">
        <w:rPr>
          <w:noProof/>
        </w:rPr>
        <w:t>1980)</w:t>
      </w:r>
      <w:r w:rsidR="0082059C" w:rsidRPr="009F6406">
        <w:fldChar w:fldCharType="end"/>
      </w:r>
      <w:r w:rsidR="0082059C" w:rsidRPr="009F6406">
        <w:t xml:space="preserve"> </w:t>
      </w:r>
      <w:r w:rsidR="00E85DC0" w:rsidRPr="009F6406">
        <w:t xml:space="preserve">extended the theoretical notion of mastery to consider practical implementation, attending to teacher development and pedagogy as well as curriculum and teaching materials, ultimately finding </w:t>
      </w:r>
      <w:r w:rsidR="00E66136" w:rsidRPr="009F6406">
        <w:t xml:space="preserve">indications </w:t>
      </w:r>
      <w:r w:rsidR="00E85DC0" w:rsidRPr="009F6406">
        <w:t xml:space="preserve">that mastery instruction (if </w:t>
      </w:r>
      <w:r w:rsidR="005D1C5B" w:rsidRPr="009F6406">
        <w:t xml:space="preserve">properly </w:t>
      </w:r>
      <w:r w:rsidR="00E85DC0" w:rsidRPr="009F6406">
        <w:t>implemented) could facilitate pupil progress as well as improve pupils’ attitudes towards learning.</w:t>
      </w:r>
      <w:r w:rsidR="00971B60" w:rsidRPr="009F6406">
        <w:t xml:space="preserve"> </w:t>
      </w:r>
    </w:p>
    <w:p w14:paraId="4077285C" w14:textId="333F0158" w:rsidR="00151393" w:rsidRPr="009F6406" w:rsidRDefault="00151393" w:rsidP="00151393">
      <w:r w:rsidRPr="009F6406">
        <w:t xml:space="preserve">Variation theory also plays an important role in the teaching of mathematics in Singapore. </w:t>
      </w:r>
      <w:r w:rsidR="00A72427" w:rsidRPr="009F6406">
        <w:t xml:space="preserve">The terminology used to describe variation theory has differed across theorists who have written on the topic. </w:t>
      </w:r>
      <w:r w:rsidR="00A72427" w:rsidRPr="009F6406">
        <w:fldChar w:fldCharType="begin" w:fldLock="1"/>
      </w:r>
      <w:r w:rsidR="005A6664" w:rsidRPr="009F6406">
        <w:instrText>ADDIN CSL_CITATION {"citationItems":[{"id":"ITEM-1","itemData":{"DOI":"10.2307/1165708","ISSN":"0037976X, 15405834","author":[{"dropping-particle":"","family":"Bruner","given":"Jerome S","non-dropping-particle":"","parse-names":false,"suffix":""},{"dropping-particle":"","family":"Kenney","given":"Helen J","non-dropping-particle":"","parse-names":false,"suffix":""}],"container-title":"Monographs of the Society for Research in Child Development","id":"ITEM-1","issue":"1","issued":{"date-parts":[["1965"]]},"page":"50-59","title":"Representation and Mathematics Learning","type":"article-journal","volume":"30"},"uris":["http://www.mendeley.com/documents/?uuid=0e2a05b3-bbea-46bd-bea3-26f33f9e8da1","http://www.mendeley.com/documents/?uuid=1e367bca-1e49-4a90-92bf-56414cd6ee8e"]}],"mendeley":{"formattedCitation":"(Bruner and Kenney 1965)","manualFormatting":"Bruner and Kenney (1965)","plainTextFormattedCitation":"(Bruner and Kenney 1965)","previouslyFormattedCitation":"(Bruner and Kenney 1965)"},"properties":{"noteIndex":0},"schema":"https://github.com/citation-style-language/schema/raw/master/csl-citation.json"}</w:instrText>
      </w:r>
      <w:r w:rsidR="00A72427" w:rsidRPr="009F6406">
        <w:fldChar w:fldCharType="separate"/>
      </w:r>
      <w:r w:rsidR="00A72427" w:rsidRPr="009F6406">
        <w:rPr>
          <w:noProof/>
        </w:rPr>
        <w:t>Bruner and Kenney (1965)</w:t>
      </w:r>
      <w:r w:rsidR="00A72427" w:rsidRPr="009F6406">
        <w:fldChar w:fldCharType="end"/>
      </w:r>
      <w:r w:rsidR="00A72427" w:rsidRPr="009F6406">
        <w:t xml:space="preserve"> conceived of variation in terms of the presentation of different “constructions and perceptual events” to facilitate children’s abstraction and generalization of broader mathematical principles. </w:t>
      </w:r>
      <w:r w:rsidR="00A72427" w:rsidRPr="009F6406">
        <w:fldChar w:fldCharType="begin" w:fldLock="1"/>
      </w:r>
      <w:r w:rsidR="00A130BF" w:rsidRPr="009F6406">
        <w:instrText>ADDIN CSL_CITATION {"citationItems":[{"id":"ITEM-1","itemData":{"DOI":"10.1080/0305764042000332506","ISSN":"0305-764X","author":[{"dropping-particle":"","family":"Runesson","given":"Ulla","non-dropping-particle":"","parse-names":false,"suffix":""}],"container-title":"Cambridge Journal of Education","id":"ITEM-1","issue":"1","issued":{"date-parts":[["2005","3"]]},"page":"69-87","title":"Beyond discourse and interaction. Variation: a critical aspect for teaching and learning mathematics","type":"article-journal","volume":"35"},"uris":["http://www.mendeley.com/documents/?uuid=71a221ca-2cc9-483a-beac-5bcd14d87286","http://www.mendeley.com/documents/?uuid=9184e65d-ea8a-49d9-9ec9-bf872178a8e9"]}],"mendeley":{"formattedCitation":"(Runesson 2005)","manualFormatting":"Runesson (2005)","plainTextFormattedCitation":"(Runesson 2005)","previouslyFormattedCitation":"(Runesson 2005)"},"properties":{"noteIndex":0},"schema":"https://github.com/citation-style-language/schema/raw/master/csl-citation.json"}</w:instrText>
      </w:r>
      <w:r w:rsidR="00A72427" w:rsidRPr="009F6406">
        <w:fldChar w:fldCharType="separate"/>
      </w:r>
      <w:r w:rsidR="00E87F90" w:rsidRPr="009F6406">
        <w:rPr>
          <w:noProof/>
        </w:rPr>
        <w:t>Runesson (</w:t>
      </w:r>
      <w:r w:rsidR="00A72427" w:rsidRPr="009F6406">
        <w:rPr>
          <w:noProof/>
        </w:rPr>
        <w:t>2005)</w:t>
      </w:r>
      <w:r w:rsidR="00A72427" w:rsidRPr="009F6406">
        <w:fldChar w:fldCharType="end"/>
      </w:r>
      <w:r w:rsidR="003958A3" w:rsidRPr="009F6406">
        <w:t xml:space="preserve"> focuses on perceptual variability</w:t>
      </w:r>
      <w:r w:rsidR="00E87F90" w:rsidRPr="009F6406">
        <w:t xml:space="preserve"> and the centrality of how learners experience and intera</w:t>
      </w:r>
      <w:r w:rsidR="003E522E" w:rsidRPr="009F6406">
        <w:t xml:space="preserve">ct with the object of learning. </w:t>
      </w:r>
      <w:r w:rsidR="00243F01" w:rsidRPr="009F6406">
        <w:t xml:space="preserve">One of the most influential theorists with regard to the approach to teaching mathematics in Singapore, </w:t>
      </w:r>
      <w:r w:rsidR="00243F01" w:rsidRPr="009F6406">
        <w:fldChar w:fldCharType="begin" w:fldLock="1"/>
      </w:r>
      <w:r w:rsidR="005A6664" w:rsidRPr="009F6406">
        <w:instrText>ADDIN CSL_CITATION {"citationItems":[{"id":"ITEM-1","itemData":{"author":[{"dropping-particle":"","family":"Dienes","given":"Zoltan Paul","non-dropping-particle":"","parse-names":false,"suffix":""}],"id":"ITEM-1","issued":{"date-parts":[["1960"]]},"language":"English","publisher":"Hutchinson Educational","publisher-place":"London","title":"Building up mathematics","type":"book"},"uris":["http://www.mendeley.com/documents/?uuid=6102a680-74ea-43bf-afb6-e1b77b0e8afa","http://www.mendeley.com/documents/?uuid=c7ad1cb2-c0ef-486a-bfaa-3f8d8e9e8fad"]}],"mendeley":{"formattedCitation":"(Dienes 1960)","manualFormatting":"Dienes (1960)","plainTextFormattedCitation":"(Dienes 1960)","previouslyFormattedCitation":"(Dienes 1960)"},"properties":{"noteIndex":0},"schema":"https://github.com/citation-style-language/schema/raw/master/csl-citation.json"}</w:instrText>
      </w:r>
      <w:r w:rsidR="00243F01" w:rsidRPr="009F6406">
        <w:fldChar w:fldCharType="separate"/>
      </w:r>
      <w:r w:rsidR="00243F01" w:rsidRPr="009F6406">
        <w:rPr>
          <w:noProof/>
        </w:rPr>
        <w:t>Dienes (1960)</w:t>
      </w:r>
      <w:r w:rsidR="00243F01" w:rsidRPr="009F6406">
        <w:fldChar w:fldCharType="end"/>
      </w:r>
      <w:r w:rsidR="00243F01" w:rsidRPr="009F6406">
        <w:t>, proposed that teaching should systematicall</w:t>
      </w:r>
      <w:r w:rsidR="00CE4A3E" w:rsidRPr="009F6406">
        <w:t>y incorporate mathematical variability</w:t>
      </w:r>
      <w:r w:rsidR="003958A3" w:rsidRPr="009F6406">
        <w:t xml:space="preserve"> and perceptual variability</w:t>
      </w:r>
      <w:r w:rsidR="00243F01" w:rsidRPr="009F6406">
        <w:t xml:space="preserve">. The former involves presenting pupils with conceptually-related problems but different values </w:t>
      </w:r>
      <w:r w:rsidR="00663B1B" w:rsidRPr="009F6406">
        <w:t xml:space="preserve">or different irrelevant attributes </w:t>
      </w:r>
      <w:r w:rsidR="00243F01" w:rsidRPr="009F6406">
        <w:t xml:space="preserve">that lead to deeper understanding (e.g. </w:t>
      </w:r>
      <w:r w:rsidR="00D22825" w:rsidRPr="009F6406">
        <w:t>pupils might learn addition first without and then with regrouping</w:t>
      </w:r>
      <w:r w:rsidR="00AE5825" w:rsidRPr="009F6406">
        <w:t>, and progress within each of these strategies from adding 2- to 1-digit and 2- to 2-digit numbers, “varying” only one aspect – the size of the second number and use of regrouping or not -- at a time</w:t>
      </w:r>
      <w:r w:rsidR="00243F01" w:rsidRPr="009F6406">
        <w:t xml:space="preserve">). The latter involves presenting pupils with different physical representations of the same concept (e.g. pictures, concrete objects, and written sums), facilitating pupils’ understanding of abstract mathematical concepts; this builds on </w:t>
      </w:r>
      <w:r w:rsidR="001F722B" w:rsidRPr="009F6406">
        <w:t xml:space="preserve">the progression from concrete to abstract in </w:t>
      </w:r>
      <w:r w:rsidR="001F722B" w:rsidRPr="009F6406">
        <w:fldChar w:fldCharType="begin" w:fldLock="1"/>
      </w:r>
      <w:r w:rsidR="00E25EE9" w:rsidRPr="009F6406">
        <w:instrText>ADDIN CSL_CITATION {"citationItems":[{"id":"ITEM-1","itemData":{"ISBN":"0823682072 9780823682072","abstract":"This book deals with the origins of intelligence in children and contains original observations on young children, novel experiments, brilliant in their simplicity,which the author describes in detail. Piaget divides the growth of intelligence into six sequential stages: the use of reflexes; the first acquired adaptations and primary circular reaction; secondary circular reactions and the child's procedures for prolonging spectacles interesting to him. -- Provided by publisher","author":[{"dropping-particle":"","family":"Piaget","given":"Jean","non-dropping-particle":"","parse-names":false,"suffix":""}],"id":"ITEM-1","issued":{"date-parts":[["1952"]]},"language":"English","publisher":"International Universities Press","publisher-place":"Madison, Conn.","title":"The origins of intelligence in children","type":"book"},"uris":["http://www.mendeley.com/documents/?uuid=536d6630-2ed9-4cae-896c-4f9dd948f460","http://www.mendeley.com/documents/?uuid=8fd63718-0478-40c9-95ae-816e541bb0ff"]}],"mendeley":{"formattedCitation":"(Piaget 1952)","manualFormatting":"Piaget's (1952)","plainTextFormattedCitation":"(Piaget 1952)","previouslyFormattedCitation":"(Piaget 1952)"},"properties":{"noteIndex":0},"schema":"https://github.com/citation-style-language/schema/raw/master/csl-citation.json"}</w:instrText>
      </w:r>
      <w:r w:rsidR="001F722B" w:rsidRPr="009F6406">
        <w:fldChar w:fldCharType="separate"/>
      </w:r>
      <w:r w:rsidR="001F722B" w:rsidRPr="009F6406">
        <w:rPr>
          <w:noProof/>
        </w:rPr>
        <w:t>Piaget's (1952)</w:t>
      </w:r>
      <w:r w:rsidR="001F722B" w:rsidRPr="009F6406">
        <w:fldChar w:fldCharType="end"/>
      </w:r>
      <w:r w:rsidR="001F722B" w:rsidRPr="009F6406">
        <w:t xml:space="preserve"> theory of children’s learning and development. In the Singapore approach to teaching mathematics, variation theory is operationalized via the use of a Concrete-Pictorial-Abstract (CPA) scaffolding of representations (with a heavy weighting towards the former two types of representations in earlier years of schooling).</w:t>
      </w:r>
      <w:r w:rsidR="00AD0847" w:rsidRPr="009F6406">
        <w:t xml:space="preserve"> </w:t>
      </w:r>
      <w:r w:rsidR="00A741E3" w:rsidRPr="009F6406">
        <w:t xml:space="preserve">That is, </w:t>
      </w:r>
      <w:r w:rsidR="00E941B2" w:rsidRPr="009F6406">
        <w:t>a concept is</w:t>
      </w:r>
      <w:r w:rsidR="00A741E3" w:rsidRPr="009F6406">
        <w:t xml:space="preserve"> taught first by using manipulatives such as interlocking cubes, then by representing problems visually (e.g. using bar </w:t>
      </w:r>
      <w:r w:rsidR="00A741E3" w:rsidRPr="009F6406">
        <w:lastRenderedPageBreak/>
        <w:t xml:space="preserve">models), and finally by engaging with problems represented using mathematical symbols and numerals. </w:t>
      </w:r>
      <w:r w:rsidR="00D07BEF" w:rsidRPr="009F6406">
        <w:t>The CPA appr</w:t>
      </w:r>
      <w:r w:rsidR="00BE5C03" w:rsidRPr="009F6406">
        <w:t>oach draws on theory by</w:t>
      </w:r>
      <w:r w:rsidR="00D07BEF" w:rsidRPr="009F6406">
        <w:t xml:space="preserve"> Bruner</w:t>
      </w:r>
      <w:r w:rsidR="00BE5C03" w:rsidRPr="009F6406">
        <w:t xml:space="preserve"> </w:t>
      </w:r>
      <w:r w:rsidR="00F0265A" w:rsidRPr="009F6406">
        <w:t>(1966)</w:t>
      </w:r>
      <w:r w:rsidR="00D07BEF" w:rsidRPr="009F6406">
        <w:t xml:space="preserve">, in particular his </w:t>
      </w:r>
      <w:r w:rsidR="002478BF" w:rsidRPr="009F6406">
        <w:t xml:space="preserve">conception of enactive (action-based), iconic (image-based) and symbolic (abstract) stages of representation and the </w:t>
      </w:r>
      <w:r w:rsidR="00D07BEF" w:rsidRPr="009F6406">
        <w:t>proposition that “ if it is true that intellectual development moves from enactive through iconic to symbolic representation of the world, it is likely that an optimum [teaching] sequence will progress in the same way” (p.49).</w:t>
      </w:r>
    </w:p>
    <w:p w14:paraId="36542C76" w14:textId="4B7D0D8C" w:rsidR="00151393" w:rsidRPr="009F6406" w:rsidRDefault="00A07DFC" w:rsidP="009C2FB9">
      <w:r w:rsidRPr="009F6406">
        <w:t xml:space="preserve">Despite </w:t>
      </w:r>
      <w:r w:rsidR="00151393" w:rsidRPr="009F6406">
        <w:t xml:space="preserve">policy emphasis on international comparisons and transfer or imitation of a Singapore approach to teaching mathematics in </w:t>
      </w:r>
      <w:r w:rsidR="00A706C9" w:rsidRPr="009F6406">
        <w:t>the UK</w:t>
      </w:r>
      <w:r w:rsidR="00151393" w:rsidRPr="009F6406">
        <w:t xml:space="preserve"> and the USA, the evidence to support the use of thes</w:t>
      </w:r>
      <w:r w:rsidRPr="009F6406">
        <w:t xml:space="preserve">e methods is relatively limited. </w:t>
      </w:r>
      <w:r w:rsidR="00CB080B" w:rsidRPr="009F6406">
        <w:t xml:space="preserve">Some previous research has demonstrated the educational effectiveness of Singapore-based approaches </w:t>
      </w:r>
      <w:r w:rsidR="00CB080B" w:rsidRPr="009F6406">
        <w:fldChar w:fldCharType="begin" w:fldLock="1"/>
      </w:r>
      <w:r w:rsidR="00A130BF" w:rsidRPr="009F6406">
        <w:instrText>ADDIN CSL_CITATION {"citationItems":[{"id":"ITEM-1","itemData":{"author":[{"dropping-particle":"","family":"Goldman","given":"Madge R","non-dropping-particle":"","parse-names":false,"suffix":""},{"dropping-particle":"","family":"Retakh","given":"Vladimir","non-dropping-particle":"","parse-names":false,"suffix":""},{"dropping-particle":"","family":"Rubin","given":"Robert A","non-dropping-particle":"","parse-names":false,"suffix":""},{"dropping-particle":"","family":"Minnigh","given":"Harvey A","non-dropping-particle":"","parse-names":false,"suffix":""}],"id":"ITEM-1","issued":{"date-parts":[["2009"]]},"publisher":"Gabriella and Paul Rosenbaum Foundation","publisher-place":"Bryn Mawr, PA","title":"The effect of Singapore Mathematics on Student Proficiency in Massachusetts School District: A longitudinal statistical examination","type":"book"},"uris":["http://www.mendeley.com/documents/?uuid=3071184f-2c6c-41bd-9333-e57e0d7481f1","http://www.mendeley.com/documents/?uuid=0593aeb8-f102-49b1-af9b-6ad4dd66fb62"]},{"id":"ITEM-2","itemData":{"author":[{"dropping-particle":"","family":"Gross","given":"Susan","non-dropping-particle":"","parse-names":false,"suffix":""},{"dropping-particle":"","family":"Merchlinsky","given":"Suzanne","non-dropping-particle":"","parse-names":false,"suffix":""}],"id":"ITEM-2","issued":{"date-parts":[["2002"]]},"publisher-place":"Rockville, MD: Montgomery County Public Schools Office of Shared Accountability","title":"Singapore Math Pilot Program: Year 1 Report","type":"report"},"uris":["http://www.mendeley.com/documents/?uuid=6d29b7cf-6074-427e-9ced-41bb5f4f54fa","http://www.mendeley.com/documents/?uuid=91a6f4ec-57e6-4616-adc1-3a710ccd6a6b"]},{"id":"ITEM-3","itemData":{"author":[{"dropping-particle":"","family":"Ginsburg","given":"Alan","non-dropping-particle":"","parse-names":false,"suffix":""},{"dropping-particle":"","family":"Leinwand","given":"Steven","non-dropping-particle":"","parse-names":false,"suffix":""},{"dropping-particle":"","family":"Anstrom","given":"Terry","non-dropping-particle":"","parse-names":false,"suffix":""},{"dropping-particle":"","family":"Pollock","given":"Elizabeth","non-dropping-particle":"","parse-names":false,"suffix":""}],"id":"ITEM-3","issued":{"date-parts":[["2005"]]},"publisher":"American Institutes for Research","publisher-place":"Washington, D.C.","title":"What the United States Can Learn From Singapore's World-Class Mathematics System (and What Singapore Can Learn from the United States): An Exploratory Study","type":"book"},"uris":["http://www.mendeley.com/documents/?uuid=9f79cc5c-8be4-4001-bb5b-dea7c134753a"]},{"id":"ITEM-4","itemData":{"author":[{"dropping-particle":"","family":"Hoven","given":"John","non-dropping-particle":"","parse-names":false,"suffix":""},{"dropping-particle":"","family":"Garelick","given":"Barry","non-dropping-particle":"","parse-names":false,"suffix":""}],"container-title":"Educational Leadership","id":"ITEM-4","issue":"3","issued":{"date-parts":[["2007"]]},"page":"28-31","title":"Singapore math: Simple or complex?","type":"article-journal","volume":"65"},"uris":["http://www.mendeley.com/documents/?uuid=536dd54b-d372-4927-aa0c-fada8bbfcfe0","http://www.mendeley.com/documents/?uuid=1dea102f-4175-4240-9d7d-fe3ec0b8518f"]},{"id":"ITEM-5","itemData":{"author":[{"dropping-particle":"","family":"Uribe-Zarain","given":"X.","non-dropping-particle":"","parse-names":false,"suffix":""}],"id":"ITEM-5","issued":{"date-parts":[["2010"]]},"publisher-place":"Newark, DE: Delaware Education Research and Development Center","title":"Evaluation of the International Math Pilot: Exploring the Effectiveness of Singapore Math Year 2 [Report number T.2010.13.5]","type":"report"},"uris":["http://www.mendeley.com/documents/?uuid=780d4e42-17b2-44c1-9b41-046c2bb8ff20","http://www.mendeley.com/documents/?uuid=a0210a47-cb28-4d70-bcbd-603835bf5a9a"]}],"mendeley":{"formattedCitation":"(Goldman et al. 2009; Gross and Merchlinsky 2002; Ginsburg et al. 2005; Hoven and Garelick 2007; Uribe-Zarain 2010)","manualFormatting":"(e.g. Goldman et al. 2009; Gross and Merchlinsky 2002; Ginsburg et al. 2005; Hoven and Garelick 2007; Uribe-Zarain 2010)","plainTextFormattedCitation":"(Goldman et al. 2009; Gross and Merchlinsky 2002; Ginsburg et al. 2005; Hoven and Garelick 2007; Uribe-Zarain 2010)","previouslyFormattedCitation":"(Goldman et al. 2009; Gross and Merchlinsky 2002; Ginsburg et al. 2005; Hoven and Garelick 2007; Uribe-Zarain 2010)"},"properties":{"noteIndex":0},"schema":"https://github.com/citation-style-language/schema/raw/master/csl-citation.json"}</w:instrText>
      </w:r>
      <w:r w:rsidR="00CB080B" w:rsidRPr="009F6406">
        <w:fldChar w:fldCharType="separate"/>
      </w:r>
      <w:r w:rsidR="00CB080B" w:rsidRPr="009F6406">
        <w:rPr>
          <w:noProof/>
        </w:rPr>
        <w:t xml:space="preserve">(e.g. </w:t>
      </w:r>
      <w:r w:rsidR="00926168" w:rsidRPr="009F6406">
        <w:rPr>
          <w:noProof/>
        </w:rPr>
        <w:t xml:space="preserve">Ginsburg et al. 2005; </w:t>
      </w:r>
      <w:r w:rsidR="00CB080B" w:rsidRPr="009F6406">
        <w:rPr>
          <w:noProof/>
        </w:rPr>
        <w:t>Goldman et al. 2009; Gross and Merchlinsky 2002; Hoven and Garelick 2007; Uribe-Zarain 2010)</w:t>
      </w:r>
      <w:r w:rsidR="00CB080B" w:rsidRPr="009F6406">
        <w:fldChar w:fldCharType="end"/>
      </w:r>
      <w:r w:rsidR="00CB080B" w:rsidRPr="009F6406">
        <w:t xml:space="preserve">. </w:t>
      </w:r>
      <w:r w:rsidR="009C2FB9" w:rsidRPr="009F6406">
        <w:t>However, s</w:t>
      </w:r>
      <w:r w:rsidR="00151393" w:rsidRPr="009F6406">
        <w:t xml:space="preserve">tudies involving an experimental design are </w:t>
      </w:r>
      <w:r w:rsidR="00CB080B" w:rsidRPr="009F6406">
        <w:t xml:space="preserve">relatively </w:t>
      </w:r>
      <w:r w:rsidR="00151393" w:rsidRPr="009F6406">
        <w:t>few and have found small</w:t>
      </w:r>
      <w:r w:rsidR="00CB080B" w:rsidRPr="009F6406">
        <w:t>-to-modest</w:t>
      </w:r>
      <w:r w:rsidR="00151393" w:rsidRPr="009F6406">
        <w:t xml:space="preserve"> positive effects on pupils’ mathematical knowledge and skills</w:t>
      </w:r>
      <w:r w:rsidR="004E5449" w:rsidRPr="009F6406">
        <w:t xml:space="preserve"> </w:t>
      </w:r>
      <w:r w:rsidR="004E5449" w:rsidRPr="009F6406">
        <w:fldChar w:fldCharType="begin" w:fldLock="1"/>
      </w:r>
      <w:r w:rsidR="002235B8" w:rsidRPr="009F6406">
        <w:instrText>ADDIN CSL_CITATION {"citationItems":[{"id":"ITEM-1","itemData":{"DOI":"10.1080/19345747.2016.1164777","ISSN":"1934-5747","author":[{"dropping-particle":"","family":"Jaciw","given":"Andrew P","non-dropping-particle":"","parse-names":false,"suffix":""},{"dropping-particle":"","family":"Hegseth","given":"Whitney Michelle","non-dropping-particle":"","parse-names":false,"suffix":""},{"dropping-particle":"","family":"Lin","given":"Li","non-dropping-particle":"","parse-names":false,"suffix":""},{"dropping-particle":"","family":"Toby","given":"Megan","non-dropping-particle":"","parse-names":false,"suffix":""},{"dropping-particle":"","family":"Newman","given":"Denis","non-dropping-particle":"","parse-names":false,"suffix":""},{"dropping-particle":"","family":"Ma","given":"Boya","non-dropping-particle":"","parse-names":false,"suffix":""},{"dropping-particle":"","family":"Zacamy","given":"Jenna","non-dropping-particle":"","parse-names":false,"suffix":""}],"container-title":"Journal of Research on Educational Effectiveness","id":"ITEM-1","issue":"4","issued":{"date-parts":[["2016","10","1"]]},"note":"doi: 10.1080/19345747.2016.1164777","page":"473-502","title":"Assessing Impacts of Math in Focus, a “Singapore Math” Program","type":"article-journal","volume":"9"},"uris":["http://www.mendeley.com/documents/?uuid=0f77b60a-4e81-4075-b80d-fa0b642c09c8"]},{"id":"ITEM-2","itemData":{"author":[{"dropping-particle":"","family":"Vignoles","given":"Anna","non-dropping-particle":"","parse-names":false,"suffix":""},{"dropping-particle":"","family":"Jerrim","given":"John","non-dropping-particle":"","parse-names":false,"suffix":""},{"dropping-particle":"","family":"Cowan","given":"R","non-dropping-particle":"","parse-names":false,"suffix":""}],"id":"ITEM-2","issued":{"date-parts":[["2015"]]},"publisher-place":"London: Education Endowment Foundation","title":"Mathematics Mastery: Primary Evaluation Report","type":"report"},"uris":["http://www.mendeley.com/documents/?uuid=5e91bf5e-5119-45ae-80d7-fdc31a78bcd5"]},{"id":"ITEM-3","itemData":{"DOI":"https://doi.org/10.1016/j.econedurev.2015.11.003","ISSN":"0272-7757","author":[{"dropping-particle":"","family":"Jerrim","given":"John","non-dropping-particle":"","parse-names":false,"suffix":""},{"dropping-particle":"","family":"Vignoles","given":"Anna","non-dropping-particle":"","parse-names":false,"suffix":""}],"container-title":"Economics of Education Review","id":"ITEM-3","issued":{"date-parts":[["2016"]]},"page":"29-44","title":"The link between East Asian ‘mastery’ teaching methods and English children's mathematics skills","type":"article-journal","volume":"50"},"uris":["http://www.mendeley.com/documents/?uuid=c82adc1f-2c69-472e-8bb1-9df993d9ad43"]}],"mendeley":{"formattedCitation":"(Jaciw et al. 2016; Vignoles, Jerrim, and Cowan 2015; Jerrim and Vignoles 2016)","plainTextFormattedCitation":"(Jaciw et al. 2016; Vignoles, Jerrim, and Cowan 2015; Jerrim and Vignoles 2016)","previouslyFormattedCitation":"(Jaciw et al. 2016; Vignoles, Jerrim, and Cowan 2015; Jerrim and Vignoles 2016)"},"properties":{"noteIndex":0},"schema":"https://github.com/citation-style-language/schema/raw/master/csl-citation.json"}</w:instrText>
      </w:r>
      <w:r w:rsidR="004E5449" w:rsidRPr="009F6406">
        <w:fldChar w:fldCharType="separate"/>
      </w:r>
      <w:r w:rsidR="002235B8" w:rsidRPr="009F6406">
        <w:rPr>
          <w:noProof/>
        </w:rPr>
        <w:t>(Jaciw et al. 2016;</w:t>
      </w:r>
      <w:r w:rsidR="00926168" w:rsidRPr="009F6406">
        <w:rPr>
          <w:noProof/>
        </w:rPr>
        <w:t xml:space="preserve"> Jerrim and Vignoles 2016;</w:t>
      </w:r>
      <w:r w:rsidR="002235B8" w:rsidRPr="009F6406">
        <w:rPr>
          <w:noProof/>
        </w:rPr>
        <w:t xml:space="preserve"> Vignoles, Jerrim, and Cowan 2015)</w:t>
      </w:r>
      <w:r w:rsidR="004E5449" w:rsidRPr="009F6406">
        <w:fldChar w:fldCharType="end"/>
      </w:r>
      <w:r w:rsidR="00CB080B" w:rsidRPr="009F6406">
        <w:t xml:space="preserve">. </w:t>
      </w:r>
      <w:r w:rsidR="00151393" w:rsidRPr="009F6406">
        <w:t xml:space="preserve">Further, </w:t>
      </w:r>
      <w:r w:rsidR="009C2FB9" w:rsidRPr="009F6406">
        <w:t xml:space="preserve">these </w:t>
      </w:r>
      <w:r w:rsidR="00151393" w:rsidRPr="009F6406">
        <w:t xml:space="preserve">experimental studies have not systematically </w:t>
      </w:r>
      <w:r w:rsidR="002F4091" w:rsidRPr="009F6406">
        <w:t>studied</w:t>
      </w:r>
      <w:r w:rsidR="00151393" w:rsidRPr="009F6406">
        <w:t xml:space="preserve"> teaching practice via d</w:t>
      </w:r>
      <w:r w:rsidRPr="009F6406">
        <w:t>irect lesson observations, or where</w:t>
      </w:r>
      <w:r w:rsidR="00151393" w:rsidRPr="009F6406">
        <w:t xml:space="preserve"> such observations are mentioned they are not reported</w:t>
      </w:r>
      <w:r w:rsidR="009F6406">
        <w:t xml:space="preserve"> in detail</w:t>
      </w:r>
      <w:r w:rsidR="00151393" w:rsidRPr="009F6406">
        <w:t xml:space="preserve">. </w:t>
      </w:r>
      <w:r w:rsidR="009C2FB9" w:rsidRPr="009F6406">
        <w:t>By contrast, q</w:t>
      </w:r>
      <w:r w:rsidR="00151393" w:rsidRPr="009F6406">
        <w:t xml:space="preserve">ualitative studies have </w:t>
      </w:r>
      <w:r w:rsidR="009C2FB9" w:rsidRPr="009F6406">
        <w:t xml:space="preserve">also </w:t>
      </w:r>
      <w:r w:rsidR="00151393" w:rsidRPr="009F6406">
        <w:t>been undertaken to explore teachers’ perceptions and experiences of using Singapore-based approaches to teaching mathematics in other settings</w:t>
      </w:r>
      <w:r w:rsidR="001B6797" w:rsidRPr="009F6406">
        <w:t xml:space="preserve"> </w:t>
      </w:r>
      <w:r w:rsidR="00764DCC" w:rsidRPr="009F6406">
        <w:fldChar w:fldCharType="begin" w:fldLock="1"/>
      </w:r>
      <w:r w:rsidR="00A130BF" w:rsidRPr="009F6406">
        <w:instrText>ADDIN CSL_CITATION {"citationItems":[{"id":"ITEM-1","itemData":{"DOI":"10.1080/10288457.2015.1089675","author":[{"dropping-particle":"","family":"Naroth","given":"Charmon","non-dropping-particle":"","parse-names":false,"suffix":""},{"dropping-particle":"","family":"Luneta","given":"Kakoma","non-dropping-particle":"","parse-names":false,"suffix":""}],"container-title":"African Journal of Research in Mathematics, Science and Technology Education","id":"ITEM-1","issue":"3","issued":{"date-parts":[["2015"]]},"page":"267-277","title":"Implementing the Singapore Mathematics Curriculum in South Africa: Experiences of Foundation Phase Teachers","type":"article-journal","volume":"19"},"uris":["http://www.mendeley.com/documents/?uuid=7f1d7142-e47d-4139-8124-5820996edab6"]}],"mendeley":{"formattedCitation":"(Naroth and Luneta 2015)","manualFormatting":"(e.g. Naroth and Luneta 2015)","plainTextFormattedCitation":"(Naroth and Luneta 2015)","previouslyFormattedCitation":"(Naroth and Luneta 2015)"},"properties":{"noteIndex":0},"schema":"https://github.com/citation-style-language/schema/raw/master/csl-citation.json"}</w:instrText>
      </w:r>
      <w:r w:rsidR="00764DCC" w:rsidRPr="009F6406">
        <w:fldChar w:fldCharType="separate"/>
      </w:r>
      <w:r w:rsidR="00764DCC" w:rsidRPr="009F6406">
        <w:rPr>
          <w:noProof/>
        </w:rPr>
        <w:t>(e.g. Naroth and Luneta 2015)</w:t>
      </w:r>
      <w:r w:rsidR="00764DCC" w:rsidRPr="009F6406">
        <w:fldChar w:fldCharType="end"/>
      </w:r>
      <w:r w:rsidR="00151393" w:rsidRPr="009F6406">
        <w:t>, and some studies have explored teaching practice specific to the implementation of such approaches</w:t>
      </w:r>
      <w:r w:rsidR="00764DCC" w:rsidRPr="009F6406">
        <w:t xml:space="preserve"> </w:t>
      </w:r>
      <w:r w:rsidR="00764DCC" w:rsidRPr="009F6406">
        <w:fldChar w:fldCharType="begin" w:fldLock="1"/>
      </w:r>
      <w:r w:rsidR="00E25EE9" w:rsidRPr="009F6406">
        <w:instrText>ADDIN CSL_CITATION {"citationItems":[{"id":"ITEM-1","itemData":{"author":[{"dropping-particle":"","family":"Boyd","given":"Pete","non-dropping-particle":"","parse-names":false,"suffix":""},{"dropping-particle":"","family":"Ash","given":"Andy","non-dropping-particle":"","parse-names":false,"suffix":""}],"container-title":"Teacher education advancement network journal","id":"ITEM-1","issue":"1","issued":{"date-parts":[["2018"]]},"page":"62-73","title":"Teachers framing exploratory learning within a text-book based Singapore maths mastery approach","type":"article-journal","volume":"10"},"uris":["http://www.mendeley.com/documents/?uuid=e0456ae9-d42a-436f-a905-b07617330f85","http://www.mendeley.com/documents/?uuid=247b0fe7-b56b-451f-b756-b4f5a1b731e2"]}],"mendeley":{"formattedCitation":"(Boyd and Ash 2018)","manualFormatting":"(e.g. Boyd and Ash 2018)","plainTextFormattedCitation":"(Boyd and Ash 2018)","previouslyFormattedCitation":"(Boyd and Ash 2018)"},"properties":{"noteIndex":0},"schema":"https://github.com/citation-style-language/schema/raw/master/csl-citation.json"}</w:instrText>
      </w:r>
      <w:r w:rsidR="00764DCC" w:rsidRPr="009F6406">
        <w:fldChar w:fldCharType="separate"/>
      </w:r>
      <w:r w:rsidR="00764DCC" w:rsidRPr="009F6406">
        <w:rPr>
          <w:noProof/>
        </w:rPr>
        <w:t>(e.g. Boyd and Ash 2018)</w:t>
      </w:r>
      <w:r w:rsidR="00764DCC" w:rsidRPr="009F6406">
        <w:fldChar w:fldCharType="end"/>
      </w:r>
      <w:r w:rsidR="009C2FB9" w:rsidRPr="009F6406">
        <w:t>.  However,</w:t>
      </w:r>
      <w:r w:rsidR="00151393" w:rsidRPr="009F6406">
        <w:t xml:space="preserve"> these</w:t>
      </w:r>
      <w:r w:rsidR="009C2FB9" w:rsidRPr="009F6406">
        <w:t xml:space="preserve"> studies</w:t>
      </w:r>
      <w:r w:rsidR="00151393" w:rsidRPr="009F6406">
        <w:t xml:space="preserve"> have not made direct links between teachers’ perceptions, teachers’ practices, and pupil attainment and progress. </w:t>
      </w:r>
    </w:p>
    <w:p w14:paraId="563A78F1" w14:textId="0FB01D9A" w:rsidR="00657577" w:rsidRPr="009F6406" w:rsidRDefault="007B15E6" w:rsidP="00AB10BF">
      <w:r w:rsidRPr="009F6406">
        <w:t xml:space="preserve">This article reports results from a study that adds to this evidence base, using mixed methods within an experimental </w:t>
      </w:r>
      <w:r w:rsidR="00151393" w:rsidRPr="009F6406">
        <w:t>(Cluster Randomized Controlled Trial;</w:t>
      </w:r>
      <w:r w:rsidR="009C2FB9" w:rsidRPr="009F6406">
        <w:t xml:space="preserve"> </w:t>
      </w:r>
      <w:r w:rsidR="00151393" w:rsidRPr="009F6406">
        <w:t xml:space="preserve">CRCT) </w:t>
      </w:r>
      <w:r w:rsidRPr="009F6406">
        <w:t xml:space="preserve">design to evaluate the use of a particular </w:t>
      </w:r>
      <w:r w:rsidR="00657577" w:rsidRPr="009F6406">
        <w:t>set of materials – including textbooks, pupil practice books, pupil assessment books, and teacher’s guides --</w:t>
      </w:r>
      <w:r w:rsidRPr="009F6406">
        <w:t xml:space="preserve"> and teaching approach</w:t>
      </w:r>
      <w:r w:rsidR="00A53269" w:rsidRPr="009F6406">
        <w:t xml:space="preserve"> in England in Year 1 (age 5-6) classrooms,</w:t>
      </w:r>
      <w:r w:rsidRPr="009F6406">
        <w:t xml:space="preserve"> based on a textbook and pedagogical approach </w:t>
      </w:r>
      <w:r w:rsidR="00657577" w:rsidRPr="009F6406">
        <w:t>from</w:t>
      </w:r>
      <w:r w:rsidRPr="009F6406">
        <w:t xml:space="preserve"> Singapore. </w:t>
      </w:r>
      <w:r w:rsidR="00151393" w:rsidRPr="009F6406">
        <w:t>The focus on Year 1 is well-supported by previous research</w:t>
      </w:r>
      <w:r w:rsidR="00AB10BF" w:rsidRPr="009F6406">
        <w:t xml:space="preserve">.  For example, </w:t>
      </w:r>
      <w:r w:rsidR="009C2FB9" w:rsidRPr="009F6406">
        <w:t xml:space="preserve">Sammons and colleagues </w:t>
      </w:r>
      <w:r w:rsidR="00151393" w:rsidRPr="009F6406">
        <w:t>(</w:t>
      </w:r>
      <w:r w:rsidR="00FD2E5C" w:rsidRPr="009F6406">
        <w:fldChar w:fldCharType="begin" w:fldLock="1"/>
      </w:r>
      <w:r w:rsidR="002235B8" w:rsidRPr="009F6406">
        <w:instrText>ADDIN CSL_CITATION {"citationItems":[{"id":"ITEM-1","itemData":{"DOI":"10.1080/09243453.2012.749797","ISSN":"0924-3453","author":[{"dropping-particle":"","family":"Sammons","given":"Pam","non-dropping-particle":"","parse-names":false,"suffix":""},{"dropping-particle":"","family":"Hall","given":"James","non-dropping-particle":"","parse-names":false,"suffix":""},{"dropping-particle":"","family":"Sylva","given":"Kathy","non-dropping-particle":"","parse-names":false,"suffix":""},{"dropping-particle":"","family":"Melhuish","given":"Edward","non-dropping-particle":"","parse-names":false,"suffix":""},{"dropping-particle":"","family":"Siraj-Blatchford","given":"Iram","non-dropping-particle":"","parse-names":false,"suffix":""},{"dropping-particle":"","family":"Taggart","given":"Brenda","non-dropping-particle":"","parse-names":false,"suffix":""}],"container-title":"School Effectiveness and School Improvement","id":"ITEM-1","issue":"2","issued":{"date-parts":[["2013","6","1"]]},"note":"doi: 10.1080/09243453.2012.749797","page":"251-268","title":"Protecting the development of 5–11-year-olds from the impacts of early disadvantage: the role of primary school academic effectiveness","type":"article-journal","volume":"24"},"uris":["http://www.mendeley.com/documents/?uuid=3e6a1a91-4144-4e73-9f08-0a65d53c12cc"]}],"mendeley":{"formattedCitation":"(Sammons et al. 2013)","manualFormatting":"2013)","plainTextFormattedCitation":"(Sammons et al. 2013)","previouslyFormattedCitation":"(Sammons et al. 2013)"},"properties":{"noteIndex":0},"schema":"https://github.com/citation-style-language/schema/raw/master/csl-citation.json"}</w:instrText>
      </w:r>
      <w:r w:rsidR="00FD2E5C" w:rsidRPr="009F6406">
        <w:fldChar w:fldCharType="separate"/>
      </w:r>
      <w:r w:rsidR="00FD2E5C" w:rsidRPr="009F6406">
        <w:rPr>
          <w:noProof/>
        </w:rPr>
        <w:t>2013)</w:t>
      </w:r>
      <w:r w:rsidR="00FD2E5C" w:rsidRPr="009F6406">
        <w:fldChar w:fldCharType="end"/>
      </w:r>
      <w:r w:rsidR="00151393" w:rsidRPr="009F6406">
        <w:t xml:space="preserve"> showed</w:t>
      </w:r>
      <w:r w:rsidR="009C2FB9" w:rsidRPr="009F6406">
        <w:t xml:space="preserve"> that by the end of Year 1, attending a more academically effective primary school c</w:t>
      </w:r>
      <w:r w:rsidR="00AB10BF" w:rsidRPr="009F6406">
        <w:t>ould</w:t>
      </w:r>
      <w:r w:rsidR="009C2FB9" w:rsidRPr="009F6406">
        <w:t xml:space="preserve"> narrow gaps in </w:t>
      </w:r>
      <w:r w:rsidR="002F4091" w:rsidRPr="009F6406">
        <w:t xml:space="preserve">pupil </w:t>
      </w:r>
      <w:r w:rsidR="009C2FB9" w:rsidRPr="009F6406">
        <w:t>achievement associated with</w:t>
      </w:r>
      <w:r w:rsidR="00AB10BF" w:rsidRPr="009F6406">
        <w:t xml:space="preserve"> early disadvantage</w:t>
      </w:r>
      <w:r w:rsidR="009C2FB9" w:rsidRPr="009F6406">
        <w:t>.</w:t>
      </w:r>
      <w:r w:rsidR="00151393" w:rsidRPr="009F6406">
        <w:t xml:space="preserve"> </w:t>
      </w:r>
    </w:p>
    <w:p w14:paraId="1C3E99BB" w14:textId="67D4C794" w:rsidR="007B15E6" w:rsidRPr="009F6406" w:rsidRDefault="00A53269" w:rsidP="00151393">
      <w:r w:rsidRPr="009F6406">
        <w:t xml:space="preserve">The specific textbook and accompanying materials used in this study were the </w:t>
      </w:r>
      <w:r w:rsidRPr="009F6406">
        <w:rPr>
          <w:i/>
        </w:rPr>
        <w:t>Inspire Maths</w:t>
      </w:r>
      <w:r w:rsidRPr="009F6406">
        <w:t xml:space="preserve"> series distributed by the Oxford University Press (OUP); this series was based on the textbook series </w:t>
      </w:r>
      <w:r w:rsidRPr="009F6406">
        <w:rPr>
          <w:i/>
        </w:rPr>
        <w:t xml:space="preserve">My Pals are Here! </w:t>
      </w:r>
      <w:r w:rsidR="00764DCC" w:rsidRPr="009F6406">
        <w:fldChar w:fldCharType="begin" w:fldLock="1"/>
      </w:r>
      <w:r w:rsidR="00E25EE9" w:rsidRPr="009F6406">
        <w:instrText>ADDIN CSL_CITATION {"citationItems":[{"id":"ITEM-1","itemData":{"author":[{"dropping-particle":"","family":"Kheong","given":"Fong Ho","non-dropping-particle":"","parse-names":false,"suffix":""},{"dropping-particle":"","family":"Ramakrishnan","given":"Chelvi","non-dropping-particle":"","parse-names":false,"suffix":""},{"dropping-particle":"","family":"Wah","given":"Bernice Lau Pui","non-dropping-particle":"","parse-names":false,"suffix":""},{"dropping-particle":"","family":"Jalil","given":"Zalina","non-dropping-particle":"","parse-names":false,"suffix":""},{"dropping-particle":"","family":"Choo","given":"Michelle","non-dropping-particle":"","parse-names":false,"suffix":""}],"id":"ITEM-1","issued":{"date-parts":[["2015"]]},"publisher":"Oxford University Press","publisher-place":"Oxford","title":"Inspire Maths","type":"book"},"uris":["http://www.mendeley.com/documents/?uuid=b77ec9d9-7eb4-4a4c-9528-7dcce5faf1c3"]}],"mendeley":{"formattedCitation":"(Kheong et al. 2015)","manualFormatting":"(Marshall Cavendish Edition; Kheong et al. 2015)","plainTextFormattedCitation":"(Kheong et al. 2015)","previouslyFormattedCitation":"(Kheong et al. 2015)"},"properties":{"noteIndex":0},"schema":"https://github.com/citation-style-language/schema/raw/master/csl-citation.json"}</w:instrText>
      </w:r>
      <w:r w:rsidR="00764DCC" w:rsidRPr="009F6406">
        <w:fldChar w:fldCharType="separate"/>
      </w:r>
      <w:r w:rsidR="00764DCC" w:rsidRPr="009F6406">
        <w:rPr>
          <w:noProof/>
        </w:rPr>
        <w:t xml:space="preserve">(Marshall Cavendish Edition; </w:t>
      </w:r>
      <w:r w:rsidR="0014460D" w:rsidRPr="009F6406">
        <w:rPr>
          <w:noProof/>
        </w:rPr>
        <w:t>Fong</w:t>
      </w:r>
      <w:r w:rsidR="00764DCC" w:rsidRPr="009F6406">
        <w:rPr>
          <w:noProof/>
        </w:rPr>
        <w:t xml:space="preserve"> et al. 2015)</w:t>
      </w:r>
      <w:r w:rsidR="00764DCC" w:rsidRPr="009F6406">
        <w:fldChar w:fldCharType="end"/>
      </w:r>
      <w:r w:rsidRPr="009F6406">
        <w:t xml:space="preserve">, used in many Singapore primary schools. While the results presented below are particular to this set of materials and the teaching approach used in classrooms alongside it, </w:t>
      </w:r>
      <w:r w:rsidR="00150FD1" w:rsidRPr="009F6406">
        <w:t>which heavily emphasized textbook use and mixed-ability grouping</w:t>
      </w:r>
      <w:r w:rsidR="00A4643A" w:rsidRPr="009F6406">
        <w:t xml:space="preserve"> alongside the CP</w:t>
      </w:r>
      <w:r w:rsidR="0019493E" w:rsidRPr="009F6406">
        <w:t>A approach</w:t>
      </w:r>
      <w:r w:rsidR="00150FD1" w:rsidRPr="009F6406">
        <w:t xml:space="preserve">, </w:t>
      </w:r>
      <w:r w:rsidR="00657577" w:rsidRPr="009F6406">
        <w:t>the findings contribute to the broader evidence base on the use of Singaporean</w:t>
      </w:r>
      <w:r w:rsidR="00437253" w:rsidRPr="009F6406">
        <w:t xml:space="preserve"> (or Singapore-inspired)</w:t>
      </w:r>
      <w:r w:rsidR="00657577" w:rsidRPr="009F6406">
        <w:t xml:space="preserve"> approaches to mathematics teaching in settings outside of Singapore. Further, this study illustrates the value added by using mixed methods within an experimental design, which is of methodological relevance beyond the study’s specific substantive focus.</w:t>
      </w:r>
    </w:p>
    <w:p w14:paraId="289C6F28" w14:textId="748967FF" w:rsidR="00151393" w:rsidRPr="009F6406" w:rsidRDefault="00024C80" w:rsidP="00084152">
      <w:r w:rsidRPr="009F6406">
        <w:t>T</w:t>
      </w:r>
      <w:r w:rsidR="009222A9" w:rsidRPr="009F6406">
        <w:t>o the best of our knowledge, t</w:t>
      </w:r>
      <w:r w:rsidRPr="009F6406">
        <w:t>his study is the first</w:t>
      </w:r>
      <w:r w:rsidR="00151393" w:rsidRPr="009F6406">
        <w:t xml:space="preserve"> to</w:t>
      </w:r>
      <w:r w:rsidR="00BC326E" w:rsidRPr="009F6406">
        <w:t xml:space="preserve"> investigate the impact of introducing a Singapore</w:t>
      </w:r>
      <w:r w:rsidR="00437253" w:rsidRPr="009F6406">
        <w:t>-based</w:t>
      </w:r>
      <w:r w:rsidR="00BC326E" w:rsidRPr="009F6406">
        <w:t xml:space="preserve"> approach to teaching mathematics to another country while</w:t>
      </w:r>
      <w:r w:rsidR="00151393" w:rsidRPr="009F6406">
        <w:t xml:space="preserve"> account</w:t>
      </w:r>
      <w:r w:rsidR="00BC326E" w:rsidRPr="009F6406">
        <w:t>ing</w:t>
      </w:r>
      <w:r w:rsidR="00151393" w:rsidRPr="009F6406">
        <w:t xml:space="preserve"> for pupil attainment and progress, pupil attitudes, teachers’ practice, and teachers’ perceptions and experiences, using a mixed method experimental design. The </w:t>
      </w:r>
      <w:r w:rsidR="00084152" w:rsidRPr="009F6406">
        <w:t xml:space="preserve">novel </w:t>
      </w:r>
      <w:r w:rsidR="00151393" w:rsidRPr="009F6406">
        <w:t>integrated findings</w:t>
      </w:r>
      <w:r w:rsidR="009222A9" w:rsidRPr="009F6406">
        <w:t xml:space="preserve"> </w:t>
      </w:r>
      <w:r w:rsidR="00084152" w:rsidRPr="009F6406">
        <w:t>that follow</w:t>
      </w:r>
      <w:r w:rsidR="00151393" w:rsidRPr="009F6406">
        <w:t xml:space="preserve"> allow a more complete ‘story’ to be told</w:t>
      </w:r>
      <w:r w:rsidR="00084152" w:rsidRPr="009F6406">
        <w:t xml:space="preserve"> than in past research</w:t>
      </w:r>
      <w:r w:rsidR="00151393" w:rsidRPr="009F6406">
        <w:t xml:space="preserve">, connecting effects on pupil attainment and progress to possible reasons for those effects based on what took place in lessons, accounting for </w:t>
      </w:r>
      <w:r w:rsidR="00151393" w:rsidRPr="009F6406">
        <w:lastRenderedPageBreak/>
        <w:t xml:space="preserve">fidelity to the intervention, and lending insight into the benefits and challenges associated with implementation according to practitioners’ </w:t>
      </w:r>
      <w:r w:rsidR="00D46E12" w:rsidRPr="009F6406">
        <w:t>perspectives</w:t>
      </w:r>
      <w:r w:rsidR="00151393" w:rsidRPr="009F6406">
        <w:t>.</w:t>
      </w:r>
      <w:r w:rsidR="009222A9" w:rsidRPr="009F6406">
        <w:t xml:space="preserve">  </w:t>
      </w:r>
    </w:p>
    <w:p w14:paraId="14610B4E" w14:textId="77777777" w:rsidR="00D83BD9" w:rsidRPr="009F6406" w:rsidRDefault="00D83BD9" w:rsidP="00D83BD9">
      <w:r w:rsidRPr="009F6406">
        <w:t xml:space="preserve">With this purpose in mind, </w:t>
      </w:r>
      <w:r w:rsidR="00660FF1" w:rsidRPr="009F6406">
        <w:t>this paper addresses</w:t>
      </w:r>
      <w:r w:rsidRPr="009F6406">
        <w:t xml:space="preserve"> th</w:t>
      </w:r>
      <w:r w:rsidR="006853A5" w:rsidRPr="009F6406">
        <w:t>e following research questions</w:t>
      </w:r>
      <w:r w:rsidR="00151393" w:rsidRPr="009F6406">
        <w:t>:</w:t>
      </w:r>
    </w:p>
    <w:p w14:paraId="69FB6488" w14:textId="0AD517EA" w:rsidR="00D83BD9" w:rsidRPr="009F6406" w:rsidRDefault="004A7591" w:rsidP="009222A9">
      <w:pPr>
        <w:numPr>
          <w:ilvl w:val="0"/>
          <w:numId w:val="22"/>
        </w:numPr>
        <w:spacing w:before="0" w:after="0"/>
        <w:jc w:val="both"/>
        <w:rPr>
          <w:rFonts w:eastAsia="PMingLiU" w:cstheme="minorHAnsi"/>
          <w:lang w:eastAsia="zh-TW"/>
        </w:rPr>
      </w:pPr>
      <w:r w:rsidRPr="009F6406">
        <w:rPr>
          <w:rFonts w:eastAsia="PMingLiU" w:cstheme="minorHAnsi"/>
          <w:lang w:eastAsia="zh-TW"/>
        </w:rPr>
        <w:t xml:space="preserve">Is the use of the </w:t>
      </w:r>
      <w:r w:rsidR="009222A9" w:rsidRPr="009F6406">
        <w:rPr>
          <w:rFonts w:eastAsia="PMingLiU" w:cstheme="minorHAnsi"/>
          <w:i/>
          <w:iCs/>
          <w:lang w:eastAsia="zh-TW"/>
        </w:rPr>
        <w:t>Inspire Maths</w:t>
      </w:r>
      <w:r w:rsidR="009222A9" w:rsidRPr="009F6406">
        <w:rPr>
          <w:rFonts w:eastAsia="PMingLiU" w:cstheme="minorHAnsi"/>
          <w:lang w:eastAsia="zh-TW"/>
        </w:rPr>
        <w:t xml:space="preserve"> </w:t>
      </w:r>
      <w:r w:rsidR="00024C80" w:rsidRPr="009F6406">
        <w:rPr>
          <w:rFonts w:eastAsia="PMingLiU" w:cstheme="minorHAnsi"/>
          <w:lang w:eastAsia="zh-TW"/>
        </w:rPr>
        <w:t>materials</w:t>
      </w:r>
      <w:r w:rsidRPr="009F6406">
        <w:rPr>
          <w:rFonts w:eastAsia="PMingLiU" w:cstheme="minorHAnsi"/>
          <w:lang w:eastAsia="zh-TW"/>
        </w:rPr>
        <w:t xml:space="preserve"> and teaching approach</w:t>
      </w:r>
      <w:r w:rsidR="00D83BD9" w:rsidRPr="009F6406">
        <w:rPr>
          <w:rFonts w:eastAsia="PMingLiU" w:cstheme="minorHAnsi"/>
          <w:lang w:eastAsia="zh-TW"/>
        </w:rPr>
        <w:t xml:space="preserve"> </w:t>
      </w:r>
      <w:r w:rsidR="009222A9" w:rsidRPr="009F6406">
        <w:rPr>
          <w:rFonts w:eastAsia="PMingLiU" w:cstheme="minorHAnsi"/>
          <w:lang w:eastAsia="zh-TW"/>
        </w:rPr>
        <w:t xml:space="preserve">in Year 1 classrooms </w:t>
      </w:r>
      <w:r w:rsidRPr="009F6406">
        <w:rPr>
          <w:rFonts w:eastAsia="PMingLiU" w:cstheme="minorHAnsi"/>
          <w:lang w:eastAsia="zh-TW"/>
        </w:rPr>
        <w:t xml:space="preserve">associated with differences in </w:t>
      </w:r>
      <w:r w:rsidR="00CA6A70" w:rsidRPr="009F6406">
        <w:rPr>
          <w:rFonts w:eastAsia="PMingLiU" w:cstheme="minorHAnsi"/>
          <w:lang w:eastAsia="zh-TW"/>
        </w:rPr>
        <w:t xml:space="preserve">Year 1 </w:t>
      </w:r>
      <w:r w:rsidRPr="009F6406">
        <w:rPr>
          <w:rFonts w:eastAsia="PMingLiU" w:cstheme="minorHAnsi"/>
          <w:lang w:eastAsia="zh-TW"/>
        </w:rPr>
        <w:t>pupil</w:t>
      </w:r>
      <w:r w:rsidR="00CA6A70" w:rsidRPr="009F6406">
        <w:rPr>
          <w:rFonts w:eastAsia="PMingLiU" w:cstheme="minorHAnsi"/>
          <w:lang w:eastAsia="zh-TW"/>
        </w:rPr>
        <w:t>s’</w:t>
      </w:r>
      <w:r w:rsidRPr="009F6406">
        <w:rPr>
          <w:rFonts w:eastAsia="PMingLiU" w:cstheme="minorHAnsi"/>
          <w:lang w:eastAsia="zh-TW"/>
        </w:rPr>
        <w:t xml:space="preserve"> </w:t>
      </w:r>
      <w:r w:rsidR="00D83BD9" w:rsidRPr="009F6406">
        <w:rPr>
          <w:rFonts w:eastAsia="PMingLiU" w:cstheme="minorHAnsi"/>
          <w:lang w:eastAsia="zh-TW"/>
        </w:rPr>
        <w:t>attainment and progress in mathematics?</w:t>
      </w:r>
    </w:p>
    <w:p w14:paraId="6C4CB442" w14:textId="009F8A42" w:rsidR="006853A5" w:rsidRPr="009F6406" w:rsidRDefault="004A7591" w:rsidP="006853A5">
      <w:pPr>
        <w:numPr>
          <w:ilvl w:val="0"/>
          <w:numId w:val="22"/>
        </w:numPr>
        <w:spacing w:before="0" w:after="0"/>
        <w:jc w:val="both"/>
        <w:rPr>
          <w:rFonts w:eastAsia="PMingLiU" w:cstheme="minorHAnsi"/>
          <w:lang w:eastAsia="zh-TW"/>
        </w:rPr>
      </w:pPr>
      <w:r w:rsidRPr="009F6406">
        <w:rPr>
          <w:rFonts w:eastAsia="PMingLiU" w:cstheme="minorHAnsi"/>
          <w:lang w:eastAsia="zh-TW"/>
        </w:rPr>
        <w:t>Is the use of the</w:t>
      </w:r>
      <w:r w:rsidR="009222A9" w:rsidRPr="009F6406">
        <w:rPr>
          <w:rFonts w:eastAsia="PMingLiU" w:cstheme="minorHAnsi"/>
          <w:lang w:eastAsia="zh-TW"/>
        </w:rPr>
        <w:t xml:space="preserve"> </w:t>
      </w:r>
      <w:r w:rsidR="009222A9" w:rsidRPr="009F6406">
        <w:rPr>
          <w:rFonts w:eastAsia="PMingLiU" w:cstheme="minorHAnsi"/>
          <w:i/>
          <w:iCs/>
          <w:lang w:eastAsia="zh-TW"/>
        </w:rPr>
        <w:t>Inspire Maths</w:t>
      </w:r>
      <w:r w:rsidRPr="009F6406">
        <w:rPr>
          <w:rFonts w:eastAsia="PMingLiU" w:cstheme="minorHAnsi"/>
          <w:i/>
          <w:iCs/>
          <w:lang w:eastAsia="zh-TW"/>
        </w:rPr>
        <w:t xml:space="preserve"> </w:t>
      </w:r>
      <w:r w:rsidR="00024C80" w:rsidRPr="009F6406">
        <w:rPr>
          <w:rFonts w:eastAsia="PMingLiU" w:cstheme="minorHAnsi"/>
          <w:lang w:eastAsia="zh-TW"/>
        </w:rPr>
        <w:t>materials</w:t>
      </w:r>
      <w:r w:rsidRPr="009F6406">
        <w:rPr>
          <w:rFonts w:eastAsia="PMingLiU" w:cstheme="minorHAnsi"/>
          <w:lang w:eastAsia="zh-TW"/>
        </w:rPr>
        <w:t xml:space="preserve"> and teaching approach</w:t>
      </w:r>
      <w:r w:rsidR="00D83BD9" w:rsidRPr="009F6406">
        <w:rPr>
          <w:rFonts w:eastAsia="PMingLiU" w:cstheme="minorHAnsi"/>
          <w:lang w:eastAsia="zh-TW"/>
        </w:rPr>
        <w:t xml:space="preserve"> </w:t>
      </w:r>
      <w:r w:rsidRPr="009F6406">
        <w:rPr>
          <w:rFonts w:eastAsia="PMingLiU" w:cstheme="minorHAnsi"/>
          <w:lang w:eastAsia="zh-TW"/>
        </w:rPr>
        <w:t xml:space="preserve">associated with differences in </w:t>
      </w:r>
      <w:r w:rsidR="009222A9" w:rsidRPr="009F6406">
        <w:rPr>
          <w:rFonts w:eastAsia="PMingLiU" w:cstheme="minorHAnsi"/>
          <w:lang w:eastAsia="zh-TW"/>
        </w:rPr>
        <w:t xml:space="preserve">Year 1 </w:t>
      </w:r>
      <w:r w:rsidRPr="009F6406">
        <w:rPr>
          <w:rFonts w:eastAsia="PMingLiU" w:cstheme="minorHAnsi"/>
          <w:lang w:eastAsia="zh-TW"/>
        </w:rPr>
        <w:t>pupil</w:t>
      </w:r>
      <w:r w:rsidR="00CA6A70" w:rsidRPr="009F6406">
        <w:rPr>
          <w:rFonts w:eastAsia="PMingLiU" w:cstheme="minorHAnsi"/>
          <w:lang w:eastAsia="zh-TW"/>
        </w:rPr>
        <w:t>s’</w:t>
      </w:r>
      <w:r w:rsidR="00D83BD9" w:rsidRPr="009F6406">
        <w:rPr>
          <w:rFonts w:eastAsia="PMingLiU" w:cstheme="minorHAnsi"/>
          <w:lang w:eastAsia="zh-TW"/>
        </w:rPr>
        <w:t xml:space="preserve"> attitudes towards mathematics?</w:t>
      </w:r>
    </w:p>
    <w:p w14:paraId="55AC35AC" w14:textId="04BBED6D" w:rsidR="00D83BD9" w:rsidRPr="009F6406" w:rsidRDefault="006853A5" w:rsidP="006853A5">
      <w:pPr>
        <w:numPr>
          <w:ilvl w:val="0"/>
          <w:numId w:val="22"/>
        </w:numPr>
        <w:spacing w:before="0" w:after="0"/>
        <w:jc w:val="both"/>
        <w:rPr>
          <w:rFonts w:eastAsia="PMingLiU" w:cstheme="minorHAnsi"/>
          <w:lang w:eastAsia="zh-TW"/>
        </w:rPr>
      </w:pPr>
      <w:r w:rsidRPr="009F6406">
        <w:rPr>
          <w:rFonts w:eastAsia="PMingLiU" w:cstheme="minorHAnsi"/>
          <w:lang w:eastAsia="zh-TW"/>
        </w:rPr>
        <w:t xml:space="preserve">Is </w:t>
      </w:r>
      <w:r w:rsidR="004A7591" w:rsidRPr="009F6406">
        <w:rPr>
          <w:rFonts w:eastAsia="PMingLiU" w:cstheme="minorHAnsi"/>
          <w:lang w:eastAsia="zh-TW"/>
        </w:rPr>
        <w:t xml:space="preserve">the use of the </w:t>
      </w:r>
      <w:r w:rsidR="009222A9" w:rsidRPr="009F6406">
        <w:rPr>
          <w:rFonts w:eastAsia="PMingLiU" w:cstheme="minorHAnsi"/>
          <w:i/>
          <w:iCs/>
          <w:lang w:eastAsia="zh-TW"/>
        </w:rPr>
        <w:t>Inspire Maths</w:t>
      </w:r>
      <w:r w:rsidR="009222A9" w:rsidRPr="009F6406">
        <w:rPr>
          <w:rFonts w:eastAsia="PMingLiU" w:cstheme="minorHAnsi"/>
          <w:lang w:eastAsia="zh-TW"/>
        </w:rPr>
        <w:t xml:space="preserve"> </w:t>
      </w:r>
      <w:r w:rsidR="00024C80" w:rsidRPr="009F6406">
        <w:rPr>
          <w:rFonts w:eastAsia="PMingLiU" w:cstheme="minorHAnsi"/>
          <w:lang w:eastAsia="zh-TW"/>
        </w:rPr>
        <w:t>materials</w:t>
      </w:r>
      <w:r w:rsidR="004A7591" w:rsidRPr="009F6406">
        <w:rPr>
          <w:rFonts w:eastAsia="PMingLiU" w:cstheme="minorHAnsi"/>
          <w:lang w:eastAsia="zh-TW"/>
        </w:rPr>
        <w:t xml:space="preserve"> and teaching approach</w:t>
      </w:r>
      <w:r w:rsidRPr="009F6406">
        <w:rPr>
          <w:rFonts w:eastAsia="PMingLiU" w:cstheme="minorHAnsi"/>
          <w:i/>
          <w:lang w:eastAsia="zh-TW"/>
        </w:rPr>
        <w:t xml:space="preserve"> </w:t>
      </w:r>
      <w:r w:rsidRPr="009F6406">
        <w:rPr>
          <w:rFonts w:eastAsia="PMingLiU" w:cstheme="minorHAnsi"/>
          <w:lang w:eastAsia="zh-TW"/>
        </w:rPr>
        <w:t xml:space="preserve">associated with differences in </w:t>
      </w:r>
      <w:r w:rsidR="009222A9" w:rsidRPr="009F6406">
        <w:rPr>
          <w:rFonts w:eastAsia="PMingLiU" w:cstheme="minorHAnsi"/>
          <w:lang w:eastAsia="zh-TW"/>
        </w:rPr>
        <w:t xml:space="preserve">Year 1 </w:t>
      </w:r>
      <w:r w:rsidRPr="009F6406">
        <w:rPr>
          <w:rFonts w:eastAsia="PMingLiU" w:cstheme="minorHAnsi"/>
          <w:lang w:eastAsia="zh-TW"/>
        </w:rPr>
        <w:t>teaching practice</w:t>
      </w:r>
      <w:r w:rsidR="004A7591" w:rsidRPr="009F6406">
        <w:rPr>
          <w:rFonts w:eastAsia="PMingLiU" w:cstheme="minorHAnsi"/>
          <w:lang w:eastAsia="zh-TW"/>
        </w:rPr>
        <w:t xml:space="preserve">, and if so, how can these differences be </w:t>
      </w:r>
      <w:r w:rsidR="00246E84" w:rsidRPr="009F6406">
        <w:rPr>
          <w:rFonts w:eastAsia="PMingLiU" w:cstheme="minorHAnsi"/>
          <w:lang w:eastAsia="zh-TW"/>
        </w:rPr>
        <w:t>characteriz</w:t>
      </w:r>
      <w:r w:rsidR="004A7591" w:rsidRPr="009F6406">
        <w:rPr>
          <w:rFonts w:eastAsia="PMingLiU" w:cstheme="minorHAnsi"/>
          <w:lang w:eastAsia="zh-TW"/>
        </w:rPr>
        <w:t>ed</w:t>
      </w:r>
      <w:r w:rsidRPr="009F6406">
        <w:rPr>
          <w:rFonts w:eastAsia="PMingLiU" w:cstheme="minorHAnsi"/>
          <w:lang w:eastAsia="zh-TW"/>
        </w:rPr>
        <w:t>?</w:t>
      </w:r>
    </w:p>
    <w:p w14:paraId="4A93DE53" w14:textId="16F246C9" w:rsidR="006853A5" w:rsidRPr="009F6406" w:rsidRDefault="00227D64" w:rsidP="009222A9">
      <w:pPr>
        <w:numPr>
          <w:ilvl w:val="0"/>
          <w:numId w:val="22"/>
        </w:numPr>
        <w:spacing w:before="0" w:after="0"/>
        <w:jc w:val="both"/>
        <w:rPr>
          <w:rFonts w:eastAsia="PMingLiU" w:cstheme="minorHAnsi"/>
          <w:lang w:eastAsia="zh-TW"/>
        </w:rPr>
      </w:pPr>
      <w:r w:rsidRPr="009F6406">
        <w:t xml:space="preserve">How do </w:t>
      </w:r>
      <w:r w:rsidR="009222A9" w:rsidRPr="009F6406">
        <w:t xml:space="preserve">Year 1 </w:t>
      </w:r>
      <w:r w:rsidRPr="009F6406">
        <w:t xml:space="preserve">teachers’ perspectives and </w:t>
      </w:r>
      <w:r w:rsidR="004D0AD4" w:rsidRPr="009F6406">
        <w:t>qualitative lesson observation findings</w:t>
      </w:r>
      <w:r w:rsidRPr="009F6406">
        <w:t xml:space="preserve"> explain (in a non-statistical sense)</w:t>
      </w:r>
      <w:r w:rsidR="00CA6A70" w:rsidRPr="009F6406">
        <w:t xml:space="preserve">, elaborate upon,  and/or illuminate links between </w:t>
      </w:r>
      <w:r w:rsidRPr="009F6406">
        <w:t xml:space="preserve">any </w:t>
      </w:r>
      <w:r w:rsidR="000A322F" w:rsidRPr="009F6406">
        <w:t xml:space="preserve">observed effects (or lack thereof) of the use of </w:t>
      </w:r>
      <w:r w:rsidR="00024C80" w:rsidRPr="009F6406">
        <w:t xml:space="preserve">the </w:t>
      </w:r>
      <w:r w:rsidR="009222A9" w:rsidRPr="009F6406">
        <w:rPr>
          <w:i/>
          <w:iCs/>
        </w:rPr>
        <w:t>Inspire Maths</w:t>
      </w:r>
      <w:r w:rsidR="009222A9" w:rsidRPr="009F6406">
        <w:t xml:space="preserve"> </w:t>
      </w:r>
      <w:r w:rsidR="00024C80" w:rsidRPr="009F6406">
        <w:t>materials and teaching approach</w:t>
      </w:r>
      <w:r w:rsidR="004D0AD4" w:rsidRPr="009F6406">
        <w:t xml:space="preserve"> on pupil</w:t>
      </w:r>
      <w:r w:rsidR="00CA6A70" w:rsidRPr="009F6406">
        <w:t>s’</w:t>
      </w:r>
      <w:r w:rsidR="004D0AD4" w:rsidRPr="009F6406">
        <w:t xml:space="preserve"> attainment and</w:t>
      </w:r>
      <w:r w:rsidR="000A322F" w:rsidRPr="009F6406">
        <w:t xml:space="preserve"> progress, </w:t>
      </w:r>
      <w:r w:rsidR="004D0AD4" w:rsidRPr="009F6406">
        <w:t>pupil</w:t>
      </w:r>
      <w:r w:rsidR="00CA6A70" w:rsidRPr="009F6406">
        <w:t>s’</w:t>
      </w:r>
      <w:r w:rsidR="000A322F" w:rsidRPr="009F6406">
        <w:t xml:space="preserve"> attitudes towards mathematics</w:t>
      </w:r>
      <w:r w:rsidR="004D0AD4" w:rsidRPr="009F6406">
        <w:t xml:space="preserve">, and </w:t>
      </w:r>
      <w:r w:rsidR="00660FF1" w:rsidRPr="009F6406">
        <w:t>observed</w:t>
      </w:r>
      <w:r w:rsidR="004D0AD4" w:rsidRPr="009F6406">
        <w:t xml:space="preserve"> </w:t>
      </w:r>
      <w:r w:rsidR="000619CD" w:rsidRPr="009F6406">
        <w:t xml:space="preserve">(measurable) </w:t>
      </w:r>
      <w:r w:rsidR="004D0AD4" w:rsidRPr="009F6406">
        <w:t>differences in teaching practice</w:t>
      </w:r>
      <w:r w:rsidR="000A322F" w:rsidRPr="009F6406">
        <w:t>?</w:t>
      </w:r>
    </w:p>
    <w:p w14:paraId="25C50400" w14:textId="77777777" w:rsidR="00B76991" w:rsidRPr="009F6406" w:rsidRDefault="006853A5" w:rsidP="00B76991">
      <w:pPr>
        <w:pStyle w:val="Heading1"/>
      </w:pPr>
      <w:r w:rsidRPr="009F6406">
        <w:t>Material and methods</w:t>
      </w:r>
    </w:p>
    <w:p w14:paraId="1237326B" w14:textId="77777777" w:rsidR="00CF0D37" w:rsidRPr="009F6406" w:rsidRDefault="00CF0D37" w:rsidP="00CF0D37">
      <w:pPr>
        <w:pStyle w:val="Heading2"/>
      </w:pPr>
      <w:r w:rsidRPr="009F6406">
        <w:t>Design</w:t>
      </w:r>
    </w:p>
    <w:p w14:paraId="31B3CA76" w14:textId="21F1E015" w:rsidR="00045BD3" w:rsidRPr="009F6406" w:rsidRDefault="00CF0D37" w:rsidP="00AE2A1D">
      <w:r w:rsidRPr="009F6406">
        <w:t xml:space="preserve">The </w:t>
      </w:r>
      <w:r w:rsidR="00960A97" w:rsidRPr="009F6406">
        <w:t>overall design of the study</w:t>
      </w:r>
      <w:r w:rsidRPr="009F6406">
        <w:t xml:space="preserve"> consisted of a</w:t>
      </w:r>
      <w:r w:rsidR="009222A9" w:rsidRPr="009F6406">
        <w:t xml:space="preserve"> mixed method</w:t>
      </w:r>
      <w:r w:rsidRPr="009F6406">
        <w:t xml:space="preserve"> </w:t>
      </w:r>
      <w:r w:rsidR="007E590A" w:rsidRPr="009F6406">
        <w:t xml:space="preserve">cluster </w:t>
      </w:r>
      <w:r w:rsidR="00246E84" w:rsidRPr="009F6406">
        <w:t>Randomiz</w:t>
      </w:r>
      <w:r w:rsidRPr="009F6406">
        <w:t>ed Controlled Trial (</w:t>
      </w:r>
      <w:r w:rsidR="009222A9" w:rsidRPr="009F6406">
        <w:t>mmC</w:t>
      </w:r>
      <w:r w:rsidRPr="009F6406">
        <w:t>RCT) design with a delayed tre</w:t>
      </w:r>
      <w:r w:rsidR="007E590A" w:rsidRPr="009F6406">
        <w:t xml:space="preserve">atment control group. </w:t>
      </w:r>
      <w:r w:rsidR="000006B1" w:rsidRPr="009F6406">
        <w:t xml:space="preserve">First, </w:t>
      </w:r>
      <w:r w:rsidR="00D22FE9" w:rsidRPr="009F6406">
        <w:t xml:space="preserve">the research team drew </w:t>
      </w:r>
      <w:r w:rsidR="000006B1" w:rsidRPr="009F6406">
        <w:t>a random sample of schools from a list of schools</w:t>
      </w:r>
      <w:r w:rsidR="00D22FE9" w:rsidRPr="009F6406">
        <w:t xml:space="preserve"> in England</w:t>
      </w:r>
      <w:r w:rsidR="000006B1" w:rsidRPr="009F6406">
        <w:t xml:space="preserve"> that had expressed </w:t>
      </w:r>
      <w:r w:rsidR="00D22FE9" w:rsidRPr="009F6406">
        <w:t xml:space="preserve">an </w:t>
      </w:r>
      <w:r w:rsidR="000006B1" w:rsidRPr="009F6406">
        <w:t xml:space="preserve">interest in using the </w:t>
      </w:r>
      <w:r w:rsidR="000006B1" w:rsidRPr="009F6406">
        <w:rPr>
          <w:i/>
        </w:rPr>
        <w:t xml:space="preserve">Inspire Maths </w:t>
      </w:r>
      <w:r w:rsidR="000006B1" w:rsidRPr="009F6406">
        <w:t>materials and approach</w:t>
      </w:r>
      <w:r w:rsidR="001D6763" w:rsidRPr="009F6406">
        <w:rPr>
          <w:rStyle w:val="FootnoteReference"/>
        </w:rPr>
        <w:footnoteReference w:id="1"/>
      </w:r>
      <w:r w:rsidR="001D6763" w:rsidRPr="009F6406">
        <w:t>.</w:t>
      </w:r>
      <w:r w:rsidR="000006B1" w:rsidRPr="009F6406">
        <w:t xml:space="preserve"> </w:t>
      </w:r>
      <w:r w:rsidR="007E590A" w:rsidRPr="009F6406">
        <w:t>O</w:t>
      </w:r>
      <w:r w:rsidRPr="009F6406">
        <w:t>ne group of schools</w:t>
      </w:r>
      <w:r w:rsidR="00D22FE9" w:rsidRPr="009F6406">
        <w:t xml:space="preserve"> </w:t>
      </w:r>
      <w:r w:rsidRPr="009F6406">
        <w:t>(</w:t>
      </w:r>
      <w:r w:rsidR="007E590A" w:rsidRPr="009F6406">
        <w:t xml:space="preserve">here </w:t>
      </w:r>
      <w:r w:rsidRPr="009F6406">
        <w:t xml:space="preserve">referred to as the ‘experimental group’) </w:t>
      </w:r>
      <w:r w:rsidR="00D22FE9" w:rsidRPr="009F6406">
        <w:t xml:space="preserve">were randomly chosen to </w:t>
      </w:r>
      <w:r w:rsidRPr="009F6406">
        <w:t>beg</w:t>
      </w:r>
      <w:r w:rsidR="00D22FE9" w:rsidRPr="009F6406">
        <w:t>i</w:t>
      </w:r>
      <w:r w:rsidRPr="009F6406">
        <w:t xml:space="preserve">n using the </w:t>
      </w:r>
      <w:r w:rsidRPr="009F6406">
        <w:rPr>
          <w:i/>
          <w:iCs/>
        </w:rPr>
        <w:t>Inspire Maths</w:t>
      </w:r>
      <w:r w:rsidRPr="009F6406">
        <w:t xml:space="preserve"> teaching approach and materials from the beginning of the </w:t>
      </w:r>
      <w:r w:rsidR="00D22FE9" w:rsidRPr="009F6406">
        <w:t xml:space="preserve">UK </w:t>
      </w:r>
      <w:r w:rsidRPr="009F6406">
        <w:t>school year in September 2015</w:t>
      </w:r>
      <w:r w:rsidR="00D22FE9" w:rsidRPr="009F6406">
        <w:t xml:space="preserve">. The remaining </w:t>
      </w:r>
      <w:r w:rsidRPr="009F6406">
        <w:t>schools (</w:t>
      </w:r>
      <w:r w:rsidR="007E590A" w:rsidRPr="009F6406">
        <w:t xml:space="preserve">here </w:t>
      </w:r>
      <w:r w:rsidRPr="009F6406">
        <w:t xml:space="preserve">referred to as the ‘delayed treatment group’) proceeded with math lessons as usual through the Autumn 2015 term and then began using the </w:t>
      </w:r>
      <w:r w:rsidRPr="009F6406">
        <w:rPr>
          <w:i/>
          <w:iCs/>
        </w:rPr>
        <w:t>Inspire Maths</w:t>
      </w:r>
      <w:r w:rsidRPr="009F6406">
        <w:t xml:space="preserve"> materials and teaching approach in January 2016. </w:t>
      </w:r>
      <w:r w:rsidR="00045BD3" w:rsidRPr="009F6406">
        <w:t xml:space="preserve">Each group received professional development (in July 2015 for the experimental group, and in December 2015 </w:t>
      </w:r>
      <w:r w:rsidR="003A22B2" w:rsidRPr="009F6406">
        <w:t xml:space="preserve">– during the term break – </w:t>
      </w:r>
      <w:r w:rsidR="00045BD3" w:rsidRPr="009F6406">
        <w:t>for the delayed treatment group) t</w:t>
      </w:r>
      <w:r w:rsidR="004209DE" w:rsidRPr="009F6406">
        <w:t>o prepare them and give them time to plan in order to</w:t>
      </w:r>
      <w:r w:rsidR="00045BD3" w:rsidRPr="009F6406">
        <w:t xml:space="preserve"> begin using the </w:t>
      </w:r>
      <w:r w:rsidR="00045BD3" w:rsidRPr="009F6406">
        <w:rPr>
          <w:i/>
        </w:rPr>
        <w:t xml:space="preserve">Inspire Maths </w:t>
      </w:r>
      <w:r w:rsidR="00045BD3" w:rsidRPr="009F6406">
        <w:t>materials and teaching approach at the start of the relevant term (September 2015 and January 2016, respectively).</w:t>
      </w:r>
    </w:p>
    <w:p w14:paraId="157601B4" w14:textId="596ADA5F" w:rsidR="00CF0D37" w:rsidRPr="009F6406" w:rsidRDefault="00CF0D37" w:rsidP="00AE2A1D">
      <w:r w:rsidRPr="009F6406">
        <w:t>The rationale for a delayed treatment control group rather than a ‘pure’ control group was primarily based on practical considerations. A control group without delayed treatment would have affected the feasibility of recruitment, as control group schools would have had less incentive to participate in the study. Furthermore, schools rather than teachers were randomly allocated into</w:t>
      </w:r>
      <w:r w:rsidR="003E2E5A" w:rsidRPr="009F6406">
        <w:t xml:space="preserve"> </w:t>
      </w:r>
      <w:r w:rsidR="00036BB4" w:rsidRPr="009F6406">
        <w:t>either</w:t>
      </w:r>
      <w:r w:rsidRPr="009F6406">
        <w:t xml:space="preserve"> </w:t>
      </w:r>
      <w:r w:rsidR="00000FE3" w:rsidRPr="009F6406">
        <w:t xml:space="preserve">the experimental </w:t>
      </w:r>
      <w:r w:rsidR="00036BB4" w:rsidRPr="009F6406">
        <w:t xml:space="preserve">or the delayed treatment </w:t>
      </w:r>
      <w:r w:rsidRPr="009F6406">
        <w:t>group to avoid diffusion (i.e. interaction and discussion between two teachers in the same school allocated to different groups) and preserve internal validity</w:t>
      </w:r>
      <w:r w:rsidR="005A6664" w:rsidRPr="009F6406">
        <w:fldChar w:fldCharType="begin" w:fldLock="1"/>
      </w:r>
      <w:r w:rsidR="005A6664" w:rsidRPr="009F6406">
        <w:instrText>ADDIN CSL_CITATION {"citationItems":[{"id":"ITEM-1","itemData":{"DOI":"10.3102/0162373707299460","ISSN":"0162-3737","abstract":"Interest has rapidly increased in studies that randomly assign classrooms or schools to interventions. When well implemented, such studies eliminate selection bias, providing strong evidence about the impact of the interventions. However, unless expected impacts are large, the number of units to be randomized needs to be quite large to achieve adequate statistical power, making these studies potentially quite expensive. This article considers when and to what extent matching or covariance adjustment can reduce the number of groups needed to achieve adequate power and when these approaches actually reduce power. The presentation is nontechnical.","author":[{"dropping-particle":"","family":"Raudenbush","given":"Stephen W","non-dropping-particle":"","parse-names":false,"suffix":""},{"dropping-particle":"","family":"Martinez","given":"Andres","non-dropping-particle":"","parse-names":false,"suffix":""},{"dropping-particle":"","family":"Spybrook","given":"Jessaca","non-dropping-particle":"","parse-names":false,"suffix":""}],"container-title":"Educational Evaluation and Policy Analysis","id":"ITEM-1","issue":"1","issued":{"date-parts":[["2007","3","1"]]},"note":"doi: 10.3102/0162373707299460","page":"5-29","title":"Strategies for Improving Precision in Group-Randomized Experiments","type":"article-journal","volume":"29"},"uris":["http://www.mendeley.com/documents/?uuid=33123d46-23eb-4133-86e6-cc98a7251cdf"]}],"mendeley":{"formattedCitation":"(Raudenbush, Martinez, and Spybrook 2007)","plainTextFormattedCitation":"(Raudenbush, Martinez, and Spybrook 2007)","previouslyFormattedCitation":"(Raudenbush, Martinez, and Spybrook 2007)"},"properties":{"noteIndex":0},"schema":"https://github.com/citation-style-language/schema/raw/master/csl-citation.json"}</w:instrText>
      </w:r>
      <w:r w:rsidR="005A6664" w:rsidRPr="009F6406">
        <w:fldChar w:fldCharType="separate"/>
      </w:r>
      <w:r w:rsidR="005A6664" w:rsidRPr="009F6406">
        <w:rPr>
          <w:noProof/>
        </w:rPr>
        <w:t>(Raudenbush, Martinez, and Spybrook 2007)</w:t>
      </w:r>
      <w:r w:rsidR="005A6664" w:rsidRPr="009F6406">
        <w:fldChar w:fldCharType="end"/>
      </w:r>
      <w:r w:rsidRPr="009F6406">
        <w:t xml:space="preserve">. </w:t>
      </w:r>
      <w:r w:rsidR="00AE2A1D" w:rsidRPr="009F6406">
        <w:t xml:space="preserve">The use of </w:t>
      </w:r>
      <w:r w:rsidRPr="009F6406">
        <w:t>mixed methods</w:t>
      </w:r>
      <w:r w:rsidR="00AE2A1D" w:rsidRPr="009F6406">
        <w:t xml:space="preserve"> was</w:t>
      </w:r>
      <w:r w:rsidRPr="009F6406">
        <w:t xml:space="preserve"> in keeping with a pragmati</w:t>
      </w:r>
      <w:r w:rsidR="00764DCC" w:rsidRPr="009F6406">
        <w:t>st epistemological stance</w:t>
      </w:r>
      <w:r w:rsidR="00036BB4" w:rsidRPr="009F6406">
        <w:t>,</w:t>
      </w:r>
      <w:r w:rsidR="00764DCC" w:rsidRPr="009F6406">
        <w:t xml:space="preserve"> </w:t>
      </w:r>
      <w:r w:rsidR="00AE2A1D" w:rsidRPr="009F6406">
        <w:t xml:space="preserve"> </w:t>
      </w:r>
      <w:r w:rsidRPr="009F6406">
        <w:t xml:space="preserve"> underpinned by the primacy of the research questions and the selection of methods to best answer these questions</w:t>
      </w:r>
      <w:r w:rsidR="001D6763" w:rsidRPr="009F6406">
        <w:t xml:space="preserve"> </w:t>
      </w:r>
      <w:r w:rsidR="005A6664" w:rsidRPr="009F6406">
        <w:fldChar w:fldCharType="begin" w:fldLock="1"/>
      </w:r>
      <w:r w:rsidR="005A6664" w:rsidRPr="009F6406">
        <w:instrText>ADDIN CSL_CITATION {"citationItems":[{"id":"ITEM-1","itemData":{"ISBN":"9781412972666 1412972663","abstract":"\"The Handbook of Mixed Methods in Social {&amp;} Behavioral Research contains a gold mine of articles by leading scholars on what has come to be known as the third methodological movement in social research. Aimed at surveying the differing viewpoints and disciplinary approaches of mixed methods, this breakthrough book examines mixed methods from the research enterprise to paradigmatic issues to application. The book also discusses the strengths and weaknesses of mixed methods designs, and provides an array of specific examples in a variety of disciplines, from psychology to nursing. The book closes with a brief section on how to teach and perform collaborative research using a mixed methods research design.\"--pub. desc.","author":[{"dropping-particle":"","family":"Tashakkori","given":"Abbas","non-dropping-particle":"","parse-names":false,"suffix":""},{"dropping-particle":"","family":"Teddlie","given":"Charles","non-dropping-particle":"","parse-names":false,"suffix":""}],"id":"ITEM-1","issued":{"date-parts":[["2010"]]},"language":"English","publisher":"SAGE Publications","publisher-place":"Los Angeles, Calif.","title":"SAGE handbook of mixed methods in social and behavioral research","type":"book"},"uris":["http://www.mendeley.com/documents/?uuid=e8b2a56d-7985-4f61-8dd0-c4db8e594c6a"]}],"mendeley":{"formattedCitation":"(Tashakkori and Teddlie 2010)","plainTextFormattedCitation":"(Tashakkori and Teddlie 2010)","previouslyFormattedCitation":"(Tashakkori and Teddlie 2010)"},"properties":{"noteIndex":0},"schema":"https://github.com/citation-style-language/schema/raw/master/csl-citation.json"}</w:instrText>
      </w:r>
      <w:r w:rsidR="005A6664" w:rsidRPr="009F6406">
        <w:fldChar w:fldCharType="separate"/>
      </w:r>
      <w:r w:rsidR="005A6664" w:rsidRPr="009F6406">
        <w:rPr>
          <w:noProof/>
        </w:rPr>
        <w:t>(Tashakkori and Teddlie 2010)</w:t>
      </w:r>
      <w:r w:rsidR="005A6664" w:rsidRPr="009F6406">
        <w:fldChar w:fldCharType="end"/>
      </w:r>
      <w:r w:rsidR="005A6664" w:rsidRPr="009F6406">
        <w:t>.</w:t>
      </w:r>
      <w:r w:rsidR="00501710" w:rsidRPr="009F6406">
        <w:t xml:space="preserve"> Further, mixed methods studies have been increasingly used as an appropriate approach to studying the complexities of classroom practice and teacher effectiveness</w:t>
      </w:r>
      <w:r w:rsidR="002235B8" w:rsidRPr="009F6406">
        <w:t xml:space="preserve"> </w:t>
      </w:r>
      <w:r w:rsidR="002235B8" w:rsidRPr="009F6406">
        <w:fldChar w:fldCharType="begin" w:fldLock="1"/>
      </w:r>
      <w:r w:rsidR="002235B8" w:rsidRPr="009F6406">
        <w:instrText>ADDIN CSL_CITATION {"citationItems":[{"id":"ITEM-1","itemData":{"DOI":"10.4135/9781473983953.n24","author":[{"dropping-particle":"","family":"Sammons","given":"Pam","non-dropping-particle":"","parse-names":false,"suffix":""},{"dropping-particle":"","family":"Davis","given":"Susila","non-dropping-particle":"","parse-names":false,"suffix":""}],"container-title":"The BERA/SAGE Handbook of Educational Research","editor":[{"dropping-particle":"","family":"Wyse","given":"D","non-dropping-particle":"","parse-names":false,"suffix":""},{"dropping-particle":"","family":"Selwyn","given":"N","non-dropping-particle":"","parse-names":false,"suffix":""},{"dropping-particle":"","family":"Smith","given":"E","non-dropping-particle":"","parse-names":false,"suffix":""}],"id":"ITEM-1","issued":{"date-parts":[["2017"]]},"page":"477-504","publisher":"SAGE Publications","publisher-place":"55 City Road","title":"Mixed methods approaches and their application in educational research","type":"chapter"},"uris":["http://www.mendeley.com/documents/?uuid=fd973f9f-5353-4e62-8b0b-5b36104f78be"]}],"mendeley":{"formattedCitation":"(Sammons and Davis 2017)","plainTextFormattedCitation":"(Sammons and Davis 2017)","previouslyFormattedCitation":"(Sammons and Davis 2017)"},"properties":{"noteIndex":0},"schema":"https://github.com/citation-style-language/schema/raw/master/csl-citation.json"}</w:instrText>
      </w:r>
      <w:r w:rsidR="002235B8" w:rsidRPr="009F6406">
        <w:fldChar w:fldCharType="separate"/>
      </w:r>
      <w:r w:rsidR="002235B8" w:rsidRPr="009F6406">
        <w:rPr>
          <w:noProof/>
        </w:rPr>
        <w:t>(Sammons and Davis 2017)</w:t>
      </w:r>
      <w:r w:rsidR="002235B8" w:rsidRPr="009F6406">
        <w:fldChar w:fldCharType="end"/>
      </w:r>
      <w:r w:rsidR="00501710" w:rsidRPr="009F6406">
        <w:t>, aspects that are highly emphasized in this study.</w:t>
      </w:r>
    </w:p>
    <w:p w14:paraId="6B2C0E96" w14:textId="77777777" w:rsidR="002F3C83" w:rsidRPr="009F6406" w:rsidRDefault="002F3C83" w:rsidP="00CF0D37">
      <w:r w:rsidRPr="009F6406">
        <w:lastRenderedPageBreak/>
        <w:t>Research visits to each participating teacher’s classroom took place three times during the school year: once in September-October 2015 (during Term 1), once in January-February 2016 (during Term 2), and once in April-May 2016 (during Term 3).</w:t>
      </w:r>
      <w:r w:rsidR="005C2E69" w:rsidRPr="009F6406">
        <w:t xml:space="preserve"> All fieldwork was undertaken by a single researcher who was trained and experienced in the use of the data collection methods</w:t>
      </w:r>
      <w:r w:rsidR="00C63421" w:rsidRPr="009F6406">
        <w:t>,</w:t>
      </w:r>
      <w:r w:rsidR="005C2E69" w:rsidRPr="009F6406">
        <w:t xml:space="preserve"> detailed below. </w:t>
      </w:r>
    </w:p>
    <w:p w14:paraId="1438732D" w14:textId="3FC55D03" w:rsidR="005C2E69" w:rsidRPr="009F6406" w:rsidRDefault="005C2E69" w:rsidP="00CF0D37">
      <w:r w:rsidRPr="009F6406">
        <w:t xml:space="preserve">In addition to these research visits, the Continuing Professional Development (CPD) sessions offered alongside the </w:t>
      </w:r>
      <w:r w:rsidRPr="009F6406">
        <w:rPr>
          <w:i/>
        </w:rPr>
        <w:t xml:space="preserve">Inspire Maths </w:t>
      </w:r>
      <w:r w:rsidRPr="009F6406">
        <w:t>materials were observed, with notes taken to document the sessions. For the experimental group, 3 days of CPD took place in July 2015, followed by an additional 2 days of CPD in January. For the delayed treatment group, the same sequence of sessions took place in December (3 days) and March (2 days). A focus group interview was conducted with participating teachers following the first 3-day CPD sequence for each group to elicit their views and experiences of these training sessions</w:t>
      </w:r>
      <w:r w:rsidR="002F3C3A" w:rsidRPr="009F6406">
        <w:t>, and teachers filled out a brief background questionnaire about their teaching experience (total years teaching, years teaching in Year 1, other year groups taught previously, past career break(s), years in present school) and confidence teaching mathematics (1 item on a scale from 1=”Very low” to 5=”Very high”</w:t>
      </w:r>
      <w:r w:rsidR="00E5339C" w:rsidRPr="009F6406">
        <w:t>)</w:t>
      </w:r>
      <w:r w:rsidRPr="009F6406">
        <w:t xml:space="preserve">. </w:t>
      </w:r>
    </w:p>
    <w:p w14:paraId="54A7415D" w14:textId="77777777" w:rsidR="00CF0D37" w:rsidRPr="009F6406" w:rsidRDefault="00CF0D37" w:rsidP="00CF0D37">
      <w:pPr>
        <w:pStyle w:val="Heading2"/>
      </w:pPr>
      <w:r w:rsidRPr="009F6406">
        <w:t>Sample</w:t>
      </w:r>
    </w:p>
    <w:p w14:paraId="703339E8" w14:textId="07FFAF69" w:rsidR="00C73888" w:rsidRPr="009F6406" w:rsidRDefault="00E54F8C" w:rsidP="00E54F8C">
      <w:r w:rsidRPr="009F6406">
        <w:t>The sample included 12 schools, 20 t</w:t>
      </w:r>
      <w:r w:rsidR="00272373" w:rsidRPr="009F6406">
        <w:t>eachers, and 5</w:t>
      </w:r>
      <w:r w:rsidRPr="009F6406">
        <w:t xml:space="preserve">76 </w:t>
      </w:r>
      <w:r w:rsidR="004967D3" w:rsidRPr="009F6406">
        <w:t xml:space="preserve">Year 1 </w:t>
      </w:r>
      <w:r w:rsidRPr="009F6406">
        <w:t>pupils</w:t>
      </w:r>
      <w:r w:rsidR="004967D3" w:rsidRPr="009F6406">
        <w:t xml:space="preserve"> (aged rising 6 years)</w:t>
      </w:r>
      <w:r w:rsidRPr="009F6406">
        <w:t xml:space="preserve">. </w:t>
      </w:r>
      <w:r w:rsidR="00C73888" w:rsidRPr="009F6406">
        <w:t xml:space="preserve">9 teachers (in 6 schools) were assigned to the experimental group, and 11 teachers (in 6 schools) were assigned to the delayed treatment group. </w:t>
      </w:r>
      <w:r w:rsidR="001C73D5" w:rsidRPr="009F6406">
        <w:t xml:space="preserve">4 of the 12 schools (3 in the experimental group) were single-form entry, meaning they had one class of Year 1 pupils in the 2015-16 school year, 8 schools </w:t>
      </w:r>
      <w:r w:rsidR="00E13978" w:rsidRPr="009F6406">
        <w:t xml:space="preserve">(3 in the experimental group) </w:t>
      </w:r>
      <w:r w:rsidR="001C73D5" w:rsidRPr="009F6406">
        <w:t xml:space="preserve">were two-form entry, and one school </w:t>
      </w:r>
      <w:r w:rsidR="00E13978" w:rsidRPr="009F6406">
        <w:t>(in the experimental group) was three-form entry (</w:t>
      </w:r>
      <w:r w:rsidR="001C73D5" w:rsidRPr="009F6406">
        <w:t xml:space="preserve">with one class participating in the </w:t>
      </w:r>
      <w:r w:rsidR="00E13978" w:rsidRPr="009F6406">
        <w:t>pilot but not in the main study)</w:t>
      </w:r>
      <w:r w:rsidR="001C73D5" w:rsidRPr="009F6406">
        <w:t>. One classroom had a mix of Year 1 and Year 2 pupils; only Year 1 pupils were included in the analysis presented here for the sake of comparability.</w:t>
      </w:r>
    </w:p>
    <w:p w14:paraId="734129CC" w14:textId="0A6B89A9" w:rsidR="00E13978" w:rsidRPr="009F6406" w:rsidRDefault="00D43F4D" w:rsidP="00E54F8C">
      <w:r w:rsidRPr="009F6406">
        <w:t>Table 1 presents further information on the characteristics of the teachers in the experimental and delayed treatment groups. The delayed treatment</w:t>
      </w:r>
      <w:r w:rsidR="00E5339C" w:rsidRPr="009F6406">
        <w:t xml:space="preserve"> group</w:t>
      </w:r>
      <w:r w:rsidRPr="009F6406">
        <w:t xml:space="preserve"> </w:t>
      </w:r>
      <w:r w:rsidR="00E5339C" w:rsidRPr="009F6406">
        <w:t>teachers</w:t>
      </w:r>
      <w:r w:rsidRPr="009F6406">
        <w:t xml:space="preserve"> had, on average, more yea</w:t>
      </w:r>
      <w:r w:rsidR="00E5339C" w:rsidRPr="009F6406">
        <w:t>rs of total teaching experience</w:t>
      </w:r>
      <w:r w:rsidRPr="009F6406">
        <w:t xml:space="preserve"> and lower confidence in teaching mathematics at baseline, but the experimental and delayed treatment groups</w:t>
      </w:r>
      <w:r w:rsidR="00E5339C" w:rsidRPr="009F6406">
        <w:t xml:space="preserve"> of teachers</w:t>
      </w:r>
      <w:r w:rsidRPr="009F6406">
        <w:t xml:space="preserve"> were similar on average in their experience teaching Year 1, years teaching in their current school, and </w:t>
      </w:r>
      <w:r w:rsidR="00E07CA0" w:rsidRPr="009F6406">
        <w:t>gender distribution</w:t>
      </w:r>
      <w:r w:rsidRPr="009F6406">
        <w:t xml:space="preserve"> (only one teacher – in the delaye</w:t>
      </w:r>
      <w:r w:rsidR="00E5339C" w:rsidRPr="009F6406">
        <w:t>d treatment group -- was male). The pupil gender distributions in the experimental and delayed treatment groups were slightly different (51.29% male in the experimental group, 47.54% male in the delayed treatment group), but the groups were similar in terms of pupils’ average age at baseline in years (M=5.52, SD=0.28 in the experimental group; M=5.57, SD=0.30 in the delayed treatment group).</w:t>
      </w:r>
    </w:p>
    <w:p w14:paraId="1CEA8532" w14:textId="5FA3351C" w:rsidR="00D43F4D" w:rsidRPr="009F6406" w:rsidRDefault="00D43F4D" w:rsidP="00D43F4D">
      <w:pPr>
        <w:jc w:val="center"/>
      </w:pPr>
      <w:r w:rsidRPr="009F6406">
        <w:t>[Insert Table 1]</w:t>
      </w:r>
    </w:p>
    <w:p w14:paraId="61DC1913" w14:textId="77777777" w:rsidR="00CF0D37" w:rsidRPr="009F6406" w:rsidRDefault="00CF0D37" w:rsidP="00CF0D37">
      <w:pPr>
        <w:pStyle w:val="Heading2"/>
      </w:pPr>
      <w:r w:rsidRPr="009F6406">
        <w:t>Data sources</w:t>
      </w:r>
      <w:r w:rsidR="00106622" w:rsidRPr="009F6406">
        <w:t xml:space="preserve"> and measures</w:t>
      </w:r>
    </w:p>
    <w:p w14:paraId="53BAE6D6" w14:textId="77777777" w:rsidR="00CF0D37" w:rsidRPr="009F6406" w:rsidRDefault="00CF0D37" w:rsidP="00CF0D37">
      <w:r w:rsidRPr="009F6406">
        <w:t xml:space="preserve">This research drew on multiple sources of qualitative and quantitative data including: </w:t>
      </w:r>
    </w:p>
    <w:p w14:paraId="44368006" w14:textId="77777777" w:rsidR="00CF0D37" w:rsidRPr="009F6406" w:rsidRDefault="00CF0D37" w:rsidP="00CF0D37">
      <w:pPr>
        <w:pStyle w:val="ListParagraph"/>
        <w:numPr>
          <w:ilvl w:val="0"/>
          <w:numId w:val="24"/>
        </w:numPr>
        <w:spacing w:before="0" w:after="200" w:line="276" w:lineRule="auto"/>
      </w:pPr>
      <w:r w:rsidRPr="009F6406">
        <w:t>Pupil assessments</w:t>
      </w:r>
    </w:p>
    <w:p w14:paraId="79DA4FAD" w14:textId="77777777" w:rsidR="00CF0D37" w:rsidRPr="009F6406" w:rsidRDefault="00CF0D37" w:rsidP="00CF0D37">
      <w:pPr>
        <w:pStyle w:val="ListParagraph"/>
        <w:numPr>
          <w:ilvl w:val="0"/>
          <w:numId w:val="24"/>
        </w:numPr>
        <w:spacing w:before="0" w:after="200" w:line="276" w:lineRule="auto"/>
      </w:pPr>
      <w:r w:rsidRPr="009F6406">
        <w:t>Pupil questionnaires</w:t>
      </w:r>
    </w:p>
    <w:p w14:paraId="472F9676" w14:textId="77777777" w:rsidR="00CF0D37" w:rsidRPr="009F6406" w:rsidRDefault="00CF0D37" w:rsidP="00CF0D37">
      <w:pPr>
        <w:pStyle w:val="ListParagraph"/>
        <w:numPr>
          <w:ilvl w:val="0"/>
          <w:numId w:val="24"/>
        </w:numPr>
        <w:spacing w:before="0" w:after="200" w:line="276" w:lineRule="auto"/>
      </w:pPr>
      <w:r w:rsidRPr="009F6406">
        <w:t>Classroom observation ratings based on structured schedules</w:t>
      </w:r>
    </w:p>
    <w:p w14:paraId="07ABF507" w14:textId="18E29ED7" w:rsidR="00CF0D37" w:rsidRPr="009F6406" w:rsidRDefault="00CF0D37" w:rsidP="00CF0D37">
      <w:pPr>
        <w:pStyle w:val="ListParagraph"/>
        <w:numPr>
          <w:ilvl w:val="0"/>
          <w:numId w:val="24"/>
        </w:numPr>
        <w:spacing w:before="0" w:after="200" w:line="276" w:lineRule="auto"/>
      </w:pPr>
      <w:r w:rsidRPr="009F6406">
        <w:t xml:space="preserve">Classroom </w:t>
      </w:r>
      <w:r w:rsidR="00E92200" w:rsidRPr="009F6406">
        <w:t xml:space="preserve">and  CPD </w:t>
      </w:r>
      <w:r w:rsidRPr="009F6406">
        <w:t>observation field notes</w:t>
      </w:r>
    </w:p>
    <w:p w14:paraId="6AE3BDF2" w14:textId="77777777" w:rsidR="00CF0D37" w:rsidRPr="009F6406" w:rsidRDefault="00CF0D37" w:rsidP="00CF0D37">
      <w:pPr>
        <w:pStyle w:val="ListParagraph"/>
        <w:numPr>
          <w:ilvl w:val="0"/>
          <w:numId w:val="24"/>
        </w:numPr>
        <w:spacing w:before="0" w:after="200" w:line="276" w:lineRule="auto"/>
      </w:pPr>
      <w:r w:rsidRPr="009F6406">
        <w:t>Semi-structured teacher interviews</w:t>
      </w:r>
    </w:p>
    <w:p w14:paraId="3DFAD3CB" w14:textId="77777777" w:rsidR="00106622" w:rsidRPr="009F6406" w:rsidRDefault="00106622" w:rsidP="00106622">
      <w:pPr>
        <w:spacing w:before="0" w:after="200" w:line="276" w:lineRule="auto"/>
      </w:pPr>
      <w:r w:rsidRPr="009F6406">
        <w:lastRenderedPageBreak/>
        <w:t xml:space="preserve">Details of the measures (for quantitative data) and approaches (for qualitative data) are given in the subsections that follow. </w:t>
      </w:r>
    </w:p>
    <w:p w14:paraId="5A9BD55B" w14:textId="77777777" w:rsidR="007E590A" w:rsidRPr="009F6406" w:rsidRDefault="007E590A" w:rsidP="007E590A">
      <w:pPr>
        <w:pStyle w:val="Heading3"/>
      </w:pPr>
      <w:r w:rsidRPr="009F6406">
        <w:t>Pupil assessments</w:t>
      </w:r>
    </w:p>
    <w:p w14:paraId="2754F042" w14:textId="0CAFFA75" w:rsidR="00106622" w:rsidRPr="009F6406" w:rsidRDefault="007E590A" w:rsidP="00D63438">
      <w:r w:rsidRPr="009F6406">
        <w:t>Pupils’ mathematics knowledge and skills were measured using the Progress Test in Ma</w:t>
      </w:r>
      <w:r w:rsidR="007B15E6" w:rsidRPr="009F6406">
        <w:t>thematics (PTM; GL Assessment 2015</w:t>
      </w:r>
      <w:r w:rsidRPr="009F6406">
        <w:t xml:space="preserve">). The PTM series of mathematics assessments was selected because of its alignment to </w:t>
      </w:r>
      <w:r w:rsidR="009235D9" w:rsidRPr="009F6406">
        <w:t xml:space="preserve">England’s </w:t>
      </w:r>
      <w:r w:rsidRPr="009F6406">
        <w:t>National Curriculum content, and the availability of different levels of the test according to pupil age groups</w:t>
      </w:r>
      <w:r w:rsidR="00106622" w:rsidRPr="009F6406">
        <w:t xml:space="preserve"> (from the early years up to secondary school)</w:t>
      </w:r>
      <w:r w:rsidRPr="009F6406">
        <w:t xml:space="preserve">. </w:t>
      </w:r>
      <w:r w:rsidR="00106622" w:rsidRPr="009F6406">
        <w:t>PTM tests provide age-standardi</w:t>
      </w:r>
      <w:r w:rsidR="003E2E5A" w:rsidRPr="009F6406">
        <w:t>z</w:t>
      </w:r>
      <w:r w:rsidR="00106622" w:rsidRPr="009F6406">
        <w:t xml:space="preserve">ed measures of pupils’ </w:t>
      </w:r>
      <w:r w:rsidR="007B15E6" w:rsidRPr="009F6406">
        <w:t>mathematical content knowledge and reasoning</w:t>
      </w:r>
      <w:r w:rsidR="00106622" w:rsidRPr="009F6406">
        <w:t xml:space="preserve"> skills, and are vertically equated to allow for progress tracking over time</w:t>
      </w:r>
      <w:r w:rsidR="00F21222" w:rsidRPr="009F6406">
        <w:t>; more information is available from the publisher (https://www.gl-assessment.co.uk/products/progress-test-in-maths-ptm/)</w:t>
      </w:r>
      <w:r w:rsidR="00106622" w:rsidRPr="009F6406">
        <w:t>.</w:t>
      </w:r>
      <w:r w:rsidR="00E27A07" w:rsidRPr="009F6406">
        <w:t xml:space="preserve"> </w:t>
      </w:r>
      <w:r w:rsidR="00106622" w:rsidRPr="009F6406">
        <w:t xml:space="preserve"> </w:t>
      </w:r>
      <w:r w:rsidR="007F23B5" w:rsidRPr="009F6406">
        <w:t>T</w:t>
      </w:r>
      <w:r w:rsidR="00473F84" w:rsidRPr="009F6406">
        <w:t xml:space="preserve">he PTM tests were aligned to the National Curriculum, </w:t>
      </w:r>
      <w:r w:rsidR="00D9638B" w:rsidRPr="009F6406">
        <w:t xml:space="preserve">but </w:t>
      </w:r>
      <w:r w:rsidR="00473F84" w:rsidRPr="009F6406">
        <w:t xml:space="preserve">they were not specifically aligned to the </w:t>
      </w:r>
      <w:r w:rsidR="00473F84" w:rsidRPr="009F6406">
        <w:rPr>
          <w:i/>
        </w:rPr>
        <w:t>Inspire Maths</w:t>
      </w:r>
      <w:r w:rsidR="00473F84" w:rsidRPr="009F6406">
        <w:t xml:space="preserve"> series. </w:t>
      </w:r>
      <w:r w:rsidR="00773111" w:rsidRPr="009F6406">
        <w:t xml:space="preserve">An </w:t>
      </w:r>
      <w:r w:rsidR="00473F84" w:rsidRPr="009F6406">
        <w:t xml:space="preserve">assessment specifically designed around the </w:t>
      </w:r>
      <w:r w:rsidR="00473F84" w:rsidRPr="009F6406">
        <w:rPr>
          <w:i/>
        </w:rPr>
        <w:t xml:space="preserve">Inspire Maths </w:t>
      </w:r>
      <w:r w:rsidR="00A72010" w:rsidRPr="009F6406">
        <w:t xml:space="preserve">sequence of </w:t>
      </w:r>
      <w:r w:rsidR="00BE1070" w:rsidRPr="009F6406">
        <w:t>concepts</w:t>
      </w:r>
      <w:r w:rsidR="00A72010" w:rsidRPr="009F6406">
        <w:t xml:space="preserve"> </w:t>
      </w:r>
      <w:r w:rsidR="007F23B5" w:rsidRPr="009F6406">
        <w:t xml:space="preserve">(which, in Year 1, include numbers to 100, addition, subtraction, multiplication, division, money, time, measurement, picture graphs, and shapes and patterns ) </w:t>
      </w:r>
      <w:r w:rsidR="00473F84" w:rsidRPr="009F6406">
        <w:t xml:space="preserve">would </w:t>
      </w:r>
      <w:r w:rsidR="003345BE" w:rsidRPr="009F6406">
        <w:t>potentially</w:t>
      </w:r>
      <w:r w:rsidR="00473F84" w:rsidRPr="009F6406">
        <w:t xml:space="preserve"> </w:t>
      </w:r>
      <w:r w:rsidR="008C0D83" w:rsidRPr="009F6406">
        <w:t xml:space="preserve">have </w:t>
      </w:r>
      <w:r w:rsidR="00473F84" w:rsidRPr="009F6406">
        <w:t>bias</w:t>
      </w:r>
      <w:r w:rsidR="008C0D83" w:rsidRPr="009F6406">
        <w:t>ed</w:t>
      </w:r>
      <w:r w:rsidR="00473F84" w:rsidRPr="009F6406">
        <w:t xml:space="preserve"> results in favour of the experimental group</w:t>
      </w:r>
      <w:r w:rsidR="00773111" w:rsidRPr="009F6406">
        <w:t>, especially at the first time point</w:t>
      </w:r>
      <w:r w:rsidR="00473F84" w:rsidRPr="009F6406">
        <w:t>.</w:t>
      </w:r>
      <w:r w:rsidR="005F70A7" w:rsidRPr="009F6406">
        <w:t xml:space="preserve"> </w:t>
      </w:r>
    </w:p>
    <w:p w14:paraId="0091D28C" w14:textId="2BB52497" w:rsidR="00106622" w:rsidRPr="009F6406" w:rsidRDefault="00E27A07" w:rsidP="00807025">
      <w:r w:rsidRPr="009F6406">
        <w:t xml:space="preserve">In PTM tests designed for the age group included in this study, items are generally presented in a pictorial format and questions/problems are read aloud to pupils during test administration. </w:t>
      </w:r>
      <w:r w:rsidR="007E590A" w:rsidRPr="009F6406">
        <w:t>PTM 5 was used in the first and second terms of the 2015-16 school year, and PTM 6 was used in the third term</w:t>
      </w:r>
      <w:r w:rsidR="00106622" w:rsidRPr="009F6406">
        <w:t>. T</w:t>
      </w:r>
      <w:r w:rsidR="007B15E6" w:rsidRPr="009F6406">
        <w:t>he higher-</w:t>
      </w:r>
      <w:r w:rsidR="00106622" w:rsidRPr="009F6406">
        <w:t>level</w:t>
      </w:r>
      <w:r w:rsidR="0044446B" w:rsidRPr="009F6406">
        <w:t xml:space="preserve"> PTM 6</w:t>
      </w:r>
      <w:r w:rsidR="00106622" w:rsidRPr="009F6406">
        <w:t xml:space="preserve"> test was used at the third time point in keeping with the publisher’s protocol</w:t>
      </w:r>
      <w:r w:rsidR="00473F84" w:rsidRPr="009F6406">
        <w:t xml:space="preserve"> (i.e. as most pupils were age 6 by the third term, the level 6 test was </w:t>
      </w:r>
      <w:r w:rsidR="005F054A" w:rsidRPr="009F6406">
        <w:t>most appropriate</w:t>
      </w:r>
      <w:r w:rsidR="00473F84" w:rsidRPr="009F6406">
        <w:t>)</w:t>
      </w:r>
      <w:r w:rsidR="00106622" w:rsidRPr="009F6406">
        <w:t>, taking into consideration the higher average age of Year 1 children by this time and their greater experience of formal schooling. Further,</w:t>
      </w:r>
      <w:r w:rsidR="007B15E6" w:rsidRPr="009F6406">
        <w:t xml:space="preserve"> using the </w:t>
      </w:r>
      <w:r w:rsidR="0044446B" w:rsidRPr="009F6406">
        <w:t xml:space="preserve">PTM </w:t>
      </w:r>
      <w:r w:rsidR="007B15E6" w:rsidRPr="009F6406">
        <w:t xml:space="preserve">6 </w:t>
      </w:r>
      <w:r w:rsidR="0044446B" w:rsidRPr="009F6406">
        <w:t xml:space="preserve">(rather than PTM 5) </w:t>
      </w:r>
      <w:r w:rsidR="00106622" w:rsidRPr="009F6406">
        <w:t xml:space="preserve">test at the third time point also </w:t>
      </w:r>
      <w:r w:rsidR="00807025" w:rsidRPr="009F6406">
        <w:t>reduced the</w:t>
      </w:r>
      <w:r w:rsidR="00106622" w:rsidRPr="009F6406">
        <w:t xml:space="preserve"> risk of test familiarity that might </w:t>
      </w:r>
      <w:r w:rsidR="0061157E" w:rsidRPr="009F6406">
        <w:t xml:space="preserve">otherwise </w:t>
      </w:r>
      <w:r w:rsidR="00106622" w:rsidRPr="009F6406">
        <w:t xml:space="preserve">have biased pupil outcomes.  </w:t>
      </w:r>
    </w:p>
    <w:p w14:paraId="7546EBAB" w14:textId="77777777" w:rsidR="007E590A" w:rsidRPr="009F6406" w:rsidRDefault="007E590A" w:rsidP="007E590A">
      <w:pPr>
        <w:pStyle w:val="Heading3"/>
      </w:pPr>
      <w:r w:rsidRPr="009F6406">
        <w:t>Pupil attitudes</w:t>
      </w:r>
    </w:p>
    <w:p w14:paraId="3CCC02C6" w14:textId="6DBDD88C" w:rsidR="007E590A" w:rsidRPr="009F6406" w:rsidRDefault="007E590A" w:rsidP="0064145E">
      <w:r w:rsidRPr="009F6406">
        <w:t xml:space="preserve">The research team designed a 4-item questionnaire to measure </w:t>
      </w:r>
      <w:r w:rsidR="009235D9" w:rsidRPr="009F6406">
        <w:t xml:space="preserve">Year 1 </w:t>
      </w:r>
      <w:r w:rsidRPr="009F6406">
        <w:t>pupils’ attitudes towards and enjoyment of mathematics</w:t>
      </w:r>
      <w:r w:rsidR="00502917" w:rsidRPr="009F6406">
        <w:t xml:space="preserve"> in their lessons</w:t>
      </w:r>
      <w:r w:rsidRPr="009F6406">
        <w:t xml:space="preserve">. </w:t>
      </w:r>
      <w:r w:rsidR="005129D0" w:rsidRPr="009F6406">
        <w:t xml:space="preserve">Items were rated by pupils on a 5-point Likert scale (0=’Very unhappy’ to 5=’Very happy’), with each item asking how pupils felt about a type of activity. Types of activity included </w:t>
      </w:r>
      <w:r w:rsidR="005129D0" w:rsidRPr="009F6406">
        <w:rPr>
          <w:i/>
        </w:rPr>
        <w:t>Doing number</w:t>
      </w:r>
      <w:r w:rsidR="004A0F91" w:rsidRPr="009F6406">
        <w:rPr>
          <w:i/>
        </w:rPr>
        <w:t>s (or number</w:t>
      </w:r>
      <w:r w:rsidR="005129D0" w:rsidRPr="009F6406">
        <w:rPr>
          <w:i/>
        </w:rPr>
        <w:t xml:space="preserve"> sentences</w:t>
      </w:r>
      <w:r w:rsidR="004A0F91" w:rsidRPr="009F6406">
        <w:rPr>
          <w:i/>
        </w:rPr>
        <w:t>)</w:t>
      </w:r>
      <w:r w:rsidR="005129D0" w:rsidRPr="009F6406">
        <w:rPr>
          <w:i/>
        </w:rPr>
        <w:t xml:space="preserve"> and sums</w:t>
      </w:r>
      <w:r w:rsidR="005129D0" w:rsidRPr="009F6406">
        <w:t xml:space="preserve">, </w:t>
      </w:r>
      <w:r w:rsidR="004A0F91" w:rsidRPr="009F6406">
        <w:rPr>
          <w:i/>
        </w:rPr>
        <w:t xml:space="preserve">Counting things, </w:t>
      </w:r>
      <w:r w:rsidR="005129D0" w:rsidRPr="009F6406">
        <w:rPr>
          <w:i/>
        </w:rPr>
        <w:t xml:space="preserve">Using </w:t>
      </w:r>
      <w:r w:rsidR="009235D9" w:rsidRPr="009F6406">
        <w:rPr>
          <w:i/>
        </w:rPr>
        <w:t xml:space="preserve">things like these </w:t>
      </w:r>
      <w:r w:rsidR="005129D0" w:rsidRPr="009F6406">
        <w:rPr>
          <w:i/>
        </w:rPr>
        <w:t>in lessons</w:t>
      </w:r>
      <w:r w:rsidR="005129D0" w:rsidRPr="009F6406">
        <w:t xml:space="preserve"> (</w:t>
      </w:r>
      <w:r w:rsidR="004A0F91" w:rsidRPr="009F6406">
        <w:t xml:space="preserve">for age appropriateness, phrased as ‘things like these’ </w:t>
      </w:r>
      <w:r w:rsidR="005129D0" w:rsidRPr="009F6406">
        <w:t>with accompanying display of various manipulatives)</w:t>
      </w:r>
      <w:r w:rsidR="004A0F91" w:rsidRPr="009F6406">
        <w:t>, and</w:t>
      </w:r>
      <w:r w:rsidR="004A0F91" w:rsidRPr="009F6406">
        <w:rPr>
          <w:i/>
        </w:rPr>
        <w:t xml:space="preserve"> Learning about shapes</w:t>
      </w:r>
      <w:r w:rsidR="00826F46" w:rsidRPr="009F6406">
        <w:rPr>
          <w:i/>
        </w:rPr>
        <w:t xml:space="preserve"> and patterns</w:t>
      </w:r>
      <w:r w:rsidR="005129D0" w:rsidRPr="009F6406">
        <w:t>. The format of the paper questionnaire distributed to</w:t>
      </w:r>
      <w:r w:rsidR="00392CDF" w:rsidRPr="009F6406">
        <w:t xml:space="preserve"> pupils used a differently colo</w:t>
      </w:r>
      <w:r w:rsidR="005129D0" w:rsidRPr="009F6406">
        <w:t>red background for each item and faces showing the relevant emotions for each point on the Likert scale (from a very sad face to a very happy face</w:t>
      </w:r>
      <w:r w:rsidR="00F605DD" w:rsidRPr="009F6406">
        <w:t xml:space="preserve"> image</w:t>
      </w:r>
      <w:r w:rsidR="009235D9" w:rsidRPr="009F6406">
        <w:t xml:space="preserve"> </w:t>
      </w:r>
      <w:r w:rsidR="00E25EE9" w:rsidRPr="009F6406">
        <w:t xml:space="preserve">(see </w:t>
      </w:r>
      <w:r w:rsidR="004A5E9B" w:rsidRPr="009F6406">
        <w:t>Figure 1</w:t>
      </w:r>
      <w:r w:rsidR="00C3631F" w:rsidRPr="009F6406">
        <w:t>; Hall, Lindorff &amp; Sammons 2016</w:t>
      </w:r>
      <w:r w:rsidR="009235D9" w:rsidRPr="009F6406">
        <w:t>).</w:t>
      </w:r>
      <w:r w:rsidR="009B3BD5" w:rsidRPr="009F6406">
        <w:t xml:space="preserve"> 2 practice items were included to familiarize pupils with the questionnaire and response format; these were unrelated to mathematics and were not included in the analysis.</w:t>
      </w:r>
    </w:p>
    <w:p w14:paraId="77CE78C7" w14:textId="76F91324" w:rsidR="00C3631F" w:rsidRPr="009F6406" w:rsidRDefault="00C3631F" w:rsidP="00C3631F">
      <w:pPr>
        <w:jc w:val="center"/>
      </w:pPr>
      <w:r w:rsidRPr="009F6406">
        <w:t>[Insert Figure 1]</w:t>
      </w:r>
    </w:p>
    <w:p w14:paraId="79932A7C" w14:textId="64099D01" w:rsidR="009B41E7" w:rsidRPr="009F6406" w:rsidRDefault="005129D0" w:rsidP="007E590A">
      <w:r w:rsidRPr="009F6406">
        <w:t>The questionnaire was administered by a researcher during normal class time directly after the mathematics assessment (except in a few instances where the schedule required administering the questionnaire slightly later in the school day).</w:t>
      </w:r>
      <w:r w:rsidR="00CA32DC" w:rsidRPr="009F6406">
        <w:t xml:space="preserve"> </w:t>
      </w:r>
      <w:r w:rsidR="00352021" w:rsidRPr="009F6406">
        <w:t xml:space="preserve">The questionnaire was administered </w:t>
      </w:r>
      <w:r w:rsidR="0073596C" w:rsidRPr="009F6406">
        <w:t>last</w:t>
      </w:r>
      <w:r w:rsidR="00352021" w:rsidRPr="009F6406">
        <w:t xml:space="preserve"> as it was less time-consuming; administering the</w:t>
      </w:r>
      <w:r w:rsidR="0073596C" w:rsidRPr="009F6406">
        <w:t xml:space="preserve"> questionnaire and assessment</w:t>
      </w:r>
      <w:r w:rsidR="00352021" w:rsidRPr="009F6406">
        <w:t xml:space="preserve"> in the reverse order might have risked incomplete or incorrect responses </w:t>
      </w:r>
      <w:r w:rsidR="009E7B0E" w:rsidRPr="009F6406">
        <w:t xml:space="preserve">on the assessment </w:t>
      </w:r>
      <w:r w:rsidR="00352021" w:rsidRPr="009F6406">
        <w:t xml:space="preserve">due to exhaustion rather than pupils’ knowledge or skills. </w:t>
      </w:r>
      <w:r w:rsidR="00CA32DC" w:rsidRPr="009F6406">
        <w:t xml:space="preserve">The researcher began by asking all pupils to sit on the carpet and discussing the happy to sad faces and what they meant as a whole class. Pupils were also instructed that there were </w:t>
      </w:r>
      <w:r w:rsidR="00CA32DC" w:rsidRPr="009F6406">
        <w:lastRenderedPageBreak/>
        <w:t xml:space="preserve">no right or wrong answers, and told that the researcher wanted to learn about how they felt. Pupils then moved to tables answered items at the same pace while the researcher read out the items and circulated to tables to display manipulatives for the final item. Pupils were asked to draw a ‘tick’ on the face that showed how they felt about each item (during the carpet session, the researcher also ensured that all pupils understood what a tick was and how to place a tick on a face using some example questions not related to mathematics and including at least one negative and one positive example). </w:t>
      </w:r>
    </w:p>
    <w:p w14:paraId="1DD1DEF8" w14:textId="65A4DDEA" w:rsidR="003C45B4" w:rsidRPr="009F6406" w:rsidRDefault="003C45B4" w:rsidP="007E590A">
      <w:r w:rsidRPr="009F6406">
        <w:t>The questionnaire was piloted in one Year 1 classroom that did not participate in the main study, with 1 teacher and 30 pupils.</w:t>
      </w:r>
      <w:r w:rsidR="007F601F" w:rsidRPr="009F6406">
        <w:t xml:space="preserve"> In the pilot, Cronbach’s alpha (</w:t>
      </w:r>
      <w:r w:rsidR="007F601F" w:rsidRPr="009F6406">
        <w:rPr>
          <w:rFonts w:cs="Times New Roman"/>
        </w:rPr>
        <w:t>α</w:t>
      </w:r>
      <w:r w:rsidR="007F601F" w:rsidRPr="009F6406">
        <w:t>=0.58) indicated modest but sufficient internal consistency</w:t>
      </w:r>
      <w:r w:rsidR="00A17E93" w:rsidRPr="009F6406">
        <w:t xml:space="preserve"> </w:t>
      </w:r>
      <w:r w:rsidR="00A17E93" w:rsidRPr="009F6406">
        <w:fldChar w:fldCharType="begin" w:fldLock="1"/>
      </w:r>
      <w:r w:rsidR="00E25EE9" w:rsidRPr="009F6406">
        <w:instrText>ADDIN CSL_CITATION {"citationItems":[{"id":"ITEM-1","itemData":{"ISBN":"007047849X 9780070478497","abstract":"(Publisher-supplied data) The classic text is Psychometric Theory. Like the previous edition, this text is designed as a comprehensive text in measurement for researchers and for use in graduate courses in psychology, education and areas of business such as management and marketing. It is intended to consider the broad measurement problems that arise in these areas and is written for a reader who needs only a basic background in statistics to comprehend the material. It also combines classical procedures that explain variance with modern inferential procedures.","author":[{"dropping-particle":"","family":"Nunnally","given":"Jum C","non-dropping-particle":"","parse-names":false,"suffix":""},{"dropping-particle":"","family":"Bernstein","given":"Ira H","non-dropping-particle":"","parse-names":false,"suffix":""}],"id":"ITEM-1","issued":{"date-parts":[["1994"]]},"language":"English","publisher":"McGraw-Hill","publisher-place":"New York","title":"Psychometric theory","type":"book"},"uris":["http://www.mendeley.com/documents/?uuid=684437ad-81c5-4b1a-9f01-e538e922fccb"]}],"mendeley":{"formattedCitation":"(Nunnally and Bernstein 1994)","plainTextFormattedCitation":"(Nunnally and Bernstein 1994)","previouslyFormattedCitation":"(Nunnally and Bernstein 1994)"},"properties":{"noteIndex":0},"schema":"https://github.com/citation-style-language/schema/raw/master/csl-citation.json"}</w:instrText>
      </w:r>
      <w:r w:rsidR="00A17E93" w:rsidRPr="009F6406">
        <w:fldChar w:fldCharType="separate"/>
      </w:r>
      <w:r w:rsidR="00A17E93" w:rsidRPr="009F6406">
        <w:rPr>
          <w:noProof/>
        </w:rPr>
        <w:t>(Nunnally and Bernstein 1994)</w:t>
      </w:r>
      <w:r w:rsidR="00A17E93" w:rsidRPr="009F6406">
        <w:fldChar w:fldCharType="end"/>
      </w:r>
      <w:r w:rsidR="00A17E93" w:rsidRPr="009F6406">
        <w:t>.</w:t>
      </w:r>
      <w:r w:rsidR="007F601F" w:rsidRPr="009F6406">
        <w:t xml:space="preserve"> Values were higher</w:t>
      </w:r>
      <w:r w:rsidR="00A17E93" w:rsidRPr="009F6406">
        <w:t xml:space="preserve"> but still indicated modest internal consistency in</w:t>
      </w:r>
      <w:r w:rsidR="007F601F" w:rsidRPr="009F6406">
        <w:t xml:space="preserve"> the main study </w:t>
      </w:r>
      <w:r w:rsidR="00A17E93" w:rsidRPr="009F6406">
        <w:t>based on questionnaire responses from T</w:t>
      </w:r>
      <w:r w:rsidR="007F601F" w:rsidRPr="009F6406">
        <w:t>erms 1, 2 and 3 (</w:t>
      </w:r>
      <w:r w:rsidR="00A17E93" w:rsidRPr="009F6406">
        <w:rPr>
          <w:rFonts w:eastAsia="Times New Roman" w:cstheme="minorHAnsi"/>
        </w:rPr>
        <w:t>α=0.64, α= 0.68, and α=0.69, respectively).</w:t>
      </w:r>
    </w:p>
    <w:p w14:paraId="176396C1" w14:textId="77777777" w:rsidR="003025A8" w:rsidRPr="009F6406" w:rsidRDefault="003025A8" w:rsidP="003025A8">
      <w:pPr>
        <w:pStyle w:val="Heading3"/>
      </w:pPr>
      <w:r w:rsidRPr="009F6406">
        <w:t>Classroom observation schedules</w:t>
      </w:r>
    </w:p>
    <w:p w14:paraId="629B289A" w14:textId="16ABFDCD" w:rsidR="003025A8" w:rsidRPr="009F6406" w:rsidRDefault="003025A8" w:rsidP="007E590A">
      <w:r w:rsidRPr="009F6406">
        <w:t>Three structured observation sched</w:t>
      </w:r>
      <w:r w:rsidR="00BA5E61" w:rsidRPr="009F6406">
        <w:t xml:space="preserve">ules were used for each lesson, </w:t>
      </w:r>
      <w:r w:rsidRPr="009F6406">
        <w:t xml:space="preserve">with items on each schedule filled out as soon after the observed lesson as possible. </w:t>
      </w:r>
      <w:r w:rsidR="00BA5E61" w:rsidRPr="009F6406">
        <w:t xml:space="preserve"> A</w:t>
      </w:r>
      <w:r w:rsidR="00A4643A" w:rsidRPr="009F6406">
        <w:t xml:space="preserve">ll observations took place in </w:t>
      </w:r>
      <w:r w:rsidR="00BA5E61" w:rsidRPr="009F6406">
        <w:t xml:space="preserve">person, with the researcher in the classroom for the duration of the observed lesson. </w:t>
      </w:r>
      <w:r w:rsidR="00546E96" w:rsidRPr="009F6406">
        <w:t xml:space="preserve">As noted above, the researcher who undertook all fieldwork for this study was trained and experienced in the use of each of these instruments and in lesson observation more generally. </w:t>
      </w:r>
      <w:r w:rsidR="00FD6B15" w:rsidRPr="009F6406">
        <w:t>Key d</w:t>
      </w:r>
      <w:r w:rsidR="009B41E7" w:rsidRPr="009F6406">
        <w:t>etails about each instrument are given below</w:t>
      </w:r>
      <w:r w:rsidR="00FD6B15" w:rsidRPr="009F6406">
        <w:t xml:space="preserve">, although finer-grained analyses of  the strengths, weaknesses and specific features of these instruments have been discussed elsewhere (e.g. </w:t>
      </w:r>
      <w:r w:rsidR="005144D1" w:rsidRPr="009F6406">
        <w:t>Lindorff and Sammons 2018; Muijs et al. 2018)</w:t>
      </w:r>
      <w:r w:rsidR="009B41E7" w:rsidRPr="009F6406">
        <w:t xml:space="preserve">. </w:t>
      </w:r>
    </w:p>
    <w:p w14:paraId="2E4964D9" w14:textId="77777777" w:rsidR="00BF606D" w:rsidRPr="009F6406" w:rsidRDefault="00BF606D" w:rsidP="00BF606D">
      <w:pPr>
        <w:rPr>
          <w:i/>
        </w:rPr>
      </w:pPr>
      <w:r w:rsidRPr="009F6406">
        <w:rPr>
          <w:i/>
        </w:rPr>
        <w:t>Quality of Teaching (QoT) lesson observation form</w:t>
      </w:r>
    </w:p>
    <w:p w14:paraId="50AEB31F" w14:textId="77475C01" w:rsidR="00BF606D" w:rsidRPr="009F6406" w:rsidRDefault="00BF606D" w:rsidP="00BF606D">
      <w:r w:rsidRPr="009F6406">
        <w:t>The QoT instrument</w:t>
      </w:r>
      <w:r w:rsidRPr="009F6406">
        <w:rPr>
          <w:rStyle w:val="FootnoteReference"/>
        </w:rPr>
        <w:footnoteReference w:id="2"/>
      </w:r>
      <w:r w:rsidRPr="009F6406">
        <w:t xml:space="preserve"> </w:t>
      </w:r>
      <w:r w:rsidRPr="009F6406">
        <w:fldChar w:fldCharType="begin" w:fldLock="1"/>
      </w:r>
      <w:r w:rsidRPr="009F6406">
        <w:instrText>ADDIN CSL_CITATION {"citationItems":[{"id":"ITEM-1","itemData":{"author":[{"dropping-particle":"","family":"Grift","given":"Wim","non-dropping-particle":"van de","parse-names":false,"suffix":""},{"dropping-particle":"","family":"Matthews","given":"Peter","non-dropping-particle":"","parse-names":false,"suffix":""},{"dropping-particle":"","family":"Tabak","given":"L","non-dropping-particle":"","parse-names":false,"suffix":""},{"dropping-particle":"","family":"Rijcke","given":"F","non-dropping-particle":"de","parse-names":false,"suffix":""}],"id":"ITEM-1","issued":{"date-parts":[["2004"]]},"publisher":"Inspectie van het Onderwijs; Office for Standards in Education","publisher-place":"Utrecht, Netherlands; London, UK","title":"Preliminary lesson observation form for evaluating the quality of teaching","type":"article"},"uris":["http://www.mendeley.com/documents/?uuid=62c39fa2-5fc9-479b-97df-653e4611778f"]}],"mendeley":{"formattedCitation":"(W. van de Grift et al. 2004)","plainTextFormattedCitation":"(W. van de Grift et al. 2004)","previouslyFormattedCitation":"(W. van de Grift et al. 2004)"},"properties":{"noteIndex":0},"schema":"https://github.com/citation-style-language/schema/raw/master/csl-citation.json"}</w:instrText>
      </w:r>
      <w:r w:rsidRPr="009F6406">
        <w:fldChar w:fldCharType="separate"/>
      </w:r>
      <w:r w:rsidR="001A222C">
        <w:rPr>
          <w:noProof/>
        </w:rPr>
        <w:t>(</w:t>
      </w:r>
      <w:r w:rsidRPr="009F6406">
        <w:rPr>
          <w:noProof/>
        </w:rPr>
        <w:t>van de Grift et al. 2004)</w:t>
      </w:r>
      <w:r w:rsidRPr="009F6406">
        <w:fldChar w:fldCharType="end"/>
      </w:r>
      <w:r w:rsidRPr="009F6406">
        <w:t xml:space="preserve"> was based on consultation with inspectors and researchers as well as a review of the relevant literature on teacher effectiveness, and was validated in four European countries including the UK. </w:t>
      </w:r>
    </w:p>
    <w:p w14:paraId="591A8161" w14:textId="77777777" w:rsidR="00BF606D" w:rsidRPr="009F6406" w:rsidRDefault="00BF606D" w:rsidP="00BF606D">
      <w:pPr>
        <w:rPr>
          <w:i/>
        </w:rPr>
      </w:pPr>
      <w:r w:rsidRPr="009F6406">
        <w:rPr>
          <w:i/>
        </w:rPr>
        <w:t>International System for Teacher Observation and Feedback (ISTOF)</w:t>
      </w:r>
    </w:p>
    <w:p w14:paraId="4BF52E29" w14:textId="439ED3B5" w:rsidR="00BF606D" w:rsidRPr="009F6406" w:rsidRDefault="00BF606D" w:rsidP="007E590A">
      <w:r w:rsidRPr="009F6406">
        <w:t xml:space="preserve">The ISTOF instrument </w:t>
      </w:r>
      <w:r w:rsidRPr="009F6406">
        <w:fldChar w:fldCharType="begin" w:fldLock="1"/>
      </w:r>
      <w:r w:rsidRPr="009F6406">
        <w:instrText>ADDIN CSL_CITATION {"citationItems":[{"id":"ITEM-1","itemData":{"DOI":"10.1016/B978-0-08-044894-7.01636-5","abstract":"This article provides background and rationale for the International System for Teacher Observation and Feedback (ISTOF) project. After describing the process used to develop ISTOF, the outcomes of the project are presented: the conceptual framework, the components of effective teaching, the indicators for each component, and the rating scale for classroom observations of teacher instructional behavior. Finally, conclusions are drawn with respect to designing valid instruments that can be used in international educational-effectiveness research, stressing the importance of using both inductive and deductive approaches. © 2010 Elsevier Ltd. All rights reserved.","author":[{"dropping-particle":"","family":"Kyriakides","given":"Leonidas","non-dropping-particle":"","parse-names":false,"suffix":""},{"dropping-particle":"","family":"Creemers","given":"Bert P M","non-dropping-particle":"","parse-names":false,"suffix":""},{"dropping-particle":"","family":"Teddlie","given":"Charle","non-dropping-particle":"","parse-names":false,"suffix":""},{"dropping-particle":"","family":"Muijs","given":"Daniel","non-dropping-particle":"","parse-names":false,"suffix":""}],"container-title":"International Encyclopedia of Education","id":"ITEM-1","issued":{"date-parts":[["2010"]]},"note":"Export Date: 29 January 2018","page":"726-734","publisher-place":"Nicosia, Cyprus: University of Cyprus","title":"The international system for teacher observation and feedback: A theoretical framework for developing international instruments","type":"chapter"},"uris":["http://www.mendeley.com/documents/?uuid=52ae6fcb-261e-4d28-9f85-1b07e4a40f3c"]},{"id":"ITEM-2","itemData":{"ISSN":"1380-3611","author":[{"dropping-particle":"","family":"Teddlie","given":"Charles","non-dropping-particle":"","parse-names":false,"suffix":""},{"dropping-particle":"","family":"Creemers","given":"Bert","non-dropping-particle":"","parse-names":false,"suffix":""},{"dropping-particle":"","family":"Kyriakides","given":"Leonidas","non-dropping-particle":"","parse-names":false,"suffix":""},{"dropping-particle":"","family":"Muijs","given":"Daniel","non-dropping-particle":"","parse-names":false,"suffix":""},{"dropping-particle":"","family":"Yu","given":"Fen","non-dropping-particle":"","parse-names":false,"suffix":""}],"container-title":"Educational Research and Evaluation","id":"ITEM-2","issue":"6","issued":{"date-parts":[["2006","12"]]},"page":"561-582","title":"The international system for Teacher Observation and Feedback: Evolution of an international study of teacher effectiveness constructs 1","type":"article-journal","volume":"12"},"uris":["http://www.mendeley.com/documents/?uuid=40b721d9-bfb2-4f5a-aa9b-9207c883ee86"]}],"mendeley":{"formattedCitation":"(Kyriakides et al. 2010; Teddlie et al. 2006)","plainTextFormattedCitation":"(Kyriakides et al. 2010; Teddlie et al. 2006)","previouslyFormattedCitation":"(Kyriakides et al. 2010; Teddlie et al. 2006)"},"properties":{"noteIndex":0},"schema":"https://github.com/citation-style-language/schema/raw/master/csl-citation.json"}</w:instrText>
      </w:r>
      <w:r w:rsidRPr="009F6406">
        <w:fldChar w:fldCharType="separate"/>
      </w:r>
      <w:r w:rsidRPr="009F6406">
        <w:rPr>
          <w:noProof/>
        </w:rPr>
        <w:t>(Kyriakides et al. 2010; Teddlie et al. 2006)</w:t>
      </w:r>
      <w:r w:rsidRPr="009F6406">
        <w:fldChar w:fldCharType="end"/>
      </w:r>
      <w:r w:rsidRPr="009F6406">
        <w:t xml:space="preserve"> was designed as part of an international study across 19 countries including the UK. The instrument was developed using a modified Delphi technique drawing on expert opinion of what constitutes “effective teaching” across participating countries. This observation schedule includes 45 items, each rated on a 5-point scale (1=’Strongly disagree’ to 5=’Strongly Agree’). </w:t>
      </w:r>
    </w:p>
    <w:p w14:paraId="75718883" w14:textId="481AA6ED" w:rsidR="009B41E7" w:rsidRPr="009F6406" w:rsidRDefault="009B41E7" w:rsidP="007E590A">
      <w:pPr>
        <w:rPr>
          <w:i/>
        </w:rPr>
      </w:pPr>
      <w:r w:rsidRPr="009F6406">
        <w:rPr>
          <w:i/>
        </w:rPr>
        <w:t>Mathematics Enhancement Classroom Observation Record</w:t>
      </w:r>
      <w:r w:rsidR="00926168" w:rsidRPr="009F6406">
        <w:rPr>
          <w:i/>
        </w:rPr>
        <w:t>ing System</w:t>
      </w:r>
      <w:r w:rsidRPr="009F6406">
        <w:rPr>
          <w:i/>
        </w:rPr>
        <w:t xml:space="preserve"> (MECORS)</w:t>
      </w:r>
    </w:p>
    <w:p w14:paraId="1F8F115D" w14:textId="3D6E64F1" w:rsidR="009B41E7" w:rsidRPr="009F6406" w:rsidRDefault="009B41E7" w:rsidP="007E590A">
      <w:r w:rsidRPr="009F6406">
        <w:t>The MECORS instrument (Schaffer</w:t>
      </w:r>
      <w:r w:rsidR="0061157E" w:rsidRPr="009F6406">
        <w:t xml:space="preserve"> et al., 1998</w:t>
      </w:r>
      <w:r w:rsidRPr="009F6406">
        <w:t xml:space="preserve">) was designed specifically for an evaluation of a primary mathematics program in England. It was selected for use in the present study because of its inclusion of mathematics-specific items. </w:t>
      </w:r>
    </w:p>
    <w:p w14:paraId="4E99D55B" w14:textId="20AA0BB2" w:rsidR="009B41E7" w:rsidRPr="009F6406" w:rsidRDefault="009B41E7" w:rsidP="007E590A">
      <w:r w:rsidRPr="009F6406">
        <w:t>The protocol for using the MECO</w:t>
      </w:r>
      <w:r w:rsidR="00502917" w:rsidRPr="009F6406">
        <w:t>RS instrument includes the researcher</w:t>
      </w:r>
      <w:r w:rsidRPr="009F6406">
        <w:t xml:space="preserve"> taking notes during the lesson, including details of each activity that takes place and time-sampling the number of on- and off-task </w:t>
      </w:r>
      <w:r w:rsidR="008478B6" w:rsidRPr="009F6406">
        <w:t>pupil</w:t>
      </w:r>
      <w:r w:rsidRPr="009F6406">
        <w:t>s every 5 minutes with time codes recorded in the notes.</w:t>
      </w:r>
      <w:r w:rsidR="00502917" w:rsidRPr="009F6406">
        <w:t xml:space="preserve"> Following the lesson, the </w:t>
      </w:r>
      <w:r w:rsidR="00502917" w:rsidRPr="009F6406">
        <w:lastRenderedPageBreak/>
        <w:t>researcher</w:t>
      </w:r>
      <w:r w:rsidRPr="009F6406">
        <w:t xml:space="preserve"> then codes 57 items, each on a 5-point scale from 1=’rarely observed’ to 5=’consistently observed’, with the additional option of ‘not applicable’.</w:t>
      </w:r>
    </w:p>
    <w:p w14:paraId="1DAD297F" w14:textId="409BBEF0" w:rsidR="00E57C7B" w:rsidRPr="009F6406" w:rsidRDefault="00E57C7B" w:rsidP="00E57C7B">
      <w:pPr>
        <w:pStyle w:val="Heading3"/>
      </w:pPr>
      <w:r w:rsidRPr="009F6406">
        <w:t xml:space="preserve">Classroom </w:t>
      </w:r>
      <w:r w:rsidR="00E92200" w:rsidRPr="009F6406">
        <w:t xml:space="preserve">and </w:t>
      </w:r>
      <w:r w:rsidR="003E2E5A" w:rsidRPr="009F6406">
        <w:t xml:space="preserve">Continuing Professional Development (CPD) </w:t>
      </w:r>
      <w:r w:rsidRPr="009F6406">
        <w:t>observation field notes</w:t>
      </w:r>
    </w:p>
    <w:p w14:paraId="171DB60B" w14:textId="524847E5" w:rsidR="00E57C7B" w:rsidRPr="009F6406" w:rsidRDefault="00E57C7B" w:rsidP="00B2022C">
      <w:r w:rsidRPr="009F6406">
        <w:t>In addition to the</w:t>
      </w:r>
      <w:r w:rsidR="000E443D" w:rsidRPr="009F6406">
        <w:t xml:space="preserve"> three</w:t>
      </w:r>
      <w:r w:rsidRPr="009F6406">
        <w:t xml:space="preserve"> structured observation schedules described above, detailed field notes were taken during each lesson observation</w:t>
      </w:r>
      <w:r w:rsidR="00530805" w:rsidRPr="009F6406">
        <w:t xml:space="preserve"> and during </w:t>
      </w:r>
      <w:r w:rsidR="00F47B6A" w:rsidRPr="009F6406">
        <w:t>CPD sessions (as described in Section 2.1)</w:t>
      </w:r>
      <w:r w:rsidRPr="009F6406">
        <w:t>.</w:t>
      </w:r>
      <w:r w:rsidR="00F47B6A" w:rsidRPr="009F6406">
        <w:t xml:space="preserve">  Lesson observations</w:t>
      </w:r>
      <w:r w:rsidRPr="009F6406">
        <w:t xml:space="preserve"> included the information required according to the MECORS protocol as described above, but extended to additional details about the physical setting in the classroom, illustrative quotes, descriptions of interactions between teachers, pupils, and additional adults in the classroom (e.g. Learning Support Assistants or LSAs and parent vol</w:t>
      </w:r>
      <w:r w:rsidR="00EC623C" w:rsidRPr="009F6406">
        <w:t>unteers), and researcher memos. This approach has been used in combination with multiple observation schedules to provide robust and thorough integrated observation findings in previous research on classroom practice</w:t>
      </w:r>
      <w:r w:rsidR="00CE19B7" w:rsidRPr="009F6406">
        <w:t xml:space="preserve"> </w:t>
      </w:r>
      <w:r w:rsidR="00CE19B7" w:rsidRPr="009F6406">
        <w:fldChar w:fldCharType="begin" w:fldLock="1"/>
      </w:r>
      <w:r w:rsidR="00CE19B7" w:rsidRPr="009F6406">
        <w:instrText>ADDIN CSL_CITATION {"citationItems":[{"id":"ITEM-1","itemData":{"author":[{"dropping-particle":"","family":"Day","given":"Christopher","non-dropping-particle":"","parse-names":false,"suffix":""},{"dropping-particle":"","family":"Sammons","given":"Pam","non-dropping-particle":"","parse-names":false,"suffix":""},{"dropping-particle":"","family":"Kington","given":"Alison","non-dropping-particle":"","parse-names":false,"suffix":""},{"dropping-particle":"","family":"Regan","given":"Elaine","non-dropping-particle":"","parse-names":false,"suffix":""},{"dropping-particle":"","family":"Gunraj","given":"Judith","non-dropping-particle":"","parse-names":false,"suffix":""},{"dropping-particle":"","family":"Towle","given":"Joanne","non-dropping-particle":"","parse-names":false,"suffix":""}],"id":"ITEM-1","issued":{"date-parts":[["2007"]]},"publisher-place":"Swindon: Economic and Social Research Council","title":"Effective Classroom Practice: A mixed methods study of influences and outcomes: Interim report submitted to the ESRC","type":"report"},"uris":["http://www.mendeley.com/documents/?uuid=e67e310a-2695-4550-8193-d9ccbf8a9337"]},{"id":"ITEM-2","itemData":{"DOI":"10.1007/s11858-018-0915-7","ISSN":"1863-9704","abstract":"In this paper, we extend a mixed method (MM) approach to lesson observation and analysis used in previous research in England, combining multiple structured observation instruments and qualitative field notes, to provide a framework for studying three videotaped lessons from 3rd-grade US mathematics classrooms. Two structured observation schedules are employed, one subject-specific and research-oriented and the other generic and inspection-oriented. Both instruments were previously developed based on evidence from the teacher effectiveness research (TER) knowledge base. Qualitative field notes, in addition to structured observation schedules, provide detailed narratives for each lesson video. Separate findings from each instrument and approach are presented, followed by an integrated analysis and synthesis of results. Although previous studies used similar methods to analyze teaching practice within broader research designs incorporating additional methods and perspectives (e.g. teacher interviews, pupil assessments, pupil questionnaires), this paper explicitly examines the strengths and limitations of the multi-instrument, mixed method approach to lesson observation. Using multiple observation instruments allows for triangulation as well as consideration of complementary foci (i.e. a content-specific instrument measures fine-grained aspects of practice not emphasized in a more generic instrument, and vice versa). Field notes facilitate rich descriptions and more thorough contextualization and illumination of teaching practice than structured observation ratings alone. Further, the MM approach allows for consideration of lesson features beyond those established in TER literature as sufficient to characterize ‘effective’ practice.","author":[{"dropping-particle":"","family":"Lindorff","given":"Ariel","non-dropping-particle":"","parse-names":false,"suffix":""},{"dropping-particle":"","family":"Sammons","given":"Pam","non-dropping-particle":"","parse-names":false,"suffix":""}],"container-title":"ZDM","id":"ITEM-2","issue":"3","issued":{"date-parts":[["2018"]]},"page":"521-534","title":"Going beyond structured observations: looking at classroom practice through a mixed method lens","type":"article-journal","volume":"50"},"uris":["http://www.mendeley.com/documents/?uuid=a92734cb-bf28-4131-b066-dc405dfc0ea7"]},{"id":"ITEM-3","itemData":{"abstract":"This study investigates the notion of \"inspiring\" teaching. The research was commissioned by CfBT as part of a collaborative professional development initiative involving its schools. It arose from headteachers' suggestions that schools nominate a number of \"inspiring\" teachers so that their practice could be studied and the results shared across the participating schools to promote the professional development of staff, and spread good practice through encouraging greater collaboration and learning across the CfBT family of schools. The main aim of the research was to provide robust new evidence about both inspiring teachers and inspiring teaching from different perspectives to increase understanding of these widely used but elusive and often poorly defined concepts. The findings reported in this document provide new evidence and insights about what inspiring teachers do (through observations), what they think (through interviews), and how their students think about their teachers and lessons (through questionnaires). The research had two complementary components--an investigation led by practitioners and another led by a team of academics from the Department of Education at the University of Oxford and the Institute of Education at the University of Worcester. Each study adopted different methods and a different approach to investigating what it is to be an inspiring teacher. This report presents a description of inspiring teachers that draws on the findings from both of these studies. A complementary fuller report, based predominantly on the academic study, is also available. This report is a shorter account of the findings from both studies. [The University of Worcester contributed to this research project. For the full report: \"Inspiring Teachers: Perspectives and Practices,\" see ED546804.]","author":[{"dropping-particle":"","family":"Sammons","given":"Pam","non-dropping-particle":"","parse-names":false,"suffix":""},{"dropping-particle":"","family":"Kington","given":"Alison","non-dropping-particle":"","parse-names":false,"suffix":""},{"dropping-particle":"","family":"Lindorff-Vijayendran","given":"Ariel","non-dropping-particle":"","parse-names":false,"suffix":""},{"dropping-particle":"","family":"Ortega","given":"Lorena","non-dropping-particle":"","parse-names":false,"suffix":""}],"id":"ITEM-3","issued":{"date-parts":[["2014"]]},"publisher":"CfBT Education Trust","publisher-place":"Reading","title":"Inspiring Teachers: Perspectives and Practices.","type":"report"},"uris":["http://www.mendeley.com/documents/?uuid=0f077d49-b7ad-42bd-99d0-bff1a8755e6b"]},{"id":"ITEM-4","itemData":{"DOI":"10.1108/JPCC-09-2015-0005","ISSN":"2056-9548","abstract":"Purpose ? The purpose of this paper is to investigate the concept of ?inspiring teaching? based on case studies of exemplary practitioners in England to inform professional development and collaborative learning and support school improvement. Design/methodology/approach ? The study adopted a mixed methods design involving multiple perspectives. Data sources included interviews with teachers, two systematic classroom observation schedules and qualitative field notes from classroom observations. Quantitative and qualitative findings were integrated to allow for triangulation and synthesis. Findings ? The ?inspiring? sample of teachers exhibited many strengths in terms of the characteristics of more effective teaching identified in previous literature. However, the integration and synthesis of evidence also reveals core features of inspiring practice and highlighted the strong emotional and reflective components that distinguish inspiring practice, including: positive relationships; good classroom/behaviour management; positive and supportive climate; formative feedback; high-quality learning experiences; enjoyment, and high levels of student engagement and motivation. Research limitations/implications ? This small-scale study was based on a purposive sample of 17 teachers in England therefore results cannot necessarily be generalised to other contexts. Practical implications ? The research findings and approaches can be used to support teachers? professional development and provide resources to promote collaboration in developing professional learning communities. Originality/value ? The investigation provides new evidence on the characteristics, practices and views of inspiring teachers. The use of multiple perspectives and integration of findings provides new evidence to inform and support the development of professional learning communities.","author":[{"dropping-particle":"","family":"Sammons","given":"Pam","non-dropping-particle":"","parse-names":false,"suffix":""},{"dropping-particle":"","family":"Lindorff","given":"Ariel Mariah","non-dropping-particle":"","parse-names":false,"suffix":""},{"dropping-particle":"","family":"Ortega","given":"Lorena","non-dropping-particle":"","parse-names":false,"suffix":""},{"dropping-particle":"","family":"Kington","given":"Alison","non-dropping-particle":"","parse-names":false,"suffix":""}],"container-title":"Journal of Professional Capital and Community","id":"ITEM-4","issue":"2","issued":{"date-parts":[["2016","3"]]},"page":"124-144","title":"Inspiring teaching: learning from exemplary practitioners","type":"article-journal","volume":"1"},"uris":["http://www.mendeley.com/documents/?uuid=b7fff3f1-f475-46dc-9d67-03e30a1c98d3"]}],"mendeley":{"formattedCitation":"(Day et al. 2007; Lindorff and Sammons 2018; Sammons et al. 2014, 2016)","plainTextFormattedCitation":"(Day et al. 2007; Lindorff and Sammons 2018; Sammons et al. 2014, 2016)","previouslyFormattedCitation":"(Day et al. 2007; Lindorff and Sammons 2018; Sammons et al. 2014, 2016)"},"properties":{"noteIndex":0},"schema":"https://github.com/citation-style-language/schema/raw/master/csl-citation.json"}</w:instrText>
      </w:r>
      <w:r w:rsidR="00CE19B7" w:rsidRPr="009F6406">
        <w:fldChar w:fldCharType="separate"/>
      </w:r>
      <w:r w:rsidR="00CE19B7" w:rsidRPr="009F6406">
        <w:rPr>
          <w:noProof/>
        </w:rPr>
        <w:t>(Day et al. 2007; Lindorff and Sammons 2018; Sammons et al. 2014, 2016)</w:t>
      </w:r>
      <w:r w:rsidR="00CE19B7" w:rsidRPr="009F6406">
        <w:fldChar w:fldCharType="end"/>
      </w:r>
      <w:r w:rsidR="00EC623C" w:rsidRPr="009F6406">
        <w:t>.</w:t>
      </w:r>
      <w:r w:rsidR="00807025" w:rsidRPr="009F6406">
        <w:t xml:space="preserve">  Observation of CPD sessions involved the collection of field</w:t>
      </w:r>
      <w:r w:rsidR="003E2E5A" w:rsidRPr="009F6406">
        <w:t xml:space="preserve"> </w:t>
      </w:r>
      <w:r w:rsidR="00807025" w:rsidRPr="009F6406">
        <w:t xml:space="preserve">notes, </w:t>
      </w:r>
      <w:r w:rsidR="00B2022C" w:rsidRPr="009F6406">
        <w:t xml:space="preserve">the contents of </w:t>
      </w:r>
      <w:r w:rsidR="00807025" w:rsidRPr="009F6406">
        <w:t>which were then follow</w:t>
      </w:r>
      <w:r w:rsidR="00130CCA" w:rsidRPr="009F6406">
        <w:t xml:space="preserve">ed </w:t>
      </w:r>
      <w:r w:rsidR="00807025" w:rsidRPr="009F6406">
        <w:t>up with</w:t>
      </w:r>
      <w:r w:rsidR="00B2022C" w:rsidRPr="009F6406">
        <w:t>in</w:t>
      </w:r>
      <w:r w:rsidR="00807025" w:rsidRPr="009F6406">
        <w:t xml:space="preserve"> focus</w:t>
      </w:r>
      <w:r w:rsidR="00130CCA" w:rsidRPr="009F6406">
        <w:t xml:space="preserve"> </w:t>
      </w:r>
      <w:r w:rsidR="00807025" w:rsidRPr="009F6406">
        <w:t xml:space="preserve">group interviews </w:t>
      </w:r>
      <w:r w:rsidR="00B2022C" w:rsidRPr="009F6406">
        <w:t>with the CPD-participating</w:t>
      </w:r>
      <w:r w:rsidR="00807025" w:rsidRPr="009F6406">
        <w:t xml:space="preserve"> teachers</w:t>
      </w:r>
      <w:r w:rsidR="00130CCA" w:rsidRPr="009F6406">
        <w:t>.</w:t>
      </w:r>
    </w:p>
    <w:p w14:paraId="69DD93B8" w14:textId="77777777" w:rsidR="00E57C7B" w:rsidRPr="009F6406" w:rsidRDefault="00E57C7B" w:rsidP="00E57C7B">
      <w:pPr>
        <w:pStyle w:val="Heading3"/>
      </w:pPr>
      <w:r w:rsidRPr="009F6406">
        <w:t>Teacher interviews</w:t>
      </w:r>
    </w:p>
    <w:p w14:paraId="7478DDDF" w14:textId="77777777" w:rsidR="00E57C7B" w:rsidRPr="009F6406" w:rsidRDefault="00E57C7B" w:rsidP="007E590A">
      <w:r w:rsidRPr="009F6406">
        <w:t xml:space="preserve">Semi-structured interviews with each participating teacher were conducted during each research visit in order to elicit their perspectives and descriptions of their experiences using </w:t>
      </w:r>
      <w:r w:rsidRPr="009F6406">
        <w:rPr>
          <w:i/>
        </w:rPr>
        <w:t>Inspire Maths</w:t>
      </w:r>
      <w:r w:rsidRPr="009F6406">
        <w:t xml:space="preserve">. For the delayed treatment group, teachers were still interviewed at the first time point, but questions pertaining to the use of </w:t>
      </w:r>
      <w:r w:rsidRPr="009F6406">
        <w:rPr>
          <w:i/>
        </w:rPr>
        <w:t xml:space="preserve">Inspire Maths </w:t>
      </w:r>
      <w:r w:rsidRPr="009F6406">
        <w:t>and participation in CPD sessions were omitted. Interviews varied in length, but were on average approximately 30 minutes in duration.</w:t>
      </w:r>
    </w:p>
    <w:p w14:paraId="5BE4A0A8" w14:textId="77777777" w:rsidR="000021A9" w:rsidRPr="009F6406" w:rsidRDefault="000021A9" w:rsidP="007E590A">
      <w:r w:rsidRPr="009F6406">
        <w:t>The interview schedule</w:t>
      </w:r>
      <w:r w:rsidR="00C54338" w:rsidRPr="009F6406">
        <w:t xml:space="preserve"> </w:t>
      </w:r>
      <w:r w:rsidRPr="009F6406">
        <w:t xml:space="preserve">covered topics including: </w:t>
      </w:r>
    </w:p>
    <w:p w14:paraId="6CF4358E" w14:textId="77777777" w:rsidR="000021A9" w:rsidRPr="009F6406" w:rsidRDefault="00B81772" w:rsidP="00B81772">
      <w:pPr>
        <w:pStyle w:val="ListParagraph"/>
        <w:numPr>
          <w:ilvl w:val="0"/>
          <w:numId w:val="26"/>
        </w:numPr>
      </w:pPr>
      <w:r w:rsidRPr="009F6406">
        <w:t>Teachers’ professional backgrounds (in the first round of interviews)</w:t>
      </w:r>
    </w:p>
    <w:p w14:paraId="6FB77155" w14:textId="77777777" w:rsidR="00B81772" w:rsidRPr="009F6406" w:rsidRDefault="00B81772" w:rsidP="00B81772">
      <w:pPr>
        <w:pStyle w:val="ListParagraph"/>
        <w:numPr>
          <w:ilvl w:val="0"/>
          <w:numId w:val="26"/>
        </w:numPr>
      </w:pPr>
      <w:r w:rsidRPr="009F6406">
        <w:t>Any context about the observed classes that teachers thought were important for the researcher to understand</w:t>
      </w:r>
    </w:p>
    <w:p w14:paraId="6B83C7AE" w14:textId="77777777" w:rsidR="00B81772" w:rsidRPr="009F6406" w:rsidRDefault="00B81772" w:rsidP="00B81772">
      <w:pPr>
        <w:pStyle w:val="ListParagraph"/>
        <w:numPr>
          <w:ilvl w:val="0"/>
          <w:numId w:val="26"/>
        </w:numPr>
      </w:pPr>
      <w:r w:rsidRPr="009F6406">
        <w:t>Teachers’ confidence teaching mathematics</w:t>
      </w:r>
    </w:p>
    <w:p w14:paraId="39905D84" w14:textId="77777777" w:rsidR="00B81772" w:rsidRPr="009F6406" w:rsidRDefault="00B81772" w:rsidP="00B81772">
      <w:pPr>
        <w:pStyle w:val="ListParagraph"/>
        <w:numPr>
          <w:ilvl w:val="0"/>
          <w:numId w:val="26"/>
        </w:numPr>
      </w:pPr>
      <w:r w:rsidRPr="009F6406">
        <w:t>Views on using the textbook and teaching approach</w:t>
      </w:r>
    </w:p>
    <w:p w14:paraId="72605BCE" w14:textId="77777777" w:rsidR="00B81772" w:rsidRPr="009F6406" w:rsidRDefault="00B81772" w:rsidP="00B81772">
      <w:pPr>
        <w:pStyle w:val="ListParagraph"/>
        <w:numPr>
          <w:ilvl w:val="0"/>
          <w:numId w:val="26"/>
        </w:numPr>
      </w:pPr>
      <w:r w:rsidRPr="009F6406">
        <w:t>Perceptions of using the textbook and teaching approach compared to how they were previously teaching mathematics (or, in the first round of interviews for the delayed treatment group, accounts and perceptions of their current approaches to teaching mathematics)</w:t>
      </w:r>
    </w:p>
    <w:p w14:paraId="75AED948" w14:textId="77777777" w:rsidR="00B81772" w:rsidRPr="009F6406" w:rsidRDefault="00B81772" w:rsidP="00B81772">
      <w:pPr>
        <w:pStyle w:val="ListParagraph"/>
        <w:numPr>
          <w:ilvl w:val="0"/>
          <w:numId w:val="26"/>
        </w:numPr>
      </w:pPr>
      <w:r w:rsidRPr="009F6406">
        <w:t>Views on the CPD sessions in which teachers participated, support available from the distributor, and accompanying online materials</w:t>
      </w:r>
    </w:p>
    <w:p w14:paraId="4FD28B47" w14:textId="77777777" w:rsidR="00B81772" w:rsidRPr="009F6406" w:rsidRDefault="00B81772" w:rsidP="00B81772">
      <w:pPr>
        <w:pStyle w:val="ListParagraph"/>
        <w:numPr>
          <w:ilvl w:val="0"/>
          <w:numId w:val="26"/>
        </w:numPr>
      </w:pPr>
      <w:r w:rsidRPr="009F6406">
        <w:t xml:space="preserve">Perceptions of challenges and benefits associated with using </w:t>
      </w:r>
      <w:r w:rsidRPr="009F6406">
        <w:rPr>
          <w:i/>
        </w:rPr>
        <w:t xml:space="preserve">Inspire Maths </w:t>
      </w:r>
      <w:r w:rsidRPr="009F6406">
        <w:t>in their classrooms and schools</w:t>
      </w:r>
    </w:p>
    <w:p w14:paraId="5B3600D4" w14:textId="77777777" w:rsidR="00B81772" w:rsidRPr="009F6406" w:rsidRDefault="00B81772" w:rsidP="00B81772">
      <w:pPr>
        <w:pStyle w:val="ListParagraph"/>
        <w:numPr>
          <w:ilvl w:val="0"/>
          <w:numId w:val="26"/>
        </w:numPr>
      </w:pPr>
      <w:r w:rsidRPr="009F6406">
        <w:t>Perceptions of any changes in pupils’ motivation, engagement, mathematics knowledge and skills</w:t>
      </w:r>
    </w:p>
    <w:p w14:paraId="41CA9D48" w14:textId="77777777" w:rsidR="00CF0D37" w:rsidRPr="009F6406" w:rsidRDefault="00CF0D37" w:rsidP="00CF0D37">
      <w:pPr>
        <w:pStyle w:val="Heading2"/>
      </w:pPr>
      <w:r w:rsidRPr="009F6406">
        <w:t>Approach(es) to analysis</w:t>
      </w:r>
    </w:p>
    <w:p w14:paraId="1500ABF3" w14:textId="65B7A29C" w:rsidR="005C2E69" w:rsidRPr="009F6406" w:rsidRDefault="005C2E69" w:rsidP="00412F17">
      <w:r w:rsidRPr="009F6406">
        <w:t>Data from pupil assessments and att</w:t>
      </w:r>
      <w:r w:rsidR="001E300C" w:rsidRPr="009F6406">
        <w:t>itude questionnaires were analyz</w:t>
      </w:r>
      <w:r w:rsidRPr="009F6406">
        <w:t xml:space="preserve">ed using </w:t>
      </w:r>
      <w:r w:rsidR="000C459B" w:rsidRPr="009F6406">
        <w:t xml:space="preserve">multilevel </w:t>
      </w:r>
      <w:r w:rsidR="003A57E4" w:rsidRPr="009F6406">
        <w:t xml:space="preserve">models in SPSS </w:t>
      </w:r>
      <w:r w:rsidR="003A57E4" w:rsidRPr="009F6406">
        <w:fldChar w:fldCharType="begin" w:fldLock="1"/>
      </w:r>
      <w:r w:rsidR="00E25EE9" w:rsidRPr="009F6406">
        <w:instrText>ADDIN CSL_CITATION {"citationItems":[{"id":"ITEM-1","itemData":{"author":[{"dropping-particle":"","family":"IBM Corp.","given":"","non-dropping-particle":"","parse-names":false,"suffix":""}],"id":"ITEM-1","issued":{"date-parts":[["2012"]]},"publisher":"IBM Corp.","publisher-place":"Armonk, NY","title":"IBM SPSS Statistics for Windows","type":"article"},"uris":["http://www.mendeley.com/documents/?uuid=335d66cb-2c0a-426a-939d-317d9b5abcc0"]}],"mendeley":{"formattedCitation":"(IBM Corp. 2012)","plainTextFormattedCitation":"(IBM Corp. 2012)","previouslyFormattedCitation":"(IBM Corp. 2012)"},"properties":{"noteIndex":0},"schema":"https://github.com/citation-style-language/schema/raw/master/csl-citation.json"}</w:instrText>
      </w:r>
      <w:r w:rsidR="003A57E4" w:rsidRPr="009F6406">
        <w:fldChar w:fldCharType="separate"/>
      </w:r>
      <w:r w:rsidR="00120F1C" w:rsidRPr="009F6406">
        <w:rPr>
          <w:noProof/>
        </w:rPr>
        <w:t>(IBM Corp. 2012)</w:t>
      </w:r>
      <w:r w:rsidR="003A57E4" w:rsidRPr="009F6406">
        <w:fldChar w:fldCharType="end"/>
      </w:r>
      <w:r w:rsidRPr="009F6406">
        <w:t>. Examination of Int</w:t>
      </w:r>
      <w:r w:rsidR="00F766F0" w:rsidRPr="009F6406">
        <w:t>ra</w:t>
      </w:r>
      <w:r w:rsidRPr="009F6406">
        <w:t>-class Correlation Coefficients (ICC) supported the appropriateness of this approach to account for</w:t>
      </w:r>
      <w:r w:rsidR="004A2D97" w:rsidRPr="009F6406">
        <w:t xml:space="preserve"> the nesting of pupils in class groups (</w:t>
      </w:r>
      <w:r w:rsidR="004A2D97" w:rsidRPr="009F6406">
        <w:rPr>
          <w:rFonts w:cs="Times New Roman"/>
        </w:rPr>
        <w:t>ρ=0.17, 0.13 and 0.13 for Term 1, Term 2, and Term 3 pupil assessment scores, respectively</w:t>
      </w:r>
      <w:r w:rsidR="001F1298" w:rsidRPr="009F6406">
        <w:rPr>
          <w:rFonts w:cs="Times New Roman"/>
        </w:rPr>
        <w:t>, indicating substantial variation at the teacher/classroom level</w:t>
      </w:r>
      <w:r w:rsidR="004A2D97" w:rsidRPr="009F6406">
        <w:rPr>
          <w:rFonts w:cs="Times New Roman"/>
        </w:rPr>
        <w:t>)</w:t>
      </w:r>
      <w:r w:rsidRPr="009F6406">
        <w:t>.</w:t>
      </w:r>
    </w:p>
    <w:p w14:paraId="55D1461E" w14:textId="77777777" w:rsidR="00412F17" w:rsidRPr="009F6406" w:rsidRDefault="005C2E69" w:rsidP="00412F17">
      <w:r w:rsidRPr="009F6406">
        <w:lastRenderedPageBreak/>
        <w:t xml:space="preserve">Data from </w:t>
      </w:r>
      <w:r w:rsidR="00F350FE" w:rsidRPr="009F6406">
        <w:t>observation schedules was analyz</w:t>
      </w:r>
      <w:r w:rsidRPr="009F6406">
        <w:t xml:space="preserve">ed using </w:t>
      </w:r>
      <w:r w:rsidR="000C459B" w:rsidRPr="009F6406">
        <w:t>general linear models</w:t>
      </w:r>
      <w:r w:rsidRPr="009F6406">
        <w:t xml:space="preserve"> to compare </w:t>
      </w:r>
      <w:r w:rsidR="00C63421" w:rsidRPr="009F6406">
        <w:t xml:space="preserve">ratings of practice across the experimental and delayed treatment </w:t>
      </w:r>
      <w:r w:rsidRPr="009F6406">
        <w:t>groups</w:t>
      </w:r>
      <w:r w:rsidR="00C63421" w:rsidRPr="009F6406">
        <w:t xml:space="preserve"> of teachers</w:t>
      </w:r>
      <w:r w:rsidR="000C459B" w:rsidRPr="009F6406">
        <w:t>. As ratings of classroom practice were teacher-level measures, multilevel models were not required.</w:t>
      </w:r>
    </w:p>
    <w:p w14:paraId="587BD99E" w14:textId="3845559A" w:rsidR="005C2E69" w:rsidRPr="009F6406" w:rsidRDefault="005C2E69" w:rsidP="0064145E">
      <w:r w:rsidRPr="009F6406">
        <w:t>Qualitative data from interview transcripts and lesson ob</w:t>
      </w:r>
      <w:r w:rsidR="00F350FE" w:rsidRPr="009F6406">
        <w:t>servation field notes was analyz</w:t>
      </w:r>
      <w:r w:rsidRPr="009F6406">
        <w:t xml:space="preserve">ed thematically using NVivo </w:t>
      </w:r>
      <w:r w:rsidR="00F350FE" w:rsidRPr="009F6406">
        <w:fldChar w:fldCharType="begin" w:fldLock="1"/>
      </w:r>
      <w:r w:rsidR="00E25EE9" w:rsidRPr="009F6406">
        <w:instrText>ADDIN CSL_CITATION {"citationItems":[{"id":"ITEM-1","itemData":{"author":[{"dropping-particle":"","family":"QSR International","given":"","non-dropping-particle":"","parse-names":false,"suffix":""}],"id":"ITEM-1","issued":{"date-parts":[["2012"]]},"title":"NVivo qualitative data analysis software","type":"article"},"uris":["http://www.mendeley.com/documents/?uuid=6afff4a8-237c-4d08-a532-e191e241c6ed"]}],"mendeley":{"formattedCitation":"(QSR International 2012)","plainTextFormattedCitation":"(QSR International 2012)","previouslyFormattedCitation":"(QSR International 2012)"},"properties":{"noteIndex":0},"schema":"https://github.com/citation-style-language/schema/raw/master/csl-citation.json"}</w:instrText>
      </w:r>
      <w:r w:rsidR="00F350FE" w:rsidRPr="009F6406">
        <w:fldChar w:fldCharType="separate"/>
      </w:r>
      <w:r w:rsidR="00120F1C" w:rsidRPr="009F6406">
        <w:rPr>
          <w:noProof/>
        </w:rPr>
        <w:t>(QSR International 2012)</w:t>
      </w:r>
      <w:r w:rsidR="00F350FE" w:rsidRPr="009F6406">
        <w:fldChar w:fldCharType="end"/>
      </w:r>
      <w:r w:rsidR="00F350FE" w:rsidRPr="009F6406">
        <w:t>.</w:t>
      </w:r>
      <w:r w:rsidR="00A52293" w:rsidRPr="009F6406">
        <w:t xml:space="preserve"> </w:t>
      </w:r>
      <w:r w:rsidR="009B0D5C" w:rsidRPr="009F6406">
        <w:t xml:space="preserve">An initial pass of coding was conducted based on themes defined by the interview questions in order to disentangle emergent themes from themes driven by the interview schedule. A second pass of coding was then undertaken using a more grounded approach </w:t>
      </w:r>
      <w:r w:rsidR="009B0D5C" w:rsidRPr="009F6406">
        <w:fldChar w:fldCharType="begin" w:fldLock="1"/>
      </w:r>
      <w:r w:rsidR="00E25EE9" w:rsidRPr="009F6406">
        <w:instrText>ADDIN CSL_CITATION {"citationItems":[{"id":"ITEM-1","itemData":{"author":[{"dropping-particle":"","family":"Glaser","given":"Barney G","non-dropping-particle":"","parse-names":false,"suffix":""}],"id":"ITEM-1","issued":{"date-parts":[["1992"]]},"language":"English","publisher":"Sociology Press","publisher-place":"Mill Valley, Calif","title":"Basics of grounded theory analysis: Emergence vs. forcing","type":"book"},"uris":["http://www.mendeley.com/documents/?uuid=03464b3b-db3d-4b7f-b5a3-dc0f57d8d29e"]}],"mendeley":{"formattedCitation":"(Glaser 1992)","plainTextFormattedCitation":"(Glaser 1992)","previouslyFormattedCitation":"(Glaser 1992)"},"properties":{"noteIndex":0},"schema":"https://github.com/citation-style-language/schema/raw/master/csl-citation.json"}</w:instrText>
      </w:r>
      <w:r w:rsidR="009B0D5C" w:rsidRPr="009F6406">
        <w:fldChar w:fldCharType="separate"/>
      </w:r>
      <w:r w:rsidR="00120F1C" w:rsidRPr="009F6406">
        <w:rPr>
          <w:noProof/>
        </w:rPr>
        <w:t>(Glaser 1992)</w:t>
      </w:r>
      <w:r w:rsidR="009B0D5C" w:rsidRPr="009F6406">
        <w:fldChar w:fldCharType="end"/>
      </w:r>
      <w:r w:rsidR="009B0D5C" w:rsidRPr="009F6406">
        <w:t xml:space="preserve">, followed by iterative passes of increasingly fine-grained coding. Initial results from this process are reported elsewhere </w:t>
      </w:r>
      <w:r w:rsidR="009B0D5C" w:rsidRPr="009F6406">
        <w:fldChar w:fldCharType="begin" w:fldLock="1"/>
      </w:r>
      <w:r w:rsidR="00A130BF" w:rsidRPr="009F6406">
        <w:instrText>ADDIN CSL_CITATION {"citationItems":[{"id":"ITEM-1","itemData":{"DOI":"10.13140/RG.2.2.23042.07369","author":[{"dropping-particle":"","family":"Hall","given":"James","non-dropping-particle":"","parse-names":false,"suffix":""},{"dropping-particle":"","family":"Lindorff","given":"Ariel","non-dropping-particle":"","parse-names":false,"suffix":""},{"dropping-particle":"","family":"Sammons","given":"Pam","non-dropping-particle":"","parse-names":false,"suffix":""}],"id":"ITEM-1","issued":{"date-parts":[["2016"]]},"publisher-place":"Oxford: University of Oxford","title":"Evaluation of the Impact and Implementation of Inspire Maths in Year 1 Classrooms in England","type":"report"},"uris":["http://www.mendeley.com/documents/?uuid=3c1c1a9f-d831-3524-b11d-dac25252e56c"]}],"mendeley":{"formattedCitation":"(Hall, Lindorff, and Sammons 2016)","manualFormatting":"(see Hall, Lindorff and Sammons 2016)","plainTextFormattedCitation":"(Hall, Lindorff, and Sammons 2016)","previouslyFormattedCitation":"(Hall, Lindorff, and Sammons 2016)"},"properties":{"noteIndex":0},"schema":"https://github.com/citation-style-language/schema/raw/master/csl-citation.json"}</w:instrText>
      </w:r>
      <w:r w:rsidR="009B0D5C" w:rsidRPr="009F6406">
        <w:fldChar w:fldCharType="separate"/>
      </w:r>
      <w:r w:rsidR="009B0D5C" w:rsidRPr="009F6406">
        <w:rPr>
          <w:noProof/>
        </w:rPr>
        <w:t xml:space="preserve">(see Hall, Lindorff </w:t>
      </w:r>
      <w:r w:rsidR="0064145E" w:rsidRPr="009F6406">
        <w:rPr>
          <w:noProof/>
        </w:rPr>
        <w:t xml:space="preserve">and </w:t>
      </w:r>
      <w:r w:rsidR="009B0D5C" w:rsidRPr="009F6406">
        <w:rPr>
          <w:noProof/>
        </w:rPr>
        <w:t>Sammons 2016)</w:t>
      </w:r>
      <w:r w:rsidR="009B0D5C" w:rsidRPr="009F6406">
        <w:fldChar w:fldCharType="end"/>
      </w:r>
      <w:r w:rsidR="009B0D5C" w:rsidRPr="009F6406">
        <w:t xml:space="preserve">; however, </w:t>
      </w:r>
      <w:r w:rsidR="00D1401F" w:rsidRPr="009F6406">
        <w:t xml:space="preserve">substantial re-analysis was undertaken for the purpose of this paper, and </w:t>
      </w:r>
      <w:r w:rsidR="009B0D5C" w:rsidRPr="009F6406">
        <w:t>t</w:t>
      </w:r>
      <w:r w:rsidR="00A52293" w:rsidRPr="009F6406">
        <w:t xml:space="preserve">he emphasis of the qualitative analysis presented </w:t>
      </w:r>
      <w:r w:rsidR="00D1401F" w:rsidRPr="009F6406">
        <w:t>below</w:t>
      </w:r>
      <w:r w:rsidR="00A52293" w:rsidRPr="009F6406">
        <w:t xml:space="preserve"> was to explore variations in teaching practice </w:t>
      </w:r>
      <w:r w:rsidR="00FE2D15" w:rsidRPr="009F6406">
        <w:t xml:space="preserve">particular to the use of the materials and teaching approach, to elaborate upon and illustrate findings from the statistical analysis of observation data </w:t>
      </w:r>
      <w:r w:rsidR="00A52293" w:rsidRPr="009F6406">
        <w:t>where significant differences were found,</w:t>
      </w:r>
      <w:r w:rsidR="00FE2D15" w:rsidRPr="009F6406">
        <w:t xml:space="preserve"> and</w:t>
      </w:r>
      <w:r w:rsidR="00A52293" w:rsidRPr="009F6406">
        <w:t xml:space="preserve"> to identify and </w:t>
      </w:r>
      <w:r w:rsidR="00FE2D15" w:rsidRPr="009F6406">
        <w:t>describe</w:t>
      </w:r>
      <w:r w:rsidR="00A52293" w:rsidRPr="009F6406">
        <w:t xml:space="preserve"> cases in which there was a lack of fidelity to the intended implementation of tex</w:t>
      </w:r>
      <w:r w:rsidR="00FE2D15" w:rsidRPr="009F6406">
        <w:t>tbook use and teaching approach</w:t>
      </w:r>
      <w:r w:rsidR="00A52293" w:rsidRPr="009F6406">
        <w:t xml:space="preserve">. </w:t>
      </w:r>
      <w:r w:rsidR="006E6F3D" w:rsidRPr="009F6406">
        <w:t xml:space="preserve">Additional analysis </w:t>
      </w:r>
      <w:r w:rsidR="009B0D5C" w:rsidRPr="009F6406">
        <w:t>of the qualitative data was therefore undertaken, again using</w:t>
      </w:r>
      <w:r w:rsidR="00A52293" w:rsidRPr="009F6406">
        <w:t xml:space="preserve"> iterative passes</w:t>
      </w:r>
      <w:r w:rsidR="009B0D5C" w:rsidRPr="009F6406">
        <w:t xml:space="preserve"> of coding from broad to narrow, focusing </w:t>
      </w:r>
      <w:r w:rsidR="006E6F3D" w:rsidRPr="009F6406">
        <w:t xml:space="preserve">particularly </w:t>
      </w:r>
      <w:r w:rsidR="009B0D5C" w:rsidRPr="009F6406">
        <w:t>on</w:t>
      </w:r>
      <w:r w:rsidR="006E6F3D" w:rsidRPr="009F6406">
        <w:t xml:space="preserve"> </w:t>
      </w:r>
      <w:r w:rsidR="009B0D5C" w:rsidRPr="009F6406">
        <w:t>va</w:t>
      </w:r>
      <w:r w:rsidR="006E6F3D" w:rsidRPr="009F6406">
        <w:t>riation</w:t>
      </w:r>
      <w:r w:rsidR="009B0D5C" w:rsidRPr="009F6406">
        <w:t xml:space="preserve"> in the use of the materials </w:t>
      </w:r>
      <w:r w:rsidR="006E6F3D" w:rsidRPr="009F6406">
        <w:t xml:space="preserve">and teaching approach and </w:t>
      </w:r>
      <w:r w:rsidR="00A52293" w:rsidRPr="009F6406">
        <w:t>areas of teaching practice that mapped to categories in which significant differences were found in the quantita</w:t>
      </w:r>
      <w:r w:rsidR="009B0D5C" w:rsidRPr="009F6406">
        <w:t>tive observation data</w:t>
      </w:r>
      <w:r w:rsidR="00A52293" w:rsidRPr="009F6406">
        <w:t>. Second, a more fine-grained and grounded approach</w:t>
      </w:r>
      <w:r w:rsidR="006E6F3D" w:rsidRPr="009F6406">
        <w:t xml:space="preserve"> was used to code text that identified</w:t>
      </w:r>
      <w:r w:rsidR="00A52293" w:rsidRPr="009F6406">
        <w:t xml:space="preserve"> and describe</w:t>
      </w:r>
      <w:r w:rsidR="006E6F3D" w:rsidRPr="009F6406">
        <w:t>d</w:t>
      </w:r>
      <w:r w:rsidR="00A52293" w:rsidRPr="009F6406">
        <w:t xml:space="preserve"> particular behaviors, practices and perceptions</w:t>
      </w:r>
      <w:r w:rsidR="006E6F3D" w:rsidRPr="009F6406">
        <w:t xml:space="preserve"> to illustrate themes identified in the previous pass of coding</w:t>
      </w:r>
      <w:r w:rsidR="00A52293" w:rsidRPr="009F6406">
        <w:t xml:space="preserve">. Third, a process of pattern-matching was undertaken across teachers/lessons at each time point and then within each teacher/class across time points to explore differences and similarities between teachers and September/January start groups, and changes over time in perceptions and practices. </w:t>
      </w:r>
    </w:p>
    <w:p w14:paraId="225871BE" w14:textId="77777777" w:rsidR="00CF0D37" w:rsidRPr="009F6406" w:rsidRDefault="00CF0D37" w:rsidP="00CF0D37">
      <w:pPr>
        <w:pStyle w:val="Heading2"/>
      </w:pPr>
      <w:r w:rsidRPr="009F6406">
        <w:t>Ethical considerations</w:t>
      </w:r>
    </w:p>
    <w:p w14:paraId="36105CB7" w14:textId="4BD1D4EB" w:rsidR="001F5C37" w:rsidRPr="009F6406" w:rsidRDefault="001F5C37" w:rsidP="001F5C37">
      <w:r w:rsidRPr="009F6406">
        <w:t>This research was conducted with ethical approval from the Central Univers</w:t>
      </w:r>
      <w:r w:rsidR="00FE31B3" w:rsidRPr="009F6406">
        <w:t>ity Research Ethics Committee (CUREC) of</w:t>
      </w:r>
      <w:r w:rsidRPr="009F6406">
        <w:t xml:space="preserve"> the University of Oxford. </w:t>
      </w:r>
      <w:r w:rsidR="00A20BCF" w:rsidRPr="009F6406">
        <w:t>Research was undertaken in adherence to ethical guidelines in education research as outlined by the British Educ</w:t>
      </w:r>
      <w:r w:rsidR="005167E9" w:rsidRPr="009F6406">
        <w:t xml:space="preserve">ational Research Association </w:t>
      </w:r>
      <w:r w:rsidR="005167E9" w:rsidRPr="009F6406">
        <w:fldChar w:fldCharType="begin" w:fldLock="1"/>
      </w:r>
      <w:r w:rsidR="00E25EE9" w:rsidRPr="009F6406">
        <w:instrText>ADDIN CSL_CITATION {"citationItems":[{"id":"ITEM-1","itemData":{"author":[{"dropping-particle":"","family":"British Educational Research Association","given":"","non-dropping-particle":"","parse-names":false,"suffix":""}],"id":"ITEM-1","issued":{"date-parts":[["2011"]]},"title":"Ethical guidelines for educational research","type":"article"},"uris":["http://www.mendeley.com/documents/?uuid=add12ace-e931-4968-8bd3-0bb7a3077823"]}],"mendeley":{"formattedCitation":"(British Educational Research Association 2011)","plainTextFormattedCitation":"(British Educational Research Association 2011)","previouslyFormattedCitation":"(British Educational Research Association 2011)"},"properties":{"noteIndex":0},"schema":"https://github.com/citation-style-language/schema/raw/master/csl-citation.json"}</w:instrText>
      </w:r>
      <w:r w:rsidR="005167E9" w:rsidRPr="009F6406">
        <w:fldChar w:fldCharType="separate"/>
      </w:r>
      <w:r w:rsidR="00120F1C" w:rsidRPr="009F6406">
        <w:rPr>
          <w:noProof/>
        </w:rPr>
        <w:t>(British Educational Research Association 2011)</w:t>
      </w:r>
      <w:r w:rsidR="005167E9" w:rsidRPr="009F6406">
        <w:fldChar w:fldCharType="end"/>
      </w:r>
      <w:r w:rsidR="00A20BCF" w:rsidRPr="009F6406">
        <w:t xml:space="preserve">, with attention to participant confidentiality and data protection. </w:t>
      </w:r>
    </w:p>
    <w:p w14:paraId="2CC1B864" w14:textId="77777777" w:rsidR="000557AF" w:rsidRPr="009F6406" w:rsidRDefault="00FE31B3" w:rsidP="001F5C37">
      <w:r w:rsidRPr="009F6406">
        <w:t>Head</w:t>
      </w:r>
      <w:r w:rsidR="006E5B9E" w:rsidRPr="009F6406">
        <w:t xml:space="preserve"> </w:t>
      </w:r>
      <w:r w:rsidRPr="009F6406">
        <w:t>teachers were approached for opt-in informed consent for schools to participate in the study, and teachers in schools where head</w:t>
      </w:r>
      <w:r w:rsidR="006E5B9E" w:rsidRPr="009F6406">
        <w:t xml:space="preserve"> </w:t>
      </w:r>
      <w:r w:rsidRPr="009F6406">
        <w:t xml:space="preserve">teachers had given consent were then invited to participate with their individual opt-in informed and voluntary consent. Because research activities were focused on the teachers, lessons, and classes rather than on individual pupils, pupil participation was via opt-out consent; information letters about the project were sent home to parents with a form to fill out and sign if they wished for their children </w:t>
      </w:r>
      <w:r w:rsidRPr="009F6406">
        <w:rPr>
          <w:i/>
        </w:rPr>
        <w:t>not</w:t>
      </w:r>
      <w:r w:rsidRPr="009F6406">
        <w:t xml:space="preserve"> to participate in the study. One parent returned the signed form but subsequently requested that the relevant child be re-included in the study due to a</w:t>
      </w:r>
      <w:r w:rsidR="0037577C" w:rsidRPr="009F6406">
        <w:t xml:space="preserve"> misunderstanding of the form. Transcripts and field notes were de-identified after each research visit; q</w:t>
      </w:r>
      <w:r w:rsidR="000557AF" w:rsidRPr="009F6406">
        <w:t xml:space="preserve">uotes and </w:t>
      </w:r>
      <w:r w:rsidR="00195DC4" w:rsidRPr="009F6406">
        <w:t>excerpts from field notes</w:t>
      </w:r>
      <w:r w:rsidR="000557AF" w:rsidRPr="009F6406">
        <w:t xml:space="preserve"> are reported using anonymized school and teacher identifiers (uniquely assigned letters for schools and numbers for teachers)</w:t>
      </w:r>
      <w:r w:rsidR="0037577C" w:rsidRPr="009F6406">
        <w:t>.</w:t>
      </w:r>
    </w:p>
    <w:p w14:paraId="1ECB9AFD" w14:textId="77777777" w:rsidR="00B76991" w:rsidRPr="009F6406" w:rsidRDefault="00B76991" w:rsidP="00B76991">
      <w:pPr>
        <w:pStyle w:val="Heading1"/>
      </w:pPr>
      <w:r w:rsidRPr="009F6406">
        <w:t>Results</w:t>
      </w:r>
    </w:p>
    <w:p w14:paraId="04059A68" w14:textId="77777777" w:rsidR="00465760" w:rsidRPr="009F6406" w:rsidRDefault="00465760" w:rsidP="00465760">
      <w:pPr>
        <w:pStyle w:val="Heading2"/>
      </w:pPr>
      <w:r w:rsidRPr="009F6406">
        <w:t>Pupil attainment and progress in mathematics</w:t>
      </w:r>
    </w:p>
    <w:p w14:paraId="599664E0" w14:textId="02E86E5B" w:rsidR="005F054A" w:rsidRPr="009F6406" w:rsidRDefault="00FA56D0" w:rsidP="00465760">
      <w:r w:rsidRPr="009F6406">
        <w:t>Table 2</w:t>
      </w:r>
      <w:r w:rsidR="005F054A" w:rsidRPr="009F6406">
        <w:t xml:space="preserve"> provides basic descriptive statistics for pupil attainment at each time point and in each group as well as overall. </w:t>
      </w:r>
      <w:r w:rsidR="000A27B7" w:rsidRPr="009F6406">
        <w:t xml:space="preserve">The sample as a whole was performing somewhat below average based on their </w:t>
      </w:r>
      <w:r w:rsidR="000A27B7" w:rsidRPr="009F6406">
        <w:lastRenderedPageBreak/>
        <w:t>Standard Age Scores</w:t>
      </w:r>
      <w:r w:rsidR="007E4B1D" w:rsidRPr="009F6406">
        <w:t xml:space="preserve"> across all time points</w:t>
      </w:r>
      <w:r w:rsidR="000A27B7" w:rsidRPr="009F6406">
        <w:t xml:space="preserve"> (SAS; M=89.15, SD=</w:t>
      </w:r>
      <w:r w:rsidR="007E4B1D" w:rsidRPr="009F6406">
        <w:t>12.83 in Term 1; M=95.08, SD=12.46 in Term 2; M=96.81, SD=12.94 in Term 3; where 100 represents national average performance</w:t>
      </w:r>
      <w:r w:rsidR="000A27B7" w:rsidRPr="009F6406">
        <w:t>)</w:t>
      </w:r>
      <w:r w:rsidR="007E4B1D" w:rsidRPr="009F6406">
        <w:t>.</w:t>
      </w:r>
      <w:r w:rsidR="000A27B7" w:rsidRPr="009F6406">
        <w:t xml:space="preserve"> </w:t>
      </w:r>
      <w:r w:rsidR="00672F20" w:rsidRPr="009F6406">
        <w:t>Both groups showed upward trajectories</w:t>
      </w:r>
      <w:r w:rsidR="007E4B1D" w:rsidRPr="009F6406">
        <w:t xml:space="preserve"> in their mean attainment over time. </w:t>
      </w:r>
    </w:p>
    <w:p w14:paraId="2C1D954D" w14:textId="11C29954" w:rsidR="00061515" w:rsidRPr="009F6406" w:rsidRDefault="00D43F4D" w:rsidP="00061515">
      <w:pPr>
        <w:jc w:val="center"/>
      </w:pPr>
      <w:r w:rsidRPr="009F6406">
        <w:t>[Insert Table 2</w:t>
      </w:r>
      <w:r w:rsidR="00061515" w:rsidRPr="009F6406">
        <w:t xml:space="preserve"> here]</w:t>
      </w:r>
    </w:p>
    <w:p w14:paraId="660127A0" w14:textId="5C7D9C0D" w:rsidR="00AA479A" w:rsidRPr="009F6406" w:rsidRDefault="000C459B" w:rsidP="00465760">
      <w:r w:rsidRPr="009F6406">
        <w:t>T</w:t>
      </w:r>
      <w:r w:rsidR="00FA56D0" w:rsidRPr="009F6406">
        <w:t>able 3</w:t>
      </w:r>
      <w:r w:rsidRPr="009F6406">
        <w:t xml:space="preserve"> shows the results from </w:t>
      </w:r>
      <w:r w:rsidR="00941C14" w:rsidRPr="009F6406">
        <w:t xml:space="preserve">2-level (pupils nested within teachers) </w:t>
      </w:r>
      <w:r w:rsidRPr="009F6406">
        <w:t xml:space="preserve">models with overall mathematics knowledge and skills scores on the PTM 5/6 assessments </w:t>
      </w:r>
      <w:r w:rsidR="001C3350" w:rsidRPr="009F6406">
        <w:t xml:space="preserve">at each time point as outcomes. </w:t>
      </w:r>
      <w:r w:rsidR="006169A6" w:rsidRPr="009F6406">
        <w:t xml:space="preserve">Scores were age-standardized to account for developmental differences between pupils. Models further controlled for pupil gender as well as time (in days) since the first group was tested at a given time point and (for Term 2 and Term 3 results) time (in days) since the first class group was tested at the previous time point to account for any differences due to variations in test date. For Term 2 and Term 3 results, pupil scores at the previous time point were included as a control variable to provide a measure of </w:t>
      </w:r>
      <w:r w:rsidR="00F766F0" w:rsidRPr="009F6406">
        <w:t xml:space="preserve">value-added </w:t>
      </w:r>
      <w:r w:rsidR="006169A6" w:rsidRPr="009F6406">
        <w:t>progress. At the teacher level, models also include controls for total years of teaching experience (in years) and proportion of total teaching experience spent teaching Year 1.</w:t>
      </w:r>
    </w:p>
    <w:p w14:paraId="21537AC6" w14:textId="199F7EA8" w:rsidR="00A30937" w:rsidRPr="009F6406" w:rsidRDefault="00FA56D0" w:rsidP="003E2E5A">
      <w:pPr>
        <w:jc w:val="center"/>
      </w:pPr>
      <w:r w:rsidRPr="009F6406">
        <w:t>[Insert Table 3</w:t>
      </w:r>
      <w:r w:rsidR="00A30937" w:rsidRPr="009F6406">
        <w:t xml:space="preserve"> here]</w:t>
      </w:r>
    </w:p>
    <w:p w14:paraId="555A0688" w14:textId="395A474C" w:rsidR="009039EC" w:rsidRPr="009F6406" w:rsidRDefault="001C3350" w:rsidP="00465760">
      <w:r w:rsidRPr="009F6406">
        <w:t>Term 1 results show</w:t>
      </w:r>
      <w:r w:rsidR="00F728DC" w:rsidRPr="009F6406">
        <w:t>ed</w:t>
      </w:r>
      <w:r w:rsidRPr="009F6406">
        <w:t xml:space="preserve"> no significant differences </w:t>
      </w:r>
      <w:r w:rsidR="00D17819" w:rsidRPr="009F6406">
        <w:t xml:space="preserve">in mathematics attainment </w:t>
      </w:r>
      <w:r w:rsidRPr="009F6406">
        <w:t>between the experimental and delayed treat</w:t>
      </w:r>
      <w:r w:rsidR="00F728DC" w:rsidRPr="009F6406">
        <w:t>ment groups (</w:t>
      </w:r>
      <w:r w:rsidR="00F728DC" w:rsidRPr="009F6406">
        <w:rPr>
          <w:i/>
        </w:rPr>
        <w:t>B</w:t>
      </w:r>
      <w:r w:rsidR="00F728DC" w:rsidRPr="009F6406">
        <w:t xml:space="preserve">=3.53, </w:t>
      </w:r>
      <w:r w:rsidR="00F728DC" w:rsidRPr="009F6406">
        <w:rPr>
          <w:i/>
        </w:rPr>
        <w:t>p</w:t>
      </w:r>
      <w:r w:rsidR="00F728DC" w:rsidRPr="009F6406">
        <w:t xml:space="preserve">=0.303). </w:t>
      </w:r>
      <w:r w:rsidR="00D17819" w:rsidRPr="009F6406">
        <w:t>Term 2 results</w:t>
      </w:r>
      <w:r w:rsidR="00F728DC" w:rsidRPr="009F6406">
        <w:t xml:space="preserve"> again</w:t>
      </w:r>
      <w:r w:rsidR="00D17819" w:rsidRPr="009F6406">
        <w:t xml:space="preserve"> show</w:t>
      </w:r>
      <w:r w:rsidR="00F728DC" w:rsidRPr="009F6406">
        <w:t>ed</w:t>
      </w:r>
      <w:r w:rsidR="00D17819" w:rsidRPr="009F6406">
        <w:t xml:space="preserve"> no significant differences in pupil progress in mathematics between the experimental and delayed treatment groups (</w:t>
      </w:r>
      <w:r w:rsidR="00D17819" w:rsidRPr="009F6406">
        <w:rPr>
          <w:i/>
        </w:rPr>
        <w:t>B</w:t>
      </w:r>
      <w:r w:rsidR="00D17819" w:rsidRPr="009F6406">
        <w:t xml:space="preserve">=-0.40, </w:t>
      </w:r>
      <w:r w:rsidR="00D17819" w:rsidRPr="009F6406">
        <w:rPr>
          <w:i/>
        </w:rPr>
        <w:t>p</w:t>
      </w:r>
      <w:r w:rsidR="00D17819" w:rsidRPr="009F6406">
        <w:t xml:space="preserve">=0.872). </w:t>
      </w:r>
      <w:r w:rsidR="009039EC" w:rsidRPr="009F6406">
        <w:t>Term 3 results, however, show</w:t>
      </w:r>
      <w:r w:rsidR="00F728DC" w:rsidRPr="009F6406">
        <w:t>ed</w:t>
      </w:r>
      <w:r w:rsidR="009039EC" w:rsidRPr="009F6406">
        <w:t xml:space="preserve"> a significant difference in pupil progress in mathematics between the two groups since Term 2 (</w:t>
      </w:r>
      <w:r w:rsidR="009039EC" w:rsidRPr="009F6406">
        <w:rPr>
          <w:i/>
        </w:rPr>
        <w:t>B</w:t>
      </w:r>
      <w:r w:rsidR="009039EC" w:rsidRPr="009F6406">
        <w:t xml:space="preserve">=3.86, </w:t>
      </w:r>
      <w:r w:rsidR="009039EC" w:rsidRPr="009F6406">
        <w:rPr>
          <w:i/>
        </w:rPr>
        <w:t>p</w:t>
      </w:r>
      <w:r w:rsidR="009039EC" w:rsidRPr="009F6406">
        <w:t>=0.046). The multilevel effect size (</w:t>
      </w:r>
      <w:r w:rsidR="009039EC" w:rsidRPr="009F6406">
        <w:rPr>
          <w:i/>
        </w:rPr>
        <w:t>SD</w:t>
      </w:r>
      <w:r w:rsidR="009039EC" w:rsidRPr="009F6406">
        <w:t>=0.42</w:t>
      </w:r>
      <w:r w:rsidR="00FE2D15" w:rsidRPr="009F6406">
        <w:t xml:space="preserve">; </w:t>
      </w:r>
      <w:r w:rsidR="006814B4" w:rsidRPr="009F6406">
        <w:fldChar w:fldCharType="begin" w:fldLock="1"/>
      </w:r>
      <w:r w:rsidR="005A6664" w:rsidRPr="009F6406">
        <w:instrText>ADDIN CSL_CITATION {"citationItems":[{"id":"ITEM-1","itemData":{"author":[{"dropping-particle":"","family":"Elliot","given":"Karen","non-dropping-particle":"","parse-names":false,"suffix":""},{"dropping-particle":"","family":"Sammons","given":"Pam","non-dropping-particle":"","parse-names":false,"suffix":""}],"container-title":"But what does it mean? The use of effect sizes in educational research","editor":[{"dropping-particle":"","family":"Schagen","given":"Ian","non-dropping-particle":"","parse-names":false,"suffix":""},{"dropping-particle":"","family":"Elliot","given":"Karen","non-dropping-particle":"","parse-names":false,"suffix":""}],"id":"ITEM-1","issued":{"date-parts":[["2004"]]},"page":"6-24","publisher":"National Foundation for Educational Research","publisher-place":"London","title":"Exploring the use of effect sizes to evaluate the impact of different influences on child outcomes: Possibilities and limitations","type":"chapter"},"uris":["http://www.mendeley.com/documents/?uuid=820f4223-84f1-40ac-b620-8d6e856c9e3b","http://www.mendeley.com/documents/?uuid=a7f8ce98-2a79-40fa-b05d-e27edbe62e0a"]}],"mendeley":{"formattedCitation":"(Elliot and Sammons 2004)","manualFormatting":"Elliot and Sammons 2004","plainTextFormattedCitation":"(Elliot and Sammons 2004)","previouslyFormattedCitation":"(Elliot and Sammons 2004)"},"properties":{"noteIndex":0},"schema":"https://github.com/citation-style-language/schema/raw/master/csl-citation.json"}</w:instrText>
      </w:r>
      <w:r w:rsidR="006814B4" w:rsidRPr="009F6406">
        <w:fldChar w:fldCharType="separate"/>
      </w:r>
      <w:r w:rsidR="006814B4" w:rsidRPr="009F6406">
        <w:rPr>
          <w:noProof/>
        </w:rPr>
        <w:t>Elliot and Sammons 2004</w:t>
      </w:r>
      <w:r w:rsidR="006814B4" w:rsidRPr="009F6406">
        <w:fldChar w:fldCharType="end"/>
      </w:r>
      <w:r w:rsidR="009039EC" w:rsidRPr="009F6406">
        <w:t xml:space="preserve">) classifies this as a small difference according to </w:t>
      </w:r>
      <w:r w:rsidR="009039EC" w:rsidRPr="009F6406">
        <w:fldChar w:fldCharType="begin" w:fldLock="1"/>
      </w:r>
      <w:r w:rsidR="00E25EE9" w:rsidRPr="009F6406">
        <w:instrText>ADDIN CSL_CITATION {"citationItems":[{"id":"ITEM-1","itemData":{"ISBN":"9780805802832 0805802835","abstract":"This is a nontechnical guide to power analysis in research planning that provides users of applied statistics with the tools they need for more effective analysis. The second edition includes: a chapter covering power analysis in set correlation and multivariate methods; a chapter considering effect size, psychometric reliability, and the efficacy of \"qualifying\" dependent variables and; expanded power and sample size tables for multiple regression/correlation.","author":[{"dropping-particle":"","family":"Cohen","given":"Jacob","non-dropping-particle":"","parse-names":false,"suffix":""}],"id":"ITEM-1","issued":{"date-parts":[["1988"]]},"language":"English","publisher":"L. Erlbaum Associates","publisher-place":"Hillsdale, N.J.","title":"Statistical power analysis for the behavioral sciences","type":"book"},"uris":["http://www.mendeley.com/documents/?uuid=1a8ad120-1104-4135-9815-50dc11eb0406"]}],"mendeley":{"formattedCitation":"(Cohen 1988)","manualFormatting":"Cohen (1988)","plainTextFormattedCitation":"(Cohen 1988)","previouslyFormattedCitation":"(Cohen 1988)"},"properties":{"noteIndex":0},"schema":"https://github.com/citation-style-language/schema/raw/master/csl-citation.json"}</w:instrText>
      </w:r>
      <w:r w:rsidR="009039EC" w:rsidRPr="009F6406">
        <w:fldChar w:fldCharType="separate"/>
      </w:r>
      <w:r w:rsidR="009039EC" w:rsidRPr="009F6406">
        <w:rPr>
          <w:noProof/>
        </w:rPr>
        <w:t>Cohen (1988)</w:t>
      </w:r>
      <w:r w:rsidR="009039EC" w:rsidRPr="009F6406">
        <w:fldChar w:fldCharType="end"/>
      </w:r>
      <w:r w:rsidR="009039EC" w:rsidRPr="009F6406">
        <w:t>.</w:t>
      </w:r>
      <w:r w:rsidR="00232463" w:rsidRPr="009F6406">
        <w:t xml:space="preserve"> </w:t>
      </w:r>
    </w:p>
    <w:p w14:paraId="79B96E56" w14:textId="77777777" w:rsidR="00465760" w:rsidRPr="009F6406" w:rsidRDefault="00465760" w:rsidP="00465760">
      <w:pPr>
        <w:pStyle w:val="Heading2"/>
      </w:pPr>
      <w:r w:rsidRPr="009F6406">
        <w:t>Pupil attitudes</w:t>
      </w:r>
    </w:p>
    <w:p w14:paraId="59CADEC3" w14:textId="1F9998E2" w:rsidR="004A679A" w:rsidRPr="009F6406" w:rsidRDefault="00FA56D0" w:rsidP="00465760">
      <w:r w:rsidRPr="009F6406">
        <w:t>Table 4</w:t>
      </w:r>
      <w:r w:rsidR="004A679A" w:rsidRPr="009F6406">
        <w:t xml:space="preserve"> shows the results from 2-level (pupils nested within teachers) models with pupil attitudes in each term as outcomes. Controls in these models were equivalent to those noted above for pupil math</w:t>
      </w:r>
      <w:r w:rsidR="00392CDF" w:rsidRPr="009F6406">
        <w:t>ematic</w:t>
      </w:r>
      <w:r w:rsidR="004A679A" w:rsidRPr="009F6406">
        <w:t xml:space="preserve">s attainment and progress models. </w:t>
      </w:r>
    </w:p>
    <w:p w14:paraId="31A6B53D" w14:textId="63CE4705" w:rsidR="00130CCA" w:rsidRPr="009F6406" w:rsidRDefault="00FA56D0" w:rsidP="003E2E5A">
      <w:pPr>
        <w:jc w:val="center"/>
      </w:pPr>
      <w:r w:rsidRPr="009F6406">
        <w:t>[Insert Table 4</w:t>
      </w:r>
      <w:r w:rsidR="00130CCA" w:rsidRPr="009F6406">
        <w:t xml:space="preserve"> here]</w:t>
      </w:r>
    </w:p>
    <w:p w14:paraId="56D0D30D" w14:textId="453E1997" w:rsidR="004A679A" w:rsidRPr="009F6406" w:rsidRDefault="00F728DC" w:rsidP="00DD77BD">
      <w:r w:rsidRPr="009F6406">
        <w:t xml:space="preserve">Patterns in average pupil attitudes overall showed a slight decline over time. </w:t>
      </w:r>
      <w:r w:rsidR="00306DDF" w:rsidRPr="009F6406">
        <w:t>A significant difference</w:t>
      </w:r>
      <w:r w:rsidR="004A679A" w:rsidRPr="009F6406">
        <w:t xml:space="preserve"> were found in Term 1 </w:t>
      </w:r>
      <w:r w:rsidR="00DD77BD" w:rsidRPr="009F6406">
        <w:t xml:space="preserve">(September-October 2015) </w:t>
      </w:r>
      <w:r w:rsidR="004A679A" w:rsidRPr="009F6406">
        <w:t xml:space="preserve">for </w:t>
      </w:r>
      <w:r w:rsidR="00130CCA" w:rsidRPr="009F6406">
        <w:t xml:space="preserve"> </w:t>
      </w:r>
      <w:r w:rsidR="004A679A" w:rsidRPr="009F6406">
        <w:t>pupil attitudes</w:t>
      </w:r>
      <w:r w:rsidR="00DD72FA" w:rsidRPr="009F6406">
        <w:t xml:space="preserve"> (</w:t>
      </w:r>
      <w:r w:rsidR="00306DDF" w:rsidRPr="009F6406">
        <w:rPr>
          <w:i/>
        </w:rPr>
        <w:t>B</w:t>
      </w:r>
      <w:r w:rsidR="00306DDF" w:rsidRPr="009F6406">
        <w:t xml:space="preserve">=-1.38, </w:t>
      </w:r>
      <w:r w:rsidR="00306DDF" w:rsidRPr="009F6406">
        <w:rPr>
          <w:i/>
        </w:rPr>
        <w:t>p</w:t>
      </w:r>
      <w:r w:rsidR="00306DDF" w:rsidRPr="009F6406">
        <w:t>=0.009</w:t>
      </w:r>
      <w:r w:rsidR="00B52A32" w:rsidRPr="009F6406">
        <w:t>; controlling for pupil gender, age, teacher years of experience and proportion of experience spent teaching Year 1, and time since the first class was surveyed</w:t>
      </w:r>
      <w:r w:rsidR="00DD72FA" w:rsidRPr="009F6406">
        <w:t>)</w:t>
      </w:r>
      <w:r w:rsidR="00306DDF" w:rsidRPr="009F6406">
        <w:t>, with pupils in the experimental group classes having more negative attitudes towards mathematics on average</w:t>
      </w:r>
      <w:r w:rsidR="004A679A" w:rsidRPr="009F6406">
        <w:t xml:space="preserve">. </w:t>
      </w:r>
      <w:r w:rsidR="00306DDF" w:rsidRPr="009F6406">
        <w:t>However, no significant differences were found in Term</w:t>
      </w:r>
      <w:r w:rsidR="004A679A" w:rsidRPr="009F6406">
        <w:t xml:space="preserve"> 2 </w:t>
      </w:r>
      <w:r w:rsidR="00DD72FA" w:rsidRPr="009F6406">
        <w:t>(</w:t>
      </w:r>
      <w:r w:rsidR="005D373F" w:rsidRPr="009F6406">
        <w:rPr>
          <w:i/>
        </w:rPr>
        <w:t>B</w:t>
      </w:r>
      <w:r w:rsidR="005D373F" w:rsidRPr="009F6406">
        <w:t>=</w:t>
      </w:r>
      <w:r w:rsidR="00306DDF" w:rsidRPr="009F6406">
        <w:t>0.67</w:t>
      </w:r>
      <w:r w:rsidR="005D373F" w:rsidRPr="009F6406">
        <w:t xml:space="preserve">, </w:t>
      </w:r>
      <w:r w:rsidR="005D373F" w:rsidRPr="009F6406">
        <w:rPr>
          <w:i/>
        </w:rPr>
        <w:t>p</w:t>
      </w:r>
      <w:r w:rsidR="005D373F" w:rsidRPr="009F6406">
        <w:t>=</w:t>
      </w:r>
      <w:r w:rsidR="00306DDF" w:rsidRPr="009F6406">
        <w:t>0.311</w:t>
      </w:r>
      <w:r w:rsidR="00DD72FA" w:rsidRPr="009F6406">
        <w:t xml:space="preserve">) </w:t>
      </w:r>
      <w:r w:rsidR="00306DDF" w:rsidRPr="009F6406">
        <w:t>or Term 3</w:t>
      </w:r>
      <w:r w:rsidR="00DD72FA" w:rsidRPr="009F6406">
        <w:t xml:space="preserve"> (</w:t>
      </w:r>
      <w:r w:rsidR="005D373F" w:rsidRPr="009F6406">
        <w:rPr>
          <w:i/>
        </w:rPr>
        <w:t>B</w:t>
      </w:r>
      <w:r w:rsidR="005D373F" w:rsidRPr="009F6406">
        <w:t>=</w:t>
      </w:r>
      <w:r w:rsidR="00306DDF" w:rsidRPr="009F6406">
        <w:t>0.17</w:t>
      </w:r>
      <w:r w:rsidR="005D373F" w:rsidRPr="009F6406">
        <w:t xml:space="preserve">, </w:t>
      </w:r>
      <w:r w:rsidR="005D373F" w:rsidRPr="009F6406">
        <w:rPr>
          <w:i/>
        </w:rPr>
        <w:t>p</w:t>
      </w:r>
      <w:r w:rsidR="005D373F" w:rsidRPr="009F6406">
        <w:t>=</w:t>
      </w:r>
      <w:r w:rsidR="00306DDF" w:rsidRPr="009F6406">
        <w:t>0.777</w:t>
      </w:r>
      <w:r w:rsidR="00DD72FA" w:rsidRPr="009F6406">
        <w:t>)</w:t>
      </w:r>
      <w:r w:rsidR="004A679A" w:rsidRPr="009F6406">
        <w:t xml:space="preserve">, each controlling for the prior term’s pupil attitude scores </w:t>
      </w:r>
      <w:r w:rsidR="00B52A32" w:rsidRPr="009F6406">
        <w:t xml:space="preserve">and time since the first class was tested in the previous term </w:t>
      </w:r>
      <w:r w:rsidR="004A679A" w:rsidRPr="009F6406">
        <w:t>to account for change in attitudes over time</w:t>
      </w:r>
      <w:r w:rsidR="00B52A32" w:rsidRPr="009F6406">
        <w:t xml:space="preserve"> and for the surveying of different classes on different days,  as well as controlling for the variables noted above for Term 1</w:t>
      </w:r>
      <w:r w:rsidR="004A679A" w:rsidRPr="009F6406">
        <w:t>.</w:t>
      </w:r>
    </w:p>
    <w:p w14:paraId="243D8F5D" w14:textId="2D7FBA7C" w:rsidR="004A679A" w:rsidRPr="009F6406" w:rsidRDefault="00306DDF" w:rsidP="00465760">
      <w:r w:rsidRPr="009F6406">
        <w:t xml:space="preserve">The more negative attitudes of pupils in the experimental group classes in Term 1 may reflect the more pronounced contrast between learning environments pupils had experienced prior to the beginning of Year 1; for many pupils, this may well have been their first experience of formal mathematics instruction and whole-day school attendance, and the use of the materials and teaching </w:t>
      </w:r>
      <w:r w:rsidRPr="009F6406">
        <w:lastRenderedPageBreak/>
        <w:t xml:space="preserve">approach may have introduced additionally unfamiliar structure to pupils’ experiences of mathematics lessons. </w:t>
      </w:r>
    </w:p>
    <w:p w14:paraId="68B19D01" w14:textId="77777777" w:rsidR="00465760" w:rsidRPr="009F6406" w:rsidRDefault="005B1616" w:rsidP="00465760">
      <w:pPr>
        <w:pStyle w:val="Heading2"/>
      </w:pPr>
      <w:r w:rsidRPr="009F6406">
        <w:t>Teaching</w:t>
      </w:r>
      <w:r w:rsidR="00465760" w:rsidRPr="009F6406">
        <w:t xml:space="preserve"> practice</w:t>
      </w:r>
    </w:p>
    <w:p w14:paraId="00E10E60" w14:textId="77777777" w:rsidR="00465760" w:rsidRPr="009F6406" w:rsidRDefault="00465760" w:rsidP="00465760">
      <w:pPr>
        <w:pStyle w:val="Heading3"/>
      </w:pPr>
      <w:r w:rsidRPr="009F6406">
        <w:t xml:space="preserve">Quantitative </w:t>
      </w:r>
      <w:r w:rsidR="005B1616" w:rsidRPr="009F6406">
        <w:t xml:space="preserve">observation </w:t>
      </w:r>
      <w:r w:rsidRPr="009F6406">
        <w:t>findings</w:t>
      </w:r>
    </w:p>
    <w:p w14:paraId="664172BA" w14:textId="6828C4C8" w:rsidR="00A4643A" w:rsidRPr="009F6406" w:rsidRDefault="00FA56D0" w:rsidP="00A4643A">
      <w:pPr>
        <w:jc w:val="center"/>
      </w:pPr>
      <w:r w:rsidRPr="009F6406">
        <w:t>[Insert Table 5</w:t>
      </w:r>
      <w:r w:rsidR="00A4643A" w:rsidRPr="009F6406">
        <w:t xml:space="preserve"> here]</w:t>
      </w:r>
    </w:p>
    <w:p w14:paraId="4516B529" w14:textId="3613726E" w:rsidR="00DF5B91" w:rsidRPr="009F6406" w:rsidRDefault="00FA56D0" w:rsidP="00E104C0">
      <w:r w:rsidRPr="009F6406">
        <w:t>Table 5</w:t>
      </w:r>
      <w:r w:rsidR="00DF5B91" w:rsidRPr="009F6406">
        <w:t xml:space="preserve"> displays descriptive statistics by group (experimental and delayed treatment) of teacher sum scores across each domain of the MECORS, QoT and ISTOF instruments. These give an initial indication of patterns across groups based on</w:t>
      </w:r>
      <w:r w:rsidR="00B52A32" w:rsidRPr="009F6406">
        <w:t xml:space="preserve"> the three different</w:t>
      </w:r>
      <w:r w:rsidR="00DF5B91" w:rsidRPr="009F6406">
        <w:t xml:space="preserve"> observation schedules. </w:t>
      </w:r>
    </w:p>
    <w:p w14:paraId="058EB495" w14:textId="2E72AD7D" w:rsidR="00322DDC" w:rsidRPr="009F6406" w:rsidRDefault="00322DDC" w:rsidP="00E104C0">
      <w:r w:rsidRPr="009F6406">
        <w:t>In September-October 2015 (Term 1), large differences were found in teachers’ observed practice according to most of the MECORS, QoT, and ISTOF domains. As the underlying meanings of the domains as given by the authors of the instruments are not always immediately obvious from their names, we include descriptions of the included items below when reporting our statistical results.</w:t>
      </w:r>
    </w:p>
    <w:p w14:paraId="1330B313" w14:textId="6B8A06A5" w:rsidR="00207588" w:rsidRPr="009F6406" w:rsidRDefault="00FA56D0" w:rsidP="00E104C0">
      <w:r w:rsidRPr="009F6406">
        <w:t>Table 6</w:t>
      </w:r>
      <w:r w:rsidR="005D373F" w:rsidRPr="009F6406">
        <w:t xml:space="preserve"> shows results from </w:t>
      </w:r>
      <w:r w:rsidR="00FC7748" w:rsidRPr="009F6406">
        <w:t xml:space="preserve">“unadjusted” </w:t>
      </w:r>
      <w:r w:rsidR="00DF5B91" w:rsidRPr="009F6406">
        <w:t>general linear m</w:t>
      </w:r>
      <w:r w:rsidR="004532C8" w:rsidRPr="009F6406">
        <w:t>odels</w:t>
      </w:r>
      <w:r w:rsidR="00FC7748" w:rsidRPr="009F6406">
        <w:t xml:space="preserve"> including only group allocation (experimental or delayed treatment),</w:t>
      </w:r>
      <w:r w:rsidR="005D373F" w:rsidRPr="009F6406">
        <w:t xml:space="preserve"> </w:t>
      </w:r>
      <w:r w:rsidR="00F92B9A" w:rsidRPr="009F6406">
        <w:t xml:space="preserve">for each domain of each instrument </w:t>
      </w:r>
      <w:r w:rsidR="00525BE8" w:rsidRPr="009F6406">
        <w:t>in</w:t>
      </w:r>
      <w:r w:rsidR="005D373F" w:rsidRPr="009F6406">
        <w:t xml:space="preserve"> Term </w:t>
      </w:r>
      <w:r w:rsidR="00525BE8" w:rsidRPr="009F6406">
        <w:t>1, Term 2, and Term 3</w:t>
      </w:r>
      <w:r w:rsidR="00F92B9A" w:rsidRPr="009F6406">
        <w:t>,</w:t>
      </w:r>
      <w:r w:rsidR="00FC7748" w:rsidRPr="009F6406">
        <w:t xml:space="preserve"> where c</w:t>
      </w:r>
      <w:r w:rsidR="00DF5B91" w:rsidRPr="009F6406">
        <w:t xml:space="preserve">oefficients </w:t>
      </w:r>
      <w:r w:rsidR="00FC7748" w:rsidRPr="009F6406">
        <w:t>represent</w:t>
      </w:r>
      <w:r w:rsidR="00DF5B91" w:rsidRPr="009F6406">
        <w:t xml:space="preserve"> the </w:t>
      </w:r>
      <w:r w:rsidR="00FC7748" w:rsidRPr="009F6406">
        <w:t xml:space="preserve">average </w:t>
      </w:r>
      <w:r w:rsidR="00DF5B91" w:rsidRPr="009F6406">
        <w:t>difference in sum score on a given domain of a given instrument associated with being in the experimental group</w:t>
      </w:r>
      <w:r w:rsidR="00D338F6" w:rsidRPr="009F6406">
        <w:t>.</w:t>
      </w:r>
      <w:r w:rsidR="00F92B9A" w:rsidRPr="009F6406">
        <w:t xml:space="preserve"> </w:t>
      </w:r>
      <w:r w:rsidR="00B5317A" w:rsidRPr="009F6406">
        <w:t>General linear models were also run controlling for time sin</w:t>
      </w:r>
      <w:r w:rsidR="00DF5B91" w:rsidRPr="009F6406">
        <w:t>ce previous and first observatio</w:t>
      </w:r>
      <w:r w:rsidR="00B5317A" w:rsidRPr="009F6406">
        <w:t>ns</w:t>
      </w:r>
      <w:r w:rsidR="005068C9" w:rsidRPr="009F6406">
        <w:t xml:space="preserve"> where appropriate</w:t>
      </w:r>
      <w:r w:rsidR="00B5317A" w:rsidRPr="009F6406">
        <w:t xml:space="preserve">, teacher experience, and score on each given domain in the previous term’s observation, as well as the </w:t>
      </w:r>
      <w:r w:rsidR="00DF5B91" w:rsidRPr="009F6406">
        <w:t>gender composition of the class, with full results from these models</w:t>
      </w:r>
      <w:r w:rsidR="00207588" w:rsidRPr="009F6406">
        <w:t xml:space="preserve"> given elsewhere (see </w:t>
      </w:r>
      <w:r w:rsidR="00207588" w:rsidRPr="009F6406">
        <w:fldChar w:fldCharType="begin" w:fldLock="1"/>
      </w:r>
      <w:r w:rsidR="00A130BF" w:rsidRPr="009F6406">
        <w:instrText>ADDIN CSL_CITATION {"citationItems":[{"id":"ITEM-1","itemData":{"DOI":"10.13140/RG.2.2.23042.07369","author":[{"dropping-particle":"","family":"Hall","given":"James","non-dropping-particle":"","parse-names":false,"suffix":""},{"dropping-particle":"","family":"Lindorff","given":"Ariel","non-dropping-particle":"","parse-names":false,"suffix":""},{"dropping-particle":"","family":"Sammons","given":"Pam","non-dropping-particle":"","parse-names":false,"suffix":""}],"id":"ITEM-1","issued":{"date-parts":[["2016"]]},"publisher-place":"Oxford: University of Oxford","title":"Evaluation of the Impact and Implementation of Inspire Maths in Year 1 Classrooms in England","type":"report"},"uris":["http://www.mendeley.com/documents/?uuid=3c1c1a9f-d831-3524-b11d-dac25252e56c"]}],"mendeley":{"formattedCitation":"(Hall, Lindorff, and Sammons 2016)","manualFormatting":"Hall, Lindorff, and Sammons 2016)","plainTextFormattedCitation":"(Hall, Lindorff, and Sammons 2016)","previouslyFormattedCitation":"(Hall, Lindorff, and Sammons 2016)"},"properties":{"noteIndex":0},"schema":"https://github.com/citation-style-language/schema/raw/master/csl-citation.json"}</w:instrText>
      </w:r>
      <w:r w:rsidR="00207588" w:rsidRPr="009F6406">
        <w:fldChar w:fldCharType="separate"/>
      </w:r>
      <w:r w:rsidR="00207588" w:rsidRPr="009F6406">
        <w:rPr>
          <w:noProof/>
        </w:rPr>
        <w:t>Hall, Lindorff, and Sammons 2016)</w:t>
      </w:r>
      <w:r w:rsidR="00207588" w:rsidRPr="009F6406">
        <w:fldChar w:fldCharType="end"/>
      </w:r>
      <w:r w:rsidR="005068C9" w:rsidRPr="009F6406">
        <w:t>, however, these are not easily mapped to qualitative observation data given the various controls and ensuing meaning of the adjusted coefficients</w:t>
      </w:r>
      <w:r w:rsidR="005225F0" w:rsidRPr="009F6406">
        <w:t xml:space="preserve"> as, essentially, m</w:t>
      </w:r>
      <w:r w:rsidR="009D3CF7" w:rsidRPr="009F6406">
        <w:t>easures of progress in teaching behaviors and practices accounting for differences in teacher experience, class gender composition and timing of observations</w:t>
      </w:r>
      <w:r w:rsidR="005068C9" w:rsidRPr="009F6406">
        <w:t>. H</w:t>
      </w:r>
      <w:r w:rsidR="00207588" w:rsidRPr="009F6406">
        <w:t>ere</w:t>
      </w:r>
      <w:r w:rsidR="009D3CF7" w:rsidRPr="009F6406">
        <w:t>,</w:t>
      </w:r>
      <w:r w:rsidR="00207588" w:rsidRPr="009F6406">
        <w:t xml:space="preserve"> we focus</w:t>
      </w:r>
      <w:r w:rsidR="00B52A32" w:rsidRPr="009F6406">
        <w:t xml:space="preserve"> just</w:t>
      </w:r>
      <w:r w:rsidR="00207588" w:rsidRPr="009F6406">
        <w:t xml:space="preserve"> on </w:t>
      </w:r>
      <w:r w:rsidR="00B5317A" w:rsidRPr="009F6406">
        <w:t xml:space="preserve">the </w:t>
      </w:r>
      <w:r w:rsidR="004532C8" w:rsidRPr="009F6406">
        <w:t>unadjusted estimates</w:t>
      </w:r>
      <w:r w:rsidR="005068C9" w:rsidRPr="009F6406">
        <w:t xml:space="preserve"> as these are more easily interpretable as correspon</w:t>
      </w:r>
      <w:r w:rsidR="004532C8" w:rsidRPr="009F6406">
        <w:t xml:space="preserve">ding directly to mean differences across groups in scales measuring observed </w:t>
      </w:r>
      <w:r w:rsidR="00DF5B91" w:rsidRPr="009F6406">
        <w:t xml:space="preserve">teaching </w:t>
      </w:r>
      <w:r w:rsidR="004532C8" w:rsidRPr="009F6406">
        <w:t>behaviors and practices.</w:t>
      </w:r>
    </w:p>
    <w:p w14:paraId="4395AFFA" w14:textId="131335A4" w:rsidR="00130CCA" w:rsidRPr="009F6406" w:rsidRDefault="00FA56D0" w:rsidP="003E2E5A">
      <w:pPr>
        <w:jc w:val="center"/>
      </w:pPr>
      <w:r w:rsidRPr="009F6406">
        <w:t>[Insert Table 6</w:t>
      </w:r>
      <w:r w:rsidR="00130CCA" w:rsidRPr="009F6406">
        <w:t xml:space="preserve"> here]</w:t>
      </w:r>
    </w:p>
    <w:p w14:paraId="4E5296D3" w14:textId="7C4F4C96" w:rsidR="00EE6819" w:rsidRPr="009F6406" w:rsidRDefault="00751F6F" w:rsidP="00E104C0">
      <w:r w:rsidRPr="009F6406">
        <w:t>For the QoT</w:t>
      </w:r>
      <w:r w:rsidR="005225F0" w:rsidRPr="009F6406">
        <w:t xml:space="preserve"> instrument</w:t>
      </w:r>
      <w:r w:rsidRPr="009F6406">
        <w:t>, significant differences were found</w:t>
      </w:r>
      <w:r w:rsidR="00A819CE" w:rsidRPr="009F6406">
        <w:t xml:space="preserve"> in Term 1</w:t>
      </w:r>
      <w:r w:rsidRPr="009F6406">
        <w:t xml:space="preserve"> between groups on most domains. These differences can be considered large</w:t>
      </w:r>
      <w:r w:rsidR="00F43630" w:rsidRPr="009F6406">
        <w:t xml:space="preserve"> based on the Effect Size (ES) used here</w:t>
      </w:r>
      <w:r w:rsidR="005225F0" w:rsidRPr="009F6406">
        <w:t xml:space="preserve"> according to </w:t>
      </w:r>
      <w:r w:rsidR="005225F0" w:rsidRPr="009F6406">
        <w:fldChar w:fldCharType="begin" w:fldLock="1"/>
      </w:r>
      <w:r w:rsidR="00E25EE9" w:rsidRPr="009F6406">
        <w:instrText>ADDIN CSL_CITATION {"citationItems":[{"id":"ITEM-1","itemData":{"ISBN":"9780805802832 0805802835","abstract":"This is a nontechnical guide to power analysis in research planning that provides users of applied statistics with the tools they need for more effective analysis. The second edition includes: a chapter covering power analysis in set correlation and multivariate methods; a chapter considering effect size, psychometric reliability, and the efficacy of \"qualifying\" dependent variables and; expanded power and sample size tables for multiple regression/correlation.","author":[{"dropping-particle":"","family":"Cohen","given":"Jacob","non-dropping-particle":"","parse-names":false,"suffix":""}],"id":"ITEM-1","issued":{"date-parts":[["1988"]]},"language":"English","publisher":"L. Erlbaum Associates","publisher-place":"Hillsdale, N.J.","title":"Statistical power analysis for the behavioral sciences","type":"book"},"uris":["http://www.mendeley.com/documents/?uuid=1a8ad120-1104-4135-9815-50dc11eb0406"]}],"mendeley":{"formattedCitation":"(Cohen 1988)","manualFormatting":"Cohen (1988; partial η2≥0.14)","plainTextFormattedCitation":"(Cohen 1988)","previouslyFormattedCitation":"(Cohen 1988)"},"properties":{"noteIndex":0},"schema":"https://github.com/citation-style-language/schema/raw/master/csl-citation.json"}</w:instrText>
      </w:r>
      <w:r w:rsidR="005225F0" w:rsidRPr="009F6406">
        <w:fldChar w:fldCharType="separate"/>
      </w:r>
      <w:r w:rsidR="005225F0" w:rsidRPr="009F6406">
        <w:rPr>
          <w:noProof/>
        </w:rPr>
        <w:t xml:space="preserve">Cohen (1988; partial </w:t>
      </w:r>
      <w:r w:rsidR="005225F0" w:rsidRPr="009F6406">
        <w:rPr>
          <w:rFonts w:cs="Times New Roman"/>
          <w:noProof/>
        </w:rPr>
        <w:t>η</w:t>
      </w:r>
      <w:r w:rsidR="005225F0" w:rsidRPr="009F6406">
        <w:rPr>
          <w:noProof/>
          <w:vertAlign w:val="superscript"/>
        </w:rPr>
        <w:t>2</w:t>
      </w:r>
      <w:r w:rsidR="005225F0" w:rsidRPr="009F6406">
        <w:rPr>
          <w:rFonts w:cs="Times New Roman"/>
          <w:noProof/>
        </w:rPr>
        <w:t>≥</w:t>
      </w:r>
      <w:r w:rsidR="005225F0" w:rsidRPr="009F6406">
        <w:rPr>
          <w:noProof/>
        </w:rPr>
        <w:t>0.14)</w:t>
      </w:r>
      <w:r w:rsidR="005225F0" w:rsidRPr="009F6406">
        <w:fldChar w:fldCharType="end"/>
      </w:r>
      <w:r w:rsidRPr="009F6406">
        <w:t xml:space="preserve">. Specifically, domains for which large </w:t>
      </w:r>
      <w:r w:rsidR="00EE6819" w:rsidRPr="009F6406">
        <w:t xml:space="preserve">differences were found included: </w:t>
      </w:r>
    </w:p>
    <w:p w14:paraId="5170FBF6" w14:textId="77777777" w:rsidR="00EE6819" w:rsidRPr="009F6406" w:rsidRDefault="00751F6F" w:rsidP="00EE6819">
      <w:pPr>
        <w:pStyle w:val="ListParagraph"/>
        <w:numPr>
          <w:ilvl w:val="0"/>
          <w:numId w:val="29"/>
        </w:numPr>
      </w:pPr>
      <w:r w:rsidRPr="009F6406">
        <w:t>“Stimulating learning climate” (</w:t>
      </w:r>
      <w:r w:rsidRPr="009F6406">
        <w:rPr>
          <w:i/>
        </w:rPr>
        <w:t>B</w:t>
      </w:r>
      <w:r w:rsidRPr="009F6406">
        <w:t>=</w:t>
      </w:r>
      <w:r w:rsidR="00F43630" w:rsidRPr="009F6406">
        <w:t xml:space="preserve">3.40, </w:t>
      </w:r>
      <w:r w:rsidR="00F43630" w:rsidRPr="009F6406">
        <w:rPr>
          <w:i/>
        </w:rPr>
        <w:t>p</w:t>
      </w:r>
      <w:r w:rsidR="00F43630" w:rsidRPr="009F6406">
        <w:t xml:space="preserve">&lt;0.001, </w:t>
      </w:r>
      <w:r w:rsidR="00F43630" w:rsidRPr="009F6406">
        <w:rPr>
          <w:i/>
        </w:rPr>
        <w:t>ES</w:t>
      </w:r>
      <w:r w:rsidR="00F43630" w:rsidRPr="009F6406">
        <w:t xml:space="preserve">=0.40), </w:t>
      </w:r>
      <w:r w:rsidR="00EE6819" w:rsidRPr="009F6406">
        <w:t>the sum score for which was made up of 4 items related to ensuring cohesion, stimulating pupil independence, promoting cooperation between pupils, and facilitating good individual involvement from pupils.</w:t>
      </w:r>
    </w:p>
    <w:p w14:paraId="767EE800" w14:textId="77777777" w:rsidR="00EE6819" w:rsidRPr="009F6406" w:rsidRDefault="00F43630" w:rsidP="00EE6819">
      <w:pPr>
        <w:pStyle w:val="ListParagraph"/>
        <w:numPr>
          <w:ilvl w:val="0"/>
          <w:numId w:val="29"/>
        </w:numPr>
      </w:pPr>
      <w:r w:rsidRPr="009F6406">
        <w:t>“Clear instruction” (</w:t>
      </w:r>
      <w:r w:rsidRPr="009F6406">
        <w:rPr>
          <w:i/>
        </w:rPr>
        <w:t>B</w:t>
      </w:r>
      <w:r w:rsidRPr="009F6406">
        <w:t xml:space="preserve">=1.95, </w:t>
      </w:r>
      <w:r w:rsidRPr="009F6406">
        <w:rPr>
          <w:i/>
        </w:rPr>
        <w:t>p</w:t>
      </w:r>
      <w:r w:rsidRPr="009F6406">
        <w:t>=0.001</w:t>
      </w:r>
      <w:r w:rsidR="005225F0" w:rsidRPr="009F6406">
        <w:t xml:space="preserve">, </w:t>
      </w:r>
      <w:r w:rsidR="005225F0" w:rsidRPr="009F6406">
        <w:rPr>
          <w:i/>
        </w:rPr>
        <w:t>ES</w:t>
      </w:r>
      <w:r w:rsidR="005225F0" w:rsidRPr="009F6406">
        <w:t>=0.49</w:t>
      </w:r>
      <w:r w:rsidRPr="009F6406">
        <w:t xml:space="preserve">), </w:t>
      </w:r>
      <w:r w:rsidR="00EE6819" w:rsidRPr="009F6406">
        <w:t xml:space="preserve">the sum score for which was made up of 3 items related to giving clear instructions and explanations for lesson content, explaining learning materials and assignments clearly, and giving feedback to pupils. </w:t>
      </w:r>
    </w:p>
    <w:p w14:paraId="7D974DD2" w14:textId="77777777" w:rsidR="00EE6819" w:rsidRPr="009F6406" w:rsidRDefault="00F43630" w:rsidP="00EE6819">
      <w:pPr>
        <w:pStyle w:val="ListParagraph"/>
        <w:numPr>
          <w:ilvl w:val="0"/>
          <w:numId w:val="29"/>
        </w:numPr>
      </w:pPr>
      <w:r w:rsidRPr="009F6406">
        <w:t>“Activating pupils” (</w:t>
      </w:r>
      <w:r w:rsidRPr="009F6406">
        <w:rPr>
          <w:i/>
        </w:rPr>
        <w:t>B</w:t>
      </w:r>
      <w:r w:rsidRPr="009F6406">
        <w:t xml:space="preserve">=1.76, </w:t>
      </w:r>
      <w:r w:rsidRPr="009F6406">
        <w:rPr>
          <w:i/>
        </w:rPr>
        <w:t>p</w:t>
      </w:r>
      <w:r w:rsidRPr="009F6406">
        <w:t>&lt;0.001</w:t>
      </w:r>
      <w:r w:rsidR="005225F0" w:rsidRPr="009F6406">
        <w:t xml:space="preserve">, </w:t>
      </w:r>
      <w:r w:rsidR="005225F0" w:rsidRPr="009F6406">
        <w:rPr>
          <w:i/>
        </w:rPr>
        <w:t>ES</w:t>
      </w:r>
      <w:r w:rsidR="005225F0" w:rsidRPr="009F6406">
        <w:t>=0.63</w:t>
      </w:r>
      <w:r w:rsidRPr="009F6406">
        <w:t>),</w:t>
      </w:r>
      <w:r w:rsidR="005225F0" w:rsidRPr="009F6406">
        <w:t xml:space="preserve"> </w:t>
      </w:r>
      <w:r w:rsidR="00EE6819" w:rsidRPr="009F6406">
        <w:t xml:space="preserve">the sum score for which was made up of 2 items related to involving all pupils in the lesson and using teaching methods that activate the pupils. </w:t>
      </w:r>
    </w:p>
    <w:p w14:paraId="30915B04" w14:textId="77777777" w:rsidR="00EE6819" w:rsidRPr="009F6406" w:rsidRDefault="005225F0" w:rsidP="00EE6819">
      <w:pPr>
        <w:pStyle w:val="ListParagraph"/>
        <w:numPr>
          <w:ilvl w:val="0"/>
          <w:numId w:val="29"/>
        </w:numPr>
      </w:pPr>
      <w:r w:rsidRPr="009F6406">
        <w:lastRenderedPageBreak/>
        <w:t>“Adaptation of teaching” (</w:t>
      </w:r>
      <w:r w:rsidRPr="009F6406">
        <w:rPr>
          <w:i/>
        </w:rPr>
        <w:t>B</w:t>
      </w:r>
      <w:r w:rsidRPr="009F6406">
        <w:t xml:space="preserve">=-2.20, </w:t>
      </w:r>
      <w:r w:rsidRPr="009F6406">
        <w:rPr>
          <w:i/>
        </w:rPr>
        <w:t>p</w:t>
      </w:r>
      <w:r w:rsidRPr="009F6406">
        <w:t xml:space="preserve">&lt;0.001, </w:t>
      </w:r>
      <w:r w:rsidRPr="009F6406">
        <w:rPr>
          <w:i/>
        </w:rPr>
        <w:t>ES</w:t>
      </w:r>
      <w:r w:rsidRPr="009F6406">
        <w:t xml:space="preserve">=0.57), </w:t>
      </w:r>
      <w:r w:rsidR="00EE6819" w:rsidRPr="009F6406">
        <w:t xml:space="preserve">the sum score for which was made up of 2 items related to adapting instruction to pupil differences and adapting assignments to pupil differences. </w:t>
      </w:r>
    </w:p>
    <w:p w14:paraId="535D6751" w14:textId="77777777" w:rsidR="00EE6819" w:rsidRPr="009F6406" w:rsidRDefault="005225F0" w:rsidP="00EE6819">
      <w:pPr>
        <w:pStyle w:val="ListParagraph"/>
        <w:numPr>
          <w:ilvl w:val="0"/>
          <w:numId w:val="29"/>
        </w:numPr>
      </w:pPr>
      <w:r w:rsidRPr="009F6406">
        <w:t>“Effective classroom organization” (</w:t>
      </w:r>
      <w:r w:rsidRPr="009F6406">
        <w:rPr>
          <w:i/>
        </w:rPr>
        <w:t>B</w:t>
      </w:r>
      <w:r w:rsidRPr="009F6406">
        <w:t xml:space="preserve">=4.16, </w:t>
      </w:r>
      <w:r w:rsidRPr="009F6406">
        <w:rPr>
          <w:i/>
        </w:rPr>
        <w:t>p</w:t>
      </w:r>
      <w:r w:rsidRPr="009F6406">
        <w:t xml:space="preserve">&lt;0.001, </w:t>
      </w:r>
      <w:r w:rsidRPr="009F6406">
        <w:rPr>
          <w:i/>
        </w:rPr>
        <w:t>ES</w:t>
      </w:r>
      <w:r w:rsidRPr="009F6406">
        <w:t xml:space="preserve">=0.55), </w:t>
      </w:r>
      <w:r w:rsidR="00EE6819" w:rsidRPr="009F6406">
        <w:t>the sum score for which was made up of 4 items related to having a well-structured lesson, managing behavior and disruptions, using learning time efficiently, and ensuring that lesson materials are used and managed efficiently.</w:t>
      </w:r>
    </w:p>
    <w:p w14:paraId="4151777A" w14:textId="77777777" w:rsidR="00EE6819" w:rsidRPr="009F6406" w:rsidRDefault="005225F0" w:rsidP="00EE6819">
      <w:pPr>
        <w:pStyle w:val="ListParagraph"/>
        <w:numPr>
          <w:ilvl w:val="0"/>
          <w:numId w:val="29"/>
        </w:numPr>
      </w:pPr>
      <w:r w:rsidRPr="009F6406">
        <w:t>“Effective classroom layout” (</w:t>
      </w:r>
      <w:r w:rsidRPr="009F6406">
        <w:rPr>
          <w:i/>
        </w:rPr>
        <w:t>B</w:t>
      </w:r>
      <w:r w:rsidRPr="009F6406">
        <w:t xml:space="preserve">=1.76, </w:t>
      </w:r>
      <w:r w:rsidRPr="009F6406">
        <w:rPr>
          <w:i/>
        </w:rPr>
        <w:t>p</w:t>
      </w:r>
      <w:r w:rsidRPr="009F6406">
        <w:t xml:space="preserve">&lt;0.001, </w:t>
      </w:r>
      <w:r w:rsidRPr="009F6406">
        <w:rPr>
          <w:i/>
        </w:rPr>
        <w:t>ES</w:t>
      </w:r>
      <w:r w:rsidRPr="009F6406">
        <w:t>=0.</w:t>
      </w:r>
      <w:r w:rsidR="00EE6819" w:rsidRPr="009F6406">
        <w:t xml:space="preserve">58), the sum score for which was made up of 2 items related to </w:t>
      </w:r>
      <w:r w:rsidR="000339E8" w:rsidRPr="009F6406">
        <w:t>physical space and presentation of the classroom.</w:t>
      </w:r>
    </w:p>
    <w:p w14:paraId="6D61501F" w14:textId="3868A61B" w:rsidR="005225F0" w:rsidRPr="009F6406" w:rsidRDefault="005225F0" w:rsidP="00EE6819">
      <w:r w:rsidRPr="009F6406">
        <w:t xml:space="preserve">None of these differences </w:t>
      </w:r>
      <w:r w:rsidR="00EE6819" w:rsidRPr="009F6406">
        <w:t xml:space="preserve">in QoT domains </w:t>
      </w:r>
      <w:r w:rsidRPr="009F6406">
        <w:t>persisted into Terms 2 and 3</w:t>
      </w:r>
      <w:r w:rsidR="00B52A32" w:rsidRPr="009F6406">
        <w:t xml:space="preserve"> after the delayed treatment group had begun to use the mast</w:t>
      </w:r>
      <w:r w:rsidR="003E2E5A" w:rsidRPr="009F6406">
        <w:t>e</w:t>
      </w:r>
      <w:r w:rsidR="00B52A32" w:rsidRPr="009F6406">
        <w:t>ry-based materials and teaching approach.</w:t>
      </w:r>
    </w:p>
    <w:p w14:paraId="494B9612" w14:textId="77777777" w:rsidR="009963A6" w:rsidRPr="009F6406" w:rsidRDefault="005225F0" w:rsidP="00E104C0">
      <w:r w:rsidRPr="009F6406">
        <w:t xml:space="preserve">For the ISTOF instrument, </w:t>
      </w:r>
      <w:r w:rsidR="009963A6" w:rsidRPr="009F6406">
        <w:t xml:space="preserve">significant and large differences were also found in Term 1 on most domains, including: </w:t>
      </w:r>
    </w:p>
    <w:p w14:paraId="73C8FE16" w14:textId="77777777" w:rsidR="009963A6" w:rsidRPr="009F6406" w:rsidRDefault="005225F0" w:rsidP="009963A6">
      <w:pPr>
        <w:pStyle w:val="ListParagraph"/>
        <w:numPr>
          <w:ilvl w:val="0"/>
          <w:numId w:val="30"/>
        </w:numPr>
      </w:pPr>
      <w:r w:rsidRPr="009F6406">
        <w:t>“Assessment and evaluation” (</w:t>
      </w:r>
      <w:r w:rsidRPr="009F6406">
        <w:rPr>
          <w:i/>
        </w:rPr>
        <w:t>B</w:t>
      </w:r>
      <w:r w:rsidRPr="009F6406">
        <w:t xml:space="preserve">=3.60, </w:t>
      </w:r>
      <w:r w:rsidRPr="009F6406">
        <w:rPr>
          <w:i/>
        </w:rPr>
        <w:t>p</w:t>
      </w:r>
      <w:r w:rsidRPr="009F6406">
        <w:t xml:space="preserve">=0.001, </w:t>
      </w:r>
      <w:r w:rsidRPr="009F6406">
        <w:rPr>
          <w:i/>
        </w:rPr>
        <w:t>ES</w:t>
      </w:r>
      <w:r w:rsidRPr="009F6406">
        <w:t>=</w:t>
      </w:r>
      <w:r w:rsidR="009963A6" w:rsidRPr="009F6406">
        <w:t xml:space="preserve">0.47), the sum score for which was made up of 4 items related to making clear why an answer is/is not correct, providing appropriate feedback, </w:t>
      </w:r>
      <w:r w:rsidR="0036188B" w:rsidRPr="009F6406">
        <w:t xml:space="preserve">giving assignments that are closely related to what </w:t>
      </w:r>
      <w:r w:rsidR="008478B6" w:rsidRPr="009F6406">
        <w:t>pupil</w:t>
      </w:r>
      <w:r w:rsidR="0036188B" w:rsidRPr="009F6406">
        <w:t>s are learning, and explaining how assignments align with learning goals.</w:t>
      </w:r>
    </w:p>
    <w:p w14:paraId="00C89220" w14:textId="77777777" w:rsidR="009963A6" w:rsidRPr="009F6406" w:rsidRDefault="005225F0" w:rsidP="009963A6">
      <w:pPr>
        <w:pStyle w:val="ListParagraph"/>
        <w:numPr>
          <w:ilvl w:val="0"/>
          <w:numId w:val="30"/>
        </w:numPr>
      </w:pPr>
      <w:r w:rsidRPr="009F6406">
        <w:t>“Clarity of instruction” (</w:t>
      </w:r>
      <w:r w:rsidRPr="009F6406">
        <w:rPr>
          <w:i/>
        </w:rPr>
        <w:t>B</w:t>
      </w:r>
      <w:r w:rsidRPr="009F6406">
        <w:t xml:space="preserve">=4.42, </w:t>
      </w:r>
      <w:r w:rsidRPr="009F6406">
        <w:rPr>
          <w:i/>
        </w:rPr>
        <w:t>p</w:t>
      </w:r>
      <w:r w:rsidRPr="009F6406">
        <w:t xml:space="preserve">&lt;0.001, </w:t>
      </w:r>
      <w:r w:rsidRPr="009F6406">
        <w:rPr>
          <w:i/>
        </w:rPr>
        <w:t>ES</w:t>
      </w:r>
      <w:r w:rsidRPr="009F6406">
        <w:t xml:space="preserve">=0.54), </w:t>
      </w:r>
      <w:r w:rsidR="0036188B" w:rsidRPr="009F6406">
        <w:t xml:space="preserve">the sum score for which was made up of 6 items related to checking for understanding regularly, communicating in a clear and understandable manner, clarifying the lesson objectives at the beginning of the lesson, asking </w:t>
      </w:r>
      <w:r w:rsidR="008478B6" w:rsidRPr="009F6406">
        <w:t>pupil</w:t>
      </w:r>
      <w:r w:rsidR="0036188B" w:rsidRPr="009F6406">
        <w:t>s to explain why activities take place, presenting the lesson with a logical flow from simple to complex concepts, and implementing the lesson with smooth and well managed transitions.</w:t>
      </w:r>
    </w:p>
    <w:p w14:paraId="299A7A1E" w14:textId="77777777" w:rsidR="009963A6" w:rsidRPr="009F6406" w:rsidRDefault="005225F0" w:rsidP="009963A6">
      <w:pPr>
        <w:pStyle w:val="ListParagraph"/>
        <w:numPr>
          <w:ilvl w:val="0"/>
          <w:numId w:val="30"/>
        </w:numPr>
      </w:pPr>
      <w:r w:rsidRPr="009F6406">
        <w:t>“Instructional skills” (</w:t>
      </w:r>
      <w:r w:rsidRPr="009F6406">
        <w:rPr>
          <w:i/>
        </w:rPr>
        <w:t>B</w:t>
      </w:r>
      <w:r w:rsidRPr="009F6406">
        <w:t xml:space="preserve">=6.30, </w:t>
      </w:r>
      <w:r w:rsidRPr="009F6406">
        <w:rPr>
          <w:i/>
        </w:rPr>
        <w:t>p</w:t>
      </w:r>
      <w:r w:rsidRPr="009F6406">
        <w:t xml:space="preserve">&lt;0.001, </w:t>
      </w:r>
      <w:r w:rsidRPr="009F6406">
        <w:rPr>
          <w:i/>
        </w:rPr>
        <w:t>ES</w:t>
      </w:r>
      <w:r w:rsidRPr="009F6406">
        <w:t xml:space="preserve">=0.55), </w:t>
      </w:r>
      <w:r w:rsidR="0036188B" w:rsidRPr="009F6406">
        <w:t xml:space="preserve">the sum score for which was made up of 6 items related to providing sufficient wait time and response strategies, giving assignments that stimulate all </w:t>
      </w:r>
      <w:r w:rsidR="008478B6" w:rsidRPr="009F6406">
        <w:t>pupil</w:t>
      </w:r>
      <w:r w:rsidR="0036188B" w:rsidRPr="009F6406">
        <w:t xml:space="preserve">s to active involvement, posing questions that encourage thinking and elicit feedback, varying the pause after a question according to difficulty, using a variety of instructional strategies, and using different instructional strategies as appropriate for different groups of </w:t>
      </w:r>
      <w:r w:rsidR="008478B6" w:rsidRPr="009F6406">
        <w:t>pupil</w:t>
      </w:r>
      <w:r w:rsidR="0036188B" w:rsidRPr="009F6406">
        <w:t>s.</w:t>
      </w:r>
    </w:p>
    <w:p w14:paraId="264B95FC" w14:textId="77777777" w:rsidR="009963A6" w:rsidRPr="009F6406" w:rsidRDefault="005225F0" w:rsidP="009963A6">
      <w:pPr>
        <w:pStyle w:val="ListParagraph"/>
        <w:numPr>
          <w:ilvl w:val="0"/>
          <w:numId w:val="30"/>
        </w:numPr>
      </w:pPr>
      <w:r w:rsidRPr="009F6406">
        <w:t>“Promoting active learning and developing metacognitive skills” (</w:t>
      </w:r>
      <w:r w:rsidRPr="009F6406">
        <w:rPr>
          <w:i/>
        </w:rPr>
        <w:t>B</w:t>
      </w:r>
      <w:r w:rsidRPr="009F6406">
        <w:t xml:space="preserve">=7.57, </w:t>
      </w:r>
      <w:r w:rsidRPr="009F6406">
        <w:rPr>
          <w:i/>
        </w:rPr>
        <w:t>p</w:t>
      </w:r>
      <w:r w:rsidRPr="009F6406">
        <w:t xml:space="preserve">=0.002, </w:t>
      </w:r>
      <w:r w:rsidRPr="009F6406">
        <w:rPr>
          <w:i/>
        </w:rPr>
        <w:t>ES</w:t>
      </w:r>
      <w:r w:rsidRPr="009F6406">
        <w:t xml:space="preserve">=0.41), </w:t>
      </w:r>
      <w:r w:rsidR="0036188B" w:rsidRPr="009F6406">
        <w:t xml:space="preserve">the sum score for which was made up of 10 items related to inviting </w:t>
      </w:r>
      <w:r w:rsidR="008478B6" w:rsidRPr="009F6406">
        <w:t>pupil</w:t>
      </w:r>
      <w:r w:rsidR="0036188B" w:rsidRPr="009F6406">
        <w:t xml:space="preserve">s to use strategies to help them solve different types of problems, inviting </w:t>
      </w:r>
      <w:r w:rsidR="008478B6" w:rsidRPr="009F6406">
        <w:t>pupil</w:t>
      </w:r>
      <w:r w:rsidR="0036188B" w:rsidRPr="009F6406">
        <w:t xml:space="preserve">s to explain the steps of the strategies they use, providing explicit problem-solving instruction, encouraging </w:t>
      </w:r>
      <w:r w:rsidR="008478B6" w:rsidRPr="009F6406">
        <w:t>pupil</w:t>
      </w:r>
      <w:r w:rsidR="0036188B" w:rsidRPr="009F6406">
        <w:t xml:space="preserve">s to ask each other questions and explain to each other, giving </w:t>
      </w:r>
      <w:r w:rsidR="008478B6" w:rsidRPr="009F6406">
        <w:t>pupil</w:t>
      </w:r>
      <w:r w:rsidR="0036188B" w:rsidRPr="009F6406">
        <w:t xml:space="preserve">s the opportunity to correct their own work, motivating </w:t>
      </w:r>
      <w:r w:rsidR="008478B6" w:rsidRPr="009F6406">
        <w:t>pupil</w:t>
      </w:r>
      <w:r w:rsidR="0036188B" w:rsidRPr="009F6406">
        <w:t xml:space="preserve">s to think about advantages and disadvantages of approaches they use, asking </w:t>
      </w:r>
      <w:r w:rsidR="008478B6" w:rsidRPr="009F6406">
        <w:t>pupil</w:t>
      </w:r>
      <w:r w:rsidR="0036188B" w:rsidRPr="009F6406">
        <w:t xml:space="preserve">s to reflect on their answers, inviting </w:t>
      </w:r>
      <w:r w:rsidR="008478B6" w:rsidRPr="009F6406">
        <w:t>pupil</w:t>
      </w:r>
      <w:r w:rsidR="0036188B" w:rsidRPr="009F6406">
        <w:t xml:space="preserve">s to give their personal opinions, systematically using material and examples from </w:t>
      </w:r>
      <w:r w:rsidR="008478B6" w:rsidRPr="009F6406">
        <w:t>pupil</w:t>
      </w:r>
      <w:r w:rsidR="0036188B" w:rsidRPr="009F6406">
        <w:t>s’ daily life to illustrate content,</w:t>
      </w:r>
      <w:r w:rsidR="008478B6" w:rsidRPr="009F6406">
        <w:t xml:space="preserve"> and</w:t>
      </w:r>
      <w:r w:rsidR="0036188B" w:rsidRPr="009F6406">
        <w:t xml:space="preserve"> inviting </w:t>
      </w:r>
      <w:r w:rsidR="008478B6" w:rsidRPr="009F6406">
        <w:t>pupil</w:t>
      </w:r>
      <w:r w:rsidR="0036188B" w:rsidRPr="009F6406">
        <w:t>s to give their own examples.</w:t>
      </w:r>
    </w:p>
    <w:p w14:paraId="3CC5B5A8" w14:textId="77777777" w:rsidR="009963A6" w:rsidRPr="009F6406" w:rsidRDefault="005225F0" w:rsidP="009963A6">
      <w:pPr>
        <w:pStyle w:val="ListParagraph"/>
        <w:numPr>
          <w:ilvl w:val="0"/>
          <w:numId w:val="30"/>
        </w:numPr>
      </w:pPr>
      <w:r w:rsidRPr="009F6406">
        <w:t>“Classroom climate” (</w:t>
      </w:r>
      <w:r w:rsidRPr="009F6406">
        <w:rPr>
          <w:i/>
        </w:rPr>
        <w:t>B</w:t>
      </w:r>
      <w:r w:rsidRPr="009F6406">
        <w:t xml:space="preserve">=7.13, </w:t>
      </w:r>
      <w:r w:rsidRPr="009F6406">
        <w:rPr>
          <w:i/>
        </w:rPr>
        <w:t>p</w:t>
      </w:r>
      <w:r w:rsidRPr="009F6406">
        <w:t xml:space="preserve">=0.012, </w:t>
      </w:r>
      <w:r w:rsidRPr="009F6406">
        <w:rPr>
          <w:i/>
        </w:rPr>
        <w:t>ES</w:t>
      </w:r>
      <w:r w:rsidRPr="009F6406">
        <w:t xml:space="preserve">=0.30), </w:t>
      </w:r>
      <w:r w:rsidR="002A57FD" w:rsidRPr="009F6406">
        <w:t>the sum score for which was made up of 8 items related to demonstrat</w:t>
      </w:r>
      <w:r w:rsidR="002D1A50" w:rsidRPr="009F6406">
        <w:t>ing warmth and empathy towards pupil</w:t>
      </w:r>
      <w:r w:rsidR="002A57FD" w:rsidRPr="009F6406">
        <w:t xml:space="preserve">s, showing respect for </w:t>
      </w:r>
      <w:r w:rsidR="002D1A50" w:rsidRPr="009F6406">
        <w:t>pupil</w:t>
      </w:r>
      <w:r w:rsidR="002A57FD" w:rsidRPr="009F6406">
        <w:t xml:space="preserve">s in behavior and language use, </w:t>
      </w:r>
      <w:r w:rsidR="002D1A50" w:rsidRPr="009F6406">
        <w:t xml:space="preserve">creating purposeful activities that engage every pupil in productive work, interactive instruction, involving pupils who do not volunteer, seeking to engage all pupils in classroom activities, praising pupils for efforts towards reaching their potential, and making clear that </w:t>
      </w:r>
      <w:r w:rsidR="00327EB7" w:rsidRPr="009F6406">
        <w:t>pupil</w:t>
      </w:r>
      <w:r w:rsidR="002D1A50" w:rsidRPr="009F6406">
        <w:t xml:space="preserve">s are expected to make their best effort. </w:t>
      </w:r>
    </w:p>
    <w:p w14:paraId="07D6CCB5" w14:textId="77777777" w:rsidR="009963A6" w:rsidRPr="009F6406" w:rsidRDefault="005225F0" w:rsidP="009963A6">
      <w:pPr>
        <w:pStyle w:val="ListParagraph"/>
        <w:numPr>
          <w:ilvl w:val="0"/>
          <w:numId w:val="30"/>
        </w:numPr>
      </w:pPr>
      <w:r w:rsidRPr="009F6406">
        <w:lastRenderedPageBreak/>
        <w:t>“Classroom management” (</w:t>
      </w:r>
      <w:r w:rsidRPr="009F6406">
        <w:rPr>
          <w:i/>
        </w:rPr>
        <w:t>B</w:t>
      </w:r>
      <w:r w:rsidRPr="009F6406">
        <w:t>=6.66,</w:t>
      </w:r>
      <w:r w:rsidRPr="009F6406">
        <w:rPr>
          <w:i/>
        </w:rPr>
        <w:t xml:space="preserve"> p</w:t>
      </w:r>
      <w:r w:rsidRPr="009F6406">
        <w:t xml:space="preserve">&lt;0.001, </w:t>
      </w:r>
      <w:r w:rsidRPr="009F6406">
        <w:rPr>
          <w:i/>
        </w:rPr>
        <w:t>ES</w:t>
      </w:r>
      <w:r w:rsidRPr="009F6406">
        <w:t>=</w:t>
      </w:r>
      <w:r w:rsidR="002D1A50" w:rsidRPr="009F6406">
        <w:t>0.52), the sum score for which was made up of 7 items related to starting the lesson on time, ensuring that pupils are involved in learning activities until the end of the lesson, taking action to minimize disruption, having clarity about when and how pupils can get help to do their work, providing clarity about what options are available when pupils finish their assignments, correcting misbehavior with measures that fit the seriousness of the misconduct, and dealing with disruptions and/or misbehavior by referring to the established rules of the classroom.</w:t>
      </w:r>
    </w:p>
    <w:p w14:paraId="5677EF4E" w14:textId="22826E41" w:rsidR="009D3CF7" w:rsidRPr="009F6406" w:rsidRDefault="009963A6" w:rsidP="00C10FE0">
      <w:r w:rsidRPr="009F6406">
        <w:t xml:space="preserve">No significant difference was found for the one remaining domain, “Differentiation and Inclusion”, the sum score for which was made up of 4 items related to </w:t>
      </w:r>
      <w:r w:rsidR="008478B6" w:rsidRPr="009F6406">
        <w:t>pupil</w:t>
      </w:r>
      <w:r w:rsidRPr="009F6406">
        <w:t xml:space="preserve">s communicating frequently with each other, all </w:t>
      </w:r>
      <w:r w:rsidR="008478B6" w:rsidRPr="009F6406">
        <w:t>pupil</w:t>
      </w:r>
      <w:r w:rsidRPr="009F6406">
        <w:t xml:space="preserve">s being actively engaged in learning, distinction in the scope of the assignment for different groups of </w:t>
      </w:r>
      <w:r w:rsidR="008478B6" w:rsidRPr="009F6406">
        <w:t>pupil</w:t>
      </w:r>
      <w:r w:rsidRPr="009F6406">
        <w:t xml:space="preserve">s, and giving additional opportunities for practice to </w:t>
      </w:r>
      <w:r w:rsidR="008478B6" w:rsidRPr="009F6406">
        <w:t>pupil</w:t>
      </w:r>
      <w:r w:rsidRPr="009F6406">
        <w:t>s who need them. Of the differences found in ISTOF domain sum scores, o</w:t>
      </w:r>
      <w:r w:rsidR="005225F0" w:rsidRPr="009F6406">
        <w:t>nly the difference between groups in “Assessment and evaluation” persisted into Term 2 (</w:t>
      </w:r>
      <w:r w:rsidR="005225F0" w:rsidRPr="009F6406">
        <w:rPr>
          <w:i/>
        </w:rPr>
        <w:t>B</w:t>
      </w:r>
      <w:r w:rsidR="005225F0" w:rsidRPr="009F6406">
        <w:t>=2.25,</w:t>
      </w:r>
      <w:r w:rsidR="005225F0" w:rsidRPr="009F6406">
        <w:rPr>
          <w:i/>
        </w:rPr>
        <w:t xml:space="preserve"> p</w:t>
      </w:r>
      <w:r w:rsidR="005225F0" w:rsidRPr="009F6406">
        <w:t xml:space="preserve">=0.005, </w:t>
      </w:r>
      <w:r w:rsidR="005225F0" w:rsidRPr="009F6406">
        <w:rPr>
          <w:i/>
        </w:rPr>
        <w:t>ES</w:t>
      </w:r>
      <w:r w:rsidR="005225F0" w:rsidRPr="009F6406">
        <w:t>=0.38)</w:t>
      </w:r>
      <w:r w:rsidR="009D3CF7" w:rsidRPr="009F6406">
        <w:t>, and there were no significant differences between groups by Term 3.</w:t>
      </w:r>
    </w:p>
    <w:p w14:paraId="73A9B6A8" w14:textId="77777777" w:rsidR="00BF606D" w:rsidRPr="009F6406" w:rsidRDefault="00BF606D" w:rsidP="00BF606D">
      <w:r w:rsidRPr="009F6406">
        <w:t>For the MECORS instrument, only 3 of the 8 domains showed significant (and large) differences between the experimental and delayed treatment groups in Term 1, including</w:t>
      </w:r>
    </w:p>
    <w:p w14:paraId="50D13355" w14:textId="77777777" w:rsidR="00BF606D" w:rsidRPr="009F6406" w:rsidRDefault="00BF606D" w:rsidP="00BF606D">
      <w:pPr>
        <w:pStyle w:val="ListParagraph"/>
        <w:numPr>
          <w:ilvl w:val="0"/>
          <w:numId w:val="31"/>
        </w:numPr>
      </w:pPr>
      <w:r w:rsidRPr="009F6406">
        <w:t>“Uses classroom management techniques” (</w:t>
      </w:r>
      <w:r w:rsidRPr="009F6406">
        <w:rPr>
          <w:i/>
        </w:rPr>
        <w:t>B</w:t>
      </w:r>
      <w:r w:rsidRPr="009F6406">
        <w:t xml:space="preserve">=4.37, </w:t>
      </w:r>
      <w:r w:rsidRPr="009F6406">
        <w:rPr>
          <w:i/>
        </w:rPr>
        <w:t>p</w:t>
      </w:r>
      <w:r w:rsidRPr="009F6406">
        <w:t xml:space="preserve">=0.004, </w:t>
      </w:r>
      <w:r w:rsidRPr="009F6406">
        <w:rPr>
          <w:i/>
        </w:rPr>
        <w:t>ES</w:t>
      </w:r>
      <w:r w:rsidRPr="009F6406">
        <w:t>=0.37), with a sum score made up of 5 items related to clear understanding of rules and consequences, starting the lesson on time, using transition time efficiently in the lesson, having materials ready and distributing them effectively, and having limited disruptions in the lesson.</w:t>
      </w:r>
    </w:p>
    <w:p w14:paraId="04AB17BA" w14:textId="77777777" w:rsidR="00BF606D" w:rsidRPr="009F6406" w:rsidRDefault="00BF606D" w:rsidP="00BF606D">
      <w:pPr>
        <w:pStyle w:val="ListParagraph"/>
        <w:numPr>
          <w:ilvl w:val="0"/>
          <w:numId w:val="31"/>
        </w:numPr>
      </w:pPr>
      <w:r w:rsidRPr="009F6406">
        <w:t>“Focuses and maintains attention on the lesson” (</w:t>
      </w:r>
      <w:r w:rsidRPr="009F6406">
        <w:rPr>
          <w:i/>
        </w:rPr>
        <w:t>B</w:t>
      </w:r>
      <w:r w:rsidRPr="009F6406">
        <w:t xml:space="preserve">=6.06, </w:t>
      </w:r>
      <w:r w:rsidRPr="009F6406">
        <w:rPr>
          <w:i/>
        </w:rPr>
        <w:t>p</w:t>
      </w:r>
      <w:r w:rsidRPr="009F6406">
        <w:t xml:space="preserve">=0.002, </w:t>
      </w:r>
      <w:r w:rsidRPr="009F6406">
        <w:rPr>
          <w:i/>
        </w:rPr>
        <w:t>ES</w:t>
      </w:r>
      <w:r w:rsidRPr="009F6406">
        <w:t>=0.42), with a sum score made up of 8 items related to clearly-stated lesson objectives, checking for prior knowledge, presenting content accurately, presenting content clearly, giving detailed directions and explanations, emphasizing key points of the lesson, maintaining an academic focus, and using a brisk pace.</w:t>
      </w:r>
    </w:p>
    <w:p w14:paraId="32B9F7DD" w14:textId="77777777" w:rsidR="00BF606D" w:rsidRPr="009F6406" w:rsidRDefault="00BF606D" w:rsidP="00BF606D">
      <w:pPr>
        <w:pStyle w:val="ListParagraph"/>
        <w:numPr>
          <w:ilvl w:val="0"/>
          <w:numId w:val="31"/>
        </w:numPr>
      </w:pPr>
      <w:r w:rsidRPr="009F6406">
        <w:t>“Demonstrates skills in questioning” (</w:t>
      </w:r>
      <w:r w:rsidRPr="009F6406">
        <w:rPr>
          <w:i/>
        </w:rPr>
        <w:t>B</w:t>
      </w:r>
      <w:r w:rsidRPr="009F6406">
        <w:t xml:space="preserve">=9.97, </w:t>
      </w:r>
      <w:r w:rsidRPr="009F6406">
        <w:rPr>
          <w:i/>
        </w:rPr>
        <w:t>p</w:t>
      </w:r>
      <w:r w:rsidRPr="009F6406">
        <w:t xml:space="preserve">=0.002, </w:t>
      </w:r>
      <w:r w:rsidRPr="009F6406">
        <w:rPr>
          <w:i/>
        </w:rPr>
        <w:t>ES</w:t>
      </w:r>
      <w:r w:rsidRPr="009F6406">
        <w:t>=0.41), with a sum score made up of 14 items related to using a high frequency of questions, asking academic questions, asking open-ended questions, probing when a response is incorrect, elaborating on answers, asking pupils to explain how they reached solutions, asking for more than one solution, using appropriate wait time, noting pupils’ mistakes, guiding pupils through errors, clearing up misconceptions, giving immediate feedback, giving accurate feedback, and giving positive feedback.</w:t>
      </w:r>
    </w:p>
    <w:p w14:paraId="0C1D15AE" w14:textId="230970B9" w:rsidR="00BF606D" w:rsidRPr="009F6406" w:rsidRDefault="00BF606D" w:rsidP="00C10FE0">
      <w:r w:rsidRPr="009F6406">
        <w:t>No significant or substantial differences based on the MECORS instrument persisted into Terms 2 and 3.</w:t>
      </w:r>
    </w:p>
    <w:p w14:paraId="58A51529" w14:textId="77777777" w:rsidR="00D77586" w:rsidRPr="009F6406" w:rsidRDefault="00D77586" w:rsidP="00D77586">
      <w:pPr>
        <w:pStyle w:val="Heading3"/>
      </w:pPr>
      <w:r w:rsidRPr="009F6406">
        <w:t>Insights from qualitative field notes and teacher interviews</w:t>
      </w:r>
    </w:p>
    <w:p w14:paraId="5029AF2B" w14:textId="12EDE5E0" w:rsidR="00A81E7D" w:rsidRPr="009F6406" w:rsidRDefault="00FE2D15" w:rsidP="00C10FE0">
      <w:r w:rsidRPr="009F6406">
        <w:t>The qualitative analysis explored variation in implementation based on the observation field notes and interview transcripts. This allowed for more in-depth consideration of features of classroom practice particular to the use of the materials and teaching approach</w:t>
      </w:r>
      <w:r w:rsidR="00D76E00" w:rsidRPr="009F6406">
        <w:t xml:space="preserve"> – as well as teachers’ views --</w:t>
      </w:r>
      <w:r w:rsidRPr="009F6406">
        <w:t xml:space="preserve"> which the structured observation schedules were not designed to measure. Additionally, w</w:t>
      </w:r>
      <w:r w:rsidR="00EF4829" w:rsidRPr="009F6406">
        <w:t>here</w:t>
      </w:r>
      <w:r w:rsidR="00D76E00" w:rsidRPr="009F6406">
        <w:t xml:space="preserve"> </w:t>
      </w:r>
      <w:r w:rsidR="00C10FE0" w:rsidRPr="009F6406">
        <w:t xml:space="preserve">large </w:t>
      </w:r>
      <w:r w:rsidR="00D76E00" w:rsidRPr="009F6406">
        <w:t xml:space="preserve">(and significant) </w:t>
      </w:r>
      <w:r w:rsidR="00EF4829" w:rsidRPr="009F6406">
        <w:t xml:space="preserve">differences were found between the experimental group and the delayed treatment group based on the Term 1 lesson observations, </w:t>
      </w:r>
      <w:r w:rsidR="00A81E7D" w:rsidRPr="009F6406">
        <w:t>these were further</w:t>
      </w:r>
      <w:r w:rsidR="00EF4829" w:rsidRPr="009F6406">
        <w:t xml:space="preserve"> explored </w:t>
      </w:r>
      <w:r w:rsidR="00FC0019" w:rsidRPr="009F6406">
        <w:t>via the observation field notes</w:t>
      </w:r>
      <w:r w:rsidR="00EF4829" w:rsidRPr="009F6406">
        <w:t xml:space="preserve"> </w:t>
      </w:r>
      <w:r w:rsidR="00A81E7D" w:rsidRPr="009F6406">
        <w:t>and</w:t>
      </w:r>
      <w:r w:rsidR="00EF4829" w:rsidRPr="009F6406">
        <w:t xml:space="preserve"> te</w:t>
      </w:r>
      <w:r w:rsidR="00C9339E" w:rsidRPr="009F6406">
        <w:t>acher interviews in order to gain more detailed understanding of</w:t>
      </w:r>
      <w:r w:rsidR="008A68FF" w:rsidRPr="009F6406">
        <w:t xml:space="preserve"> </w:t>
      </w:r>
      <w:r w:rsidR="00A81E7D" w:rsidRPr="009F6406">
        <w:t xml:space="preserve">teachers’ observed practices and behaviors and </w:t>
      </w:r>
      <w:r w:rsidR="008A68FF" w:rsidRPr="009F6406">
        <w:t>how teachers were thinking about their practice in relation to what was obser</w:t>
      </w:r>
      <w:r w:rsidR="00FC0019" w:rsidRPr="009F6406">
        <w:t xml:space="preserve">ved within each category below. This analysis considered practice across the three time points </w:t>
      </w:r>
      <w:r w:rsidR="00FC0019" w:rsidRPr="009F6406">
        <w:lastRenderedPageBreak/>
        <w:t xml:space="preserve">(Terms 1, 2 and 3) in order to offer qualitative </w:t>
      </w:r>
      <w:r w:rsidR="003C5EE9" w:rsidRPr="009F6406">
        <w:t>insights into</w:t>
      </w:r>
      <w:r w:rsidR="00FC0019" w:rsidRPr="009F6406">
        <w:t xml:space="preserve"> and potential explanations for the quantitative findings</w:t>
      </w:r>
      <w:r w:rsidR="00A81E7D" w:rsidRPr="009F6406">
        <w:t>, supported by e</w:t>
      </w:r>
      <w:r w:rsidR="00FC0019" w:rsidRPr="009F6406">
        <w:t xml:space="preserve">xcerpts from the field </w:t>
      </w:r>
      <w:r w:rsidR="00A81E7D" w:rsidRPr="009F6406">
        <w:t>notes and interview transcripts.</w:t>
      </w:r>
    </w:p>
    <w:p w14:paraId="6A31E653" w14:textId="77777777" w:rsidR="00C9339E" w:rsidRPr="009F6406" w:rsidRDefault="00C9339E" w:rsidP="00C9339E">
      <w:pPr>
        <w:pStyle w:val="Heading4"/>
      </w:pPr>
      <w:r w:rsidRPr="009F6406">
        <w:t>Classroom climate</w:t>
      </w:r>
      <w:r w:rsidR="00942C2E" w:rsidRPr="009F6406">
        <w:t xml:space="preserve"> for learning</w:t>
      </w:r>
    </w:p>
    <w:p w14:paraId="175DF8F6" w14:textId="16B0A6CF" w:rsidR="00D77586" w:rsidRPr="009F6406" w:rsidRDefault="00D77586" w:rsidP="00D77586">
      <w:r w:rsidRPr="009F6406">
        <w:t>Teacher praise, warmth, and enthusiasm were observed to some degree in every classroom and l</w:t>
      </w:r>
      <w:r w:rsidR="002C1EC0" w:rsidRPr="009F6406">
        <w:t>esson.</w:t>
      </w:r>
      <w:r w:rsidR="000D1897" w:rsidRPr="009F6406">
        <w:t xml:space="preserve"> </w:t>
      </w:r>
      <w:r w:rsidR="002A57FD" w:rsidRPr="009F6406">
        <w:t>More evidence of h</w:t>
      </w:r>
      <w:r w:rsidRPr="009F6406">
        <w:t>igh expectations of all pupils, h</w:t>
      </w:r>
      <w:r w:rsidR="00DB6ED2" w:rsidRPr="009F6406">
        <w:t xml:space="preserve">owever, </w:t>
      </w:r>
      <w:r w:rsidR="002A57FD" w:rsidRPr="009F6406">
        <w:t>was</w:t>
      </w:r>
      <w:r w:rsidR="00DB6ED2" w:rsidRPr="009F6406">
        <w:t xml:space="preserve"> more frequently directly observable</w:t>
      </w:r>
      <w:r w:rsidRPr="009F6406">
        <w:t xml:space="preserve"> in the classrooms of teachers who had started using the textbooks and </w:t>
      </w:r>
      <w:r w:rsidR="00796177" w:rsidRPr="009F6406">
        <w:t>teaching approach in September</w:t>
      </w:r>
      <w:r w:rsidR="002A57FD" w:rsidRPr="009F6406">
        <w:t>. S</w:t>
      </w:r>
      <w:r w:rsidR="00796177" w:rsidRPr="009F6406">
        <w:t xml:space="preserve">trategies for grouping pupils </w:t>
      </w:r>
      <w:r w:rsidR="00750314" w:rsidRPr="009F6406">
        <w:t>played a</w:t>
      </w:r>
      <w:r w:rsidR="002A57FD" w:rsidRPr="009F6406">
        <w:t xml:space="preserve"> pivotal</w:t>
      </w:r>
      <w:r w:rsidR="00750314" w:rsidRPr="009F6406">
        <w:t xml:space="preserve"> role in</w:t>
      </w:r>
      <w:r w:rsidR="002A57FD" w:rsidRPr="009F6406">
        <w:t xml:space="preserve"> this aspect of </w:t>
      </w:r>
      <w:r w:rsidR="002B185D" w:rsidRPr="009F6406">
        <w:t>classroom climate</w:t>
      </w:r>
      <w:r w:rsidR="00796177" w:rsidRPr="009F6406">
        <w:t>.</w:t>
      </w:r>
      <w:r w:rsidRPr="009F6406">
        <w:t xml:space="preserve"> </w:t>
      </w:r>
      <w:r w:rsidR="00796177" w:rsidRPr="009F6406">
        <w:t xml:space="preserve">For </w:t>
      </w:r>
      <w:r w:rsidRPr="009F6406">
        <w:t>the most part, groups</w:t>
      </w:r>
      <w:r w:rsidR="00796177" w:rsidRPr="009F6406">
        <w:t xml:space="preserve"> in </w:t>
      </w:r>
      <w:r w:rsidR="00412AB9" w:rsidRPr="009F6406">
        <w:t>‘</w:t>
      </w:r>
      <w:r w:rsidR="00796177" w:rsidRPr="009F6406">
        <w:t>experimental group</w:t>
      </w:r>
      <w:r w:rsidR="00412AB9" w:rsidRPr="009F6406">
        <w:t>’</w:t>
      </w:r>
      <w:r w:rsidR="00796177" w:rsidRPr="009F6406">
        <w:t xml:space="preserve"> classrooms</w:t>
      </w:r>
      <w:r w:rsidRPr="009F6406">
        <w:t xml:space="preserve"> were arranged according to a mix of perceived pupil ability or security with a given concept or topic</w:t>
      </w:r>
      <w:r w:rsidR="002B185D" w:rsidRPr="009F6406">
        <w:t xml:space="preserve">, and high expectations were clearly communicated using </w:t>
      </w:r>
      <w:r w:rsidR="00BF42D3" w:rsidRPr="009F6406">
        <w:t>phrases</w:t>
      </w:r>
      <w:r w:rsidR="002B185D" w:rsidRPr="009F6406">
        <w:t xml:space="preserve"> like “a new challenge for everyone…”</w:t>
      </w:r>
      <w:r w:rsidR="00CD3998" w:rsidRPr="009F6406">
        <w:t xml:space="preserve"> (Teacher 20, School L, experimental group, Term 1 observation)</w:t>
      </w:r>
      <w:r w:rsidR="00BF42D3" w:rsidRPr="009F6406">
        <w:t>, “I think we</w:t>
      </w:r>
      <w:r w:rsidR="002B185D" w:rsidRPr="009F6406">
        <w:t xml:space="preserve"> </w:t>
      </w:r>
      <w:r w:rsidR="00BF42D3" w:rsidRPr="009F6406">
        <w:t>have 29 people here with smart brains…”</w:t>
      </w:r>
      <w:r w:rsidR="00CD3998" w:rsidRPr="009F6406">
        <w:t xml:space="preserve"> (Teacher 2, School E, experimental group, Term 1 observation)</w:t>
      </w:r>
      <w:r w:rsidR="00BF42D3" w:rsidRPr="009F6406">
        <w:t xml:space="preserve">, </w:t>
      </w:r>
      <w:r w:rsidR="002B185D" w:rsidRPr="009F6406">
        <w:t xml:space="preserve">and positive climate for learning was also reflected through </w:t>
      </w:r>
      <w:r w:rsidR="008478B6" w:rsidRPr="009F6406">
        <w:t>pupil</w:t>
      </w:r>
      <w:r w:rsidR="002B185D" w:rsidRPr="009F6406">
        <w:t xml:space="preserve"> excitement and eagerness to participate</w:t>
      </w:r>
      <w:r w:rsidRPr="009F6406">
        <w:t xml:space="preserve">. The language used in professional development sessions focused on security of understanding with respect to a particular topic, rather than on perceptions of pupil ability in a more global sense. This may have contributed to the ways in which teachers who had already attended professional development sessions before the beginning of the school year were addressing and responding to pupils in their classrooms during mathematics lessons. </w:t>
      </w:r>
      <w:r w:rsidR="00796177" w:rsidRPr="009F6406">
        <w:t xml:space="preserve">Groups in </w:t>
      </w:r>
      <w:r w:rsidR="00412AB9" w:rsidRPr="009F6406">
        <w:t>the ‘</w:t>
      </w:r>
      <w:r w:rsidR="00796177" w:rsidRPr="009F6406">
        <w:t>delayed treatment group</w:t>
      </w:r>
      <w:r w:rsidR="00412AB9" w:rsidRPr="009F6406">
        <w:t>’</w:t>
      </w:r>
      <w:r w:rsidR="00796177" w:rsidRPr="009F6406">
        <w:t xml:space="preserve"> classrooms, on the other hand, were more often defined by similar perceived pupil ability and were observed to be given explicitly different tasks (or difficulty levels of task) accordingly</w:t>
      </w:r>
      <w:r w:rsidR="002B185D" w:rsidRPr="009F6406">
        <w:t>, sometimes accompanied by language that communicated lower expectations, e.g. “you may not be ready for that quite yet, why don’t you try this instead…”</w:t>
      </w:r>
      <w:r w:rsidR="00796177" w:rsidRPr="009F6406">
        <w:t xml:space="preserve"> </w:t>
      </w:r>
      <w:r w:rsidR="00473844" w:rsidRPr="009F6406">
        <w:t>(Teacher 15, School D</w:t>
      </w:r>
      <w:r w:rsidR="00CD3998" w:rsidRPr="009F6406">
        <w:t xml:space="preserve">, delayed treatment group, Term 1). </w:t>
      </w:r>
      <w:r w:rsidR="00796177" w:rsidRPr="009F6406">
        <w:t xml:space="preserve">This was not unilateral across the delayed treatment group; in 3 classrooms within this group, teachers assigned the same task to all </w:t>
      </w:r>
      <w:r w:rsidR="008478B6" w:rsidRPr="009F6406">
        <w:t>pupil</w:t>
      </w:r>
      <w:r w:rsidR="00796177" w:rsidRPr="009F6406">
        <w:t>s, and whether or not groups were defined in terms of homogeneous ability was not clearly observable.</w:t>
      </w:r>
    </w:p>
    <w:p w14:paraId="0B24C40C" w14:textId="2F775BCA" w:rsidR="00796177" w:rsidRPr="009F6406" w:rsidRDefault="00796177" w:rsidP="00D77586">
      <w:r w:rsidRPr="009F6406">
        <w:t xml:space="preserve">By the end of the year, differences across the experimental and delayed treatment groups of teachers in terms of classroom climate were </w:t>
      </w:r>
      <w:r w:rsidR="00440A9B" w:rsidRPr="009F6406">
        <w:t xml:space="preserve">much </w:t>
      </w:r>
      <w:r w:rsidRPr="009F6406">
        <w:t>less apparent</w:t>
      </w:r>
      <w:r w:rsidR="00750314" w:rsidRPr="009F6406">
        <w:t>. The textbook and teaching approach were being used in most classrooms (with the exception of those noted below in the section on fidelity to intervention)</w:t>
      </w:r>
      <w:r w:rsidR="002A57FD" w:rsidRPr="009F6406">
        <w:t>, along with mixed-ability grouping strategies</w:t>
      </w:r>
      <w:r w:rsidRPr="009F6406">
        <w:t>. There was still some variation, but this did not</w:t>
      </w:r>
      <w:r w:rsidR="00440A9B" w:rsidRPr="009F6406">
        <w:t xml:space="preserve"> seem to</w:t>
      </w:r>
      <w:r w:rsidRPr="009F6406">
        <w:t xml:space="preserve"> represent a systematic pattern of differences across groups</w:t>
      </w:r>
      <w:r w:rsidR="00D4570F" w:rsidRPr="009F6406">
        <w:t xml:space="preserve"> based on the analysis of field notes</w:t>
      </w:r>
      <w:r w:rsidRPr="009F6406">
        <w:t xml:space="preserve">. </w:t>
      </w:r>
      <w:r w:rsidR="00750314" w:rsidRPr="009F6406">
        <w:t xml:space="preserve">Several delayed treatment group teachers expressed concerns in their interviews that the content they had started with in January was “too basic” or “too slow” for their pupils, but this was not </w:t>
      </w:r>
      <w:r w:rsidR="00536DC5" w:rsidRPr="009F6406">
        <w:t>directly</w:t>
      </w:r>
      <w:r w:rsidR="002A57FD" w:rsidRPr="009F6406">
        <w:t xml:space="preserve"> observed in terms of the classroom climate of their lessons.</w:t>
      </w:r>
    </w:p>
    <w:p w14:paraId="1C81A933" w14:textId="77777777" w:rsidR="00DB6ED2" w:rsidRPr="009F6406" w:rsidRDefault="00DB6ED2" w:rsidP="00D77586">
      <w:r w:rsidRPr="009F6406">
        <w:t xml:space="preserve">This theme </w:t>
      </w:r>
      <w:r w:rsidR="002A57FD" w:rsidRPr="009F6406">
        <w:t xml:space="preserve">linking classroom climate to grouping strategies and the use of a consistent activity across all groups of </w:t>
      </w:r>
      <w:r w:rsidR="00327EB7" w:rsidRPr="009F6406">
        <w:t>pupil</w:t>
      </w:r>
      <w:r w:rsidR="002A57FD" w:rsidRPr="009F6406">
        <w:t xml:space="preserve">s converges with quantitative findings from the ISTOF and QoT instruments, specifically the Term 1 differences found in “Stimulating learning climate” on the QoT instrument and “Climate for learning” on the ISTOF instrument. </w:t>
      </w:r>
    </w:p>
    <w:p w14:paraId="3544BCC7" w14:textId="77777777" w:rsidR="00FA6347" w:rsidRPr="009F6406" w:rsidRDefault="00AF56CD" w:rsidP="00FA6347">
      <w:pPr>
        <w:pStyle w:val="Heading4"/>
      </w:pPr>
      <w:r w:rsidRPr="009F6406">
        <w:t>Clear teacher communication</w:t>
      </w:r>
    </w:p>
    <w:p w14:paraId="290B016D" w14:textId="77777777" w:rsidR="00D77586" w:rsidRPr="009F6406" w:rsidRDefault="00B82F3F" w:rsidP="00D77586">
      <w:r w:rsidRPr="009F6406">
        <w:t xml:space="preserve">In experimental group classrooms in Term 1 lesson observations, there were few instances observed in which whole groups of pupils were demonstrably misunderstanding procedures or activity instructions; pupils typically had activities explained verbally as well as represented in textbooks on their tables or projected on document projectors or smart boards. </w:t>
      </w:r>
      <w:r w:rsidR="00225DD9" w:rsidRPr="009F6406">
        <w:t>In</w:t>
      </w:r>
      <w:r w:rsidRPr="009F6406">
        <w:t xml:space="preserve"> </w:t>
      </w:r>
      <w:r w:rsidR="00E07086" w:rsidRPr="009F6406">
        <w:t>about half of the</w:t>
      </w:r>
      <w:r w:rsidRPr="009F6406">
        <w:t xml:space="preserve"> del</w:t>
      </w:r>
      <w:r w:rsidR="00225DD9" w:rsidRPr="009F6406">
        <w:t xml:space="preserve">ayed treatment group classrooms, there </w:t>
      </w:r>
      <w:r w:rsidRPr="009F6406">
        <w:t xml:space="preserve">was </w:t>
      </w:r>
      <w:r w:rsidR="00E07086" w:rsidRPr="009F6406">
        <w:t>some</w:t>
      </w:r>
      <w:r w:rsidRPr="009F6406">
        <w:t xml:space="preserve"> evidence of pupils misunderstanding directions or procedures</w:t>
      </w:r>
      <w:r w:rsidR="00225DD9" w:rsidRPr="009F6406">
        <w:t xml:space="preserve"> communicated by the teacher, particularly in parts of lessons when pupils were expected </w:t>
      </w:r>
      <w:r w:rsidR="00225DD9" w:rsidRPr="009F6406">
        <w:lastRenderedPageBreak/>
        <w:t>to choose from a selection of different activities after some direct instruction, or engage in activities via different media</w:t>
      </w:r>
      <w:r w:rsidRPr="009F6406">
        <w:t xml:space="preserve">. For example: </w:t>
      </w:r>
    </w:p>
    <w:p w14:paraId="264271FD" w14:textId="77777777" w:rsidR="00B82F3F" w:rsidRPr="009F6406" w:rsidRDefault="00B82F3F" w:rsidP="00B82F3F">
      <w:pPr>
        <w:ind w:left="720"/>
        <w:rPr>
          <w:i/>
        </w:rPr>
      </w:pPr>
      <w:r w:rsidRPr="009F6406">
        <w:rPr>
          <w:i/>
        </w:rPr>
        <w:t xml:space="preserve">Task instructions were to build a tower and then add 1 more. Groups are building towers, one group building but without books to record what they are doing, one pupil working with one-to-one support, one group using white boards with TA [teaching assistant]. In three of the groups, </w:t>
      </w:r>
      <w:r w:rsidR="008478B6" w:rsidRPr="009F6406">
        <w:rPr>
          <w:i/>
        </w:rPr>
        <w:t>pupil</w:t>
      </w:r>
      <w:r w:rsidRPr="009F6406">
        <w:rPr>
          <w:i/>
        </w:rPr>
        <w:t xml:space="preserve">s are not consistently adding 1 more after building; one of the groups with books is not recording. The teacher circulates to several but not all groups. </w:t>
      </w:r>
    </w:p>
    <w:p w14:paraId="5E1BC403" w14:textId="77777777" w:rsidR="00B82F3F" w:rsidRPr="009F6406" w:rsidRDefault="00B82F3F" w:rsidP="00CA5C0D">
      <w:pPr>
        <w:ind w:left="720"/>
        <w:rPr>
          <w:i/>
        </w:rPr>
      </w:pPr>
      <w:r w:rsidRPr="009F6406">
        <w:rPr>
          <w:i/>
        </w:rPr>
        <w:t>At the end of the lesson, the teacher says: “Some of you struggled with tha</w:t>
      </w:r>
      <w:r w:rsidR="00C14AD6" w:rsidRPr="009F6406">
        <w:rPr>
          <w:i/>
        </w:rPr>
        <w:t xml:space="preserve">t, which is fine, we’ll do it again tomorrow…” then goes through several more examples with the whole group responding in chorus. Some children are calling out incorrect answers but this does not stand out so is not always addressed but the correct answer is often repeated. </w:t>
      </w:r>
      <w:r w:rsidR="00C14AD6" w:rsidRPr="009F6406">
        <w:t>(Teacher 10, School H, delayed treatment group, Term 1 observation)</w:t>
      </w:r>
      <w:r w:rsidRPr="009F6406">
        <w:rPr>
          <w:i/>
        </w:rPr>
        <w:t xml:space="preserve"> </w:t>
      </w:r>
    </w:p>
    <w:p w14:paraId="6A3B7D68" w14:textId="77777777" w:rsidR="00225DD9" w:rsidRPr="009F6406" w:rsidRDefault="00225DD9" w:rsidP="00225DD9">
      <w:r w:rsidRPr="009F6406">
        <w:t>This is not a judgment of the skill of teachers in the delayed treatment group. Rather, as pervasive misunderstandings that reflected a lack of clear communication seemed to occur most when pupils were engaging in different activities at once, it seems possible that an aspect of practice used quite frequently with young children in England – giving them a choice of activity or assigning different tasks to different groups – has the potential to be detrimental to clear communication in the classroom.</w:t>
      </w:r>
    </w:p>
    <w:p w14:paraId="0746E237" w14:textId="77777777" w:rsidR="00257A14" w:rsidRPr="009F6406" w:rsidRDefault="00CA5C0D" w:rsidP="00D77586">
      <w:r w:rsidRPr="009F6406">
        <w:t xml:space="preserve">By the Term 2 </w:t>
      </w:r>
      <w:r w:rsidR="009963A6" w:rsidRPr="009F6406">
        <w:t xml:space="preserve">and 3 </w:t>
      </w:r>
      <w:r w:rsidRPr="009F6406">
        <w:t xml:space="preserve">lesson observations, teachers in both the experimental and delayed treatment groups were using textbooks and the Singapore-based </w:t>
      </w:r>
      <w:r w:rsidRPr="009F6406">
        <w:rPr>
          <w:i/>
        </w:rPr>
        <w:t xml:space="preserve">Inspire Maths </w:t>
      </w:r>
      <w:r w:rsidRPr="009F6406">
        <w:t>teaching approach in lessons.</w:t>
      </w:r>
      <w:r w:rsidR="00E07086" w:rsidRPr="009F6406">
        <w:t xml:space="preserve"> While there were some instances of task directions that were not clear in several classrooms, some delayed treatment group and some experimental group, no pervasive patterns were apparent from the analysis of the field notes.</w:t>
      </w:r>
    </w:p>
    <w:p w14:paraId="45610CE1" w14:textId="77777777" w:rsidR="00E07086" w:rsidRPr="009F6406" w:rsidRDefault="00E07086" w:rsidP="00D77586">
      <w:r w:rsidRPr="009F6406">
        <w:t xml:space="preserve">The theme of clear communication linked to the use of textbooks and other printed materials as well as to the use of a consistent task for the whole class, which was also mentioned above for the theme related to climate for learning, converges with findings from the quantitative observation data. In particular, the specific aspects of lessons described in this section help to suggest possible reasons for the differences in “Clear instruction” on the QoT instrument and “Clarity of instruction” on the ISTOF instrument, </w:t>
      </w:r>
      <w:r w:rsidR="008153DE" w:rsidRPr="009F6406">
        <w:t xml:space="preserve">as well as on “Focuses and maintains attention on lesson” on the MECORS instrument (which, as noted above, includes items relevant to clear communication, instructions and explanations). </w:t>
      </w:r>
    </w:p>
    <w:p w14:paraId="3737F6B8" w14:textId="77777777" w:rsidR="00AF56CD" w:rsidRPr="009F6406" w:rsidRDefault="00AF56CD" w:rsidP="00AF56CD">
      <w:pPr>
        <w:pStyle w:val="Heading4"/>
      </w:pPr>
      <w:r w:rsidRPr="009F6406">
        <w:t xml:space="preserve">Management of </w:t>
      </w:r>
      <w:r w:rsidR="00B00897" w:rsidRPr="009F6406">
        <w:t>lesson</w:t>
      </w:r>
      <w:r w:rsidRPr="009F6406">
        <w:t xml:space="preserve"> resources and pupil </w:t>
      </w:r>
      <w:r w:rsidR="00870E22" w:rsidRPr="009F6406">
        <w:t xml:space="preserve">task-oriented </w:t>
      </w:r>
      <w:r w:rsidRPr="009F6406">
        <w:t>behavior</w:t>
      </w:r>
    </w:p>
    <w:p w14:paraId="7900C8A8" w14:textId="071916AD" w:rsidR="00E258AA" w:rsidRPr="009F6406" w:rsidRDefault="0057692C" w:rsidP="00D647BF">
      <w:pPr>
        <w:spacing w:before="0" w:after="200" w:line="276" w:lineRule="auto"/>
      </w:pPr>
      <w:r w:rsidRPr="009F6406">
        <w:t>All teachers used strategies to get pu</w:t>
      </w:r>
      <w:r w:rsidR="00E258AA" w:rsidRPr="009F6406">
        <w:t>pils to listen as a whole class. F</w:t>
      </w:r>
      <w:r w:rsidRPr="009F6406">
        <w:t xml:space="preserve">or example, over half of the teachers used either a clap-echo strategy (clapping a pattern for students to repeat as a signal to pay attention) or </w:t>
      </w:r>
      <w:r w:rsidR="00E258AA" w:rsidRPr="009F6406">
        <w:t>similar signal (e.g. ringing a bell; Teacher 2, School E, experimental group, Term 2 observation) to let students know that the teacher wanted them to be listening.</w:t>
      </w:r>
      <w:r w:rsidRPr="009F6406">
        <w:t xml:space="preserve"> </w:t>
      </w:r>
      <w:r w:rsidR="00E258AA" w:rsidRPr="009F6406">
        <w:t xml:space="preserve">Similarly, behavior management was largely similar across the experimental and delayed treatment groups, with most teachers frequently using positive approaches to ensure that students engaged in on-task behaviors (e.g. “I see </w:t>
      </w:r>
      <w:r w:rsidR="007A3B09" w:rsidRPr="009F6406">
        <w:t xml:space="preserve">[student name] </w:t>
      </w:r>
      <w:r w:rsidR="00E258AA" w:rsidRPr="009F6406">
        <w:t xml:space="preserve">ready, I see </w:t>
      </w:r>
      <w:r w:rsidR="00DC75EF" w:rsidRPr="009F6406">
        <w:t xml:space="preserve">[student name] </w:t>
      </w:r>
      <w:r w:rsidR="00E258AA" w:rsidRPr="009F6406">
        <w:t>ready…”; Teacher 9, School J, delayed treatment group, Term 1 observation) and addressing disrupti</w:t>
      </w:r>
      <w:r w:rsidR="00591C08" w:rsidRPr="009F6406">
        <w:t xml:space="preserve">ons in supportive ways (“Will you come to the table with me and show me how much you know?” in response to two pupils fighting over a toy in a corner of the room; Teacher 20, School L, experimental group, Term 2 observation). </w:t>
      </w:r>
    </w:p>
    <w:p w14:paraId="2E1ED0BD" w14:textId="77777777" w:rsidR="00591C08" w:rsidRPr="009F6406" w:rsidRDefault="00591C08" w:rsidP="00D647BF">
      <w:pPr>
        <w:spacing w:before="0" w:after="200" w:line="276" w:lineRule="auto"/>
      </w:pPr>
      <w:r w:rsidRPr="009F6406">
        <w:lastRenderedPageBreak/>
        <w:t xml:space="preserve">Where different patterns were observed based on the field notes, however, was in the extent to which all pupils were kept on task. In 2 of the experimental group classrooms in term 1, versus 5 of the delayed treatment group classrooms, situations were recorded in field notes in which one or more children were engaged in off-task (not actively disruptive) behaviors where teachers did not address this to re-engage pupils within a few minutes. This may have been related to relative heterogeneity of tasks and activities, as were clarity and climate; it is possible that off-task behaviors (particularly quiet off-task behaviors such as drawing and daydreaming) were more difficult to notice when different groups of pupils were engaged in different types of activity. </w:t>
      </w:r>
      <w:r w:rsidR="004823AA" w:rsidRPr="009F6406">
        <w:t>F</w:t>
      </w:r>
      <w:r w:rsidRPr="009F6406">
        <w:t xml:space="preserve">or example, when a child in one </w:t>
      </w:r>
      <w:r w:rsidR="004823AA" w:rsidRPr="009F6406">
        <w:t xml:space="preserve">delayed treatment </w:t>
      </w:r>
      <w:r w:rsidRPr="009F6406">
        <w:t>classroom wandered to a corner to read rather than do one of the selection of mathematics activities at various tables from which pupils had been asked to choose, 6 minutes passed before the teacher asked the pupil to try the activity at a nearby table</w:t>
      </w:r>
      <w:r w:rsidR="004823AA" w:rsidRPr="009F6406">
        <w:t>, and in the meantime the teacher had been working closely with a particular group of students in a different part of the classroom.</w:t>
      </w:r>
    </w:p>
    <w:p w14:paraId="6F3AB84D" w14:textId="77777777" w:rsidR="004823AA" w:rsidRPr="009F6406" w:rsidRDefault="004823AA" w:rsidP="00D647BF">
      <w:pPr>
        <w:spacing w:before="0" w:after="200" w:line="276" w:lineRule="auto"/>
      </w:pPr>
      <w:r w:rsidRPr="009F6406">
        <w:t xml:space="preserve">Similarly, efficient routines for organizing and distributing materials and resources were observed more frequently in Term 1 in experimental classrooms using the textbooks and teaching approach; 6 of these classrooms had either put caddies on tables with a selection of books and manipulatives to be used, or had packets of manipulatives and/or textbooks and practice books, while 3 had books on shelves and routines in place for pupils to get themselves (the latter typically took slightly more time away from learning activities). Teachers in 5 of the delayed treatment classrooms also had caddies with materials (e.g. markers, pencils, books and glue sticks) on tables for pupils to access efficiently, and routines for getting pupils to record their work in books; 2 teachers in this group also had worksheets ready on tables at the beginning of the lesson. However, the majority of the delayed treatment group used some form of worksheet or manipulative during the lesson that took time to distribute, which took some time away from the learning activity at hand. </w:t>
      </w:r>
    </w:p>
    <w:p w14:paraId="3ABD536A" w14:textId="77777777" w:rsidR="004823AA" w:rsidRPr="009F6406" w:rsidRDefault="00870E22" w:rsidP="00D647BF">
      <w:pPr>
        <w:spacing w:before="0" w:after="200" w:line="276" w:lineRule="auto"/>
      </w:pPr>
      <w:r w:rsidRPr="009F6406">
        <w:t>These findings from the field notes suggest that the differences found on the observation schedule domains (in “Effective classroom organization” and “Effective classroom layout” on the QoT instrument, “Classroom management” on the ISTOF instrument, and “Uses classroom management techniques” on the MECORS instrument”) were not related to relative differences in overall quality of classroom management or handling of disruptions and misbehavior. Instead, the more fine-grained detail available from the field notes illustrates the particular aspects where the use of the textbooks and teaching approach can make a difference, specifically with regard to facilitating the teacher’s awareness of quiet off-task behaviors and efficient management of manipulatives, books and other classroom resources.</w:t>
      </w:r>
    </w:p>
    <w:p w14:paraId="0C35E3A6" w14:textId="77777777" w:rsidR="004636D3" w:rsidRPr="009F6406" w:rsidRDefault="00B00897" w:rsidP="004636D3">
      <w:pPr>
        <w:pStyle w:val="Heading4"/>
      </w:pPr>
      <w:r w:rsidRPr="009F6406">
        <w:t>Attending to individual pupil needs and differences</w:t>
      </w:r>
    </w:p>
    <w:p w14:paraId="0A6B1E7D" w14:textId="77777777" w:rsidR="00D77586" w:rsidRPr="009F6406" w:rsidRDefault="007E61FB" w:rsidP="00814612">
      <w:pPr>
        <w:spacing w:before="0" w:after="200" w:line="276" w:lineRule="auto"/>
      </w:pPr>
      <w:r w:rsidRPr="009F6406">
        <w:t>T</w:t>
      </w:r>
      <w:r w:rsidR="00535029" w:rsidRPr="009F6406">
        <w:t xml:space="preserve">he ways in which teachers spoke about </w:t>
      </w:r>
      <w:r w:rsidR="00B80157" w:rsidRPr="009F6406">
        <w:t>pupils’ abilities and needs shed light on how they were conceptualizing</w:t>
      </w:r>
      <w:r w:rsidR="00DD51CE" w:rsidRPr="009F6406">
        <w:t xml:space="preserve"> individual pupil needs and abilities</w:t>
      </w:r>
      <w:r w:rsidR="00814612" w:rsidRPr="009F6406">
        <w:t>.</w:t>
      </w:r>
      <w:r w:rsidR="00285B15" w:rsidRPr="009F6406">
        <w:t xml:space="preserve"> </w:t>
      </w:r>
      <w:r w:rsidR="00814612" w:rsidRPr="009F6406">
        <w:t>N</w:t>
      </w:r>
      <w:r w:rsidR="002B7ADD" w:rsidRPr="009F6406">
        <w:t>otably</w:t>
      </w:r>
      <w:r w:rsidR="00814612" w:rsidRPr="009F6406">
        <w:t>, teachers</w:t>
      </w:r>
      <w:r w:rsidR="002B7ADD" w:rsidRPr="009F6406">
        <w:t xml:space="preserve"> in the experimental group were more commonly speaking about ability as a flexible and changeable concept, and about what </w:t>
      </w:r>
      <w:r w:rsidR="008478B6" w:rsidRPr="009F6406">
        <w:t>pupil</w:t>
      </w:r>
      <w:r w:rsidR="002B7ADD" w:rsidRPr="009F6406">
        <w:t>s had and had not mastered in concrete and specific terms</w:t>
      </w:r>
      <w:r w:rsidR="00C93CD5" w:rsidRPr="009F6406">
        <w:t>,</w:t>
      </w:r>
      <w:r w:rsidR="002B7ADD" w:rsidRPr="009F6406">
        <w:t xml:space="preserve"> by the first round of interviews in September-October: </w:t>
      </w:r>
    </w:p>
    <w:p w14:paraId="4A7D6A51" w14:textId="77777777" w:rsidR="002B7ADD" w:rsidRPr="009F6406" w:rsidRDefault="002B7ADD" w:rsidP="002B7ADD">
      <w:pPr>
        <w:ind w:left="720"/>
      </w:pPr>
      <w:r w:rsidRPr="009F6406">
        <w:rPr>
          <w:i/>
        </w:rPr>
        <w:lastRenderedPageBreak/>
        <w:t xml:space="preserve">“…There’s one little boy in particular who’s very, erm, hot, for want of a better word, on his maths concepts, he just seems to grasp and run with, so he’s going to be one to keep an eye on to make sure we’re extending. Erm, there’s a little group, erm, that, erm, aren’t as confident recognizing their numbers to 20. There’s one little girl in particular who had one to one, erm, intervention last year, and she still can’t write her name, and she still can’t recognize all her sounds, erm, still can’t count to ten and recognize all her numbers, so she will definitely be one to pinpoint in the followup…” </w:t>
      </w:r>
      <w:r w:rsidRPr="009F6406">
        <w:t xml:space="preserve">(Teacher 8, School A, </w:t>
      </w:r>
      <w:r w:rsidR="008364E2" w:rsidRPr="009F6406">
        <w:t xml:space="preserve">experimental group, </w:t>
      </w:r>
      <w:r w:rsidRPr="009F6406">
        <w:t>Term 1 interview).</w:t>
      </w:r>
    </w:p>
    <w:p w14:paraId="48647526" w14:textId="77777777" w:rsidR="002B7ADD" w:rsidRPr="009F6406" w:rsidRDefault="002B7ADD" w:rsidP="002B7ADD">
      <w:pPr>
        <w:ind w:left="720"/>
      </w:pPr>
      <w:r w:rsidRPr="009F6406">
        <w:rPr>
          <w:i/>
        </w:rPr>
        <w:t>“…We’ve got a few girls, but again, quite normal, a few girls who actually, you would, by watching, possibly perceive them to be less able, but actually in talking to them they’re just scared, and they just don’t want to get anything wrong, so they’re just reluctant to write something down in case it’s not right.”</w:t>
      </w:r>
      <w:r w:rsidRPr="009F6406">
        <w:t xml:space="preserve"> (Teacher 20, School L,</w:t>
      </w:r>
      <w:r w:rsidR="008364E2" w:rsidRPr="009F6406">
        <w:t xml:space="preserve"> experimental group,</w:t>
      </w:r>
      <w:r w:rsidRPr="009F6406">
        <w:t xml:space="preserve"> Term 1 interview).</w:t>
      </w:r>
    </w:p>
    <w:p w14:paraId="50EF16D5" w14:textId="77777777" w:rsidR="00AC4EBD" w:rsidRPr="009F6406" w:rsidRDefault="002B7ADD" w:rsidP="002B7ADD">
      <w:r w:rsidRPr="009F6406">
        <w:t>Meanwhile, in that first round of interviews, when teachers in the delayed treatment group discussed pupils’ abilities, they more often used language such as “low” and “high” or “levels”</w:t>
      </w:r>
      <w:r w:rsidR="00AC4EBD" w:rsidRPr="009F6406">
        <w:t xml:space="preserve"> to describe in</w:t>
      </w:r>
      <w:r w:rsidR="002D319A" w:rsidRPr="009F6406">
        <w:t>dividuals and groups of pupils.</w:t>
      </w:r>
    </w:p>
    <w:p w14:paraId="7F4BD605" w14:textId="77777777" w:rsidR="002B7ADD" w:rsidRPr="009F6406" w:rsidRDefault="00AC4EBD" w:rsidP="00AC4EBD">
      <w:pPr>
        <w:ind w:left="720"/>
      </w:pPr>
      <w:r w:rsidRPr="009F6406">
        <w:rPr>
          <w:i/>
        </w:rPr>
        <w:t>“…You have to keep pushing them to the point where you’re teaching a completely different thing to those who are higher than to those who are lower.”</w:t>
      </w:r>
      <w:r w:rsidRPr="009F6406">
        <w:t xml:space="preserve"> (Teacher 11, School H, </w:t>
      </w:r>
      <w:r w:rsidR="008364E2" w:rsidRPr="009F6406">
        <w:t xml:space="preserve">delayed treatment group, </w:t>
      </w:r>
      <w:r w:rsidRPr="009F6406">
        <w:t>Term 1 interview)</w:t>
      </w:r>
    </w:p>
    <w:p w14:paraId="1B5E8C8F" w14:textId="77777777" w:rsidR="00AC4EBD" w:rsidRPr="009F6406" w:rsidRDefault="00AC4EBD" w:rsidP="00AC4EBD">
      <w:pPr>
        <w:ind w:left="720"/>
      </w:pPr>
      <w:r w:rsidRPr="009F6406">
        <w:rPr>
          <w:i/>
        </w:rPr>
        <w:t>“There’s a child, [names the child], who, he, he’s on the special needs registers, he’s just very poor all round, and there’s a speech and language issue as well, so he, he should come out as very low, unless he’s sat next to somebody very able.”</w:t>
      </w:r>
      <w:r w:rsidRPr="009F6406">
        <w:t xml:space="preserve"> (Teacher 15, School D, </w:t>
      </w:r>
      <w:r w:rsidR="008364E2" w:rsidRPr="009F6406">
        <w:t xml:space="preserve">delayed treatment group, </w:t>
      </w:r>
      <w:r w:rsidRPr="009F6406">
        <w:t>Term 1 interview)</w:t>
      </w:r>
    </w:p>
    <w:p w14:paraId="1542FE7A" w14:textId="0DB18838" w:rsidR="00AC4EBD" w:rsidRPr="009F6406" w:rsidRDefault="00AC4EBD" w:rsidP="00AC4EBD">
      <w:r w:rsidRPr="009F6406">
        <w:t xml:space="preserve">There were some exceptions to this </w:t>
      </w:r>
      <w:r w:rsidR="00A87EBF" w:rsidRPr="009F6406">
        <w:t xml:space="preserve">general </w:t>
      </w:r>
      <w:r w:rsidRPr="009F6406">
        <w:t xml:space="preserve">pattern. For example, one teacher in </w:t>
      </w:r>
      <w:r w:rsidR="007B5890" w:rsidRPr="009F6406">
        <w:t xml:space="preserve">experimental group referring to pupils as “lows” and “highs”, and one teacher in </w:t>
      </w:r>
      <w:r w:rsidRPr="009F6406">
        <w:t>the delayed treatment group spoke about using ability-based groups for some activities and not others to allow pupils to engage in activities and extend their learning based on interest rather than teacher-identified ability:</w:t>
      </w:r>
    </w:p>
    <w:p w14:paraId="46294E75" w14:textId="77777777" w:rsidR="00AC4EBD" w:rsidRPr="009F6406" w:rsidRDefault="00AC4EBD" w:rsidP="00AC4EBD">
      <w:pPr>
        <w:ind w:left="720"/>
      </w:pPr>
      <w:r w:rsidRPr="009F6406">
        <w:rPr>
          <w:i/>
        </w:rPr>
        <w:t>“They are my higher ability, erm, but I don’t always have them working in that group all of the time, so that you could see there were lots of maths challenges out linked to our, erm, skill of addition, so, the way I try and do it is to let the children choose which activity they’d like to go to and take the learning to them…”</w:t>
      </w:r>
      <w:r w:rsidRPr="009F6406">
        <w:t xml:space="preserve"> (Teacher 14, School D, </w:t>
      </w:r>
      <w:r w:rsidR="008364E2" w:rsidRPr="009F6406">
        <w:t xml:space="preserve">delayed treatment group, </w:t>
      </w:r>
      <w:r w:rsidRPr="009F6406">
        <w:t>Term 1 interview)</w:t>
      </w:r>
    </w:p>
    <w:p w14:paraId="39B3CAED" w14:textId="52047CC5" w:rsidR="008364E2" w:rsidRPr="009F6406" w:rsidRDefault="008364E2" w:rsidP="008364E2">
      <w:r w:rsidRPr="009F6406">
        <w:t xml:space="preserve">While the above </w:t>
      </w:r>
      <w:r w:rsidR="00A87EBF" w:rsidRPr="009F6406">
        <w:t xml:space="preserve">general </w:t>
      </w:r>
      <w:r w:rsidRPr="009F6406">
        <w:t xml:space="preserve">patterns persisted somewhat </w:t>
      </w:r>
      <w:r w:rsidR="007B5890" w:rsidRPr="009F6406">
        <w:t xml:space="preserve">through to Term 3, with several teachers in the delayed treatment group and one </w:t>
      </w:r>
      <w:r w:rsidR="00C32191" w:rsidRPr="009F6406">
        <w:t xml:space="preserve">in the experimental group still referring to “low-” and “high-” ability pupils, most teachers were discussing pupils’ specific grasping of a given concept rather than </w:t>
      </w:r>
      <w:r w:rsidR="00A87EBF" w:rsidRPr="009F6406">
        <w:t xml:space="preserve">making </w:t>
      </w:r>
      <w:r w:rsidR="00C32191" w:rsidRPr="009F6406">
        <w:t>global ability judgments</w:t>
      </w:r>
      <w:r w:rsidRPr="009F6406">
        <w:t xml:space="preserve">. As one teacher described this shift in thinking explicitly: </w:t>
      </w:r>
    </w:p>
    <w:p w14:paraId="417CB991" w14:textId="77777777" w:rsidR="008364E2" w:rsidRPr="009F6406" w:rsidRDefault="008364E2" w:rsidP="008364E2">
      <w:pPr>
        <w:ind w:left="720"/>
      </w:pPr>
      <w:r w:rsidRPr="009F6406">
        <w:rPr>
          <w:i/>
        </w:rPr>
        <w:t>“My TA said to me the other day, do you want me to sit with the lower ability, the lower, like, but for months now, the lower, like, we’ve been split into tables – and I’ve got one old lower here, one lower here, and I was like, no, no, no, we’re not doing that. So, erm, yeah, it’s just kind of changing that mindset, I think…”</w:t>
      </w:r>
      <w:r w:rsidRPr="009F6406">
        <w:t xml:space="preserve"> (Teacher 16, School F, delayed treatment group, Term 3 interview)</w:t>
      </w:r>
    </w:p>
    <w:p w14:paraId="68E7D6DA" w14:textId="77777777" w:rsidR="00D77586" w:rsidRPr="009F6406" w:rsidRDefault="00535029" w:rsidP="00D77586">
      <w:r w:rsidRPr="009F6406">
        <w:lastRenderedPageBreak/>
        <w:t xml:space="preserve">Strategies for grouping children during lessons were also indicative of the ways in which teachers </w:t>
      </w:r>
      <w:r w:rsidR="004636D3" w:rsidRPr="009F6406">
        <w:t>conceptualized</w:t>
      </w:r>
      <w:r w:rsidRPr="009F6406">
        <w:t xml:space="preserve"> </w:t>
      </w:r>
      <w:r w:rsidR="004636D3" w:rsidRPr="009F6406">
        <w:t>and addressed</w:t>
      </w:r>
      <w:r w:rsidRPr="009F6406">
        <w:t xml:space="preserve"> individual pupil needs and differences. </w:t>
      </w:r>
      <w:r w:rsidR="00D77586" w:rsidRPr="009F6406">
        <w:t>The explicit advice given during professional development sessions provided before and during participating teachers’ use of the textbook and teaching approach was that teachers should arrange pupils in mixed-ability groups outside of whole-class carpet work. While in most classes teachers adhered to a mixed-ability grouping strategy by the end of the year (only one September-start class was using observably ability-based grouping), the strategies that teachers used to arrange pupils in mixed-ability groups differed. For example, several teachers had relatively fixed groups over the course of a term, while others changed groupings according to how they found pupils coping with different topics; in some classes, pupils were paired or grouped who had differing but not widely differing levels of security in their understanding of the mathematics being taught, and in several other classes pairings or groupings were more extreme in heterogeneity (e.g. pupils with the most secure understanding of a given topic were paired with those who were struggling the most). The rationales behind these grouping strategies were not always immediately obvious through direct observation, but could be inferred to some degree from the ways in which teachers instructed and interacted with different pupils and groups during group-work and individual activities</w:t>
      </w:r>
      <w:r w:rsidRPr="009F6406">
        <w:t>, such as time spent with particular groups or individuals while circulating, and the extent to which re-teaching versus open-ended questioning took place during such interactions</w:t>
      </w:r>
      <w:r w:rsidR="00D77586" w:rsidRPr="009F6406">
        <w:t>. By the end of the year, the lessons in some classrooms included established norms for immediate intervention that linked to the ways in which group-work was undertaken. In three classrooms, teachers or other adults in the classroom (e.g. Learning Assistants) pulled aside groups of pupils for additional support with group-work or individual activities, and in one of these classes the intervention group was observably lesson-specific as the teacher said explicitly, “The group that will be coming to the carpet to work with me today is…”</w:t>
      </w:r>
      <w:r w:rsidRPr="009F6406">
        <w:t xml:space="preserve"> (Teacher 4, School B, </w:t>
      </w:r>
      <w:r w:rsidR="008364E2" w:rsidRPr="009F6406">
        <w:t xml:space="preserve">experimental group, </w:t>
      </w:r>
      <w:r w:rsidRPr="009F6406">
        <w:t>Term 3 observation)</w:t>
      </w:r>
      <w:r w:rsidR="00D77586" w:rsidRPr="009F6406">
        <w:t xml:space="preserve">. </w:t>
      </w:r>
    </w:p>
    <w:p w14:paraId="212A479B" w14:textId="39E66E93" w:rsidR="00EE6148" w:rsidRPr="009F6406" w:rsidRDefault="00EE6148" w:rsidP="00D77586">
      <w:r w:rsidRPr="009F6406">
        <w:t xml:space="preserve">Although questioning techniques did not emerge as a major aspect of adapting teaching to individual needs as strongly </w:t>
      </w:r>
      <w:r w:rsidR="00A87EBF" w:rsidRPr="009F6406">
        <w:t xml:space="preserve">as was found </w:t>
      </w:r>
      <w:r w:rsidRPr="009F6406">
        <w:t xml:space="preserve">in Term 1, lesson observations and interviews in Term 3 reflected use and planning of questioning strategies as a particular feature of differentiation and inclusion. This was apparent across over half of the experimental group teachers’ lessons, but also in several delayed treatment group lessons. One teacher’s comments help to highlight this approach: </w:t>
      </w:r>
    </w:p>
    <w:p w14:paraId="6E09DA0D" w14:textId="77777777" w:rsidR="00EE6148" w:rsidRPr="009F6406" w:rsidRDefault="00EE6148" w:rsidP="00EE6148">
      <w:pPr>
        <w:tabs>
          <w:tab w:val="left" w:pos="1699"/>
        </w:tabs>
        <w:ind w:left="720"/>
      </w:pPr>
      <w:r w:rsidRPr="009F6406">
        <w:rPr>
          <w:i/>
        </w:rPr>
        <w:t>“Or trying to then make the links, if I change this, what happens. Or when we did the, erm, number trains with cubes, well could you then make three number trains that are less than seven, with twenty cubes, or can you make three trains that are greater than seven, they couldn’t, well, brilliant, and some of them were just doing that, whereas others had finished and now, well how many more cubes would you need to make it possible. So I suppose it’s having those other questions.”</w:t>
      </w:r>
      <w:r w:rsidRPr="009F6406">
        <w:t xml:space="preserve"> (Teacher 17, School F, delayed treatment group, Term 3 interview)</w:t>
      </w:r>
    </w:p>
    <w:p w14:paraId="0AFF0F46" w14:textId="5BB7C510" w:rsidR="008364E2" w:rsidRPr="009F6406" w:rsidRDefault="001646F5" w:rsidP="00D77586">
      <w:r w:rsidRPr="009F6406">
        <w:t xml:space="preserve">Taken together, these findings </w:t>
      </w:r>
      <w:r w:rsidR="00DD51CE" w:rsidRPr="009F6406">
        <w:t xml:space="preserve">from interviews and field notes suggest </w:t>
      </w:r>
      <w:r w:rsidR="007E61FB" w:rsidRPr="009F6406">
        <w:t>that</w:t>
      </w:r>
      <w:r w:rsidRPr="009F6406">
        <w:t xml:space="preserve"> adopting a mastery-oriented teaching approach may shift conceptualizations of pupil ability and learning needs from global person-oriented to concept-</w:t>
      </w:r>
      <w:r w:rsidR="007E61FB" w:rsidRPr="009F6406">
        <w:t xml:space="preserve">specific and flexible judgments. </w:t>
      </w:r>
      <w:r w:rsidR="00DD51CE" w:rsidRPr="009F6406">
        <w:t>This conceptualization led to more flexible ways of addressing individual needs lesson by lesson, which differs somewhat from the items included in relevant domains of the observation schedules used.  The QoT sum score on “Adaptation of teaching”, for example, was influenced by items about adapting the scope of an assignment</w:t>
      </w:r>
      <w:r w:rsidR="00CB6D56" w:rsidRPr="009F6406">
        <w:t xml:space="preserve">. Reflecting the whole class focus and emphasis on </w:t>
      </w:r>
      <w:r w:rsidR="00DB28FA" w:rsidRPr="009F6406">
        <w:t>mastery and specific nature of the intervention related to not planning differently-pitched assignments for different pupils</w:t>
      </w:r>
      <w:r w:rsidR="00CB6D56" w:rsidRPr="009F6406">
        <w:t xml:space="preserve">, </w:t>
      </w:r>
      <w:r w:rsidR="00DD51CE" w:rsidRPr="009F6406">
        <w:t xml:space="preserve"> experimental group teachers </w:t>
      </w:r>
      <w:r w:rsidR="00CB6D56" w:rsidRPr="009F6406">
        <w:t>had lower ratings than the delayed treatment group</w:t>
      </w:r>
      <w:r w:rsidR="00DD51CE" w:rsidRPr="009F6406">
        <w:t xml:space="preserve"> in Term 1 on this domain</w:t>
      </w:r>
      <w:r w:rsidR="00CB6D56" w:rsidRPr="009F6406">
        <w:t xml:space="preserve">. </w:t>
      </w:r>
      <w:r w:rsidR="00DD51CE" w:rsidRPr="009F6406">
        <w:t xml:space="preserve"> </w:t>
      </w:r>
      <w:r w:rsidR="00CB6D56" w:rsidRPr="009F6406">
        <w:t>T</w:t>
      </w:r>
      <w:r w:rsidR="00DD51CE" w:rsidRPr="009F6406">
        <w:t>he ISTOF domain of “Differentiation and inclusion</w:t>
      </w:r>
      <w:r w:rsidR="00CB6D56" w:rsidRPr="009F6406">
        <w:t>,</w:t>
      </w:r>
      <w:r w:rsidR="00DD51CE" w:rsidRPr="009F6406">
        <w:t>”</w:t>
      </w:r>
      <w:r w:rsidR="00CB6D56" w:rsidRPr="009F6406">
        <w:t xml:space="preserve"> meanwhile,</w:t>
      </w:r>
      <w:r w:rsidR="00DD51CE" w:rsidRPr="009F6406">
        <w:t xml:space="preserve"> combined items related </w:t>
      </w:r>
      <w:r w:rsidR="00DD51CE" w:rsidRPr="009F6406">
        <w:lastRenderedPageBreak/>
        <w:t xml:space="preserve">to involving all </w:t>
      </w:r>
      <w:r w:rsidR="00327EB7" w:rsidRPr="009F6406">
        <w:t>pupil</w:t>
      </w:r>
      <w:r w:rsidR="00DD51CE" w:rsidRPr="009F6406">
        <w:t>s with items related to adapting the scope of assignments and the amount of practice opportunities and showed no significant differences between groups in Term 1</w:t>
      </w:r>
      <w:r w:rsidR="00CB6D56" w:rsidRPr="009F6406">
        <w:t>.</w:t>
      </w:r>
      <w:r w:rsidR="00CF258B" w:rsidRPr="009F6406">
        <w:t xml:space="preserve"> </w:t>
      </w:r>
      <w:r w:rsidR="00CB6D56" w:rsidRPr="009F6406">
        <w:t xml:space="preserve">The </w:t>
      </w:r>
      <w:r w:rsidR="00CF258B" w:rsidRPr="009F6406">
        <w:t>“Instructional skills”</w:t>
      </w:r>
      <w:r w:rsidR="00CB6D56" w:rsidRPr="009F6406">
        <w:t xml:space="preserve"> ISTOF domain, however,</w:t>
      </w:r>
      <w:r w:rsidR="00CF258B" w:rsidRPr="009F6406">
        <w:t xml:space="preserve"> did show a significant difference in favor of the experimental group</w:t>
      </w:r>
      <w:r w:rsidR="00CB6D56" w:rsidRPr="009F6406">
        <w:t xml:space="preserve">; this domain </w:t>
      </w:r>
      <w:r w:rsidR="00CF258B" w:rsidRPr="009F6406">
        <w:t>included one item on using different instructional strategies for different groups of pupils (which was overshadowed by a larger number of items not related to differentiation within that domain</w:t>
      </w:r>
      <w:r w:rsidR="00CB6D56" w:rsidRPr="009F6406">
        <w:t>)</w:t>
      </w:r>
      <w:r w:rsidR="00DD51CE" w:rsidRPr="009F6406">
        <w:t xml:space="preserve">. </w:t>
      </w:r>
      <w:r w:rsidR="00CB6D56" w:rsidRPr="009F6406">
        <w:t>The findings presented in this section demonstrate that</w:t>
      </w:r>
      <w:r w:rsidR="00DD51CE" w:rsidRPr="009F6406">
        <w:t xml:space="preserve"> the qualitative field notes and interviews were able to pick up on</w:t>
      </w:r>
      <w:r w:rsidR="00CF258B" w:rsidRPr="009F6406">
        <w:t xml:space="preserve"> and illustrate</w:t>
      </w:r>
      <w:r w:rsidR="00DD51CE" w:rsidRPr="009F6406">
        <w:t xml:space="preserve"> aspects not covered in the observation instruments</w:t>
      </w:r>
      <w:r w:rsidR="00CB6D56" w:rsidRPr="009F6406">
        <w:t>, presenting a much clearer narrative of the ways in which teachers were addressing and understanding individual needs and differences</w:t>
      </w:r>
      <w:r w:rsidR="00DD51CE" w:rsidRPr="009F6406">
        <w:t>.</w:t>
      </w:r>
    </w:p>
    <w:p w14:paraId="75F9AF4B" w14:textId="77777777" w:rsidR="00B00897" w:rsidRPr="009F6406" w:rsidRDefault="00A8273B" w:rsidP="00B00897">
      <w:pPr>
        <w:pStyle w:val="Heading4"/>
      </w:pPr>
      <w:r w:rsidRPr="009F6406">
        <w:t>Questioning</w:t>
      </w:r>
      <w:r w:rsidR="00327EB7" w:rsidRPr="009F6406">
        <w:t>, feedback</w:t>
      </w:r>
      <w:r w:rsidR="00B96A3E" w:rsidRPr="009F6406">
        <w:t xml:space="preserve"> </w:t>
      </w:r>
      <w:r w:rsidRPr="009F6406">
        <w:t>and mathematical discourse around problem solving</w:t>
      </w:r>
    </w:p>
    <w:p w14:paraId="06C6B94D" w14:textId="23674818" w:rsidR="00D77586" w:rsidRPr="009F6406" w:rsidRDefault="00D77586" w:rsidP="00D77586">
      <w:r w:rsidRPr="009F6406">
        <w:t>In classrooms where the textbook and teaching approach were being used at the beginning of the year, teachers could be heard using more frequent “how” and “why” questions</w:t>
      </w:r>
      <w:r w:rsidR="00327EB7" w:rsidRPr="009F6406">
        <w:t xml:space="preserve"> as part of their feedback in response to pupil contributions</w:t>
      </w:r>
      <w:r w:rsidR="000D1897" w:rsidRPr="009F6406">
        <w:t xml:space="preserve"> (e.g. </w:t>
      </w:r>
      <w:r w:rsidR="00EF4829" w:rsidRPr="009F6406">
        <w:rPr>
          <w:i/>
        </w:rPr>
        <w:t xml:space="preserve">Teacher says, </w:t>
      </w:r>
      <w:r w:rsidR="000D1897" w:rsidRPr="009F6406">
        <w:rPr>
          <w:i/>
        </w:rPr>
        <w:t xml:space="preserve">“Brilliant, how do you know?” after a pupils says there are fewer of one object than another; </w:t>
      </w:r>
      <w:r w:rsidR="000D1897" w:rsidRPr="009F6406">
        <w:t>Teacher 1, School K, experimental group, Term 1)</w:t>
      </w:r>
      <w:r w:rsidRPr="009F6406">
        <w:t>. By the third term, this was a feature in nearly all observed lessons. At the same time, there were also more rapid-fire questions requiring brief answers used in second- and third-term lessons in the classrooms where the textbooks and teaching approach had been used since September</w:t>
      </w:r>
      <w:r w:rsidR="00EF3EAD" w:rsidRPr="009F6406">
        <w:t xml:space="preserve">, though these forms of questioning were </w:t>
      </w:r>
      <w:r w:rsidR="00DB28FA" w:rsidRPr="009F6406">
        <w:t xml:space="preserve">now </w:t>
      </w:r>
      <w:r w:rsidR="00EF3EAD" w:rsidRPr="009F6406">
        <w:t>being used in some delayed treatment classrooms as well</w:t>
      </w:r>
      <w:r w:rsidRPr="009F6406">
        <w:t xml:space="preserve">. One teacher articulated that she saw a particular utility in using rapid-fire questioning to build fluency, and that she was using this more after implementing the teaching approach as part of the study: </w:t>
      </w:r>
    </w:p>
    <w:p w14:paraId="10BF6590" w14:textId="77777777" w:rsidR="00D77586" w:rsidRPr="009F6406" w:rsidRDefault="00A8273B" w:rsidP="00A8273B">
      <w:pPr>
        <w:ind w:left="720"/>
      </w:pPr>
      <w:r w:rsidRPr="009F6406">
        <w:rPr>
          <w:i/>
        </w:rPr>
        <w:t>“I wouldn’t have used that approach before, but it gets the children involved, it turns on their thinking a bit [laughs] at the start…”</w:t>
      </w:r>
      <w:r w:rsidRPr="009F6406">
        <w:t xml:space="preserve"> (Teacher 12, School I, delayed treatment group, Term 3 interview)</w:t>
      </w:r>
    </w:p>
    <w:p w14:paraId="19A80DB2" w14:textId="77777777" w:rsidR="00ED2216" w:rsidRPr="009F6406" w:rsidRDefault="00D77586" w:rsidP="00D77586">
      <w:r w:rsidRPr="009F6406">
        <w:t>Amongst the first-term lessons observed, an explicit focus on mathematical language was observed more frequently in classrooms in which the textbook and teaching approach were being used</w:t>
      </w:r>
      <w:r w:rsidR="00ED2216" w:rsidRPr="009F6406">
        <w:t>. For example, teachers in most of the experimental group classrooms explicitly guided pupils’ use of language (e.g. around concepts of “more” and “fewer”) or prompted for complete answers</w:t>
      </w:r>
      <w:r w:rsidR="00D647BF" w:rsidRPr="009F6406">
        <w:t xml:space="preserve"> (e.g. “Give me your </w:t>
      </w:r>
      <w:r w:rsidR="00D647BF" w:rsidRPr="009F6406">
        <w:rPr>
          <w:i/>
        </w:rPr>
        <w:t>full</w:t>
      </w:r>
      <w:r w:rsidR="00D647BF" w:rsidRPr="009F6406">
        <w:t xml:space="preserve"> answer…”; Teacher 3, School B, experimental group, Term 1 observation)</w:t>
      </w:r>
      <w:r w:rsidR="00ED2216" w:rsidRPr="009F6406">
        <w:t xml:space="preserve"> in lessons observed during the Term 1 school visits, while pupils were observed to give partial or vague answers that were accepted as correct in more than half of the delayed treatment group classrooms in Term 1. </w:t>
      </w:r>
      <w:r w:rsidR="00872536" w:rsidRPr="009F6406">
        <w:t xml:space="preserve">By Term 2, several experimental group teachers had routinized their focus on mathematical discourse. One teacher described a classroom routine as follows: </w:t>
      </w:r>
    </w:p>
    <w:p w14:paraId="5F222AF9" w14:textId="77777777" w:rsidR="00872536" w:rsidRPr="009F6406" w:rsidRDefault="00872536" w:rsidP="00872536">
      <w:pPr>
        <w:ind w:left="720"/>
      </w:pPr>
      <w:r w:rsidRPr="009F6406">
        <w:rPr>
          <w:i/>
        </w:rPr>
        <w:t>“We always start off our maths lesson with a bit of a conversation, or bit of a kind of a challenge thing, then they get to talk to their partners and discuss and give reasons as to how they came to the answer and why, rather than just, yeah, the answer’s twelve, to explain it.”</w:t>
      </w:r>
      <w:r w:rsidRPr="009F6406">
        <w:t xml:space="preserve"> (Teacher 3, School B, experimental group, Term 2  interview)</w:t>
      </w:r>
    </w:p>
    <w:p w14:paraId="3CD76CF9" w14:textId="4B568139" w:rsidR="00A8273B" w:rsidRPr="009F6406" w:rsidRDefault="00D77586" w:rsidP="00D77586">
      <w:r w:rsidRPr="009F6406">
        <w:t xml:space="preserve">In those first lesson observations, many teachers were necessarily prescriptive about procedures, </w:t>
      </w:r>
      <w:r w:rsidR="00C10435" w:rsidRPr="009F6406">
        <w:t>because</w:t>
      </w:r>
      <w:r w:rsidRPr="009F6406">
        <w:t xml:space="preserve"> pupils were largely learning basic number concepts and comparisons. In later observations, there was some variety in the extent to which teachers co-constructed problem-solving approaches with children, mainly with regard to addition and subtraction. In the second term, most teachers were using a single approach with the whole class which pupils had the opportunity to practice in groups and individually using the scaffolding of concrete resources, then pictures to support problem-solving, then problems in a more abstract form (e.g. number bonds with a visual layout to support the part-part-whole approach)</w:t>
      </w:r>
      <w:r w:rsidR="00C10435" w:rsidRPr="009F6406">
        <w:t>. I</w:t>
      </w:r>
      <w:r w:rsidR="00A8273B" w:rsidRPr="009F6406">
        <w:t xml:space="preserve">n </w:t>
      </w:r>
      <w:r w:rsidR="00C10435" w:rsidRPr="009F6406">
        <w:t xml:space="preserve">a minority of </w:t>
      </w:r>
      <w:r w:rsidR="00A8273B" w:rsidRPr="009F6406">
        <w:t xml:space="preserve">5 classrooms (2 experimental, 3 delayed treatment) </w:t>
      </w:r>
      <w:r w:rsidR="00A8273B" w:rsidRPr="009F6406">
        <w:lastRenderedPageBreak/>
        <w:t>teachers did not move beyond the stage of using manipulatives within the observed lessons</w:t>
      </w:r>
      <w:r w:rsidR="00B96A3E" w:rsidRPr="009F6406">
        <w:t>, and in a few lessons there was less to no use of pictures (particularly when teaching structures of addition)</w:t>
      </w:r>
      <w:r w:rsidR="00A8273B" w:rsidRPr="009F6406">
        <w:t xml:space="preserve">. The following except illustrates the typical flow of </w:t>
      </w:r>
      <w:r w:rsidR="00B96A3E" w:rsidRPr="009F6406">
        <w:t xml:space="preserve">a </w:t>
      </w:r>
      <w:r w:rsidR="00A8273B" w:rsidRPr="009F6406">
        <w:t xml:space="preserve">problem solving </w:t>
      </w:r>
      <w:r w:rsidR="00B96A3E" w:rsidRPr="009F6406">
        <w:t>conversation</w:t>
      </w:r>
      <w:r w:rsidR="00A8273B" w:rsidRPr="009F6406">
        <w:t xml:space="preserve"> moving from concrete to abstract strategies: </w:t>
      </w:r>
    </w:p>
    <w:p w14:paraId="2F7C501E" w14:textId="77777777" w:rsidR="00A8273B" w:rsidRPr="009F6406" w:rsidRDefault="00A8273B" w:rsidP="00B96A3E">
      <w:pPr>
        <w:spacing w:after="0"/>
        <w:ind w:left="720"/>
        <w:rPr>
          <w:i/>
        </w:rPr>
      </w:pPr>
      <w:r w:rsidRPr="009F6406">
        <w:rPr>
          <w:i/>
        </w:rPr>
        <w:t>Teacher: So you see that 3 and 1 make 4 [children nod]. How could we check?</w:t>
      </w:r>
    </w:p>
    <w:p w14:paraId="4F1A6990" w14:textId="77777777" w:rsidR="00A8273B" w:rsidRPr="009F6406" w:rsidRDefault="00A8273B" w:rsidP="00B96A3E">
      <w:pPr>
        <w:spacing w:after="0"/>
        <w:ind w:left="720"/>
        <w:rPr>
          <w:i/>
        </w:rPr>
      </w:pPr>
      <w:r w:rsidRPr="009F6406">
        <w:rPr>
          <w:i/>
        </w:rPr>
        <w:t>Pupil: Because there’s three, you can push in the extra one and the</w:t>
      </w:r>
      <w:r w:rsidR="00B96A3E" w:rsidRPr="009F6406">
        <w:rPr>
          <w:i/>
        </w:rPr>
        <w:t xml:space="preserve">n </w:t>
      </w:r>
      <w:r w:rsidRPr="009F6406">
        <w:rPr>
          <w:i/>
        </w:rPr>
        <w:t>see it’s four [referring to multi-link cubes.</w:t>
      </w:r>
    </w:p>
    <w:p w14:paraId="43508AE9" w14:textId="77777777" w:rsidR="00B96A3E" w:rsidRPr="009F6406" w:rsidRDefault="00A8273B" w:rsidP="00B96A3E">
      <w:pPr>
        <w:spacing w:after="0"/>
        <w:ind w:left="720"/>
        <w:rPr>
          <w:i/>
        </w:rPr>
      </w:pPr>
      <w:r w:rsidRPr="009F6406">
        <w:rPr>
          <w:i/>
        </w:rPr>
        <w:t>Teacher: Yeah! We call this the part-part-whole</w:t>
      </w:r>
      <w:r w:rsidR="00B96A3E" w:rsidRPr="009F6406">
        <w:rPr>
          <w:i/>
        </w:rPr>
        <w:t xml:space="preserve"> [displaying image on board, one circle for each part linked to an additional circle for the whole]</w:t>
      </w:r>
    </w:p>
    <w:p w14:paraId="03EDDF12" w14:textId="217BFB02" w:rsidR="00A8273B" w:rsidRPr="009F6406" w:rsidRDefault="00B96A3E" w:rsidP="00B96A3E">
      <w:pPr>
        <w:spacing w:after="0"/>
        <w:ind w:left="720"/>
        <w:rPr>
          <w:i/>
        </w:rPr>
      </w:pPr>
      <w:r w:rsidRPr="009F6406">
        <w:rPr>
          <w:i/>
        </w:rPr>
        <w:t xml:space="preserve"> [Pupil groups proceed with another example, and then the class comes back together to the carpet to debrief. After some </w:t>
      </w:r>
      <w:r w:rsidR="00C10435" w:rsidRPr="009F6406">
        <w:rPr>
          <w:i/>
        </w:rPr>
        <w:t xml:space="preserve">[pupil] </w:t>
      </w:r>
      <w:r w:rsidRPr="009F6406">
        <w:rPr>
          <w:i/>
        </w:rPr>
        <w:t>volunteers have demonstrated how to write what they have done with multi-link cubes in part-part-whole form, the teacher proceeds to ask…]</w:t>
      </w:r>
    </w:p>
    <w:p w14:paraId="57936185" w14:textId="77777777" w:rsidR="00B96A3E" w:rsidRPr="009F6406" w:rsidRDefault="00B96A3E" w:rsidP="00B96A3E">
      <w:pPr>
        <w:ind w:left="720"/>
      </w:pPr>
      <w:r w:rsidRPr="009F6406">
        <w:rPr>
          <w:i/>
        </w:rPr>
        <w:t xml:space="preserve">Teacher: Now if you’re done it, is there another way? Show me another way in your books. </w:t>
      </w:r>
      <w:r w:rsidRPr="009F6406">
        <w:t>(Teacher 18, School G, delayed treatment group, Term 2 observation)</w:t>
      </w:r>
    </w:p>
    <w:p w14:paraId="4C111D0F" w14:textId="4CBB578B" w:rsidR="00D647BF" w:rsidRPr="009F6406" w:rsidRDefault="00D647BF" w:rsidP="00D647BF">
      <w:r w:rsidRPr="009F6406">
        <w:t xml:space="preserve">These types of interactions were not entirely exclusive to the use of the textbook and teaching approach, as some delayed treatment teachers were prompting pupils in similar ways in Term 1 (e.g. “Can you think of another way to make 6?”; Teacher 14, School D, delayed treatment group, Term 1 observation). However, these types of conversations around solving in other ways and eliciting approaches and procedures from pupils happened more frequently in experimental group lessons in the first term, and </w:t>
      </w:r>
      <w:r w:rsidR="00C10435" w:rsidRPr="009F6406">
        <w:t xml:space="preserve">subsequently </w:t>
      </w:r>
      <w:r w:rsidRPr="009F6406">
        <w:t>more frequent</w:t>
      </w:r>
      <w:r w:rsidR="00666673" w:rsidRPr="009F6406">
        <w:t>ly over time within both groups in observed lessons</w:t>
      </w:r>
      <w:r w:rsidR="00C10435" w:rsidRPr="009F6406">
        <w:t xml:space="preserve"> in Terms 2 and 3.</w:t>
      </w:r>
    </w:p>
    <w:p w14:paraId="479497F3" w14:textId="77777777" w:rsidR="00D77586" w:rsidRPr="009F6406" w:rsidRDefault="007B5890" w:rsidP="00D77586">
      <w:r w:rsidRPr="009F6406">
        <w:t xml:space="preserve">Although for the most part solving procedures remained prescriptive across both experimental and delayed treatment groups through Term 3, there was evidence of increasing use of varying the ways of representing those procedures with increased use of the materials and teaching approach. This was observable in lessons, as </w:t>
      </w:r>
      <w:r w:rsidR="00B96A3E" w:rsidRPr="009F6406">
        <w:t xml:space="preserve">most </w:t>
      </w:r>
      <w:r w:rsidRPr="009F6406">
        <w:t xml:space="preserve">teachers represented problem-solving procedures in at least two ways in Term 2 and Term 3 observations across both experimental and delayed treatment groups. Some teachers also articulated this as a difference in their practice after implementing the materials and teaching approach. As one put it: </w:t>
      </w:r>
    </w:p>
    <w:p w14:paraId="2A961467" w14:textId="77777777" w:rsidR="007B5890" w:rsidRPr="009F6406" w:rsidRDefault="007B5890" w:rsidP="007B5890">
      <w:pPr>
        <w:ind w:left="567"/>
      </w:pPr>
      <w:r w:rsidRPr="009F6406">
        <w:rPr>
          <w:i/>
        </w:rPr>
        <w:t xml:space="preserve">“We’re trying to learn how to become masters and doing it in lots of different ways. And I think before when I thought I was doing that, probably now I can see the difference that actually I wasn’t going into as much detail as I maybe should’ve been before, so I would say, no, that’s definitely changed. And, you know, showing it in one way, and just because they can do it in one way doesn’t mean they’ve got the understanding to show it in another, and I find that, that they can show me with the Numicon, but if I challenge them to show me in a different way, you know, they’re kind of maybe thrown a little bit, so, working on that approach is really the main thing that has changed.” </w:t>
      </w:r>
      <w:r w:rsidRPr="009F6406">
        <w:t>(Teacher 16, School F, delayed treatment group, Term 2 interview)</w:t>
      </w:r>
    </w:p>
    <w:p w14:paraId="5A998610" w14:textId="3B01909E" w:rsidR="00B96A3E" w:rsidRPr="009F6406" w:rsidRDefault="00B96A3E" w:rsidP="00B96A3E">
      <w:r w:rsidRPr="009F6406">
        <w:t xml:space="preserve">The findings from field notes suggest that the use of the textbook and teaching approach prompted different approaches to questioning and guiding conversations around problem-solving, supported by the use of multiple representations, which converges with the results from the observation schedules that showed differences in domains containing items relevant to questioning in Term 1 in favor of the experimental group (specifically, “Activating pupils” on the QoT instrument, “Promoting active learning and developing metacognitive skills” and “Instructional skills” on the ISTOF instrument, and “Demonstrates skills in questioning” on the MECORS instrument). The quotes and excerpts </w:t>
      </w:r>
      <w:r w:rsidRPr="009F6406">
        <w:lastRenderedPageBreak/>
        <w:t xml:space="preserve">given above help to illustrate what questioning </w:t>
      </w:r>
      <w:r w:rsidR="00327EB7" w:rsidRPr="009F6406">
        <w:t xml:space="preserve">and feedback </w:t>
      </w:r>
      <w:r w:rsidRPr="009F6406">
        <w:t xml:space="preserve">strategies and problem solving </w:t>
      </w:r>
      <w:r w:rsidR="004972E0" w:rsidRPr="009F6406">
        <w:t>discourse looked and sounded like in lessons, as well as providing teachers’ perspectives that illuminate some of the thinking that might have been driving these practices</w:t>
      </w:r>
      <w:r w:rsidR="006047D0" w:rsidRPr="009F6406">
        <w:t xml:space="preserve"> and how they changed across the three terms</w:t>
      </w:r>
      <w:r w:rsidR="004972E0" w:rsidRPr="009F6406">
        <w:t xml:space="preserve">.  </w:t>
      </w:r>
    </w:p>
    <w:p w14:paraId="4EB8FB10" w14:textId="77777777" w:rsidR="00D82CDB" w:rsidRPr="009F6406" w:rsidRDefault="00D82CDB" w:rsidP="00D82CDB">
      <w:pPr>
        <w:pStyle w:val="Heading4"/>
      </w:pPr>
      <w:r w:rsidRPr="009F6406">
        <w:t>Variations in practice specific to the materials and teaching approach</w:t>
      </w:r>
    </w:p>
    <w:p w14:paraId="32FAE17C" w14:textId="079BFAFA" w:rsidR="006D439C" w:rsidRPr="009F6406" w:rsidRDefault="006D439C" w:rsidP="006D439C">
      <w:r w:rsidRPr="009F6406">
        <w:t xml:space="preserve">The materials and teaching approach were designed to be comprehensive, with lessons taught in a particular sequence. </w:t>
      </w:r>
      <w:r w:rsidR="007744D9" w:rsidRPr="009F6406">
        <w:t xml:space="preserve">This was discussed in the professional development sessions that teachers attended before they started to use the materials and teaching approach. </w:t>
      </w:r>
      <w:r w:rsidRPr="009F6406">
        <w:t>There was, however, scope for teachers to use their professional judgment to guide the specific ways in which they used the textbook and printed materials, the way they structured their lessons, and the ways in which they used additional resources (e.g. manipulatives, additional warm-up activities). This section presents ways in which these aspects varied across teachers and classrooms based on qualitative field notes and interviews, including but not limited to cases in which variations in the use (or lack of use) of the textbooks and teaching approach constituted a lack of fidelity to the intervention</w:t>
      </w:r>
      <w:r w:rsidR="00076DCE" w:rsidRPr="009F6406">
        <w:t xml:space="preserve"> within the context of this study</w:t>
      </w:r>
      <w:r w:rsidRPr="009F6406">
        <w:t xml:space="preserve">.  </w:t>
      </w:r>
    </w:p>
    <w:p w14:paraId="29847A31" w14:textId="77777777" w:rsidR="00D82CDB" w:rsidRPr="009F6406" w:rsidRDefault="00D82CDB" w:rsidP="00D82CDB">
      <w:pPr>
        <w:pStyle w:val="Heading5"/>
      </w:pPr>
      <w:r w:rsidRPr="009F6406">
        <w:t>Approaches to textbook use</w:t>
      </w:r>
    </w:p>
    <w:p w14:paraId="5A507A6C" w14:textId="6A61F9D6" w:rsidR="00D77586" w:rsidRPr="009F6406" w:rsidRDefault="00D77586" w:rsidP="00D77586">
      <w:r w:rsidRPr="009F6406">
        <w:t>There were a range of practices</w:t>
      </w:r>
      <w:r w:rsidR="00327EB7" w:rsidRPr="009F6406">
        <w:t xml:space="preserve"> with regard to textbook use</w:t>
      </w:r>
      <w:r w:rsidRPr="009F6406">
        <w:t xml:space="preserve"> that shifted over the course of the year as teachers found what worked in their classrooms. Most were </w:t>
      </w:r>
      <w:r w:rsidR="000124DD" w:rsidRPr="009F6406">
        <w:t>consistent</w:t>
      </w:r>
      <w:r w:rsidRPr="009F6406">
        <w:t xml:space="preserve"> about using textbooks and individual </w:t>
      </w:r>
      <w:r w:rsidR="008478B6" w:rsidRPr="009F6406">
        <w:t>pupil</w:t>
      </w:r>
      <w:r w:rsidRPr="009F6406">
        <w:t xml:space="preserve"> practice books in </w:t>
      </w:r>
      <w:r w:rsidR="000124DD" w:rsidRPr="009F6406">
        <w:t>lessons</w:t>
      </w:r>
      <w:r w:rsidRPr="009F6406">
        <w:t xml:space="preserve">; there was little visible use of assessment books in the observed lessons but </w:t>
      </w:r>
      <w:r w:rsidR="00327EB7" w:rsidRPr="009F6406">
        <w:t>several</w:t>
      </w:r>
      <w:r w:rsidRPr="009F6406">
        <w:t xml:space="preserve"> teachers mentioned </w:t>
      </w:r>
      <w:r w:rsidR="00327EB7" w:rsidRPr="009F6406">
        <w:t xml:space="preserve">using or intending to use </w:t>
      </w:r>
      <w:r w:rsidRPr="009F6406">
        <w:t>these in interviews</w:t>
      </w:r>
      <w:r w:rsidR="00327EB7" w:rsidRPr="009F6406">
        <w:t xml:space="preserve">, while two teachers (one in the experimental group, one in the delayed treatment group) said that they preferred to develop their own assessments and one further teacher in the delayed treatment group said that it was mandatory to use </w:t>
      </w:r>
      <w:r w:rsidR="000124DD" w:rsidRPr="009F6406">
        <w:t xml:space="preserve">subject </w:t>
      </w:r>
      <w:r w:rsidR="00327EB7" w:rsidRPr="009F6406">
        <w:t xml:space="preserve">assessments developed </w:t>
      </w:r>
      <w:r w:rsidR="000124DD" w:rsidRPr="009F6406">
        <w:t>in their schools</w:t>
      </w:r>
      <w:r w:rsidRPr="009F6406">
        <w:t>. A few teachers had chosen, particularly by the third term, to project textbook pages (for example, using digiti</w:t>
      </w:r>
      <w:r w:rsidR="003E2E5A" w:rsidRPr="009F6406">
        <w:t>z</w:t>
      </w:r>
      <w:r w:rsidRPr="009F6406">
        <w:t>ed versions or document cameras) and looking at thes</w:t>
      </w:r>
      <w:r w:rsidR="00327EB7" w:rsidRPr="009F6406">
        <w:t>e in a whole-class format only rather than having students use individual or pair textbooks at their tables.</w:t>
      </w:r>
    </w:p>
    <w:p w14:paraId="5C756C28" w14:textId="77777777" w:rsidR="00D82CDB" w:rsidRPr="009F6406" w:rsidRDefault="00D82CDB" w:rsidP="00D82CDB">
      <w:pPr>
        <w:pStyle w:val="Heading5"/>
      </w:pPr>
      <w:r w:rsidRPr="009F6406">
        <w:t>Approaches to the use of manipulatives</w:t>
      </w:r>
    </w:p>
    <w:p w14:paraId="1FC31C17" w14:textId="3A9934D7" w:rsidR="00D77586" w:rsidRPr="009F6406" w:rsidRDefault="00D77586" w:rsidP="00D77586">
      <w:r w:rsidRPr="009F6406">
        <w:t>In most classes, the range of concrete resources used was intentionally limited at the beginning of the year.</w:t>
      </w:r>
      <w:r w:rsidR="00327EB7" w:rsidRPr="009F6406">
        <w:t xml:space="preserve"> This was true across both experimental and delayed treatment groups.</w:t>
      </w:r>
      <w:r w:rsidRPr="009F6406">
        <w:t xml:space="preserve"> In particular, many were using inter-locking cubes to represent mathematical problems in their lessons. Later in the year, about half of the participating classrooms had a variety of concrete resources available to </w:t>
      </w:r>
      <w:r w:rsidR="008478B6" w:rsidRPr="009F6406">
        <w:t>pupil</w:t>
      </w:r>
      <w:r w:rsidRPr="009F6406">
        <w:t>s; some parceled these out in pre-prepared packs that pupils could fetch at the beginning of an activity to work individually or in pairs, and in one classroom these packs also included the individual practice books and other resources such as mini whiteboards. In several other classrooms, teachers had arranged a variety of resources in bins or caddies placed in the middle of each group’s table so that pupils had easy access to a selection of different manipulatives that they were free to use during group and individual work.</w:t>
      </w:r>
    </w:p>
    <w:p w14:paraId="1B1964DE" w14:textId="77777777" w:rsidR="00B00897" w:rsidRPr="009F6406" w:rsidRDefault="00D82CDB" w:rsidP="00D82CDB">
      <w:pPr>
        <w:pStyle w:val="Heading5"/>
      </w:pPr>
      <w:r w:rsidRPr="009F6406">
        <w:t>Overall f</w:t>
      </w:r>
      <w:r w:rsidR="00B00897" w:rsidRPr="009F6406">
        <w:t>idelity to</w:t>
      </w:r>
      <w:r w:rsidRPr="009F6406">
        <w:t xml:space="preserve"> the</w:t>
      </w:r>
      <w:r w:rsidR="00B00897" w:rsidRPr="009F6406">
        <w:t xml:space="preserve"> intervention</w:t>
      </w:r>
    </w:p>
    <w:p w14:paraId="383F4934" w14:textId="3227F6B7" w:rsidR="00B00897" w:rsidRPr="009F6406" w:rsidRDefault="00B00897" w:rsidP="00D77586">
      <w:r w:rsidRPr="009F6406">
        <w:t xml:space="preserve">While not a feature picked up in the structured observation instruments, the extent to which teachers were actually using the </w:t>
      </w:r>
      <w:r w:rsidR="000124DD" w:rsidRPr="009F6406">
        <w:t xml:space="preserve">mastery-based </w:t>
      </w:r>
      <w:r w:rsidRPr="009F6406">
        <w:t xml:space="preserve">materials and teaching approach as suggested by the distributor was a critical consideration. Information about this was mainly available via field notes and teacher interviews. </w:t>
      </w:r>
    </w:p>
    <w:p w14:paraId="6EE81E57" w14:textId="622FB499" w:rsidR="00D77586" w:rsidRPr="009F6406" w:rsidRDefault="000124DD" w:rsidP="00C10FE0">
      <w:r w:rsidRPr="009F6406">
        <w:lastRenderedPageBreak/>
        <w:t xml:space="preserve">In 10 of the 12 participating schools, no notable deviations from fidelity to the intervention were observed (across the three terms for the experimental group, and the two later terms for the delayed treatment group). </w:t>
      </w:r>
      <w:r w:rsidR="00D77586" w:rsidRPr="009F6406">
        <w:t>There were</w:t>
      </w:r>
      <w:r w:rsidRPr="009F6406">
        <w:t xml:space="preserve"> 2 of the 12</w:t>
      </w:r>
      <w:r w:rsidR="00D77586" w:rsidRPr="009F6406">
        <w:t xml:space="preserve"> schools in which substantial deviations from the intervention protocol -- use of the textbooks and teaching approach – were noted</w:t>
      </w:r>
      <w:r w:rsidR="001F7AB1" w:rsidRPr="009F6406">
        <w:t xml:space="preserve">. </w:t>
      </w:r>
      <w:r w:rsidR="00D77586" w:rsidRPr="009F6406">
        <w:t xml:space="preserve">This included </w:t>
      </w:r>
      <w:r w:rsidRPr="009F6406">
        <w:t xml:space="preserve">two </w:t>
      </w:r>
      <w:r w:rsidR="00D77586" w:rsidRPr="009F6406">
        <w:t xml:space="preserve">teachers/classrooms from one two-form entry </w:t>
      </w:r>
      <w:r w:rsidR="00317BE9" w:rsidRPr="009F6406">
        <w:t>delayed treatment group</w:t>
      </w:r>
      <w:r w:rsidR="00D77586" w:rsidRPr="009F6406">
        <w:t xml:space="preserve"> school and one </w:t>
      </w:r>
      <w:r w:rsidRPr="009F6406">
        <w:t xml:space="preserve">from a </w:t>
      </w:r>
      <w:r w:rsidR="00D77586" w:rsidRPr="009F6406">
        <w:t xml:space="preserve">single-form entry </w:t>
      </w:r>
      <w:r w:rsidR="00317BE9" w:rsidRPr="009F6406">
        <w:t>experimental group</w:t>
      </w:r>
      <w:r w:rsidR="00D77586" w:rsidRPr="009F6406">
        <w:t xml:space="preserve"> school. In these cases, by the</w:t>
      </w:r>
      <w:r w:rsidR="00705EAD" w:rsidRPr="009F6406">
        <w:t xml:space="preserve"> second or</w:t>
      </w:r>
      <w:r w:rsidR="00D77586" w:rsidRPr="009F6406">
        <w:t xml:space="preserve"> third term, it was apparent from lesson observations that while some of the printed materials and teaching approaches were being used, they were being interspersed with other content and materials, and the sequencing of topics and concepts had been rearranged. Interviews with these three teachers highlighted some of the reasons why they had not used the textbooks and teaching approaches as suggested in the professional development sessions and teacher’s guides provided to accompany</w:t>
      </w:r>
      <w:r w:rsidR="002143C6" w:rsidRPr="009F6406">
        <w:t xml:space="preserve"> </w:t>
      </w:r>
      <w:r w:rsidR="00D77586" w:rsidRPr="009F6406">
        <w:t xml:space="preserve">the textbooks. In both schools, teachers expressed that they were feeling pressure to “hit targets” and to cover content according to school pacing guides, which created a tension between using the mastery-oriented teaching approach and printed materials and complying with the expectations of school leadership teams. In the two-form entry school, both teachers also noted that they found the use of the textbooks and teaching approach to be out of keeping with a broader school ethos that emphasized child-led learning. In one of these two classrooms practice book pages were being used as one of many activities from which children could freely choose, and in the other classroom the teacher had the printed materials readily available but used them selectively and sometimes only with particular teacher-determined groups of pupils. In the teachers’ own words: </w:t>
      </w:r>
    </w:p>
    <w:p w14:paraId="59E0D043" w14:textId="77777777" w:rsidR="00D77586" w:rsidRPr="009F6406" w:rsidRDefault="00D77586" w:rsidP="002B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jc w:val="both"/>
        <w:rPr>
          <w:rFonts w:cstheme="minorHAnsi"/>
          <w:i/>
        </w:rPr>
      </w:pPr>
      <w:r w:rsidRPr="009F6406">
        <w:rPr>
          <w:rFonts w:cstheme="minorHAnsi"/>
          <w:i/>
        </w:rPr>
        <w:t xml:space="preserve">“They [the pupils] didn’t seem to mind doing it, but we found it quite dry, and not really, erm, enhancing what they knew, really…It just doesn’t really fit in with how we teach.” </w:t>
      </w:r>
      <w:r w:rsidRPr="009F6406">
        <w:rPr>
          <w:rFonts w:cstheme="minorHAnsi"/>
        </w:rPr>
        <w:t xml:space="preserve">(Teacher 15, School D, </w:t>
      </w:r>
      <w:r w:rsidR="005F7CEE" w:rsidRPr="009F6406">
        <w:rPr>
          <w:rFonts w:cstheme="minorHAnsi"/>
        </w:rPr>
        <w:t>delayed treatment group</w:t>
      </w:r>
      <w:r w:rsidRPr="009F6406">
        <w:rPr>
          <w:rFonts w:cstheme="minorHAnsi"/>
        </w:rPr>
        <w:t xml:space="preserve">, </w:t>
      </w:r>
      <w:r w:rsidR="005F7CEE" w:rsidRPr="009F6406">
        <w:rPr>
          <w:rFonts w:cstheme="minorHAnsi"/>
        </w:rPr>
        <w:t>Term 2</w:t>
      </w:r>
      <w:r w:rsidR="00535029" w:rsidRPr="009F6406">
        <w:rPr>
          <w:rFonts w:cstheme="minorHAnsi"/>
        </w:rPr>
        <w:t xml:space="preserve"> interview</w:t>
      </w:r>
      <w:r w:rsidRPr="009F6406">
        <w:rPr>
          <w:rFonts w:cstheme="minorHAnsi"/>
        </w:rPr>
        <w:t>)</w:t>
      </w:r>
    </w:p>
    <w:p w14:paraId="20A28078" w14:textId="77777777" w:rsidR="00D77586" w:rsidRPr="009F6406" w:rsidRDefault="00D77586" w:rsidP="00D77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i/>
        </w:rPr>
      </w:pPr>
    </w:p>
    <w:p w14:paraId="1527452D" w14:textId="77777777" w:rsidR="00D77586" w:rsidRPr="009F6406" w:rsidRDefault="00D77586" w:rsidP="002B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jc w:val="both"/>
        <w:rPr>
          <w:rFonts w:cstheme="minorHAnsi"/>
          <w:i/>
        </w:rPr>
      </w:pPr>
      <w:r w:rsidRPr="009F6406">
        <w:rPr>
          <w:rFonts w:cstheme="minorHAnsi"/>
          <w:i/>
        </w:rPr>
        <w:t xml:space="preserve">“On account of what we, as a school, our kind of maths ethos… so in terms of having those resources out all the time and getting them to use them, that’s kind of part and parcel of what we do anyway.  I suppose it is nice having the teacher handbooks to refer to…but I can also see how it would be very easy to just teach from those handbooks and not necessarily think as a teacher, you would just say and do what was in those handbooks, and I don’t want to do that.” </w:t>
      </w:r>
      <w:r w:rsidRPr="009F6406">
        <w:rPr>
          <w:rFonts w:cstheme="minorHAnsi"/>
        </w:rPr>
        <w:t xml:space="preserve">(Teacher 14, School D, </w:t>
      </w:r>
      <w:r w:rsidR="005F7CEE" w:rsidRPr="009F6406">
        <w:rPr>
          <w:rFonts w:cstheme="minorHAnsi"/>
        </w:rPr>
        <w:t>delayed treatment group</w:t>
      </w:r>
      <w:r w:rsidRPr="009F6406">
        <w:rPr>
          <w:rFonts w:cstheme="minorHAnsi"/>
        </w:rPr>
        <w:t xml:space="preserve">, </w:t>
      </w:r>
      <w:r w:rsidR="005F7CEE" w:rsidRPr="009F6406">
        <w:rPr>
          <w:rFonts w:cstheme="minorHAnsi"/>
        </w:rPr>
        <w:t>Term 3</w:t>
      </w:r>
      <w:r w:rsidR="00535029" w:rsidRPr="009F6406">
        <w:rPr>
          <w:rFonts w:cstheme="minorHAnsi"/>
        </w:rPr>
        <w:t xml:space="preserve"> interview</w:t>
      </w:r>
      <w:r w:rsidRPr="009F6406">
        <w:rPr>
          <w:rFonts w:cstheme="minorHAnsi"/>
        </w:rPr>
        <w:t>)</w:t>
      </w:r>
    </w:p>
    <w:p w14:paraId="1E959110" w14:textId="77777777" w:rsidR="00D77586" w:rsidRPr="009F6406" w:rsidRDefault="00D77586" w:rsidP="00D77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rPr>
      </w:pPr>
    </w:p>
    <w:p w14:paraId="6AEAD1C0" w14:textId="77777777" w:rsidR="00D77586" w:rsidRPr="009F6406" w:rsidRDefault="00D77586" w:rsidP="002B7ADD">
      <w:pPr>
        <w:ind w:left="567"/>
      </w:pPr>
      <w:r w:rsidRPr="009F6406">
        <w:rPr>
          <w:rFonts w:cstheme="minorHAnsi"/>
          <w:i/>
        </w:rPr>
        <w:t xml:space="preserve">“There’s a lot more targets to hit, and we need to be doing this, need to be doing this…so although I’ve gotten more used to Inspire Maths, I’ve also got to fit it in with lots of other things, and so we have used it, more so for the place value and things, but yeah, we’ve kind of mixed it in with some other things still, to make sure I’m hitting all those other targets… I would like to just continue working on the basics and get them really strong, but we’ve got so many other bits to cover, and yeah, just the way that the Inspire Maths sets it out, and it covers a lot of things and then it moves up, but then there’s also the way the school likes it to be set out, so you’ve got to do certain things each term, so to kind of put them together,  I just want to get all the things ticked off in the computer program, really.” </w:t>
      </w:r>
      <w:r w:rsidRPr="009F6406">
        <w:rPr>
          <w:rFonts w:cstheme="minorHAnsi"/>
        </w:rPr>
        <w:t xml:space="preserve">(Teacher 1, School K, </w:t>
      </w:r>
      <w:r w:rsidR="005F7CEE" w:rsidRPr="009F6406">
        <w:rPr>
          <w:rFonts w:cstheme="minorHAnsi"/>
        </w:rPr>
        <w:t>experimental group</w:t>
      </w:r>
      <w:r w:rsidRPr="009F6406">
        <w:rPr>
          <w:rFonts w:cstheme="minorHAnsi"/>
        </w:rPr>
        <w:t xml:space="preserve">, </w:t>
      </w:r>
      <w:r w:rsidR="005F7CEE" w:rsidRPr="009F6406">
        <w:rPr>
          <w:rFonts w:cstheme="minorHAnsi"/>
        </w:rPr>
        <w:t>Term 3</w:t>
      </w:r>
      <w:r w:rsidR="00535029" w:rsidRPr="009F6406">
        <w:rPr>
          <w:rFonts w:cstheme="minorHAnsi"/>
        </w:rPr>
        <w:t xml:space="preserve"> interview</w:t>
      </w:r>
      <w:r w:rsidRPr="009F6406">
        <w:rPr>
          <w:rFonts w:cstheme="minorHAnsi"/>
        </w:rPr>
        <w:t>)</w:t>
      </w:r>
    </w:p>
    <w:p w14:paraId="4D7DA2C4" w14:textId="77777777" w:rsidR="007B15E6" w:rsidRPr="009F6406" w:rsidRDefault="00B76991" w:rsidP="007B15E6">
      <w:pPr>
        <w:pStyle w:val="Heading1"/>
      </w:pPr>
      <w:r w:rsidRPr="009F6406">
        <w:t>Discussion</w:t>
      </w:r>
      <w:r w:rsidR="00906F59" w:rsidRPr="009F6406">
        <w:t xml:space="preserve"> </w:t>
      </w:r>
    </w:p>
    <w:p w14:paraId="67DA2852" w14:textId="7D0E5B92" w:rsidR="00465760" w:rsidRPr="009F6406" w:rsidRDefault="009E6F23" w:rsidP="001901BB">
      <w:r w:rsidRPr="009F6406">
        <w:t xml:space="preserve">This study found a small but significant </w:t>
      </w:r>
      <w:r w:rsidR="000124DD" w:rsidRPr="009F6406">
        <w:t xml:space="preserve">positive </w:t>
      </w:r>
      <w:r w:rsidRPr="009F6406">
        <w:t xml:space="preserve">effect of using </w:t>
      </w:r>
      <w:r w:rsidR="00A1254A" w:rsidRPr="009F6406">
        <w:t>the materials and teaching approach</w:t>
      </w:r>
      <w:r w:rsidRPr="009F6406">
        <w:rPr>
          <w:i/>
        </w:rPr>
        <w:t xml:space="preserve"> </w:t>
      </w:r>
      <w:r w:rsidRPr="009F6406">
        <w:t xml:space="preserve">on pupils’ mathematics knowledge and skills after two terms, although no effect was found after </w:t>
      </w:r>
      <w:r w:rsidRPr="009F6406">
        <w:lastRenderedPageBreak/>
        <w:t xml:space="preserve">using the materials and teaching approach for one term. Meanwhile, large differences in teaching practice were found near the beginning (September-October) and </w:t>
      </w:r>
      <w:r w:rsidR="00D73C1A" w:rsidRPr="009F6406">
        <w:t xml:space="preserve">for one domain the </w:t>
      </w:r>
      <w:r w:rsidRPr="009F6406">
        <w:t xml:space="preserve">middle (January-February) of the school year, with teachers who used </w:t>
      </w:r>
      <w:r w:rsidR="00A1254A" w:rsidRPr="009F6406">
        <w:t>the materials and teaching approach</w:t>
      </w:r>
      <w:r w:rsidRPr="009F6406">
        <w:rPr>
          <w:i/>
        </w:rPr>
        <w:t xml:space="preserve"> </w:t>
      </w:r>
      <w:r w:rsidRPr="009F6406">
        <w:t>from September demonstrating more – or more consistent – features of effective practice</w:t>
      </w:r>
      <w:r w:rsidR="000124DD" w:rsidRPr="009F6406">
        <w:t xml:space="preserve"> (as defined by three different nationally and internationally established observation  instruments)</w:t>
      </w:r>
      <w:r w:rsidR="00D73C1A" w:rsidRPr="009F6406">
        <w:t xml:space="preserve"> at the start of the year</w:t>
      </w:r>
      <w:r w:rsidRPr="009F6406">
        <w:t xml:space="preserve"> than those proceeding with business as usual through the first term. </w:t>
      </w:r>
      <w:r w:rsidR="00C10FE0" w:rsidRPr="009F6406">
        <w:t xml:space="preserve">Such differences were much reduced (in effect size) </w:t>
      </w:r>
      <w:r w:rsidRPr="009F6406">
        <w:t xml:space="preserve">by the third term (April-May), after teachers in the delayed treatment group had also been using </w:t>
      </w:r>
      <w:r w:rsidR="00A1254A" w:rsidRPr="009F6406">
        <w:t>the materials and teaching approach</w:t>
      </w:r>
      <w:r w:rsidRPr="009F6406">
        <w:rPr>
          <w:i/>
        </w:rPr>
        <w:t xml:space="preserve"> </w:t>
      </w:r>
      <w:r w:rsidR="00D73C1A" w:rsidRPr="009F6406">
        <w:t>since January</w:t>
      </w:r>
      <w:r w:rsidRPr="009F6406">
        <w:t>. Together, these findings suggest a</w:t>
      </w:r>
      <w:r w:rsidR="000124DD" w:rsidRPr="009F6406">
        <w:t xml:space="preserve"> tentative</w:t>
      </w:r>
      <w:r w:rsidRPr="009F6406">
        <w:t xml:space="preserve"> conceptual model for how the observed effect on pupil progress over the second term </w:t>
      </w:r>
      <w:r w:rsidR="00D73C1A" w:rsidRPr="009F6406">
        <w:t>may have come</w:t>
      </w:r>
      <w:r w:rsidRPr="009F6406">
        <w:t xml:space="preserve"> about</w:t>
      </w:r>
      <w:r w:rsidR="00D73C1A" w:rsidRPr="009F6406">
        <w:t xml:space="preserve"> via </w:t>
      </w:r>
      <w:r w:rsidR="000124DD" w:rsidRPr="009F6406">
        <w:t xml:space="preserve">observed </w:t>
      </w:r>
      <w:r w:rsidR="00D73C1A" w:rsidRPr="009F6406">
        <w:t>changes in teaching practice</w:t>
      </w:r>
      <w:r w:rsidRPr="009F6406">
        <w:t xml:space="preserve"> which in turn may have</w:t>
      </w:r>
      <w:r w:rsidR="000124DD" w:rsidRPr="009F6406">
        <w:t xml:space="preserve"> shaped pupils’ learning and shown up subsequently as </w:t>
      </w:r>
      <w:r w:rsidRPr="009F6406">
        <w:t>a lagged effect on pupil progress.</w:t>
      </w:r>
      <w:r w:rsidR="00D73C1A" w:rsidRPr="009F6406">
        <w:t xml:space="preserve"> </w:t>
      </w:r>
    </w:p>
    <w:p w14:paraId="3749B9F1" w14:textId="74F4A2FA" w:rsidR="007B15E6" w:rsidRPr="009F6406" w:rsidRDefault="005B1616" w:rsidP="00465760">
      <w:r w:rsidRPr="009F6406">
        <w:t>The inclusion and analysis of qualitative data, including classroom observation field notes and semi-structured teacher interviews, was a particular strength of the</w:t>
      </w:r>
      <w:r w:rsidR="00F933D8" w:rsidRPr="009F6406">
        <w:t xml:space="preserve"> mixed method</w:t>
      </w:r>
      <w:r w:rsidRPr="009F6406">
        <w:t xml:space="preserve"> study. </w:t>
      </w:r>
      <w:r w:rsidR="00CE19B7" w:rsidRPr="009F6406">
        <w:t xml:space="preserve">The integration of quantitative and qualitative observation data provided a meaningful “point of interface” </w:t>
      </w:r>
      <w:r w:rsidR="00CE19B7" w:rsidRPr="009F6406">
        <w:fldChar w:fldCharType="begin" w:fldLock="1"/>
      </w:r>
      <w:r w:rsidR="00CE19B7" w:rsidRPr="009F6406">
        <w:instrText>ADDIN CSL_CITATION {"citationItems":[{"id":"ITEM-1","itemData":{"DOI":"10.1177/1558689812461179","ISSN":"1558-6898","abstract":"Scholars have created a variety of typologies to describe and simplify mixed methods research designs. In this article, I review the rationale for using these typologies and discuss some shortcomings of the existing methods of classification. I argue that current systems of classification, although useful for simple and less fluid types of mixed methods research, are not capable of capturing the complexity and iterative nature of larger, more intricate research projects. I suggest an alternative way of viewing and describing mixed methods research for studies that resist simple classification. This alternative perspective shifts the unit of reference to the point of interface?where QUAL and QUAN data are integrated?and reduces the number of descriptive dimensions to two?the timing and the purpose of data integration.","author":[{"dropping-particle":"","family":"Guest","given":"Greg","non-dropping-particle":"","parse-names":false,"suffix":""}],"container-title":"Journal of Mixed Methods Research","id":"ITEM-1","issue":"2","issued":{"date-parts":[["2012","10","4"]]},"note":"doi: 10.1177/1558689812461179","page":"141-151","title":"Describing Mixed Methods Research: An Alternative to Typologies","type":"article-journal","volume":"7"},"uris":["http://www.mendeley.com/documents/?uuid=b20af7fd-086b-447a-bb68-656edf1328cd"]}],"mendeley":{"formattedCitation":"(Guest 2012)","plainTextFormattedCitation":"(Guest 2012)"},"properties":{"noteIndex":0},"schema":"https://github.com/citation-style-language/schema/raw/master/csl-citation.json"}</w:instrText>
      </w:r>
      <w:r w:rsidR="00CE19B7" w:rsidRPr="009F6406">
        <w:fldChar w:fldCharType="separate"/>
      </w:r>
      <w:r w:rsidR="00CE19B7" w:rsidRPr="009F6406">
        <w:rPr>
          <w:noProof/>
        </w:rPr>
        <w:t>(Guest 2012)</w:t>
      </w:r>
      <w:r w:rsidR="00CE19B7" w:rsidRPr="009F6406">
        <w:fldChar w:fldCharType="end"/>
      </w:r>
      <w:r w:rsidR="00CE19B7" w:rsidRPr="009F6406">
        <w:t xml:space="preserve"> after the data collection stage and with a well-defined purpose; that is, to</w:t>
      </w:r>
      <w:r w:rsidRPr="009F6406">
        <w:t xml:space="preserve"> allow for the exploration and illustration of the processes through which the textbook and teaching approach can have an effect, </w:t>
      </w:r>
      <w:r w:rsidR="007D4DB3" w:rsidRPr="009F6406">
        <w:t>as well as highlighting aspects of practice</w:t>
      </w:r>
      <w:r w:rsidR="00CE19B7" w:rsidRPr="009F6406">
        <w:t xml:space="preserve"> particular to the intervention that were</w:t>
      </w:r>
      <w:r w:rsidR="007D4DB3" w:rsidRPr="009F6406">
        <w:t xml:space="preserve"> not picked up by observation schedules</w:t>
      </w:r>
      <w:r w:rsidR="005421AE" w:rsidRPr="009F6406">
        <w:t xml:space="preserve">. Further, details from the qualitative observation and interview data provided information about fidelity (or lack of fidelity) to the intervention. </w:t>
      </w:r>
    </w:p>
    <w:p w14:paraId="1B0A2C67" w14:textId="707E1092" w:rsidR="007B15E6" w:rsidRPr="009F6406" w:rsidRDefault="005421AE" w:rsidP="00CE0F49">
      <w:r w:rsidRPr="009F6406">
        <w:t>Strengths</w:t>
      </w:r>
      <w:r w:rsidR="00F933D8" w:rsidRPr="009F6406">
        <w:t xml:space="preserve"> of the study included the use of</w:t>
      </w:r>
      <w:r w:rsidRPr="009F6406">
        <w:t xml:space="preserve"> rich qualitative data to </w:t>
      </w:r>
      <w:r w:rsidR="00F933D8" w:rsidRPr="009F6406">
        <w:t>explore</w:t>
      </w:r>
      <w:r w:rsidRPr="009F6406">
        <w:t xml:space="preserve"> processes and perspectives, with the potential to </w:t>
      </w:r>
      <w:r w:rsidR="00F933D8" w:rsidRPr="009F6406">
        <w:t xml:space="preserve">feed forward into </w:t>
      </w:r>
      <w:r w:rsidRPr="009F6406">
        <w:t>future practice</w:t>
      </w:r>
      <w:r w:rsidR="00F933D8" w:rsidRPr="009F6406">
        <w:t>,</w:t>
      </w:r>
      <w:r w:rsidRPr="009F6406">
        <w:t xml:space="preserve"> integration of multiple perspectives (teacher/pupil/researcher) and findings from multiple data sources to inform a conceptual model linking processes to effects</w:t>
      </w:r>
      <w:r w:rsidR="00F933D8" w:rsidRPr="009F6406">
        <w:t>, and the use of a</w:t>
      </w:r>
      <w:r w:rsidRPr="009F6406">
        <w:t xml:space="preserve"> cluster randomized design with a delayed treatment control to balance feasibility with rigor.</w:t>
      </w:r>
      <w:r w:rsidR="00F933D8" w:rsidRPr="009F6406">
        <w:t xml:space="preserve"> There were, of course, limitations of the study as well. The study was conceived as an e</w:t>
      </w:r>
      <w:r w:rsidRPr="009F6406">
        <w:t>valuation of the materials and approach as they would normally be used in schools</w:t>
      </w:r>
      <w:r w:rsidR="00F933D8" w:rsidRPr="009F6406">
        <w:t xml:space="preserve"> </w:t>
      </w:r>
      <w:r w:rsidRPr="009F6406">
        <w:t xml:space="preserve">according to the guidelines of the distributor, meaning that the intervention itself was not researcher-designed </w:t>
      </w:r>
      <w:r w:rsidR="008252E9" w:rsidRPr="009F6406">
        <w:t>(though</w:t>
      </w:r>
      <w:r w:rsidRPr="009F6406">
        <w:t xml:space="preserve"> the evaluation protocol was</w:t>
      </w:r>
      <w:r w:rsidR="008252E9" w:rsidRPr="009F6406">
        <w:t>)</w:t>
      </w:r>
      <w:r w:rsidR="00F933D8" w:rsidRPr="009F6406">
        <w:t>. There were further c</w:t>
      </w:r>
      <w:r w:rsidRPr="009F6406">
        <w:t xml:space="preserve">onstraints </w:t>
      </w:r>
      <w:r w:rsidR="00F933D8" w:rsidRPr="009F6406">
        <w:t xml:space="preserve">due to </w:t>
      </w:r>
      <w:r w:rsidRPr="009F6406">
        <w:t xml:space="preserve">having a small research team to conduct the </w:t>
      </w:r>
      <w:r w:rsidR="00F933D8" w:rsidRPr="009F6406">
        <w:t>study</w:t>
      </w:r>
      <w:r w:rsidRPr="009F6406">
        <w:t>, meaning that school visits were spread out over approximately a month at each wave</w:t>
      </w:r>
      <w:r w:rsidR="00F933D8" w:rsidRPr="009F6406">
        <w:t xml:space="preserve"> by necessity;</w:t>
      </w:r>
      <w:r w:rsidRPr="009F6406">
        <w:t xml:space="preserve"> while this was controlled for at the analysis stage, ideally this fieldwork would have taken place at as similar a time across all schools as possible</w:t>
      </w:r>
      <w:r w:rsidR="00F933D8" w:rsidRPr="009F6406">
        <w:t xml:space="preserve"> if resources and staffing had allowed.</w:t>
      </w:r>
      <w:r w:rsidRPr="009F6406">
        <w:t xml:space="preserve"> </w:t>
      </w:r>
      <w:r w:rsidR="00894CE7" w:rsidRPr="009F6406">
        <w:t>Perhaps most importantly, the evaluation took place over the course of one school year, but materials are explicitly designed for Key Stage</w:t>
      </w:r>
      <w:r w:rsidR="00F933D8" w:rsidRPr="009F6406">
        <w:rPr>
          <w:rStyle w:val="FootnoteReference"/>
        </w:rPr>
        <w:footnoteReference w:id="3"/>
      </w:r>
      <w:r w:rsidR="00F933D8" w:rsidRPr="009F6406">
        <w:t xml:space="preserve"> coverage </w:t>
      </w:r>
      <w:r w:rsidR="00894CE7" w:rsidRPr="009F6406">
        <w:t>rather than within-year coverage</w:t>
      </w:r>
      <w:r w:rsidR="00F933D8" w:rsidRPr="009F6406">
        <w:t xml:space="preserve"> of mathematical content, and e</w:t>
      </w:r>
      <w:r w:rsidR="00894CE7" w:rsidRPr="009F6406">
        <w:t xml:space="preserve">ffects over a longer period of time may have been quite different had a longer-term study been </w:t>
      </w:r>
      <w:r w:rsidR="00F933D8" w:rsidRPr="009F6406">
        <w:t>possible</w:t>
      </w:r>
      <w:r w:rsidR="00894CE7" w:rsidRPr="009F6406">
        <w:t xml:space="preserve">. </w:t>
      </w:r>
    </w:p>
    <w:p w14:paraId="70563478" w14:textId="35566FA3" w:rsidR="004F4630" w:rsidRPr="009F6406" w:rsidRDefault="00894CE7" w:rsidP="00CE0F49">
      <w:r w:rsidRPr="009F6406">
        <w:t xml:space="preserve">Linking directly to the time limitation noted above, further research is needed to investigate how the </w:t>
      </w:r>
      <w:r w:rsidR="00DE4448" w:rsidRPr="009F6406">
        <w:t xml:space="preserve">Singapore-based, mastery-oriented </w:t>
      </w:r>
      <w:r w:rsidRPr="009F6406">
        <w:t xml:space="preserve">textbook and teaching approach (or a similar set of materials and pedagogical approach) </w:t>
      </w:r>
      <w:r w:rsidR="009E48C2" w:rsidRPr="009F6406">
        <w:t xml:space="preserve">relates to pupils’ attainment and progress over longer periods of time, including over a full </w:t>
      </w:r>
      <w:r w:rsidR="00CE0F49" w:rsidRPr="009F6406">
        <w:t>K</w:t>
      </w:r>
      <w:r w:rsidR="009E48C2" w:rsidRPr="009F6406">
        <w:t xml:space="preserve">ey </w:t>
      </w:r>
      <w:r w:rsidR="00CE0F49" w:rsidRPr="009F6406">
        <w:t>S</w:t>
      </w:r>
      <w:r w:rsidR="009E48C2" w:rsidRPr="009F6406">
        <w:t>tage and over an entire phase of schooling (e.g. Primary, ages 5-</w:t>
      </w:r>
      <w:r w:rsidR="00041C84" w:rsidRPr="009F6406">
        <w:t xml:space="preserve">11). Such studies would be able to </w:t>
      </w:r>
      <w:r w:rsidR="00DE4448" w:rsidRPr="009F6406">
        <w:t xml:space="preserve">make </w:t>
      </w:r>
      <w:r w:rsidR="00041C84" w:rsidRPr="009F6406">
        <w:t xml:space="preserve">stronger claims about whether and to what extent using </w:t>
      </w:r>
      <w:r w:rsidR="00437253" w:rsidRPr="009F6406">
        <w:t xml:space="preserve">these </w:t>
      </w:r>
      <w:r w:rsidR="00041C84" w:rsidRPr="009F6406">
        <w:t>Singapore-based materials in a different setting (here,</w:t>
      </w:r>
      <w:r w:rsidR="00392CDF" w:rsidRPr="009F6406">
        <w:t xml:space="preserve"> England) have the potential to</w:t>
      </w:r>
      <w:r w:rsidR="00DE4448" w:rsidRPr="009F6406">
        <w:t xml:space="preserve"> raise</w:t>
      </w:r>
      <w:r w:rsidR="00041C84" w:rsidRPr="009F6406">
        <w:t xml:space="preserve"> </w:t>
      </w:r>
      <w:r w:rsidR="00C73FEC" w:rsidRPr="009F6406">
        <w:t>pupil attainment and progress.</w:t>
      </w:r>
      <w:r w:rsidR="007D4DB3" w:rsidRPr="009F6406">
        <w:t xml:space="preserve"> </w:t>
      </w:r>
      <w:r w:rsidR="00DE4448" w:rsidRPr="009F6406">
        <w:t xml:space="preserve">Moreover, analysis for different subgroups of pupils could investigate potential to narrow equity gaps in attainment. </w:t>
      </w:r>
      <w:r w:rsidR="006D5DF9" w:rsidRPr="009F6406">
        <w:t xml:space="preserve">Further research is also needed to synthesize and compare findings across studies in which specific Singapore-based printed materials and teaching </w:t>
      </w:r>
      <w:r w:rsidR="006D5DF9" w:rsidRPr="009F6406">
        <w:lastRenderedPageBreak/>
        <w:t>approaches were used in countries other than Singapore, perhaps via mixed method meta-analysis, to better inform general conclusions about the effects of transferring a Singapore-based approach to teaching mathematics to other settings and the processes</w:t>
      </w:r>
      <w:r w:rsidR="009E6E92" w:rsidRPr="009F6406">
        <w:t xml:space="preserve"> and conditions</w:t>
      </w:r>
      <w:r w:rsidR="006D5DF9" w:rsidRPr="009F6406">
        <w:t xml:space="preserve"> </w:t>
      </w:r>
      <w:r w:rsidR="009E6E92" w:rsidRPr="009F6406">
        <w:t>promoting or hindering any such effects.</w:t>
      </w:r>
    </w:p>
    <w:p w14:paraId="3627E39E" w14:textId="12891C36" w:rsidR="00894CE7" w:rsidRPr="009F6406" w:rsidRDefault="00E5421D" w:rsidP="00465760">
      <w:r w:rsidRPr="009F6406">
        <w:t>In this study, pupils’ scores on mathematics assessments were used as measures of their ma</w:t>
      </w:r>
      <w:r w:rsidR="00764025" w:rsidRPr="009F6406">
        <w:t>thematics</w:t>
      </w:r>
      <w:r w:rsidRPr="009F6406">
        <w:t xml:space="preserve"> knowledge and skills at each time-point, but the reasoning processes by which pupils arrived at each of their answers to assessment problems/questions were not accounted for. A third area for further research therefore relates to pupils’ reasoning and problem-solving processes. That is, more research is needed to systematically investigate how pupils think through problems when taught using a </w:t>
      </w:r>
      <w:r w:rsidR="00534CFE" w:rsidRPr="009F6406">
        <w:t xml:space="preserve">mastery-oriented, </w:t>
      </w:r>
      <w:r w:rsidRPr="009F6406">
        <w:t>Singapore-based approach in settings outside of Singapore, and how this differs from their reasoning and problem-solving processes when taught using traditional approaches in tho</w:t>
      </w:r>
      <w:r w:rsidR="007D4DB3" w:rsidRPr="009F6406">
        <w:t xml:space="preserve">se other settings. </w:t>
      </w:r>
      <w:r w:rsidR="00894CE7" w:rsidRPr="009F6406">
        <w:t xml:space="preserve">The fact that a small positive effect was found </w:t>
      </w:r>
      <w:r w:rsidR="00534CFE" w:rsidRPr="009F6406">
        <w:t xml:space="preserve">in this study </w:t>
      </w:r>
      <w:r w:rsidR="00894CE7" w:rsidRPr="009F6406">
        <w:t xml:space="preserve">does not explain whether and in what ways pupils’ mathematical reasoning and problem-solving skills may have changed with the use of the textbooks and teaching approach. Further research could investigate these aspects using different methods of data collection than those reported here (for example, having pupils explain what they were doing as they worked on the assessment problems, which would not have been feasible with whole classes of Year 1 children but could be done in small groups or individually for a smaller sample). </w:t>
      </w:r>
    </w:p>
    <w:p w14:paraId="33540056" w14:textId="7664B3E1" w:rsidR="0052371C" w:rsidRPr="009F6406" w:rsidRDefault="0052371C" w:rsidP="00465760">
      <w:r w:rsidRPr="009F6406">
        <w:t xml:space="preserve">The results of this study have implications for researchers, policymakers, and practitioners alike. </w:t>
      </w:r>
      <w:r w:rsidR="0025713C" w:rsidRPr="009F6406">
        <w:t xml:space="preserve">For researchers in the field of education, this study demonstrates the importance of using mixed methods within experimental designs in order to understand not only </w:t>
      </w:r>
      <w:r w:rsidR="0025713C" w:rsidRPr="009F6406">
        <w:rPr>
          <w:i/>
        </w:rPr>
        <w:t xml:space="preserve">whether </w:t>
      </w:r>
      <w:r w:rsidR="0025713C" w:rsidRPr="009F6406">
        <w:t xml:space="preserve">a particular intervention has an effect, but also the underlying processes and perspectives that may help to explain an effect (or lack thereof). </w:t>
      </w:r>
      <w:r w:rsidR="00F519AB" w:rsidRPr="009F6406">
        <w:t xml:space="preserve">For policymakers, findings indicate that </w:t>
      </w:r>
      <w:r w:rsidR="007D4DB3" w:rsidRPr="009F6406">
        <w:t>the use of Singapore-based materials and approaches can have an effect, but that this effect may be modest when measured over short periods of time</w:t>
      </w:r>
      <w:r w:rsidR="00053E73" w:rsidRPr="009F6406">
        <w:t xml:space="preserve">, and is </w:t>
      </w:r>
      <w:r w:rsidR="00534CFE" w:rsidRPr="009F6406">
        <w:t xml:space="preserve">unlikely to offer </w:t>
      </w:r>
      <w:r w:rsidR="00053E73" w:rsidRPr="009F6406">
        <w:t xml:space="preserve">a quick fix for </w:t>
      </w:r>
      <w:r w:rsidR="00534CFE" w:rsidRPr="009F6406">
        <w:t xml:space="preserve">reducing </w:t>
      </w:r>
      <w:r w:rsidR="00053E73" w:rsidRPr="009F6406">
        <w:t xml:space="preserve">attainment gaps or perceived low performance in mathematics. </w:t>
      </w:r>
      <w:r w:rsidR="0025713C" w:rsidRPr="009F6406">
        <w:t>For practitioners, results from the study suggest that Singapore-based materials and approaches have the potential to be effective outside the Singaporean contex</w:t>
      </w:r>
      <w:r w:rsidR="00F519AB" w:rsidRPr="009F6406">
        <w:t>t, but for this to be the case, implementation must be supported by school leadership and broader school policy</w:t>
      </w:r>
      <w:r w:rsidR="00534CFE" w:rsidRPr="009F6406">
        <w:t>, alongside appropriately-aligned continuing professional development</w:t>
      </w:r>
      <w:r w:rsidR="00F519AB" w:rsidRPr="009F6406">
        <w:t xml:space="preserve">. </w:t>
      </w:r>
    </w:p>
    <w:p w14:paraId="389DB836" w14:textId="77777777" w:rsidR="00CB43D5" w:rsidRPr="009F6406" w:rsidRDefault="00CB43D5" w:rsidP="00CB43D5">
      <w:pPr>
        <w:pStyle w:val="Heading1"/>
      </w:pPr>
      <w:r w:rsidRPr="009F6406">
        <w:t>Conflict of Interest</w:t>
      </w:r>
    </w:p>
    <w:p w14:paraId="15B0C8B6" w14:textId="51EAAF70" w:rsidR="00CB43D5" w:rsidRPr="009F6406" w:rsidRDefault="004D605E" w:rsidP="00CB43D5">
      <w:r w:rsidRPr="009F6406">
        <w:rPr>
          <w:rFonts w:eastAsia="Times New Roman" w:cs="Times New Roman"/>
          <w:szCs w:val="24"/>
          <w:lang w:val="en-GB" w:eastAsia="en-GB"/>
        </w:rPr>
        <w:t>This research was funded by the Oxford University Press; the research team was (at the time at which the evaluation was conducted) employed by the Department of Education in the University of Oxford. T</w:t>
      </w:r>
      <w:r w:rsidR="00EE7E33" w:rsidRPr="009F6406">
        <w:rPr>
          <w:rFonts w:eastAsia="Times New Roman" w:cs="Times New Roman"/>
          <w:szCs w:val="24"/>
          <w:lang w:val="en-GB" w:eastAsia="en-GB"/>
        </w:rPr>
        <w:t xml:space="preserve">o address any perceived conflict of interest, given the </w:t>
      </w:r>
      <w:r w:rsidR="00707BAA" w:rsidRPr="009F6406">
        <w:rPr>
          <w:rFonts w:eastAsia="Times New Roman" w:cs="Times New Roman"/>
          <w:szCs w:val="24"/>
          <w:lang w:val="en-GB" w:eastAsia="en-GB"/>
        </w:rPr>
        <w:t xml:space="preserve">joint </w:t>
      </w:r>
      <w:r w:rsidR="00EE7E33" w:rsidRPr="009F6406">
        <w:rPr>
          <w:rFonts w:eastAsia="Times New Roman" w:cs="Times New Roman"/>
          <w:szCs w:val="24"/>
          <w:lang w:val="en-GB" w:eastAsia="en-GB"/>
        </w:rPr>
        <w:t>affiliation of the funder and the research team with a broader institution (the University of Oxford): The</w:t>
      </w:r>
      <w:r w:rsidRPr="009F6406">
        <w:rPr>
          <w:rFonts w:eastAsia="Times New Roman" w:cs="Times New Roman"/>
          <w:szCs w:val="24"/>
          <w:lang w:val="en-GB" w:eastAsia="en-GB"/>
        </w:rPr>
        <w:t xml:space="preserve"> research team </w:t>
      </w:r>
      <w:r w:rsidR="006D4620" w:rsidRPr="009F6406">
        <w:rPr>
          <w:rFonts w:eastAsia="Times New Roman" w:cs="Times New Roman"/>
          <w:szCs w:val="24"/>
          <w:lang w:val="en-GB" w:eastAsia="en-GB"/>
        </w:rPr>
        <w:t xml:space="preserve"> was explicitly independent from the funder, conducted random allocation and communicated with schools independently of the funder during data collection, and </w:t>
      </w:r>
      <w:r w:rsidRPr="009F6406">
        <w:rPr>
          <w:rFonts w:eastAsia="Times New Roman" w:cs="Times New Roman"/>
          <w:szCs w:val="24"/>
          <w:lang w:val="en-GB" w:eastAsia="en-GB"/>
        </w:rPr>
        <w:t xml:space="preserve">conducted the study under the explicit agreement that findings would be fed back to the funder and disseminated more broadly regardless of the results, and that the provision of the grant to fund the study did not constitute any guarantee that the study would show a positive effect of the intervention being evaluated. </w:t>
      </w:r>
    </w:p>
    <w:p w14:paraId="3A10A078" w14:textId="77777777" w:rsidR="00045678" w:rsidRPr="009F6406" w:rsidRDefault="00045678" w:rsidP="00045678">
      <w:pPr>
        <w:pStyle w:val="Heading1"/>
      </w:pPr>
      <w:r w:rsidRPr="009F6406">
        <w:t>Author Contributions</w:t>
      </w:r>
    </w:p>
    <w:p w14:paraId="2AE8F7D5" w14:textId="07E6C8FB" w:rsidR="005C2A7B" w:rsidRPr="009F6406" w:rsidRDefault="005825DD" w:rsidP="00166CEB">
      <w:pPr>
        <w:spacing w:after="0"/>
        <w:rPr>
          <w:lang w:val="en-GB"/>
        </w:rPr>
      </w:pPr>
      <w:r w:rsidRPr="009F6406">
        <w:rPr>
          <w:lang w:val="en-GB"/>
        </w:rPr>
        <w:t>A</w:t>
      </w:r>
      <w:r w:rsidR="005C2A7B" w:rsidRPr="009F6406">
        <w:rPr>
          <w:lang w:val="en-GB"/>
        </w:rPr>
        <w:t>L</w:t>
      </w:r>
      <w:r w:rsidR="00E570D4" w:rsidRPr="009F6406">
        <w:rPr>
          <w:lang w:val="en-GB"/>
        </w:rPr>
        <w:t xml:space="preserve"> </w:t>
      </w:r>
      <w:r w:rsidR="00166CEB" w:rsidRPr="009F6406">
        <w:rPr>
          <w:lang w:val="en-GB"/>
        </w:rPr>
        <w:t xml:space="preserve">undertook </w:t>
      </w:r>
      <w:r w:rsidR="00E570D4" w:rsidRPr="009F6406">
        <w:rPr>
          <w:lang w:val="en-GB"/>
        </w:rPr>
        <w:t>data collection,</w:t>
      </w:r>
      <w:r w:rsidR="006D4620" w:rsidRPr="009F6406">
        <w:rPr>
          <w:lang w:val="en-GB"/>
        </w:rPr>
        <w:t xml:space="preserve"> contributed to instrument development (pupil questionnaires), </w:t>
      </w:r>
      <w:r w:rsidR="005C2A7B" w:rsidRPr="009F6406">
        <w:rPr>
          <w:lang w:val="en-GB"/>
        </w:rPr>
        <w:t>conducted qualitative analysis, and made the majority contribution to the writing of this manuscript.</w:t>
      </w:r>
      <w:r w:rsidR="00166CEB" w:rsidRPr="009F6406">
        <w:rPr>
          <w:lang w:val="en-GB"/>
        </w:rPr>
        <w:t xml:space="preserve"> </w:t>
      </w:r>
      <w:r w:rsidR="005C2A7B" w:rsidRPr="009F6406">
        <w:rPr>
          <w:lang w:val="en-GB"/>
        </w:rPr>
        <w:t>JH</w:t>
      </w:r>
      <w:r w:rsidR="00E570D4" w:rsidRPr="009F6406">
        <w:rPr>
          <w:lang w:val="en-GB"/>
        </w:rPr>
        <w:t xml:space="preserve"> design</w:t>
      </w:r>
      <w:r w:rsidR="00166CEB" w:rsidRPr="009F6406">
        <w:rPr>
          <w:lang w:val="en-GB"/>
        </w:rPr>
        <w:t xml:space="preserve">ed </w:t>
      </w:r>
      <w:r w:rsidR="00E570D4" w:rsidRPr="009F6406">
        <w:rPr>
          <w:lang w:val="en-GB"/>
        </w:rPr>
        <w:t>the study,</w:t>
      </w:r>
      <w:r w:rsidR="005C2A7B" w:rsidRPr="009F6406">
        <w:rPr>
          <w:lang w:val="en-GB"/>
        </w:rPr>
        <w:t xml:space="preserve"> conducted quantitative analysis</w:t>
      </w:r>
      <w:r w:rsidR="00166CEB" w:rsidRPr="009F6406">
        <w:rPr>
          <w:lang w:val="en-GB"/>
        </w:rPr>
        <w:t xml:space="preserve">, and contributed </w:t>
      </w:r>
      <w:r w:rsidR="005C2A7B" w:rsidRPr="009F6406">
        <w:rPr>
          <w:lang w:val="en-GB"/>
        </w:rPr>
        <w:t>to the writing</w:t>
      </w:r>
      <w:r w:rsidR="00E570D4" w:rsidRPr="009F6406">
        <w:rPr>
          <w:lang w:val="en-GB"/>
        </w:rPr>
        <w:t xml:space="preserve"> and revision</w:t>
      </w:r>
      <w:r w:rsidR="005C2A7B" w:rsidRPr="009F6406">
        <w:rPr>
          <w:lang w:val="en-GB"/>
        </w:rPr>
        <w:t xml:space="preserve"> of </w:t>
      </w:r>
      <w:r w:rsidR="005C2A7B" w:rsidRPr="009F6406">
        <w:rPr>
          <w:lang w:val="en-GB"/>
        </w:rPr>
        <w:lastRenderedPageBreak/>
        <w:t>the manuscript.</w:t>
      </w:r>
      <w:r w:rsidR="00166CEB" w:rsidRPr="009F6406">
        <w:rPr>
          <w:lang w:val="en-GB"/>
        </w:rPr>
        <w:t xml:space="preserve"> </w:t>
      </w:r>
      <w:r w:rsidR="005C2A7B" w:rsidRPr="009F6406">
        <w:rPr>
          <w:lang w:val="en-GB"/>
        </w:rPr>
        <w:t xml:space="preserve">PS </w:t>
      </w:r>
      <w:r w:rsidR="00166CEB" w:rsidRPr="009F6406">
        <w:rPr>
          <w:lang w:val="en-GB"/>
        </w:rPr>
        <w:t>designed</w:t>
      </w:r>
      <w:r w:rsidR="00E570D4" w:rsidRPr="009F6406">
        <w:rPr>
          <w:lang w:val="en-GB"/>
        </w:rPr>
        <w:t xml:space="preserve"> the study, consulted with co-authors on data interpretation and analysis, and contributed to the writing and revision of this manuscript.</w:t>
      </w:r>
    </w:p>
    <w:p w14:paraId="467870DC" w14:textId="77777777" w:rsidR="00E570D4" w:rsidRPr="009F6406" w:rsidRDefault="00E570D4" w:rsidP="005C2A7B">
      <w:pPr>
        <w:spacing w:before="0" w:after="0"/>
        <w:rPr>
          <w:lang w:val="en-GB"/>
        </w:rPr>
      </w:pPr>
      <w:r w:rsidRPr="009F6406">
        <w:rPr>
          <w:lang w:val="en-GB"/>
        </w:rPr>
        <w:t>All named authors provide their approval for the publication of this manuscript, and agree to be accountable for all aspects of the work in ensuring that questions related to the accuracy or integrity of any part of the work are appropriately investigated and resolved.</w:t>
      </w:r>
    </w:p>
    <w:p w14:paraId="158E7088" w14:textId="77777777" w:rsidR="00AC3EA3" w:rsidRPr="009F6406" w:rsidRDefault="00AC3EA3" w:rsidP="00A53000">
      <w:pPr>
        <w:pStyle w:val="Heading1"/>
      </w:pPr>
      <w:r w:rsidRPr="009F6406">
        <w:t>Funding</w:t>
      </w:r>
    </w:p>
    <w:p w14:paraId="147FC542" w14:textId="77777777" w:rsidR="00AC3EA3" w:rsidRPr="009F6406" w:rsidRDefault="00166CEB" w:rsidP="00AC3EA3">
      <w:pPr>
        <w:rPr>
          <w:szCs w:val="24"/>
        </w:rPr>
      </w:pPr>
      <w:r w:rsidRPr="009F6406">
        <w:rPr>
          <w:szCs w:val="24"/>
        </w:rPr>
        <w:t xml:space="preserve">The original study </w:t>
      </w:r>
      <w:r w:rsidR="004D605E" w:rsidRPr="009F6406">
        <w:rPr>
          <w:szCs w:val="24"/>
        </w:rPr>
        <w:t>was funded by the Oxford University Press.</w:t>
      </w:r>
    </w:p>
    <w:p w14:paraId="04BF4321" w14:textId="77777777" w:rsidR="006B2D5B" w:rsidRPr="009F6406" w:rsidRDefault="006B2D5B" w:rsidP="00A53000">
      <w:pPr>
        <w:pStyle w:val="Heading1"/>
      </w:pPr>
      <w:r w:rsidRPr="009F6406">
        <w:t>Acknowledgments</w:t>
      </w:r>
    </w:p>
    <w:p w14:paraId="387F0DC6" w14:textId="01EC1797" w:rsidR="00686C9D" w:rsidRPr="009F6406" w:rsidRDefault="00B76991" w:rsidP="006B2D5B">
      <w:pPr>
        <w:rPr>
          <w:szCs w:val="24"/>
          <w:shd w:val="clear" w:color="auto" w:fill="FFFFFF"/>
        </w:rPr>
      </w:pPr>
      <w:r w:rsidRPr="009F6406">
        <w:rPr>
          <w:szCs w:val="24"/>
          <w:shd w:val="clear" w:color="auto" w:fill="FFFFFF"/>
        </w:rPr>
        <w:t>The authors would like to acknowledge and thank the original creators of the MECORS</w:t>
      </w:r>
      <w:r w:rsidR="00906F59" w:rsidRPr="009F6406">
        <w:rPr>
          <w:szCs w:val="24"/>
          <w:shd w:val="clear" w:color="auto" w:fill="FFFFFF"/>
        </w:rPr>
        <w:t xml:space="preserve"> </w:t>
      </w:r>
      <w:r w:rsidR="00906F59" w:rsidRPr="009F6406">
        <w:rPr>
          <w:szCs w:val="24"/>
          <w:shd w:val="clear" w:color="auto" w:fill="FFFFFF"/>
        </w:rPr>
        <w:fldChar w:fldCharType="begin" w:fldLock="1"/>
      </w:r>
      <w:r w:rsidR="00A130BF" w:rsidRPr="009F6406">
        <w:rPr>
          <w:szCs w:val="24"/>
          <w:shd w:val="clear" w:color="auto" w:fill="FFFFFF"/>
        </w:rPr>
        <w:instrText>ADDIN CSL_CITATION {"citationItems":[{"id":"ITEM-1","itemData":{"author":[{"dropping-particle":"","family":"Schaffer","given":"Eugene C","non-dropping-particle":"","parse-names":false,"suffix":""},{"dropping-particle":"","family":"Muijs","given":"Daniel","non-dropping-particle":"","parse-names":false,"suffix":""},{"dropping-particle":"","family":"Kitson","given":"C","non-dropping-particle":"","parse-names":false,"suffix":""},{"dropping-particle":"","family":"Reynolds","given":"David","non-dropping-particle":"","parse-names":false,"suffix":""}],"id":"ITEM-1","issued":{"date-parts":[["1998"]]},"publisher-place":"Newcastle upon Tyne: Educational Effectiveness and Improvement Centre","title":"Mathematics enhancement classroom observation record","type":"report"},"uris":["http://www.mendeley.com/documents/?uuid=6bf44589-033e-4f54-92e9-c9701153f813"]}],"mendeley":{"formattedCitation":"(Schaffer et al. 1998)","plainTextFormattedCitation":"(Schaffer et al. 1998)","previouslyFormattedCitation":"(Schaffer et al. 1998)"},"properties":{"noteIndex":0},"schema":"https://github.com/citation-style-language/schema/raw/master/csl-citation.json"}</w:instrText>
      </w:r>
      <w:r w:rsidR="00906F59" w:rsidRPr="009F6406">
        <w:rPr>
          <w:szCs w:val="24"/>
          <w:shd w:val="clear" w:color="auto" w:fill="FFFFFF"/>
        </w:rPr>
        <w:fldChar w:fldCharType="separate"/>
      </w:r>
      <w:r w:rsidR="00120F1C" w:rsidRPr="009F6406">
        <w:rPr>
          <w:noProof/>
          <w:szCs w:val="24"/>
          <w:shd w:val="clear" w:color="auto" w:fill="FFFFFF"/>
        </w:rPr>
        <w:t>(Schaffer et al. 1998)</w:t>
      </w:r>
      <w:r w:rsidR="00906F59" w:rsidRPr="009F6406">
        <w:rPr>
          <w:szCs w:val="24"/>
          <w:shd w:val="clear" w:color="auto" w:fill="FFFFFF"/>
        </w:rPr>
        <w:fldChar w:fldCharType="end"/>
      </w:r>
      <w:r w:rsidRPr="009F6406">
        <w:rPr>
          <w:szCs w:val="24"/>
          <w:shd w:val="clear" w:color="auto" w:fill="FFFFFF"/>
        </w:rPr>
        <w:t xml:space="preserve">, QoT </w:t>
      </w:r>
      <w:r w:rsidR="00906F59" w:rsidRPr="009F6406">
        <w:rPr>
          <w:szCs w:val="24"/>
          <w:shd w:val="clear" w:color="auto" w:fill="FFFFFF"/>
        </w:rPr>
        <w:fldChar w:fldCharType="begin" w:fldLock="1"/>
      </w:r>
      <w:r w:rsidR="00CE19B7" w:rsidRPr="009F6406">
        <w:rPr>
          <w:szCs w:val="24"/>
          <w:shd w:val="clear" w:color="auto" w:fill="FFFFFF"/>
        </w:rPr>
        <w:instrText>ADDIN CSL_CITATION {"citationItems":[{"id":"ITEM-1","itemData":{"author":[{"dropping-particle":"","family":"Grift","given":"Wim","non-dropping-particle":"van de","parse-names":false,"suffix":""},{"dropping-particle":"","family":"Matthews","given":"Peter","non-dropping-particle":"","parse-names":false,"suffix":""},{"dropping-particle":"","family":"Tabak","given":"L","non-dropping-particle":"","parse-names":false,"suffix":""},{"dropping-particle":"","family":"Rijcke","given":"F","non-dropping-particle":"de","parse-names":false,"suffix":""}],"id":"ITEM-1","issued":{"date-parts":[["2004"]]},"publisher":"Inspectie van het Onderwijs; Office for Standards in Education","publisher-place":"Utrecht, Netherlands; London, UK","title":"Preliminary lesson observation form for evaluating the quality of teaching","type":"article"},"uris":["http://www.mendeley.com/documents/?uuid=62c39fa2-5fc9-479b-97df-653e4611778f"]}],"mendeley":{"formattedCitation":"(W. van de Grift et al. 2004)","plainTextFormattedCitation":"(W. van de Grift et al. 2004)","previouslyFormattedCitation":"(W. van de Grift et al. 2004)"},"properties":{"noteIndex":0},"schema":"https://github.com/citation-style-language/schema/raw/master/csl-citation.json"}</w:instrText>
      </w:r>
      <w:r w:rsidR="00906F59" w:rsidRPr="009F6406">
        <w:rPr>
          <w:szCs w:val="24"/>
          <w:shd w:val="clear" w:color="auto" w:fill="FFFFFF"/>
        </w:rPr>
        <w:fldChar w:fldCharType="separate"/>
      </w:r>
      <w:r w:rsidR="00CE19B7" w:rsidRPr="009F6406">
        <w:rPr>
          <w:noProof/>
          <w:szCs w:val="24"/>
          <w:shd w:val="clear" w:color="auto" w:fill="FFFFFF"/>
        </w:rPr>
        <w:t>(W. van de Grift et al. 2004)</w:t>
      </w:r>
      <w:r w:rsidR="00906F59" w:rsidRPr="009F6406">
        <w:rPr>
          <w:szCs w:val="24"/>
          <w:shd w:val="clear" w:color="auto" w:fill="FFFFFF"/>
        </w:rPr>
        <w:fldChar w:fldCharType="end"/>
      </w:r>
      <w:r w:rsidR="00906F59" w:rsidRPr="009F6406">
        <w:rPr>
          <w:szCs w:val="24"/>
          <w:shd w:val="clear" w:color="auto" w:fill="FFFFFF"/>
        </w:rPr>
        <w:t xml:space="preserve"> </w:t>
      </w:r>
      <w:r w:rsidRPr="009F6406">
        <w:rPr>
          <w:szCs w:val="24"/>
          <w:shd w:val="clear" w:color="auto" w:fill="FFFFFF"/>
        </w:rPr>
        <w:t xml:space="preserve">and ISTOF </w:t>
      </w:r>
      <w:r w:rsidR="00906F59" w:rsidRPr="009F6406">
        <w:rPr>
          <w:szCs w:val="24"/>
          <w:shd w:val="clear" w:color="auto" w:fill="FFFFFF"/>
        </w:rPr>
        <w:fldChar w:fldCharType="begin" w:fldLock="1"/>
      </w:r>
      <w:r w:rsidR="00A130BF" w:rsidRPr="009F6406">
        <w:rPr>
          <w:szCs w:val="24"/>
          <w:shd w:val="clear" w:color="auto" w:fill="FFFFFF"/>
        </w:rPr>
        <w:instrText>ADDIN CSL_CITATION {"citationItems":[{"id":"ITEM-1","itemData":{"ISSN":"1380-3611","author":[{"dropping-particle":"","family":"Teddlie","given":"Charles","non-dropping-particle":"","parse-names":false,"suffix":""},{"dropping-particle":"","family":"Creemers","given":"Bert","non-dropping-particle":"","parse-names":false,"suffix":""},{"dropping-particle":"","family":"Kyriakides","given":"Leonidas","non-dropping-particle":"","parse-names":false,"suffix":""},{"dropping-particle":"","family":"Muijs","given":"Daniel","non-dropping-particle":"","parse-names":false,"suffix":""},{"dropping-particle":"","family":"Yu","given":"Fen","non-dropping-particle":"","parse-names":false,"suffix":""}],"container-title":"Educational Research and Evaluation","id":"ITEM-1","issue":"6","issued":{"date-parts":[["2006","12"]]},"page":"561-582","title":"The international system for Teacher Observation and Feedback: Evolution of an international study of teacher effectiveness constructs 1","type":"article-journal","volume":"12"},"uris":["http://www.mendeley.com/documents/?uuid=40b721d9-bfb2-4f5a-aa9b-9207c883ee86"]}],"mendeley":{"formattedCitation":"(Teddlie et al. 2006)","plainTextFormattedCitation":"(Teddlie et al. 2006)","previouslyFormattedCitation":"(Teddlie et al. 2006)"},"properties":{"noteIndex":0},"schema":"https://github.com/citation-style-language/schema/raw/master/csl-citation.json"}</w:instrText>
      </w:r>
      <w:r w:rsidR="00906F59" w:rsidRPr="009F6406">
        <w:rPr>
          <w:szCs w:val="24"/>
          <w:shd w:val="clear" w:color="auto" w:fill="FFFFFF"/>
        </w:rPr>
        <w:fldChar w:fldCharType="separate"/>
      </w:r>
      <w:r w:rsidR="00120F1C" w:rsidRPr="009F6406">
        <w:rPr>
          <w:noProof/>
          <w:szCs w:val="24"/>
          <w:shd w:val="clear" w:color="auto" w:fill="FFFFFF"/>
        </w:rPr>
        <w:t>(Teddlie et al. 2006)</w:t>
      </w:r>
      <w:r w:rsidR="00906F59" w:rsidRPr="009F6406">
        <w:rPr>
          <w:szCs w:val="24"/>
          <w:shd w:val="clear" w:color="auto" w:fill="FFFFFF"/>
        </w:rPr>
        <w:fldChar w:fldCharType="end"/>
      </w:r>
      <w:r w:rsidR="00906F59" w:rsidRPr="009F6406">
        <w:rPr>
          <w:szCs w:val="24"/>
          <w:shd w:val="clear" w:color="auto" w:fill="FFFFFF"/>
        </w:rPr>
        <w:t xml:space="preserve"> </w:t>
      </w:r>
      <w:r w:rsidRPr="009F6406">
        <w:rPr>
          <w:szCs w:val="24"/>
          <w:shd w:val="clear" w:color="auto" w:fill="FFFFFF"/>
        </w:rPr>
        <w:t>instruments for their permission to use these in the study reported in this article.</w:t>
      </w:r>
    </w:p>
    <w:p w14:paraId="7D403506" w14:textId="77777777" w:rsidR="00B76991" w:rsidRPr="009F6406" w:rsidRDefault="00B76991" w:rsidP="00B76991">
      <w:pPr>
        <w:pStyle w:val="Heading1"/>
        <w:rPr>
          <w:shd w:val="clear" w:color="auto" w:fill="FFFFFF"/>
        </w:rPr>
      </w:pPr>
      <w:r w:rsidRPr="009F6406">
        <w:rPr>
          <w:shd w:val="clear" w:color="auto" w:fill="FFFFFF"/>
        </w:rPr>
        <w:t>References</w:t>
      </w:r>
    </w:p>
    <w:p w14:paraId="001EE5AC" w14:textId="3FF4922F" w:rsidR="00CE19B7" w:rsidRPr="009F6406" w:rsidRDefault="00906F59" w:rsidP="00CE19B7">
      <w:pPr>
        <w:widowControl w:val="0"/>
        <w:autoSpaceDE w:val="0"/>
        <w:autoSpaceDN w:val="0"/>
        <w:adjustRightInd w:val="0"/>
        <w:ind w:left="480" w:hanging="480"/>
        <w:rPr>
          <w:rFonts w:cs="Times New Roman"/>
          <w:noProof/>
          <w:szCs w:val="24"/>
        </w:rPr>
      </w:pPr>
      <w:r w:rsidRPr="009F6406">
        <w:fldChar w:fldCharType="begin" w:fldLock="1"/>
      </w:r>
      <w:r w:rsidRPr="009F6406">
        <w:instrText xml:space="preserve">ADDIN Mendeley Bibliography CSL_BIBLIOGRAPHY </w:instrText>
      </w:r>
      <w:r w:rsidRPr="009F6406">
        <w:fldChar w:fldCharType="separate"/>
      </w:r>
      <w:r w:rsidR="00CE19B7" w:rsidRPr="009F6406">
        <w:rPr>
          <w:rFonts w:cs="Times New Roman"/>
          <w:noProof/>
          <w:szCs w:val="24"/>
        </w:rPr>
        <w:t xml:space="preserve">Bloom, Benjamin S. 1968. “Learning for Mastery.” </w:t>
      </w:r>
      <w:r w:rsidR="00CE19B7" w:rsidRPr="009F6406">
        <w:rPr>
          <w:rFonts w:cs="Times New Roman"/>
          <w:i/>
          <w:iCs/>
          <w:noProof/>
          <w:szCs w:val="24"/>
        </w:rPr>
        <w:t>Evaluation Comment</w:t>
      </w:r>
      <w:r w:rsidR="00CE19B7" w:rsidRPr="009F6406">
        <w:rPr>
          <w:rFonts w:cs="Times New Roman"/>
          <w:noProof/>
          <w:szCs w:val="24"/>
        </w:rPr>
        <w:t xml:space="preserve"> 1 (2): 1–12.</w:t>
      </w:r>
    </w:p>
    <w:p w14:paraId="3C5DAD82" w14:textId="384E67F1"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Boyd, Pete, and Andy Ash. 2018. “Teachers Framing Exploratory Learning within a Text-Book Based Singapore Maths Mastery Approach.” </w:t>
      </w:r>
      <w:r w:rsidRPr="009F6406">
        <w:rPr>
          <w:rFonts w:cs="Times New Roman"/>
          <w:i/>
          <w:iCs/>
          <w:noProof/>
          <w:szCs w:val="24"/>
        </w:rPr>
        <w:t>Teacher Education Advancement Network Journal</w:t>
      </w:r>
      <w:r w:rsidRPr="009F6406">
        <w:rPr>
          <w:rFonts w:cs="Times New Roman"/>
          <w:noProof/>
          <w:szCs w:val="24"/>
        </w:rPr>
        <w:t xml:space="preserve"> 10 (1): 62–73.</w:t>
      </w:r>
      <w:r w:rsidR="00F15BE4">
        <w:rPr>
          <w:rFonts w:cs="Times New Roman"/>
          <w:noProof/>
          <w:szCs w:val="24"/>
        </w:rPr>
        <w:t xml:space="preserve"> Available onlin</w:t>
      </w:r>
      <w:r w:rsidR="00F15BE4" w:rsidRPr="00F15BE4">
        <w:rPr>
          <w:rFonts w:cs="Times New Roman"/>
          <w:noProof/>
          <w:szCs w:val="24"/>
        </w:rPr>
        <w:t>e at</w:t>
      </w:r>
      <w:r w:rsidR="00F15BE4" w:rsidRPr="00F15BE4">
        <w:rPr>
          <w:rFonts w:cs="Times New Roman"/>
          <w:color w:val="000000"/>
          <w:szCs w:val="24"/>
        </w:rPr>
        <w:t xml:space="preserve"> http://insig</w:t>
      </w:r>
      <w:r w:rsidR="00F15BE4">
        <w:rPr>
          <w:rFonts w:cs="Times New Roman"/>
          <w:color w:val="000000"/>
          <w:szCs w:val="24"/>
        </w:rPr>
        <w:t xml:space="preserve">ht.cumbria.ac.uk/id/eprint/3587. </w:t>
      </w:r>
    </w:p>
    <w:p w14:paraId="70D62CA4" w14:textId="72124262" w:rsidR="00CE19B7" w:rsidRPr="00F15BE4" w:rsidRDefault="00CE19B7" w:rsidP="00CE19B7">
      <w:pPr>
        <w:widowControl w:val="0"/>
        <w:autoSpaceDE w:val="0"/>
        <w:autoSpaceDN w:val="0"/>
        <w:adjustRightInd w:val="0"/>
        <w:ind w:left="480" w:hanging="480"/>
        <w:rPr>
          <w:rFonts w:cs="Times New Roman"/>
          <w:noProof/>
          <w:szCs w:val="24"/>
        </w:rPr>
      </w:pPr>
      <w:r w:rsidRPr="00F15BE4">
        <w:rPr>
          <w:rFonts w:cs="Times New Roman"/>
          <w:noProof/>
          <w:szCs w:val="24"/>
        </w:rPr>
        <w:t>British Educational Research Association. 2011. “Ethical Guidelines for Educational Research.”.</w:t>
      </w:r>
      <w:r w:rsidR="00F15BE4" w:rsidRPr="00F15BE4">
        <w:rPr>
          <w:rFonts w:cs="Times New Roman"/>
          <w:noProof/>
          <w:szCs w:val="24"/>
        </w:rPr>
        <w:t xml:space="preserve"> Available online at http://</w:t>
      </w:r>
      <w:r w:rsidR="00F15BE4" w:rsidRPr="00F15BE4">
        <w:rPr>
          <w:rFonts w:cs="Times New Roman"/>
          <w:color w:val="000000"/>
          <w:szCs w:val="24"/>
        </w:rPr>
        <w:t>www.bera.ac.uk/wp-content/uploads/2014/02/BERA-Ethical-Guidelines-2011.pdf.</w:t>
      </w:r>
    </w:p>
    <w:p w14:paraId="637B84B0"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Bruner, Jerome S, and Helen J Kenney. 1965. “Representation and Mathematics Learning.” </w:t>
      </w:r>
      <w:r w:rsidRPr="009F6406">
        <w:rPr>
          <w:rFonts w:cs="Times New Roman"/>
          <w:i/>
          <w:iCs/>
          <w:noProof/>
          <w:szCs w:val="24"/>
        </w:rPr>
        <w:t>Monographs of the Society for Research in Child Development</w:t>
      </w:r>
      <w:r w:rsidRPr="009F6406">
        <w:rPr>
          <w:rFonts w:cs="Times New Roman"/>
          <w:noProof/>
          <w:szCs w:val="24"/>
        </w:rPr>
        <w:t xml:space="preserve"> 30 (1): 50–59. doi:10.2307/1165708.</w:t>
      </w:r>
    </w:p>
    <w:p w14:paraId="386D74BB" w14:textId="6FBB1082" w:rsidR="00F0265A" w:rsidRPr="009F6406" w:rsidRDefault="00F0265A" w:rsidP="00CE19B7">
      <w:pPr>
        <w:widowControl w:val="0"/>
        <w:autoSpaceDE w:val="0"/>
        <w:autoSpaceDN w:val="0"/>
        <w:adjustRightInd w:val="0"/>
        <w:ind w:left="480" w:hanging="480"/>
        <w:rPr>
          <w:rFonts w:cs="Times New Roman"/>
          <w:noProof/>
          <w:szCs w:val="24"/>
        </w:rPr>
      </w:pPr>
      <w:r w:rsidRPr="009F6406">
        <w:t>Bruner, J</w:t>
      </w:r>
      <w:r w:rsidR="000E37DA" w:rsidRPr="009F6406">
        <w:t>erome S. 1966</w:t>
      </w:r>
      <w:r w:rsidRPr="009F6406">
        <w:t xml:space="preserve">. </w:t>
      </w:r>
      <w:r w:rsidRPr="009F6406">
        <w:rPr>
          <w:i/>
          <w:iCs/>
        </w:rPr>
        <w:t>Toward a theory of instruction</w:t>
      </w:r>
      <w:r w:rsidRPr="009F6406">
        <w:t>. Cambridge, Mass: Belknap Press of Harvard University.</w:t>
      </w:r>
    </w:p>
    <w:p w14:paraId="149E508C"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Carroll, John Bissell. 1963. “A Model of School Learning.” </w:t>
      </w:r>
      <w:r w:rsidRPr="009F6406">
        <w:rPr>
          <w:rFonts w:cs="Times New Roman"/>
          <w:i/>
          <w:iCs/>
          <w:noProof/>
          <w:szCs w:val="24"/>
        </w:rPr>
        <w:t>Teachers College Record</w:t>
      </w:r>
      <w:r w:rsidRPr="009F6406">
        <w:rPr>
          <w:rFonts w:cs="Times New Roman"/>
          <w:noProof/>
          <w:szCs w:val="24"/>
        </w:rPr>
        <w:t xml:space="preserve"> 64: 723–33.</w:t>
      </w:r>
    </w:p>
    <w:p w14:paraId="1884C0F6"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Cohen, Jacob. 1988. </w:t>
      </w:r>
      <w:r w:rsidRPr="009F6406">
        <w:rPr>
          <w:rFonts w:cs="Times New Roman"/>
          <w:i/>
          <w:iCs/>
          <w:noProof/>
          <w:szCs w:val="24"/>
        </w:rPr>
        <w:t>Statistical Power Analysis for the Behavioral Sciences</w:t>
      </w:r>
      <w:r w:rsidRPr="009F6406">
        <w:rPr>
          <w:rFonts w:cs="Times New Roman"/>
          <w:noProof/>
          <w:szCs w:val="24"/>
        </w:rPr>
        <w:t>. Hillsdale, N.J.: L. Erlbaum Associates.</w:t>
      </w:r>
    </w:p>
    <w:p w14:paraId="37EB5663"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Common Core State Standards Initiative. 2016. “About the Standards.” http://www.corestandards.org/about-the-standards/.</w:t>
      </w:r>
    </w:p>
    <w:p w14:paraId="5A5DF692"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Day, Christopher, Pam Sammons, Alison Kington, Elaine Regan, Judith Gunraj, and Joanne Towle. 2007. “Effective Classroom Practice: A Mixed Methods Study of Influences and Outcomes: Interim Report Submitted to the ESRC.” Swindon: Economic and Social Research Council.</w:t>
      </w:r>
    </w:p>
    <w:p w14:paraId="61C91A60"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Department for Education. 2016. “8,000 Primary Schools in England Will Receive £41 Million over 4 Years to Support the ‘Maths Mastery’ Approach.” </w:t>
      </w:r>
      <w:r w:rsidRPr="009F6406">
        <w:rPr>
          <w:rFonts w:cs="Times New Roman"/>
          <w:i/>
          <w:iCs/>
          <w:noProof/>
          <w:szCs w:val="24"/>
        </w:rPr>
        <w:t>School and Colllege Qualifications and Curriculum</w:t>
      </w:r>
      <w:r w:rsidRPr="009F6406">
        <w:rPr>
          <w:rFonts w:cs="Times New Roman"/>
          <w:noProof/>
          <w:szCs w:val="24"/>
        </w:rPr>
        <w:t>, July 12. https://www.gov.uk/government/news/south-asian-method-of-teaching-maths-to-be-rolled-out-in-schools.</w:t>
      </w:r>
    </w:p>
    <w:p w14:paraId="7B05BED2"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lastRenderedPageBreak/>
        <w:t xml:space="preserve">Dienes, Zoltan Paul. 1960. </w:t>
      </w:r>
      <w:r w:rsidRPr="009F6406">
        <w:rPr>
          <w:rFonts w:cs="Times New Roman"/>
          <w:i/>
          <w:iCs/>
          <w:noProof/>
          <w:szCs w:val="24"/>
        </w:rPr>
        <w:t>Building up Mathematics</w:t>
      </w:r>
      <w:r w:rsidRPr="009F6406">
        <w:rPr>
          <w:rFonts w:cs="Times New Roman"/>
          <w:noProof/>
          <w:szCs w:val="24"/>
        </w:rPr>
        <w:t>. London: Hutchinson Educational.</w:t>
      </w:r>
    </w:p>
    <w:p w14:paraId="26767859"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Elliot, Karen, and Pam Sammons. 2004. “Exploring the Use of Effect Sizes to Evaluate the Impact of Different Influences on Child Outcomes: Possibilities and Limitations.” In </w:t>
      </w:r>
      <w:r w:rsidRPr="009F6406">
        <w:rPr>
          <w:rFonts w:cs="Times New Roman"/>
          <w:i/>
          <w:iCs/>
          <w:noProof/>
          <w:szCs w:val="24"/>
        </w:rPr>
        <w:t>But What Does It Mean? The Use of Effect Sizes in Educational Research</w:t>
      </w:r>
      <w:r w:rsidRPr="009F6406">
        <w:rPr>
          <w:rFonts w:cs="Times New Roman"/>
          <w:noProof/>
          <w:szCs w:val="24"/>
        </w:rPr>
        <w:t>, edited by Ian Schagen and Karen Elliot, 6–24. London: National Foundation for Educational Research.</w:t>
      </w:r>
    </w:p>
    <w:p w14:paraId="74DF56CA" w14:textId="64379BBA" w:rsidR="00015F67" w:rsidRPr="009F6406" w:rsidRDefault="00015F67" w:rsidP="00015F67">
      <w:pPr>
        <w:widowControl w:val="0"/>
        <w:autoSpaceDE w:val="0"/>
        <w:autoSpaceDN w:val="0"/>
        <w:adjustRightInd w:val="0"/>
        <w:ind w:left="480" w:hanging="480"/>
        <w:rPr>
          <w:rFonts w:cs="Times New Roman"/>
          <w:noProof/>
          <w:szCs w:val="24"/>
        </w:rPr>
      </w:pPr>
      <w:r w:rsidRPr="009F6406">
        <w:rPr>
          <w:rFonts w:cs="Times New Roman"/>
          <w:noProof/>
          <w:szCs w:val="24"/>
        </w:rPr>
        <w:t xml:space="preserve">Fong, Ho Kheong, Chelvi Ramakrishnan, Bernice Lau Pui Wah, Zalina Jalil, and Michelle Choo. 2015. </w:t>
      </w:r>
      <w:r w:rsidRPr="009F6406">
        <w:rPr>
          <w:rFonts w:cs="Times New Roman"/>
          <w:i/>
          <w:iCs/>
          <w:noProof/>
          <w:szCs w:val="24"/>
        </w:rPr>
        <w:t>Inspire Maths</w:t>
      </w:r>
      <w:r w:rsidRPr="009F6406">
        <w:rPr>
          <w:rFonts w:cs="Times New Roman"/>
          <w:noProof/>
          <w:szCs w:val="24"/>
        </w:rPr>
        <w:t>. Oxford: Oxford University Press.</w:t>
      </w:r>
    </w:p>
    <w:p w14:paraId="29F3C420"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Ginsburg, Alan, Steven Leinwand, Terry Anstrom, and Elizabeth Pollock. 2005. </w:t>
      </w:r>
      <w:r w:rsidRPr="009F6406">
        <w:rPr>
          <w:rFonts w:cs="Times New Roman"/>
          <w:i/>
          <w:iCs/>
          <w:noProof/>
          <w:szCs w:val="24"/>
        </w:rPr>
        <w:t>What the United States Can Learn From Singapore’s World-Class Mathematics System (and What Singapore Can Learn from the United States): An Exploratory Study</w:t>
      </w:r>
      <w:r w:rsidRPr="009F6406">
        <w:rPr>
          <w:rFonts w:cs="Times New Roman"/>
          <w:noProof/>
          <w:szCs w:val="24"/>
        </w:rPr>
        <w:t>. Washington, D.C.: American Institutes for Research.</w:t>
      </w:r>
    </w:p>
    <w:p w14:paraId="07B7D8A5"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Glaser, Barney G. 1992. </w:t>
      </w:r>
      <w:r w:rsidRPr="009F6406">
        <w:rPr>
          <w:rFonts w:cs="Times New Roman"/>
          <w:i/>
          <w:iCs/>
          <w:noProof/>
          <w:szCs w:val="24"/>
        </w:rPr>
        <w:t>Basics of Grounded Theory Analysis: Emergence vs. Forcing</w:t>
      </w:r>
      <w:r w:rsidRPr="009F6406">
        <w:rPr>
          <w:rFonts w:cs="Times New Roman"/>
          <w:noProof/>
          <w:szCs w:val="24"/>
        </w:rPr>
        <w:t>. Mill Valley, Calif: Sociology Press.</w:t>
      </w:r>
    </w:p>
    <w:p w14:paraId="32FEDD53"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Goldman, Madge R, Vladimir Retakh, Robert A Rubin, and Harvey A Minnigh. 2009. </w:t>
      </w:r>
      <w:r w:rsidRPr="009F6406">
        <w:rPr>
          <w:rFonts w:cs="Times New Roman"/>
          <w:i/>
          <w:iCs/>
          <w:noProof/>
          <w:szCs w:val="24"/>
        </w:rPr>
        <w:t>The Effect of Singapore Mathematics on Student Proficiency in Massachusetts School District: A Longitudinal Statistical Examination</w:t>
      </w:r>
      <w:r w:rsidRPr="009F6406">
        <w:rPr>
          <w:rFonts w:cs="Times New Roman"/>
          <w:noProof/>
          <w:szCs w:val="24"/>
        </w:rPr>
        <w:t>. Bryn Mawr, PA: Gabriella and Paul Rosenbaum Foundation.</w:t>
      </w:r>
    </w:p>
    <w:p w14:paraId="767D9982"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Grift, Wim J C M van de, Seyeoung Chun, Ridwan Maulana, Okhwa Lee, and Michelle Helms-Lorenz. 2017. “Measuring Teaching Quality and Student Engagement in South Korea and The Netherlands.” </w:t>
      </w:r>
      <w:r w:rsidRPr="009F6406">
        <w:rPr>
          <w:rFonts w:cs="Times New Roman"/>
          <w:i/>
          <w:iCs/>
          <w:noProof/>
          <w:szCs w:val="24"/>
        </w:rPr>
        <w:t>School Effectiveness and School Improvement</w:t>
      </w:r>
      <w:r w:rsidRPr="009F6406">
        <w:rPr>
          <w:rFonts w:cs="Times New Roman"/>
          <w:noProof/>
          <w:szCs w:val="24"/>
        </w:rPr>
        <w:t xml:space="preserve"> 28 (3): 337–49. doi:10.1080/09243453.2016.1263215.</w:t>
      </w:r>
    </w:p>
    <w:p w14:paraId="4B7700B2"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Grift, Wim van de, Peter Matthews, L Tabak, and F de Rijcke. 2004. “Preliminary Lesson Observation Form for Evaluating the Quality of Teaching.” Utrecht, Netherlands; London, UK: Inspectie van het Onderwijs; Office for Standards in Education.</w:t>
      </w:r>
    </w:p>
    <w:p w14:paraId="2F6278DE"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Gross, Susan, and Suzanne Merchlinsky. 2002. “Singapore Math Pilot Program: Year 1 Report.” Rockville, MD: Montgomery County Public Schools Office of Shared Accountability.</w:t>
      </w:r>
    </w:p>
    <w:p w14:paraId="6FC3AC12"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Guest, Greg. 2012. “Describing Mixed Methods Research: An Alternative to Typologies.” </w:t>
      </w:r>
      <w:r w:rsidRPr="009F6406">
        <w:rPr>
          <w:rFonts w:cs="Times New Roman"/>
          <w:i/>
          <w:iCs/>
          <w:noProof/>
          <w:szCs w:val="24"/>
        </w:rPr>
        <w:t>Journal of Mixed Methods Research</w:t>
      </w:r>
      <w:r w:rsidRPr="009F6406">
        <w:rPr>
          <w:rFonts w:cs="Times New Roman"/>
          <w:noProof/>
          <w:szCs w:val="24"/>
        </w:rPr>
        <w:t xml:space="preserve"> 7 (2): 141–51. doi:10.1177/1558689812461179.</w:t>
      </w:r>
    </w:p>
    <w:p w14:paraId="40AD1D0F"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Guskey, Thomas R. 1980. “Mastery Learning: Applying the Theory.” </w:t>
      </w:r>
      <w:r w:rsidRPr="009F6406">
        <w:rPr>
          <w:rFonts w:cs="Times New Roman"/>
          <w:i/>
          <w:iCs/>
          <w:noProof/>
          <w:szCs w:val="24"/>
        </w:rPr>
        <w:t>Theory Into Practice</w:t>
      </w:r>
      <w:r w:rsidRPr="009F6406">
        <w:rPr>
          <w:rFonts w:cs="Times New Roman"/>
          <w:noProof/>
          <w:szCs w:val="24"/>
        </w:rPr>
        <w:t xml:space="preserve"> 19 (2). Routledge: 104–11. doi:10.1080/00405848009542882.</w:t>
      </w:r>
    </w:p>
    <w:p w14:paraId="4C409F4A"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Hall, James, Ariel Lindorff, and Pam Sammons. 2016. “Evaluation of the Impact and Implementation of Inspire Maths in Year 1 Classrooms in England.” Oxford: University of Oxford. doi:10.13140/RG.2.2.23042.07369.</w:t>
      </w:r>
    </w:p>
    <w:p w14:paraId="662BC7BA"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Hoven, John, and Barry Garelick. 2007. “Singapore Math: Simple or Complex?” </w:t>
      </w:r>
      <w:r w:rsidRPr="009F6406">
        <w:rPr>
          <w:rFonts w:cs="Times New Roman"/>
          <w:i/>
          <w:iCs/>
          <w:noProof/>
          <w:szCs w:val="24"/>
        </w:rPr>
        <w:t>Educational Leadership</w:t>
      </w:r>
      <w:r w:rsidRPr="009F6406">
        <w:rPr>
          <w:rFonts w:cs="Times New Roman"/>
          <w:noProof/>
          <w:szCs w:val="24"/>
        </w:rPr>
        <w:t xml:space="preserve"> 65 (3): 28–31.</w:t>
      </w:r>
    </w:p>
    <w:p w14:paraId="389A0F5A"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IBM Corp. 2012. “IBM SPSS Statistics for Windows.” Armonk, NY: IBM Corp.</w:t>
      </w:r>
    </w:p>
    <w:p w14:paraId="094BAEF0"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lastRenderedPageBreak/>
        <w:t xml:space="preserve">Jaciw, Andrew P, Whitney Michelle Hegseth, Li Lin, Megan Toby, Denis Newman, Boya Ma, and Jenna Zacamy. 2016. “Assessing Impacts of Math in Focus, a ‘Singapore Math’ Program.” </w:t>
      </w:r>
      <w:r w:rsidRPr="009F6406">
        <w:rPr>
          <w:rFonts w:cs="Times New Roman"/>
          <w:i/>
          <w:iCs/>
          <w:noProof/>
          <w:szCs w:val="24"/>
        </w:rPr>
        <w:t>Journal of Research on Educational Effectiveness</w:t>
      </w:r>
      <w:r w:rsidRPr="009F6406">
        <w:rPr>
          <w:rFonts w:cs="Times New Roman"/>
          <w:noProof/>
          <w:szCs w:val="24"/>
        </w:rPr>
        <w:t xml:space="preserve"> 9 (4): 473–502. doi:10.1080/19345747.2016.1164777.</w:t>
      </w:r>
    </w:p>
    <w:p w14:paraId="3782EC5A"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Jerrim, John, and Anna Vignoles. 2016. “The Link between East Asian ‘Mastery’ Teaching Methods and English Children’s Mathematics Skills.” </w:t>
      </w:r>
      <w:r w:rsidRPr="009F6406">
        <w:rPr>
          <w:rFonts w:cs="Times New Roman"/>
          <w:i/>
          <w:iCs/>
          <w:noProof/>
          <w:szCs w:val="24"/>
        </w:rPr>
        <w:t>Economics of Education Review</w:t>
      </w:r>
      <w:r w:rsidRPr="009F6406">
        <w:rPr>
          <w:rFonts w:cs="Times New Roman"/>
          <w:noProof/>
          <w:szCs w:val="24"/>
        </w:rPr>
        <w:t xml:space="preserve"> 50: 29–44. doi:https://doi.org/10.1016/j.econedurev.2015.11.003.</w:t>
      </w:r>
    </w:p>
    <w:p w14:paraId="2F32FB4C" w14:textId="245C5085"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Kyriakides, Leonidas, Bert P M Creemers, Charle Teddlie, and Daniel Muijs. 2010. “The International System for Teacher Observation and Feedback: A Theoretical Framework for Developing International Instruments.” In </w:t>
      </w:r>
      <w:r w:rsidRPr="009F6406">
        <w:rPr>
          <w:rFonts w:cs="Times New Roman"/>
          <w:i/>
          <w:iCs/>
          <w:noProof/>
          <w:szCs w:val="24"/>
        </w:rPr>
        <w:t>International Encyclopedia of Education</w:t>
      </w:r>
      <w:r w:rsidR="00F15BE4">
        <w:rPr>
          <w:rFonts w:cs="Times New Roman"/>
          <w:noProof/>
          <w:szCs w:val="24"/>
        </w:rPr>
        <w:t>, edited by P Peterson, E Baker and B McGaw, 726-734</w:t>
      </w:r>
      <w:r w:rsidRPr="009F6406">
        <w:rPr>
          <w:rFonts w:cs="Times New Roman"/>
          <w:noProof/>
          <w:szCs w:val="24"/>
        </w:rPr>
        <w:t>.</w:t>
      </w:r>
      <w:r w:rsidR="00F15BE4">
        <w:rPr>
          <w:rFonts w:cs="Times New Roman"/>
          <w:noProof/>
          <w:szCs w:val="24"/>
        </w:rPr>
        <w:t xml:space="preserve"> Oxford: Elsevier.</w:t>
      </w:r>
    </w:p>
    <w:p w14:paraId="51DF4E8D"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Lindorff, Ariel, and Pam Sammons. 2018. “Going beyond Structured Observations: Looking at Classroom Practice through a Mixed Method Lens.” </w:t>
      </w:r>
      <w:r w:rsidRPr="009F6406">
        <w:rPr>
          <w:rFonts w:cs="Times New Roman"/>
          <w:i/>
          <w:iCs/>
          <w:noProof/>
          <w:szCs w:val="24"/>
        </w:rPr>
        <w:t>ZDM</w:t>
      </w:r>
      <w:r w:rsidRPr="009F6406">
        <w:rPr>
          <w:rFonts w:cs="Times New Roman"/>
          <w:noProof/>
          <w:szCs w:val="24"/>
        </w:rPr>
        <w:t xml:space="preserve"> 50 (3): 521–34. doi:10.1007/s11858-018-0915-7.</w:t>
      </w:r>
    </w:p>
    <w:p w14:paraId="7ED55D0C"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Muijs, Daniel., and David Reynolds. 2011. </w:t>
      </w:r>
      <w:r w:rsidRPr="009F6406">
        <w:rPr>
          <w:rFonts w:cs="Times New Roman"/>
          <w:i/>
          <w:iCs/>
          <w:noProof/>
          <w:szCs w:val="24"/>
        </w:rPr>
        <w:t>Effective Teaching : Evidence and Practice</w:t>
      </w:r>
      <w:r w:rsidRPr="009F6406">
        <w:rPr>
          <w:rFonts w:cs="Times New Roman"/>
          <w:noProof/>
          <w:szCs w:val="24"/>
        </w:rPr>
        <w:t>. 3rd ed. London; Thousand Oaks, Calif.: SAGE Publications.</w:t>
      </w:r>
    </w:p>
    <w:p w14:paraId="2FD265A3" w14:textId="1DC7F86A" w:rsidR="001F112C" w:rsidRPr="009F6406" w:rsidRDefault="001F112C"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Muijs, D., Reynolds, D., Sammons, P., Kyriakides, L., Creemers, B. P. M., &amp; Teddlie, C. (2018). Assessing individual lessons using a generic teacher observation instrument: how useful is the International System for Teacher Observation and Feedback (ISTOF)? </w:t>
      </w:r>
      <w:r w:rsidRPr="009F6406">
        <w:rPr>
          <w:rFonts w:cs="Times New Roman"/>
          <w:i/>
          <w:iCs/>
          <w:noProof/>
          <w:szCs w:val="24"/>
        </w:rPr>
        <w:t>ZDM</w:t>
      </w:r>
      <w:r w:rsidRPr="009F6406">
        <w:rPr>
          <w:rFonts w:cs="Times New Roman"/>
          <w:noProof/>
          <w:szCs w:val="24"/>
        </w:rPr>
        <w:t xml:space="preserve"> </w:t>
      </w:r>
      <w:r w:rsidRPr="009F6406">
        <w:rPr>
          <w:rFonts w:cs="Times New Roman"/>
          <w:iCs/>
          <w:noProof/>
          <w:szCs w:val="24"/>
        </w:rPr>
        <w:t>50</w:t>
      </w:r>
      <w:r w:rsidRPr="009F6406">
        <w:rPr>
          <w:rFonts w:cs="Times New Roman"/>
          <w:noProof/>
          <w:szCs w:val="24"/>
        </w:rPr>
        <w:t>(3), 395–406. http://doi.org/10.1007/s11858-018-0921-9</w:t>
      </w:r>
    </w:p>
    <w:p w14:paraId="5A5F8FCA"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Naroth, Charmon, and Kakoma Luneta. 2015. “Implementing the Singapore Mathematics Curriculum in South Africa: Experiences of Foundation Phase Teachers.” </w:t>
      </w:r>
      <w:r w:rsidRPr="009F6406">
        <w:rPr>
          <w:rFonts w:cs="Times New Roman"/>
          <w:i/>
          <w:iCs/>
          <w:noProof/>
          <w:szCs w:val="24"/>
        </w:rPr>
        <w:t>African Journal of Research in Mathematics, Science and Technology Education</w:t>
      </w:r>
      <w:r w:rsidRPr="009F6406">
        <w:rPr>
          <w:rFonts w:cs="Times New Roman"/>
          <w:noProof/>
          <w:szCs w:val="24"/>
        </w:rPr>
        <w:t xml:space="preserve"> 19 (3): 267–77. doi:10.1080/10288457.2015.1089675.</w:t>
      </w:r>
    </w:p>
    <w:p w14:paraId="1F1C30F2"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Nunnally, Jum C, and Ira H Bernstein. 1994. </w:t>
      </w:r>
      <w:r w:rsidRPr="009F6406">
        <w:rPr>
          <w:rFonts w:cs="Times New Roman"/>
          <w:i/>
          <w:iCs/>
          <w:noProof/>
          <w:szCs w:val="24"/>
        </w:rPr>
        <w:t>Psychometric Theory</w:t>
      </w:r>
      <w:r w:rsidRPr="009F6406">
        <w:rPr>
          <w:rFonts w:cs="Times New Roman"/>
          <w:noProof/>
          <w:szCs w:val="24"/>
        </w:rPr>
        <w:t>. New York: McGraw-Hill.</w:t>
      </w:r>
    </w:p>
    <w:p w14:paraId="178E715C"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OECD. 2016. “PISA 2015 Results (Volume 1): Excellence and Equity in Education.” Paris: OECD.</w:t>
      </w:r>
    </w:p>
    <w:p w14:paraId="4E9F87CD"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Piaget, Jean. 1952. </w:t>
      </w:r>
      <w:r w:rsidRPr="009F6406">
        <w:rPr>
          <w:rFonts w:cs="Times New Roman"/>
          <w:i/>
          <w:iCs/>
          <w:noProof/>
          <w:szCs w:val="24"/>
        </w:rPr>
        <w:t>The Origins of Intelligence in Children</w:t>
      </w:r>
      <w:r w:rsidRPr="009F6406">
        <w:rPr>
          <w:rFonts w:cs="Times New Roman"/>
          <w:noProof/>
          <w:szCs w:val="24"/>
        </w:rPr>
        <w:t>. Madison, Conn.: International Universities Press.</w:t>
      </w:r>
    </w:p>
    <w:p w14:paraId="592991D9"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QSR International. 2012. “NVivo Qualitative Data Analysis Software.” http://www.qsrinternational.com.</w:t>
      </w:r>
    </w:p>
    <w:p w14:paraId="2ACD0B86"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Raudenbush, Stephen W, Andres Martinez, and Jessaca Spybrook. 2007. “Strategies for Improving Precision in Group-Randomized Experiments.” </w:t>
      </w:r>
      <w:r w:rsidRPr="009F6406">
        <w:rPr>
          <w:rFonts w:cs="Times New Roman"/>
          <w:i/>
          <w:iCs/>
          <w:noProof/>
          <w:szCs w:val="24"/>
        </w:rPr>
        <w:t>Educational Evaluation and Policy Analysis</w:t>
      </w:r>
      <w:r w:rsidRPr="009F6406">
        <w:rPr>
          <w:rFonts w:cs="Times New Roman"/>
          <w:noProof/>
          <w:szCs w:val="24"/>
        </w:rPr>
        <w:t xml:space="preserve"> 29 (1): 5–29. doi:10.3102/0162373707299460.</w:t>
      </w:r>
    </w:p>
    <w:p w14:paraId="173FD76B"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Runesson, Ulla. 2005. “Beyond Discourse and Interaction. Variation: A Critical Aspect for Teaching and Learning Mathematics.” </w:t>
      </w:r>
      <w:r w:rsidRPr="009F6406">
        <w:rPr>
          <w:rFonts w:cs="Times New Roman"/>
          <w:i/>
          <w:iCs/>
          <w:noProof/>
          <w:szCs w:val="24"/>
        </w:rPr>
        <w:t>Cambridge Journal of Education</w:t>
      </w:r>
      <w:r w:rsidRPr="009F6406">
        <w:rPr>
          <w:rFonts w:cs="Times New Roman"/>
          <w:noProof/>
          <w:szCs w:val="24"/>
        </w:rPr>
        <w:t xml:space="preserve"> 35 (1): 69–87. doi:10.1080/0305764042000332506.</w:t>
      </w:r>
    </w:p>
    <w:p w14:paraId="0737DF25"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Sammons, Pam, and Susila Davis. 2017. “Mixed Methods Approaches and Their Application in </w:t>
      </w:r>
      <w:r w:rsidRPr="009F6406">
        <w:rPr>
          <w:rFonts w:cs="Times New Roman"/>
          <w:noProof/>
          <w:szCs w:val="24"/>
        </w:rPr>
        <w:lastRenderedPageBreak/>
        <w:t xml:space="preserve">Educational Research.” In </w:t>
      </w:r>
      <w:r w:rsidRPr="009F6406">
        <w:rPr>
          <w:rFonts w:cs="Times New Roman"/>
          <w:i/>
          <w:iCs/>
          <w:noProof/>
          <w:szCs w:val="24"/>
        </w:rPr>
        <w:t>The BERA/SAGE Handbook of Educational Research</w:t>
      </w:r>
      <w:r w:rsidRPr="009F6406">
        <w:rPr>
          <w:rFonts w:cs="Times New Roman"/>
          <w:noProof/>
          <w:szCs w:val="24"/>
        </w:rPr>
        <w:t>, edited by D Wyse, N Selwyn, and E Smith, 477–504. 55 City Road: SAGE Publications. doi:10.4135/9781473983953.n24.</w:t>
      </w:r>
    </w:p>
    <w:p w14:paraId="0578358F"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Sammons, Pam, James Hall, Kathy Sylva, Edward Melhuish, Iram Siraj-Blatchford, and Brenda Taggart. 2013. “Protecting the Development of 5–11-Year-Olds from the Impacts of Early Disadvantage: The Role of Primary School Academic Effectiveness.” </w:t>
      </w:r>
      <w:r w:rsidRPr="009F6406">
        <w:rPr>
          <w:rFonts w:cs="Times New Roman"/>
          <w:i/>
          <w:iCs/>
          <w:noProof/>
          <w:szCs w:val="24"/>
        </w:rPr>
        <w:t>School Effectiveness and School Improvement</w:t>
      </w:r>
      <w:r w:rsidRPr="009F6406">
        <w:rPr>
          <w:rFonts w:cs="Times New Roman"/>
          <w:noProof/>
          <w:szCs w:val="24"/>
        </w:rPr>
        <w:t xml:space="preserve"> 24 (2): 251–68. doi:10.1080/09243453.2012.749797.</w:t>
      </w:r>
    </w:p>
    <w:p w14:paraId="6FAB5B61"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Sammons, Pam, Alison Kington, Ariel Lindorff-Vijayendran, and Lorena Ortega. 2014. “Inspiring Teachers: Perspectives and Practices.” Reading: CfBT Education Trust.</w:t>
      </w:r>
    </w:p>
    <w:p w14:paraId="1BDD8D6E"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Sammons, Pam, Ariel Mariah Lindorff, Lorena Ortega, and Alison Kington. 2016. “Inspiring Teaching: Learning from Exemplary Practitioners.” </w:t>
      </w:r>
      <w:r w:rsidRPr="009F6406">
        <w:rPr>
          <w:rFonts w:cs="Times New Roman"/>
          <w:i/>
          <w:iCs/>
          <w:noProof/>
          <w:szCs w:val="24"/>
        </w:rPr>
        <w:t>Journal of Professional Capital and Community</w:t>
      </w:r>
      <w:r w:rsidRPr="009F6406">
        <w:rPr>
          <w:rFonts w:cs="Times New Roman"/>
          <w:noProof/>
          <w:szCs w:val="24"/>
        </w:rPr>
        <w:t xml:space="preserve"> 1 (2): 124–44. doi:10.1108/JPCC-09-2015-0005.</w:t>
      </w:r>
    </w:p>
    <w:p w14:paraId="1D876BBC"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Schaffer, Eugene C, Daniel Muijs, C Kitson, and David Reynolds. 1998. “Mathematics Enhancement Classroom Observation Record.” Newcastle upon Tyne: Educational Effectiveness and Improvement Centre.</w:t>
      </w:r>
    </w:p>
    <w:p w14:paraId="6F3CDCAB"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Tashakkori, Abbas, and Charles Teddlie. 2010. </w:t>
      </w:r>
      <w:r w:rsidRPr="009F6406">
        <w:rPr>
          <w:rFonts w:cs="Times New Roman"/>
          <w:i/>
          <w:iCs/>
          <w:noProof/>
          <w:szCs w:val="24"/>
        </w:rPr>
        <w:t>SAGE Handbook of Mixed Methods in Social and Behavioral Research</w:t>
      </w:r>
      <w:r w:rsidRPr="009F6406">
        <w:rPr>
          <w:rFonts w:cs="Times New Roman"/>
          <w:noProof/>
          <w:szCs w:val="24"/>
        </w:rPr>
        <w:t>. Los Angeles, Calif.: SAGE Publications.</w:t>
      </w:r>
    </w:p>
    <w:p w14:paraId="0CEA7001" w14:textId="6DF7D37E" w:rsidR="00CE19B7" w:rsidRPr="003F37E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 xml:space="preserve">Teddlie, Charles, Bert Creemers, Leonidas Kyriakides, Daniel Muijs, and Fen Yu. 2006. “The International System for Teacher Observation and Feedback: Evolution of an International Study of Teacher Effectiveness Constructs 1.” </w:t>
      </w:r>
      <w:r w:rsidRPr="009F6406">
        <w:rPr>
          <w:rFonts w:cs="Times New Roman"/>
          <w:i/>
          <w:iCs/>
          <w:noProof/>
          <w:szCs w:val="24"/>
        </w:rPr>
        <w:t>Educational Research and Evaluation</w:t>
      </w:r>
      <w:r w:rsidRPr="009F6406">
        <w:rPr>
          <w:rFonts w:cs="Times New Roman"/>
          <w:noProof/>
          <w:szCs w:val="24"/>
        </w:rPr>
        <w:t xml:space="preserve"> 12 (6): 561–82.</w:t>
      </w:r>
      <w:r w:rsidR="003F37E6">
        <w:rPr>
          <w:rFonts w:cs="Times New Roman"/>
          <w:noProof/>
          <w:szCs w:val="24"/>
        </w:rPr>
        <w:t xml:space="preserve"> </w:t>
      </w:r>
      <w:r w:rsidR="003F37E6" w:rsidRPr="003F37E6">
        <w:rPr>
          <w:rFonts w:cs="Times New Roman"/>
          <w:noProof/>
          <w:szCs w:val="24"/>
        </w:rPr>
        <w:t xml:space="preserve">doi: </w:t>
      </w:r>
      <w:r w:rsidR="003F37E6" w:rsidRPr="003F37E6">
        <w:rPr>
          <w:rFonts w:cs="Times New Roman"/>
          <w:color w:val="000000"/>
          <w:szCs w:val="24"/>
        </w:rPr>
        <w:t>10.1080/13803610600874067</w:t>
      </w:r>
    </w:p>
    <w:p w14:paraId="18D78EC9" w14:textId="77777777" w:rsidR="00CE19B7" w:rsidRPr="009F6406" w:rsidRDefault="00CE19B7" w:rsidP="00CE19B7">
      <w:pPr>
        <w:widowControl w:val="0"/>
        <w:autoSpaceDE w:val="0"/>
        <w:autoSpaceDN w:val="0"/>
        <w:adjustRightInd w:val="0"/>
        <w:ind w:left="480" w:hanging="480"/>
        <w:rPr>
          <w:rFonts w:cs="Times New Roman"/>
          <w:noProof/>
          <w:szCs w:val="24"/>
        </w:rPr>
      </w:pPr>
      <w:r w:rsidRPr="009F6406">
        <w:rPr>
          <w:rFonts w:cs="Times New Roman"/>
          <w:noProof/>
          <w:szCs w:val="24"/>
        </w:rPr>
        <w:t>Uribe-Zarain, X. 2010. “Evaluation of the International Math Pilot: Exploring the Effectiveness of Singapore Math Year 2 [Report Number T.2010.13.5].” Newark, DE: Delaware Education Research and Development Center.</w:t>
      </w:r>
    </w:p>
    <w:p w14:paraId="208D863E" w14:textId="77777777" w:rsidR="00CE19B7" w:rsidRPr="009F6406" w:rsidRDefault="00CE19B7" w:rsidP="00CE19B7">
      <w:pPr>
        <w:widowControl w:val="0"/>
        <w:autoSpaceDE w:val="0"/>
        <w:autoSpaceDN w:val="0"/>
        <w:adjustRightInd w:val="0"/>
        <w:ind w:left="480" w:hanging="480"/>
        <w:rPr>
          <w:rFonts w:cs="Times New Roman"/>
          <w:noProof/>
        </w:rPr>
      </w:pPr>
      <w:r w:rsidRPr="009F6406">
        <w:rPr>
          <w:rFonts w:cs="Times New Roman"/>
          <w:noProof/>
          <w:szCs w:val="24"/>
        </w:rPr>
        <w:t>Vignoles, Anna, John Jerrim, and R Cowan. 2015. “Mathematics Mastery: Primary Evaluation Report.” London: Education Endowment Foundation.</w:t>
      </w:r>
    </w:p>
    <w:p w14:paraId="7AD12DFC" w14:textId="65FEBB3C" w:rsidR="000C4388" w:rsidRPr="009F6406" w:rsidRDefault="00906F59" w:rsidP="00CE19B7">
      <w:pPr>
        <w:widowControl w:val="0"/>
        <w:autoSpaceDE w:val="0"/>
        <w:autoSpaceDN w:val="0"/>
        <w:adjustRightInd w:val="0"/>
        <w:ind w:left="480" w:hanging="480"/>
        <w:sectPr w:rsidR="000C4388" w:rsidRPr="009F6406" w:rsidSect="00D537FA">
          <w:headerReference w:type="even" r:id="rId8"/>
          <w:headerReference w:type="default" r:id="rId9"/>
          <w:footerReference w:type="even" r:id="rId10"/>
          <w:footerReference w:type="default" r:id="rId11"/>
          <w:headerReference w:type="first" r:id="rId12"/>
          <w:pgSz w:w="12240" w:h="15840"/>
          <w:pgMar w:top="1138" w:right="1181" w:bottom="1138" w:left="1282" w:header="283" w:footer="510" w:gutter="0"/>
          <w:lnNumType w:countBy="1" w:restart="continuous"/>
          <w:cols w:space="720"/>
          <w:titlePg/>
          <w:docGrid w:linePitch="360"/>
        </w:sectPr>
      </w:pPr>
      <w:r w:rsidRPr="009F6406">
        <w:fldChar w:fldCharType="end"/>
      </w:r>
    </w:p>
    <w:p w14:paraId="3B9103CE" w14:textId="77777777" w:rsidR="00EB19A9" w:rsidRPr="009F6406" w:rsidRDefault="00EB19A9">
      <w:pPr>
        <w:spacing w:before="0" w:after="200" w:line="276" w:lineRule="auto"/>
      </w:pPr>
    </w:p>
    <w:tbl>
      <w:tblPr>
        <w:tblW w:w="7780" w:type="dxa"/>
        <w:tblInd w:w="93" w:type="dxa"/>
        <w:tblLook w:val="04A0" w:firstRow="1" w:lastRow="0" w:firstColumn="1" w:lastColumn="0" w:noHBand="0" w:noVBand="1"/>
      </w:tblPr>
      <w:tblGrid>
        <w:gridCol w:w="1156"/>
        <w:gridCol w:w="960"/>
        <w:gridCol w:w="1300"/>
        <w:gridCol w:w="1560"/>
        <w:gridCol w:w="1460"/>
        <w:gridCol w:w="1460"/>
      </w:tblGrid>
      <w:tr w:rsidR="003E25A1" w:rsidRPr="009F6406" w14:paraId="653F00E4" w14:textId="77777777" w:rsidTr="003E25A1">
        <w:trPr>
          <w:trHeight w:val="9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9A824"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960" w:type="dxa"/>
            <w:tcBorders>
              <w:top w:val="single" w:sz="4" w:space="0" w:color="auto"/>
              <w:left w:val="nil"/>
              <w:bottom w:val="single" w:sz="4" w:space="0" w:color="auto"/>
              <w:right w:val="nil"/>
            </w:tcBorders>
            <w:shd w:val="clear" w:color="auto" w:fill="auto"/>
            <w:noWrap/>
            <w:vAlign w:val="bottom"/>
            <w:hideMark/>
          </w:tcPr>
          <w:p w14:paraId="3EC466B0"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1300" w:type="dxa"/>
            <w:tcBorders>
              <w:top w:val="single" w:sz="4" w:space="0" w:color="auto"/>
              <w:left w:val="nil"/>
              <w:bottom w:val="single" w:sz="4" w:space="0" w:color="auto"/>
              <w:right w:val="nil"/>
            </w:tcBorders>
            <w:shd w:val="clear" w:color="auto" w:fill="auto"/>
            <w:noWrap/>
            <w:vAlign w:val="bottom"/>
            <w:hideMark/>
          </w:tcPr>
          <w:p w14:paraId="0FA44036"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C07"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1460" w:type="dxa"/>
            <w:tcBorders>
              <w:top w:val="single" w:sz="4" w:space="0" w:color="auto"/>
              <w:left w:val="nil"/>
              <w:bottom w:val="single" w:sz="4" w:space="0" w:color="auto"/>
              <w:right w:val="nil"/>
            </w:tcBorders>
            <w:shd w:val="clear" w:color="auto" w:fill="auto"/>
            <w:vAlign w:val="bottom"/>
            <w:hideMark/>
          </w:tcPr>
          <w:p w14:paraId="55800C29" w14:textId="77777777" w:rsidR="003E25A1" w:rsidRPr="009F6406" w:rsidRDefault="003E25A1" w:rsidP="003E25A1">
            <w:pPr>
              <w:spacing w:before="0" w:after="0"/>
              <w:jc w:val="center"/>
              <w:rPr>
                <w:rFonts w:ascii="Calibri" w:eastAsia="Times New Roman" w:hAnsi="Calibri" w:cs="Times New Roman"/>
                <w:b/>
                <w:bCs/>
                <w:color w:val="000000"/>
                <w:sz w:val="22"/>
                <w:lang w:eastAsia="zh-CN"/>
              </w:rPr>
            </w:pPr>
            <w:r w:rsidRPr="009F6406">
              <w:rPr>
                <w:rFonts w:ascii="Calibri" w:eastAsia="Times New Roman" w:hAnsi="Calibri" w:cs="Times New Roman"/>
                <w:b/>
                <w:bCs/>
                <w:color w:val="000000"/>
                <w:sz w:val="22"/>
                <w:lang w:eastAsia="zh-CN"/>
              </w:rPr>
              <w:t>Experimental group</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2C5F7602" w14:textId="77777777" w:rsidR="003E25A1" w:rsidRPr="009F6406" w:rsidRDefault="003E25A1" w:rsidP="003E25A1">
            <w:pPr>
              <w:spacing w:before="0" w:after="0"/>
              <w:jc w:val="center"/>
              <w:rPr>
                <w:rFonts w:ascii="Calibri" w:eastAsia="Times New Roman" w:hAnsi="Calibri" w:cs="Times New Roman"/>
                <w:b/>
                <w:bCs/>
                <w:color w:val="000000"/>
                <w:sz w:val="22"/>
                <w:lang w:eastAsia="zh-CN"/>
              </w:rPr>
            </w:pPr>
            <w:r w:rsidRPr="009F6406">
              <w:rPr>
                <w:rFonts w:ascii="Calibri" w:eastAsia="Times New Roman" w:hAnsi="Calibri" w:cs="Times New Roman"/>
                <w:b/>
                <w:bCs/>
                <w:color w:val="000000"/>
                <w:sz w:val="22"/>
                <w:lang w:eastAsia="zh-CN"/>
              </w:rPr>
              <w:t>Delayed treatment group</w:t>
            </w:r>
          </w:p>
        </w:tc>
      </w:tr>
      <w:tr w:rsidR="003E25A1" w:rsidRPr="009F6406" w14:paraId="0D55CC9A"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3D1226AF" w14:textId="77777777" w:rsidR="003E25A1" w:rsidRPr="009F6406" w:rsidRDefault="003E25A1" w:rsidP="003E25A1">
            <w:pPr>
              <w:spacing w:before="0" w:after="0"/>
              <w:rPr>
                <w:rFonts w:ascii="Calibri" w:eastAsia="Times New Roman" w:hAnsi="Calibri" w:cs="Times New Roman"/>
                <w:b/>
                <w:bCs/>
                <w:color w:val="000000"/>
                <w:sz w:val="22"/>
                <w:lang w:eastAsia="zh-CN"/>
              </w:rPr>
            </w:pPr>
            <w:r w:rsidRPr="009F6406">
              <w:rPr>
                <w:rFonts w:ascii="Calibri" w:eastAsia="Times New Roman" w:hAnsi="Calibri" w:cs="Times New Roman"/>
                <w:b/>
                <w:bCs/>
                <w:color w:val="000000"/>
                <w:sz w:val="22"/>
                <w:lang w:eastAsia="zh-CN"/>
              </w:rPr>
              <w:t>TEACHERS</w:t>
            </w:r>
          </w:p>
        </w:tc>
        <w:tc>
          <w:tcPr>
            <w:tcW w:w="2260" w:type="dxa"/>
            <w:gridSpan w:val="2"/>
            <w:vMerge w:val="restart"/>
            <w:tcBorders>
              <w:top w:val="nil"/>
              <w:left w:val="single" w:sz="4" w:space="0" w:color="auto"/>
              <w:bottom w:val="single" w:sz="4" w:space="0" w:color="000000"/>
              <w:right w:val="nil"/>
            </w:tcBorders>
            <w:shd w:val="clear" w:color="auto" w:fill="auto"/>
            <w:noWrap/>
            <w:hideMark/>
          </w:tcPr>
          <w:p w14:paraId="7C62EB13"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r w:rsidRPr="009F6406">
              <w:rPr>
                <w:rFonts w:ascii="Calibri" w:eastAsia="Times New Roman" w:hAnsi="Calibri" w:cs="Times New Roman"/>
                <w:b/>
                <w:bCs/>
                <w:i/>
                <w:iCs/>
                <w:color w:val="000000"/>
                <w:sz w:val="22"/>
                <w:lang w:eastAsia="zh-CN"/>
              </w:rPr>
              <w:t>Teacher gender</w:t>
            </w:r>
          </w:p>
        </w:tc>
        <w:tc>
          <w:tcPr>
            <w:tcW w:w="1560" w:type="dxa"/>
            <w:tcBorders>
              <w:top w:val="nil"/>
              <w:left w:val="single" w:sz="4" w:space="0" w:color="auto"/>
              <w:bottom w:val="nil"/>
              <w:right w:val="single" w:sz="4" w:space="0" w:color="auto"/>
            </w:tcBorders>
            <w:shd w:val="clear" w:color="auto" w:fill="auto"/>
            <w:noWrap/>
            <w:vAlign w:val="bottom"/>
            <w:hideMark/>
          </w:tcPr>
          <w:p w14:paraId="79E1407E"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Male (N)</w:t>
            </w:r>
          </w:p>
        </w:tc>
        <w:tc>
          <w:tcPr>
            <w:tcW w:w="1460" w:type="dxa"/>
            <w:tcBorders>
              <w:top w:val="nil"/>
              <w:left w:val="nil"/>
              <w:bottom w:val="nil"/>
              <w:right w:val="nil"/>
            </w:tcBorders>
            <w:shd w:val="clear" w:color="auto" w:fill="auto"/>
            <w:noWrap/>
            <w:vAlign w:val="bottom"/>
            <w:hideMark/>
          </w:tcPr>
          <w:p w14:paraId="51742712"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0</w:t>
            </w:r>
          </w:p>
        </w:tc>
        <w:tc>
          <w:tcPr>
            <w:tcW w:w="1460" w:type="dxa"/>
            <w:tcBorders>
              <w:top w:val="nil"/>
              <w:left w:val="nil"/>
              <w:bottom w:val="nil"/>
              <w:right w:val="single" w:sz="4" w:space="0" w:color="auto"/>
            </w:tcBorders>
            <w:shd w:val="clear" w:color="auto" w:fill="auto"/>
            <w:noWrap/>
            <w:vAlign w:val="bottom"/>
            <w:hideMark/>
          </w:tcPr>
          <w:p w14:paraId="700BBCC5"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1</w:t>
            </w:r>
          </w:p>
        </w:tc>
      </w:tr>
      <w:tr w:rsidR="003E25A1" w:rsidRPr="009F6406" w14:paraId="7E65C9D3"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2F96ED2A"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tcBorders>
              <w:top w:val="nil"/>
              <w:left w:val="single" w:sz="4" w:space="0" w:color="auto"/>
              <w:bottom w:val="nil"/>
              <w:right w:val="single" w:sz="4" w:space="0" w:color="auto"/>
            </w:tcBorders>
            <w:vAlign w:val="center"/>
            <w:hideMark/>
          </w:tcPr>
          <w:p w14:paraId="4C152718"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p>
        </w:tc>
        <w:tc>
          <w:tcPr>
            <w:tcW w:w="1560" w:type="dxa"/>
            <w:tcBorders>
              <w:top w:val="nil"/>
              <w:left w:val="single" w:sz="4" w:space="0" w:color="auto"/>
              <w:bottom w:val="nil"/>
              <w:right w:val="single" w:sz="4" w:space="0" w:color="auto"/>
            </w:tcBorders>
            <w:shd w:val="clear" w:color="auto" w:fill="auto"/>
            <w:noWrap/>
            <w:vAlign w:val="bottom"/>
            <w:hideMark/>
          </w:tcPr>
          <w:p w14:paraId="62899E75"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Female (N)</w:t>
            </w:r>
          </w:p>
        </w:tc>
        <w:tc>
          <w:tcPr>
            <w:tcW w:w="1460" w:type="dxa"/>
            <w:tcBorders>
              <w:top w:val="nil"/>
              <w:left w:val="nil"/>
              <w:bottom w:val="nil"/>
              <w:right w:val="nil"/>
            </w:tcBorders>
            <w:shd w:val="clear" w:color="auto" w:fill="auto"/>
            <w:noWrap/>
            <w:vAlign w:val="bottom"/>
            <w:hideMark/>
          </w:tcPr>
          <w:p w14:paraId="5490C711"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9</w:t>
            </w:r>
          </w:p>
        </w:tc>
        <w:tc>
          <w:tcPr>
            <w:tcW w:w="1460" w:type="dxa"/>
            <w:tcBorders>
              <w:top w:val="nil"/>
              <w:left w:val="nil"/>
              <w:bottom w:val="nil"/>
              <w:right w:val="single" w:sz="4" w:space="0" w:color="auto"/>
            </w:tcBorders>
            <w:shd w:val="clear" w:color="auto" w:fill="auto"/>
            <w:noWrap/>
            <w:vAlign w:val="bottom"/>
            <w:hideMark/>
          </w:tcPr>
          <w:p w14:paraId="5131CBD7"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10</w:t>
            </w:r>
          </w:p>
        </w:tc>
      </w:tr>
      <w:tr w:rsidR="003E25A1" w:rsidRPr="009F6406" w14:paraId="7D309892"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21FC91E0"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val="restart"/>
            <w:tcBorders>
              <w:top w:val="single" w:sz="4" w:space="0" w:color="auto"/>
              <w:left w:val="single" w:sz="4" w:space="0" w:color="auto"/>
              <w:bottom w:val="single" w:sz="4" w:space="0" w:color="000000"/>
              <w:right w:val="nil"/>
            </w:tcBorders>
            <w:shd w:val="clear" w:color="auto" w:fill="auto"/>
            <w:noWrap/>
            <w:hideMark/>
          </w:tcPr>
          <w:p w14:paraId="7174F957"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r w:rsidRPr="009F6406">
              <w:rPr>
                <w:rFonts w:ascii="Calibri" w:eastAsia="Times New Roman" w:hAnsi="Calibri" w:cs="Times New Roman"/>
                <w:b/>
                <w:bCs/>
                <w:i/>
                <w:iCs/>
                <w:color w:val="000000"/>
                <w:sz w:val="22"/>
                <w:lang w:eastAsia="zh-CN"/>
              </w:rPr>
              <w:t>Total years teaching</w:t>
            </w:r>
          </w:p>
        </w:tc>
        <w:tc>
          <w:tcPr>
            <w:tcW w:w="1560" w:type="dxa"/>
            <w:tcBorders>
              <w:top w:val="nil"/>
              <w:left w:val="single" w:sz="4" w:space="0" w:color="auto"/>
              <w:bottom w:val="nil"/>
              <w:right w:val="single" w:sz="4" w:space="0" w:color="auto"/>
            </w:tcBorders>
            <w:shd w:val="clear" w:color="auto" w:fill="auto"/>
            <w:noWrap/>
            <w:vAlign w:val="bottom"/>
            <w:hideMark/>
          </w:tcPr>
          <w:p w14:paraId="2F8E7CF0"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M</w:t>
            </w:r>
          </w:p>
        </w:tc>
        <w:tc>
          <w:tcPr>
            <w:tcW w:w="1460" w:type="dxa"/>
            <w:tcBorders>
              <w:top w:val="nil"/>
              <w:left w:val="nil"/>
              <w:bottom w:val="nil"/>
              <w:right w:val="nil"/>
            </w:tcBorders>
            <w:shd w:val="clear" w:color="auto" w:fill="auto"/>
            <w:noWrap/>
            <w:vAlign w:val="bottom"/>
            <w:hideMark/>
          </w:tcPr>
          <w:p w14:paraId="085BC01C"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5.78</w:t>
            </w:r>
          </w:p>
        </w:tc>
        <w:tc>
          <w:tcPr>
            <w:tcW w:w="1460" w:type="dxa"/>
            <w:tcBorders>
              <w:top w:val="nil"/>
              <w:left w:val="nil"/>
              <w:bottom w:val="nil"/>
              <w:right w:val="single" w:sz="4" w:space="0" w:color="auto"/>
            </w:tcBorders>
            <w:shd w:val="clear" w:color="auto" w:fill="auto"/>
            <w:noWrap/>
            <w:vAlign w:val="bottom"/>
            <w:hideMark/>
          </w:tcPr>
          <w:p w14:paraId="42E59922"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7.73</w:t>
            </w:r>
          </w:p>
        </w:tc>
      </w:tr>
      <w:tr w:rsidR="003E25A1" w:rsidRPr="009F6406" w14:paraId="26AB2FDE"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4C5A1678"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tcBorders>
              <w:top w:val="nil"/>
              <w:left w:val="single" w:sz="4" w:space="0" w:color="auto"/>
              <w:bottom w:val="nil"/>
              <w:right w:val="single" w:sz="4" w:space="0" w:color="auto"/>
            </w:tcBorders>
            <w:vAlign w:val="center"/>
            <w:hideMark/>
          </w:tcPr>
          <w:p w14:paraId="371CD5FB"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849D699"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SD</w:t>
            </w:r>
          </w:p>
        </w:tc>
        <w:tc>
          <w:tcPr>
            <w:tcW w:w="1460" w:type="dxa"/>
            <w:tcBorders>
              <w:top w:val="nil"/>
              <w:left w:val="nil"/>
              <w:bottom w:val="single" w:sz="4" w:space="0" w:color="auto"/>
              <w:right w:val="nil"/>
            </w:tcBorders>
            <w:shd w:val="clear" w:color="auto" w:fill="auto"/>
            <w:noWrap/>
            <w:vAlign w:val="bottom"/>
            <w:hideMark/>
          </w:tcPr>
          <w:p w14:paraId="73BA924E"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5.29</w:t>
            </w:r>
          </w:p>
        </w:tc>
        <w:tc>
          <w:tcPr>
            <w:tcW w:w="1460" w:type="dxa"/>
            <w:tcBorders>
              <w:top w:val="nil"/>
              <w:left w:val="nil"/>
              <w:bottom w:val="single" w:sz="4" w:space="0" w:color="auto"/>
              <w:right w:val="single" w:sz="4" w:space="0" w:color="auto"/>
            </w:tcBorders>
            <w:shd w:val="clear" w:color="auto" w:fill="auto"/>
            <w:noWrap/>
            <w:vAlign w:val="bottom"/>
            <w:hideMark/>
          </w:tcPr>
          <w:p w14:paraId="578BBBA9"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8.70</w:t>
            </w:r>
          </w:p>
        </w:tc>
      </w:tr>
      <w:tr w:rsidR="003E25A1" w:rsidRPr="009F6406" w14:paraId="6BE23292"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10581997"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val="restart"/>
            <w:tcBorders>
              <w:top w:val="single" w:sz="4" w:space="0" w:color="auto"/>
              <w:left w:val="single" w:sz="4" w:space="0" w:color="auto"/>
              <w:bottom w:val="single" w:sz="4" w:space="0" w:color="000000"/>
              <w:right w:val="nil"/>
            </w:tcBorders>
            <w:shd w:val="clear" w:color="auto" w:fill="auto"/>
            <w:noWrap/>
            <w:hideMark/>
          </w:tcPr>
          <w:p w14:paraId="1EDA6357"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r w:rsidRPr="009F6406">
              <w:rPr>
                <w:rFonts w:ascii="Calibri" w:eastAsia="Times New Roman" w:hAnsi="Calibri" w:cs="Times New Roman"/>
                <w:b/>
                <w:bCs/>
                <w:i/>
                <w:iCs/>
                <w:color w:val="000000"/>
                <w:sz w:val="22"/>
                <w:lang w:eastAsia="zh-CN"/>
              </w:rPr>
              <w:t>Past career break</w:t>
            </w:r>
          </w:p>
        </w:tc>
        <w:tc>
          <w:tcPr>
            <w:tcW w:w="1560" w:type="dxa"/>
            <w:tcBorders>
              <w:top w:val="nil"/>
              <w:left w:val="single" w:sz="4" w:space="0" w:color="auto"/>
              <w:bottom w:val="nil"/>
              <w:right w:val="single" w:sz="4" w:space="0" w:color="auto"/>
            </w:tcBorders>
            <w:shd w:val="clear" w:color="auto" w:fill="auto"/>
            <w:noWrap/>
            <w:vAlign w:val="bottom"/>
            <w:hideMark/>
          </w:tcPr>
          <w:p w14:paraId="3B21BDE6"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No</w:t>
            </w:r>
          </w:p>
        </w:tc>
        <w:tc>
          <w:tcPr>
            <w:tcW w:w="1460" w:type="dxa"/>
            <w:tcBorders>
              <w:top w:val="nil"/>
              <w:left w:val="nil"/>
              <w:bottom w:val="nil"/>
              <w:right w:val="nil"/>
            </w:tcBorders>
            <w:shd w:val="clear" w:color="auto" w:fill="auto"/>
            <w:noWrap/>
            <w:vAlign w:val="bottom"/>
            <w:hideMark/>
          </w:tcPr>
          <w:p w14:paraId="187EEA5D"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6</w:t>
            </w:r>
          </w:p>
        </w:tc>
        <w:tc>
          <w:tcPr>
            <w:tcW w:w="1460" w:type="dxa"/>
            <w:tcBorders>
              <w:top w:val="nil"/>
              <w:left w:val="nil"/>
              <w:bottom w:val="nil"/>
              <w:right w:val="single" w:sz="4" w:space="0" w:color="auto"/>
            </w:tcBorders>
            <w:shd w:val="clear" w:color="auto" w:fill="auto"/>
            <w:noWrap/>
            <w:vAlign w:val="bottom"/>
            <w:hideMark/>
          </w:tcPr>
          <w:p w14:paraId="57F1A20A"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11</w:t>
            </w:r>
          </w:p>
        </w:tc>
      </w:tr>
      <w:tr w:rsidR="003E25A1" w:rsidRPr="009F6406" w14:paraId="63A05D35"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5FBAFC2E"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tcBorders>
              <w:top w:val="nil"/>
              <w:left w:val="single" w:sz="4" w:space="0" w:color="auto"/>
              <w:bottom w:val="nil"/>
              <w:right w:val="single" w:sz="4" w:space="0" w:color="auto"/>
            </w:tcBorders>
            <w:vAlign w:val="center"/>
            <w:hideMark/>
          </w:tcPr>
          <w:p w14:paraId="23695531"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AF60288"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Yes</w:t>
            </w:r>
          </w:p>
        </w:tc>
        <w:tc>
          <w:tcPr>
            <w:tcW w:w="1460" w:type="dxa"/>
            <w:tcBorders>
              <w:top w:val="nil"/>
              <w:left w:val="nil"/>
              <w:bottom w:val="single" w:sz="4" w:space="0" w:color="auto"/>
              <w:right w:val="nil"/>
            </w:tcBorders>
            <w:shd w:val="clear" w:color="auto" w:fill="auto"/>
            <w:noWrap/>
            <w:vAlign w:val="bottom"/>
            <w:hideMark/>
          </w:tcPr>
          <w:p w14:paraId="6ACBEB0E"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3</w:t>
            </w:r>
          </w:p>
        </w:tc>
        <w:tc>
          <w:tcPr>
            <w:tcW w:w="1460" w:type="dxa"/>
            <w:tcBorders>
              <w:top w:val="nil"/>
              <w:left w:val="nil"/>
              <w:bottom w:val="single" w:sz="4" w:space="0" w:color="auto"/>
              <w:right w:val="single" w:sz="4" w:space="0" w:color="auto"/>
            </w:tcBorders>
            <w:shd w:val="clear" w:color="auto" w:fill="auto"/>
            <w:noWrap/>
            <w:vAlign w:val="bottom"/>
            <w:hideMark/>
          </w:tcPr>
          <w:p w14:paraId="2C055526"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0</w:t>
            </w:r>
          </w:p>
        </w:tc>
      </w:tr>
      <w:tr w:rsidR="003E25A1" w:rsidRPr="009F6406" w14:paraId="21CA148B"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1A24A242"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val="restart"/>
            <w:tcBorders>
              <w:top w:val="single" w:sz="4" w:space="0" w:color="auto"/>
              <w:left w:val="single" w:sz="4" w:space="0" w:color="auto"/>
              <w:bottom w:val="single" w:sz="4" w:space="0" w:color="000000"/>
              <w:right w:val="nil"/>
            </w:tcBorders>
            <w:shd w:val="clear" w:color="auto" w:fill="auto"/>
            <w:noWrap/>
            <w:hideMark/>
          </w:tcPr>
          <w:p w14:paraId="0A7175F4"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r w:rsidRPr="009F6406">
              <w:rPr>
                <w:rFonts w:ascii="Calibri" w:eastAsia="Times New Roman" w:hAnsi="Calibri" w:cs="Times New Roman"/>
                <w:b/>
                <w:bCs/>
                <w:i/>
                <w:iCs/>
                <w:color w:val="000000"/>
                <w:sz w:val="22"/>
                <w:lang w:eastAsia="zh-CN"/>
              </w:rPr>
              <w:t>Years in present school</w:t>
            </w:r>
          </w:p>
        </w:tc>
        <w:tc>
          <w:tcPr>
            <w:tcW w:w="1560" w:type="dxa"/>
            <w:tcBorders>
              <w:top w:val="nil"/>
              <w:left w:val="single" w:sz="4" w:space="0" w:color="auto"/>
              <w:bottom w:val="nil"/>
              <w:right w:val="single" w:sz="4" w:space="0" w:color="auto"/>
            </w:tcBorders>
            <w:shd w:val="clear" w:color="auto" w:fill="auto"/>
            <w:noWrap/>
            <w:vAlign w:val="bottom"/>
            <w:hideMark/>
          </w:tcPr>
          <w:p w14:paraId="3DC6B90E"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M</w:t>
            </w:r>
          </w:p>
        </w:tc>
        <w:tc>
          <w:tcPr>
            <w:tcW w:w="1460" w:type="dxa"/>
            <w:tcBorders>
              <w:top w:val="nil"/>
              <w:left w:val="nil"/>
              <w:bottom w:val="nil"/>
              <w:right w:val="nil"/>
            </w:tcBorders>
            <w:shd w:val="clear" w:color="auto" w:fill="auto"/>
            <w:noWrap/>
            <w:vAlign w:val="bottom"/>
            <w:hideMark/>
          </w:tcPr>
          <w:p w14:paraId="0BB61665"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4.78</w:t>
            </w:r>
          </w:p>
        </w:tc>
        <w:tc>
          <w:tcPr>
            <w:tcW w:w="1460" w:type="dxa"/>
            <w:tcBorders>
              <w:top w:val="nil"/>
              <w:left w:val="nil"/>
              <w:bottom w:val="nil"/>
              <w:right w:val="single" w:sz="4" w:space="0" w:color="auto"/>
            </w:tcBorders>
            <w:shd w:val="clear" w:color="auto" w:fill="auto"/>
            <w:noWrap/>
            <w:vAlign w:val="bottom"/>
            <w:hideMark/>
          </w:tcPr>
          <w:p w14:paraId="6385DF08"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4.39</w:t>
            </w:r>
          </w:p>
        </w:tc>
      </w:tr>
      <w:tr w:rsidR="003E25A1" w:rsidRPr="009F6406" w14:paraId="4CC4CBC8"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6082DBC8"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tcBorders>
              <w:top w:val="nil"/>
              <w:left w:val="single" w:sz="4" w:space="0" w:color="auto"/>
              <w:bottom w:val="nil"/>
              <w:right w:val="single" w:sz="4" w:space="0" w:color="auto"/>
            </w:tcBorders>
            <w:vAlign w:val="center"/>
            <w:hideMark/>
          </w:tcPr>
          <w:p w14:paraId="173665D8"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CEDCF4F"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SD</w:t>
            </w:r>
          </w:p>
        </w:tc>
        <w:tc>
          <w:tcPr>
            <w:tcW w:w="1460" w:type="dxa"/>
            <w:tcBorders>
              <w:top w:val="nil"/>
              <w:left w:val="nil"/>
              <w:bottom w:val="single" w:sz="4" w:space="0" w:color="auto"/>
              <w:right w:val="nil"/>
            </w:tcBorders>
            <w:shd w:val="clear" w:color="auto" w:fill="auto"/>
            <w:noWrap/>
            <w:vAlign w:val="bottom"/>
            <w:hideMark/>
          </w:tcPr>
          <w:p w14:paraId="6A36DA3F"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5.43</w:t>
            </w:r>
          </w:p>
        </w:tc>
        <w:tc>
          <w:tcPr>
            <w:tcW w:w="1460" w:type="dxa"/>
            <w:tcBorders>
              <w:top w:val="nil"/>
              <w:left w:val="nil"/>
              <w:bottom w:val="single" w:sz="4" w:space="0" w:color="auto"/>
              <w:right w:val="single" w:sz="4" w:space="0" w:color="auto"/>
            </w:tcBorders>
            <w:shd w:val="clear" w:color="auto" w:fill="auto"/>
            <w:noWrap/>
            <w:vAlign w:val="bottom"/>
            <w:hideMark/>
          </w:tcPr>
          <w:p w14:paraId="555F86D7"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5.83</w:t>
            </w:r>
          </w:p>
        </w:tc>
      </w:tr>
      <w:tr w:rsidR="003E25A1" w:rsidRPr="009F6406" w14:paraId="0E86FF49"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34CAA427"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val="restart"/>
            <w:tcBorders>
              <w:top w:val="single" w:sz="4" w:space="0" w:color="auto"/>
              <w:left w:val="single" w:sz="4" w:space="0" w:color="auto"/>
              <w:bottom w:val="single" w:sz="4" w:space="0" w:color="000000"/>
              <w:right w:val="nil"/>
            </w:tcBorders>
            <w:shd w:val="clear" w:color="auto" w:fill="auto"/>
            <w:noWrap/>
            <w:hideMark/>
          </w:tcPr>
          <w:p w14:paraId="5D08469B"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r w:rsidRPr="009F6406">
              <w:rPr>
                <w:rFonts w:ascii="Calibri" w:eastAsia="Times New Roman" w:hAnsi="Calibri" w:cs="Times New Roman"/>
                <w:b/>
                <w:bCs/>
                <w:i/>
                <w:iCs/>
                <w:color w:val="000000"/>
                <w:sz w:val="22"/>
                <w:lang w:eastAsia="zh-CN"/>
              </w:rPr>
              <w:t>Years teaching Year 1</w:t>
            </w:r>
          </w:p>
        </w:tc>
        <w:tc>
          <w:tcPr>
            <w:tcW w:w="1560" w:type="dxa"/>
            <w:tcBorders>
              <w:top w:val="nil"/>
              <w:left w:val="single" w:sz="4" w:space="0" w:color="auto"/>
              <w:bottom w:val="nil"/>
              <w:right w:val="single" w:sz="4" w:space="0" w:color="auto"/>
            </w:tcBorders>
            <w:shd w:val="clear" w:color="auto" w:fill="auto"/>
            <w:noWrap/>
            <w:vAlign w:val="bottom"/>
            <w:hideMark/>
          </w:tcPr>
          <w:p w14:paraId="21898B5E"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M</w:t>
            </w:r>
          </w:p>
        </w:tc>
        <w:tc>
          <w:tcPr>
            <w:tcW w:w="1460" w:type="dxa"/>
            <w:tcBorders>
              <w:top w:val="nil"/>
              <w:left w:val="nil"/>
              <w:bottom w:val="nil"/>
              <w:right w:val="nil"/>
            </w:tcBorders>
            <w:shd w:val="clear" w:color="auto" w:fill="auto"/>
            <w:noWrap/>
            <w:vAlign w:val="bottom"/>
            <w:hideMark/>
          </w:tcPr>
          <w:p w14:paraId="34B44D92"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1.56</w:t>
            </w:r>
          </w:p>
        </w:tc>
        <w:tc>
          <w:tcPr>
            <w:tcW w:w="1460" w:type="dxa"/>
            <w:tcBorders>
              <w:top w:val="nil"/>
              <w:left w:val="nil"/>
              <w:bottom w:val="nil"/>
              <w:right w:val="single" w:sz="4" w:space="0" w:color="auto"/>
            </w:tcBorders>
            <w:shd w:val="clear" w:color="auto" w:fill="auto"/>
            <w:noWrap/>
            <w:vAlign w:val="bottom"/>
            <w:hideMark/>
          </w:tcPr>
          <w:p w14:paraId="0410AB44"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1.68</w:t>
            </w:r>
          </w:p>
        </w:tc>
      </w:tr>
      <w:tr w:rsidR="003E25A1" w:rsidRPr="009F6406" w14:paraId="1B92FFE9"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6BFC541B"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tcBorders>
              <w:top w:val="nil"/>
              <w:left w:val="single" w:sz="4" w:space="0" w:color="auto"/>
              <w:bottom w:val="nil"/>
              <w:right w:val="single" w:sz="4" w:space="0" w:color="auto"/>
            </w:tcBorders>
            <w:vAlign w:val="center"/>
            <w:hideMark/>
          </w:tcPr>
          <w:p w14:paraId="4A337FAD"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4B5F108"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SD</w:t>
            </w:r>
          </w:p>
        </w:tc>
        <w:tc>
          <w:tcPr>
            <w:tcW w:w="1460" w:type="dxa"/>
            <w:tcBorders>
              <w:top w:val="nil"/>
              <w:left w:val="nil"/>
              <w:bottom w:val="single" w:sz="4" w:space="0" w:color="auto"/>
              <w:right w:val="nil"/>
            </w:tcBorders>
            <w:shd w:val="clear" w:color="auto" w:fill="auto"/>
            <w:noWrap/>
            <w:vAlign w:val="bottom"/>
            <w:hideMark/>
          </w:tcPr>
          <w:p w14:paraId="42EC89F0"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2.30</w:t>
            </w:r>
          </w:p>
        </w:tc>
        <w:tc>
          <w:tcPr>
            <w:tcW w:w="1460" w:type="dxa"/>
            <w:tcBorders>
              <w:top w:val="nil"/>
              <w:left w:val="nil"/>
              <w:bottom w:val="single" w:sz="4" w:space="0" w:color="auto"/>
              <w:right w:val="single" w:sz="4" w:space="0" w:color="auto"/>
            </w:tcBorders>
            <w:shd w:val="clear" w:color="auto" w:fill="auto"/>
            <w:noWrap/>
            <w:vAlign w:val="bottom"/>
            <w:hideMark/>
          </w:tcPr>
          <w:p w14:paraId="0774815A"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3.69</w:t>
            </w:r>
          </w:p>
        </w:tc>
      </w:tr>
      <w:tr w:rsidR="003E25A1" w:rsidRPr="009F6406" w14:paraId="14ACA019" w14:textId="77777777" w:rsidTr="003E25A1">
        <w:trPr>
          <w:trHeight w:val="390"/>
        </w:trPr>
        <w:tc>
          <w:tcPr>
            <w:tcW w:w="1040" w:type="dxa"/>
            <w:tcBorders>
              <w:top w:val="nil"/>
              <w:left w:val="single" w:sz="4" w:space="0" w:color="auto"/>
              <w:bottom w:val="nil"/>
              <w:right w:val="single" w:sz="4" w:space="0" w:color="auto"/>
            </w:tcBorders>
            <w:shd w:val="clear" w:color="auto" w:fill="auto"/>
            <w:noWrap/>
            <w:vAlign w:val="bottom"/>
            <w:hideMark/>
          </w:tcPr>
          <w:p w14:paraId="7170598B"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val="restart"/>
            <w:tcBorders>
              <w:top w:val="single" w:sz="4" w:space="0" w:color="auto"/>
              <w:left w:val="single" w:sz="4" w:space="0" w:color="auto"/>
              <w:bottom w:val="single" w:sz="4" w:space="0" w:color="000000"/>
              <w:right w:val="nil"/>
            </w:tcBorders>
            <w:shd w:val="clear" w:color="auto" w:fill="auto"/>
            <w:hideMark/>
          </w:tcPr>
          <w:p w14:paraId="7E2829C5"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r w:rsidRPr="009F6406">
              <w:rPr>
                <w:rFonts w:ascii="Calibri" w:eastAsia="Times New Roman" w:hAnsi="Calibri" w:cs="Times New Roman"/>
                <w:b/>
                <w:bCs/>
                <w:i/>
                <w:iCs/>
                <w:color w:val="000000"/>
                <w:sz w:val="22"/>
                <w:lang w:eastAsia="zh-CN"/>
              </w:rPr>
              <w:t>Confidence teaching mathematics</w:t>
            </w:r>
          </w:p>
        </w:tc>
        <w:tc>
          <w:tcPr>
            <w:tcW w:w="1560" w:type="dxa"/>
            <w:tcBorders>
              <w:top w:val="nil"/>
              <w:left w:val="single" w:sz="4" w:space="0" w:color="auto"/>
              <w:bottom w:val="nil"/>
              <w:right w:val="single" w:sz="4" w:space="0" w:color="auto"/>
            </w:tcBorders>
            <w:shd w:val="clear" w:color="auto" w:fill="auto"/>
            <w:noWrap/>
            <w:vAlign w:val="bottom"/>
            <w:hideMark/>
          </w:tcPr>
          <w:p w14:paraId="65D76991"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Neutral</w:t>
            </w:r>
          </w:p>
        </w:tc>
        <w:tc>
          <w:tcPr>
            <w:tcW w:w="1460" w:type="dxa"/>
            <w:tcBorders>
              <w:top w:val="nil"/>
              <w:left w:val="nil"/>
              <w:bottom w:val="nil"/>
              <w:right w:val="nil"/>
            </w:tcBorders>
            <w:shd w:val="clear" w:color="auto" w:fill="auto"/>
            <w:noWrap/>
            <w:vAlign w:val="bottom"/>
            <w:hideMark/>
          </w:tcPr>
          <w:p w14:paraId="13F9DB63"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3</w:t>
            </w:r>
          </w:p>
        </w:tc>
        <w:tc>
          <w:tcPr>
            <w:tcW w:w="1460" w:type="dxa"/>
            <w:tcBorders>
              <w:top w:val="nil"/>
              <w:left w:val="nil"/>
              <w:bottom w:val="nil"/>
              <w:right w:val="single" w:sz="4" w:space="0" w:color="auto"/>
            </w:tcBorders>
            <w:shd w:val="clear" w:color="auto" w:fill="auto"/>
            <w:noWrap/>
            <w:vAlign w:val="bottom"/>
            <w:hideMark/>
          </w:tcPr>
          <w:p w14:paraId="7362142B"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8</w:t>
            </w:r>
          </w:p>
        </w:tc>
      </w:tr>
      <w:tr w:rsidR="003E25A1" w:rsidRPr="009F6406" w14:paraId="683639DA" w14:textId="77777777" w:rsidTr="003E25A1">
        <w:trPr>
          <w:trHeight w:val="390"/>
        </w:trPr>
        <w:tc>
          <w:tcPr>
            <w:tcW w:w="1040" w:type="dxa"/>
            <w:tcBorders>
              <w:top w:val="nil"/>
              <w:left w:val="single" w:sz="4" w:space="0" w:color="auto"/>
              <w:bottom w:val="nil"/>
              <w:right w:val="single" w:sz="4" w:space="0" w:color="auto"/>
            </w:tcBorders>
            <w:shd w:val="clear" w:color="auto" w:fill="auto"/>
            <w:noWrap/>
            <w:vAlign w:val="bottom"/>
            <w:hideMark/>
          </w:tcPr>
          <w:p w14:paraId="3D8696E7"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tcBorders>
              <w:top w:val="nil"/>
              <w:left w:val="single" w:sz="4" w:space="0" w:color="auto"/>
              <w:bottom w:val="nil"/>
              <w:right w:val="single" w:sz="4" w:space="0" w:color="auto"/>
            </w:tcBorders>
            <w:vAlign w:val="center"/>
            <w:hideMark/>
          </w:tcPr>
          <w:p w14:paraId="6F58021E"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E562FD0"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Somewhat high</w:t>
            </w:r>
          </w:p>
        </w:tc>
        <w:tc>
          <w:tcPr>
            <w:tcW w:w="1460" w:type="dxa"/>
            <w:tcBorders>
              <w:top w:val="nil"/>
              <w:left w:val="nil"/>
              <w:bottom w:val="single" w:sz="4" w:space="0" w:color="auto"/>
              <w:right w:val="nil"/>
            </w:tcBorders>
            <w:shd w:val="clear" w:color="auto" w:fill="auto"/>
            <w:noWrap/>
            <w:vAlign w:val="bottom"/>
            <w:hideMark/>
          </w:tcPr>
          <w:p w14:paraId="6B74FC3A"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6</w:t>
            </w:r>
          </w:p>
        </w:tc>
        <w:tc>
          <w:tcPr>
            <w:tcW w:w="1460" w:type="dxa"/>
            <w:tcBorders>
              <w:top w:val="nil"/>
              <w:left w:val="nil"/>
              <w:bottom w:val="single" w:sz="4" w:space="0" w:color="auto"/>
              <w:right w:val="single" w:sz="4" w:space="0" w:color="auto"/>
            </w:tcBorders>
            <w:shd w:val="clear" w:color="auto" w:fill="auto"/>
            <w:noWrap/>
            <w:vAlign w:val="bottom"/>
            <w:hideMark/>
          </w:tcPr>
          <w:p w14:paraId="01FD29B8"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3</w:t>
            </w:r>
          </w:p>
        </w:tc>
      </w:tr>
      <w:tr w:rsidR="003E25A1" w:rsidRPr="009F6406" w14:paraId="6E85C77F"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03566161"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val="restart"/>
            <w:tcBorders>
              <w:top w:val="single" w:sz="4" w:space="0" w:color="auto"/>
              <w:left w:val="single" w:sz="4" w:space="0" w:color="auto"/>
              <w:bottom w:val="single" w:sz="4" w:space="0" w:color="000000"/>
              <w:right w:val="nil"/>
            </w:tcBorders>
            <w:shd w:val="clear" w:color="auto" w:fill="auto"/>
            <w:noWrap/>
            <w:hideMark/>
          </w:tcPr>
          <w:p w14:paraId="23E2700D"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r w:rsidRPr="009F6406">
              <w:rPr>
                <w:rFonts w:ascii="Calibri" w:eastAsia="Times New Roman" w:hAnsi="Calibri" w:cs="Times New Roman"/>
                <w:b/>
                <w:bCs/>
                <w:i/>
                <w:iCs/>
                <w:color w:val="000000"/>
                <w:sz w:val="22"/>
                <w:lang w:eastAsia="zh-CN"/>
              </w:rPr>
              <w:t>Class size</w:t>
            </w:r>
          </w:p>
        </w:tc>
        <w:tc>
          <w:tcPr>
            <w:tcW w:w="1560" w:type="dxa"/>
            <w:tcBorders>
              <w:top w:val="nil"/>
              <w:left w:val="single" w:sz="4" w:space="0" w:color="auto"/>
              <w:bottom w:val="nil"/>
              <w:right w:val="single" w:sz="4" w:space="0" w:color="auto"/>
            </w:tcBorders>
            <w:shd w:val="clear" w:color="auto" w:fill="auto"/>
            <w:noWrap/>
            <w:vAlign w:val="bottom"/>
            <w:hideMark/>
          </w:tcPr>
          <w:p w14:paraId="40F163D6"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M</w:t>
            </w:r>
          </w:p>
        </w:tc>
        <w:tc>
          <w:tcPr>
            <w:tcW w:w="1460" w:type="dxa"/>
            <w:tcBorders>
              <w:top w:val="nil"/>
              <w:left w:val="nil"/>
              <w:bottom w:val="nil"/>
              <w:right w:val="nil"/>
            </w:tcBorders>
            <w:shd w:val="clear" w:color="auto" w:fill="auto"/>
            <w:noWrap/>
            <w:vAlign w:val="bottom"/>
            <w:hideMark/>
          </w:tcPr>
          <w:p w14:paraId="078FDCAA"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30.11</w:t>
            </w:r>
          </w:p>
        </w:tc>
        <w:tc>
          <w:tcPr>
            <w:tcW w:w="1460" w:type="dxa"/>
            <w:tcBorders>
              <w:top w:val="nil"/>
              <w:left w:val="nil"/>
              <w:bottom w:val="nil"/>
              <w:right w:val="single" w:sz="4" w:space="0" w:color="auto"/>
            </w:tcBorders>
            <w:shd w:val="clear" w:color="auto" w:fill="auto"/>
            <w:noWrap/>
            <w:vAlign w:val="bottom"/>
            <w:hideMark/>
          </w:tcPr>
          <w:p w14:paraId="35112A05"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29.10</w:t>
            </w:r>
          </w:p>
        </w:tc>
      </w:tr>
      <w:tr w:rsidR="003E25A1" w:rsidRPr="009F6406" w14:paraId="6978E978" w14:textId="77777777" w:rsidTr="003E25A1">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D43507F"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tcBorders>
              <w:top w:val="nil"/>
              <w:left w:val="single" w:sz="4" w:space="0" w:color="auto"/>
              <w:bottom w:val="single" w:sz="4" w:space="0" w:color="auto"/>
              <w:right w:val="single" w:sz="4" w:space="0" w:color="auto"/>
            </w:tcBorders>
            <w:vAlign w:val="center"/>
            <w:hideMark/>
          </w:tcPr>
          <w:p w14:paraId="3A73C744"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6B05F36"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SD</w:t>
            </w:r>
          </w:p>
        </w:tc>
        <w:tc>
          <w:tcPr>
            <w:tcW w:w="1460" w:type="dxa"/>
            <w:tcBorders>
              <w:top w:val="nil"/>
              <w:left w:val="nil"/>
              <w:bottom w:val="single" w:sz="4" w:space="0" w:color="auto"/>
              <w:right w:val="nil"/>
            </w:tcBorders>
            <w:shd w:val="clear" w:color="auto" w:fill="auto"/>
            <w:noWrap/>
            <w:vAlign w:val="bottom"/>
            <w:hideMark/>
          </w:tcPr>
          <w:p w14:paraId="3741567C"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1.76</w:t>
            </w:r>
          </w:p>
        </w:tc>
        <w:tc>
          <w:tcPr>
            <w:tcW w:w="1460" w:type="dxa"/>
            <w:tcBorders>
              <w:top w:val="nil"/>
              <w:left w:val="nil"/>
              <w:bottom w:val="single" w:sz="4" w:space="0" w:color="auto"/>
              <w:right w:val="single" w:sz="4" w:space="0" w:color="auto"/>
            </w:tcBorders>
            <w:shd w:val="clear" w:color="auto" w:fill="auto"/>
            <w:noWrap/>
            <w:vAlign w:val="bottom"/>
            <w:hideMark/>
          </w:tcPr>
          <w:p w14:paraId="609FB1E8"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2.43</w:t>
            </w:r>
          </w:p>
        </w:tc>
      </w:tr>
      <w:tr w:rsidR="003E25A1" w:rsidRPr="009F6406" w14:paraId="7EFDAADF"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5EA198C7" w14:textId="77777777" w:rsidR="003E25A1" w:rsidRPr="009F6406" w:rsidRDefault="003E25A1" w:rsidP="003E25A1">
            <w:pPr>
              <w:spacing w:before="0" w:after="0"/>
              <w:rPr>
                <w:rFonts w:ascii="Calibri" w:eastAsia="Times New Roman" w:hAnsi="Calibri" w:cs="Times New Roman"/>
                <w:b/>
                <w:bCs/>
                <w:color w:val="000000"/>
                <w:sz w:val="22"/>
                <w:lang w:eastAsia="zh-CN"/>
              </w:rPr>
            </w:pPr>
            <w:r w:rsidRPr="009F6406">
              <w:rPr>
                <w:rFonts w:ascii="Calibri" w:eastAsia="Times New Roman" w:hAnsi="Calibri" w:cs="Times New Roman"/>
                <w:b/>
                <w:bCs/>
                <w:color w:val="000000"/>
                <w:sz w:val="22"/>
                <w:lang w:eastAsia="zh-CN"/>
              </w:rPr>
              <w:t>PUPILS</w:t>
            </w:r>
          </w:p>
        </w:tc>
        <w:tc>
          <w:tcPr>
            <w:tcW w:w="2260" w:type="dxa"/>
            <w:gridSpan w:val="2"/>
            <w:vMerge w:val="restart"/>
            <w:tcBorders>
              <w:top w:val="nil"/>
              <w:left w:val="single" w:sz="4" w:space="0" w:color="auto"/>
              <w:bottom w:val="nil"/>
              <w:right w:val="nil"/>
            </w:tcBorders>
            <w:shd w:val="clear" w:color="auto" w:fill="auto"/>
            <w:noWrap/>
            <w:hideMark/>
          </w:tcPr>
          <w:p w14:paraId="786EF19E"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r w:rsidRPr="009F6406">
              <w:rPr>
                <w:rFonts w:ascii="Calibri" w:eastAsia="Times New Roman" w:hAnsi="Calibri" w:cs="Times New Roman"/>
                <w:b/>
                <w:bCs/>
                <w:i/>
                <w:iCs/>
                <w:color w:val="000000"/>
                <w:sz w:val="22"/>
                <w:lang w:eastAsia="zh-CN"/>
              </w:rPr>
              <w:t>Gender</w:t>
            </w:r>
          </w:p>
        </w:tc>
        <w:tc>
          <w:tcPr>
            <w:tcW w:w="1560" w:type="dxa"/>
            <w:tcBorders>
              <w:top w:val="nil"/>
              <w:left w:val="single" w:sz="4" w:space="0" w:color="auto"/>
              <w:bottom w:val="nil"/>
              <w:right w:val="single" w:sz="4" w:space="0" w:color="auto"/>
            </w:tcBorders>
            <w:shd w:val="clear" w:color="auto" w:fill="auto"/>
            <w:noWrap/>
            <w:vAlign w:val="bottom"/>
            <w:hideMark/>
          </w:tcPr>
          <w:p w14:paraId="533826BE"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Male (%)</w:t>
            </w:r>
          </w:p>
        </w:tc>
        <w:tc>
          <w:tcPr>
            <w:tcW w:w="1460" w:type="dxa"/>
            <w:tcBorders>
              <w:top w:val="nil"/>
              <w:left w:val="nil"/>
              <w:bottom w:val="nil"/>
              <w:right w:val="nil"/>
            </w:tcBorders>
            <w:shd w:val="clear" w:color="auto" w:fill="auto"/>
            <w:noWrap/>
            <w:vAlign w:val="bottom"/>
            <w:hideMark/>
          </w:tcPr>
          <w:p w14:paraId="2C3339E4"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51.29%</w:t>
            </w:r>
          </w:p>
        </w:tc>
        <w:tc>
          <w:tcPr>
            <w:tcW w:w="1460" w:type="dxa"/>
            <w:tcBorders>
              <w:top w:val="nil"/>
              <w:left w:val="nil"/>
              <w:bottom w:val="nil"/>
              <w:right w:val="single" w:sz="4" w:space="0" w:color="auto"/>
            </w:tcBorders>
            <w:shd w:val="clear" w:color="auto" w:fill="auto"/>
            <w:noWrap/>
            <w:vAlign w:val="bottom"/>
            <w:hideMark/>
          </w:tcPr>
          <w:p w14:paraId="4440A4C3"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47.54%</w:t>
            </w:r>
          </w:p>
        </w:tc>
      </w:tr>
      <w:tr w:rsidR="003E25A1" w:rsidRPr="009F6406" w14:paraId="56F5B7E3"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64912BA3" w14:textId="77777777" w:rsidR="003E25A1" w:rsidRPr="009F6406" w:rsidRDefault="003E25A1" w:rsidP="003E25A1">
            <w:pPr>
              <w:spacing w:before="0" w:after="0"/>
              <w:rPr>
                <w:rFonts w:ascii="Calibri" w:eastAsia="Times New Roman" w:hAnsi="Calibri" w:cs="Times New Roman"/>
                <w:b/>
                <w:bCs/>
                <w:color w:val="000000"/>
                <w:sz w:val="22"/>
                <w:lang w:eastAsia="zh-CN"/>
              </w:rPr>
            </w:pPr>
            <w:r w:rsidRPr="009F6406">
              <w:rPr>
                <w:rFonts w:ascii="Calibri" w:eastAsia="Times New Roman" w:hAnsi="Calibri" w:cs="Times New Roman"/>
                <w:b/>
                <w:bCs/>
                <w:color w:val="000000"/>
                <w:sz w:val="22"/>
                <w:lang w:eastAsia="zh-CN"/>
              </w:rPr>
              <w:t> </w:t>
            </w:r>
          </w:p>
        </w:tc>
        <w:tc>
          <w:tcPr>
            <w:tcW w:w="2260" w:type="dxa"/>
            <w:gridSpan w:val="2"/>
            <w:vMerge/>
            <w:tcBorders>
              <w:top w:val="nil"/>
              <w:left w:val="single" w:sz="4" w:space="0" w:color="auto"/>
              <w:bottom w:val="nil"/>
              <w:right w:val="single" w:sz="4" w:space="0" w:color="auto"/>
            </w:tcBorders>
            <w:vAlign w:val="center"/>
            <w:hideMark/>
          </w:tcPr>
          <w:p w14:paraId="30440B5F"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p>
        </w:tc>
        <w:tc>
          <w:tcPr>
            <w:tcW w:w="1560" w:type="dxa"/>
            <w:tcBorders>
              <w:top w:val="nil"/>
              <w:left w:val="single" w:sz="4" w:space="0" w:color="auto"/>
              <w:bottom w:val="nil"/>
              <w:right w:val="single" w:sz="4" w:space="0" w:color="auto"/>
            </w:tcBorders>
            <w:shd w:val="clear" w:color="auto" w:fill="auto"/>
            <w:noWrap/>
            <w:vAlign w:val="bottom"/>
            <w:hideMark/>
          </w:tcPr>
          <w:p w14:paraId="3D74F85B"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Female (%)</w:t>
            </w:r>
          </w:p>
        </w:tc>
        <w:tc>
          <w:tcPr>
            <w:tcW w:w="1460" w:type="dxa"/>
            <w:tcBorders>
              <w:top w:val="nil"/>
              <w:left w:val="nil"/>
              <w:bottom w:val="nil"/>
              <w:right w:val="nil"/>
            </w:tcBorders>
            <w:shd w:val="clear" w:color="auto" w:fill="auto"/>
            <w:noWrap/>
            <w:vAlign w:val="bottom"/>
            <w:hideMark/>
          </w:tcPr>
          <w:p w14:paraId="4B68816A"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48.70%</w:t>
            </w:r>
          </w:p>
        </w:tc>
        <w:tc>
          <w:tcPr>
            <w:tcW w:w="1460" w:type="dxa"/>
            <w:tcBorders>
              <w:top w:val="nil"/>
              <w:left w:val="nil"/>
              <w:bottom w:val="nil"/>
              <w:right w:val="single" w:sz="4" w:space="0" w:color="auto"/>
            </w:tcBorders>
            <w:shd w:val="clear" w:color="auto" w:fill="auto"/>
            <w:noWrap/>
            <w:vAlign w:val="bottom"/>
            <w:hideMark/>
          </w:tcPr>
          <w:p w14:paraId="0339AEDB"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51.48%</w:t>
            </w:r>
          </w:p>
        </w:tc>
      </w:tr>
      <w:tr w:rsidR="003E25A1" w:rsidRPr="009F6406" w14:paraId="6AF15BEB" w14:textId="77777777" w:rsidTr="003E25A1">
        <w:trPr>
          <w:trHeight w:val="300"/>
        </w:trPr>
        <w:tc>
          <w:tcPr>
            <w:tcW w:w="1040" w:type="dxa"/>
            <w:tcBorders>
              <w:top w:val="nil"/>
              <w:left w:val="single" w:sz="4" w:space="0" w:color="auto"/>
              <w:bottom w:val="nil"/>
              <w:right w:val="single" w:sz="4" w:space="0" w:color="auto"/>
            </w:tcBorders>
            <w:shd w:val="clear" w:color="auto" w:fill="auto"/>
            <w:noWrap/>
            <w:vAlign w:val="bottom"/>
            <w:hideMark/>
          </w:tcPr>
          <w:p w14:paraId="2B9C5F61"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val="restart"/>
            <w:tcBorders>
              <w:top w:val="single" w:sz="4" w:space="0" w:color="auto"/>
              <w:left w:val="single" w:sz="4" w:space="0" w:color="auto"/>
              <w:bottom w:val="single" w:sz="4" w:space="0" w:color="000000"/>
              <w:right w:val="nil"/>
            </w:tcBorders>
            <w:shd w:val="clear" w:color="auto" w:fill="auto"/>
            <w:noWrap/>
            <w:hideMark/>
          </w:tcPr>
          <w:p w14:paraId="2903C389"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r w:rsidRPr="009F6406">
              <w:rPr>
                <w:rFonts w:ascii="Calibri" w:eastAsia="Times New Roman" w:hAnsi="Calibri" w:cs="Times New Roman"/>
                <w:b/>
                <w:bCs/>
                <w:i/>
                <w:iCs/>
                <w:color w:val="000000"/>
                <w:sz w:val="22"/>
                <w:lang w:eastAsia="zh-CN"/>
              </w:rPr>
              <w:t>Age at baseline (Years)</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14:paraId="10713A8F"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M</w:t>
            </w:r>
          </w:p>
        </w:tc>
        <w:tc>
          <w:tcPr>
            <w:tcW w:w="1460" w:type="dxa"/>
            <w:tcBorders>
              <w:top w:val="single" w:sz="4" w:space="0" w:color="auto"/>
              <w:left w:val="nil"/>
              <w:bottom w:val="nil"/>
              <w:right w:val="nil"/>
            </w:tcBorders>
            <w:shd w:val="clear" w:color="auto" w:fill="auto"/>
            <w:noWrap/>
            <w:vAlign w:val="bottom"/>
            <w:hideMark/>
          </w:tcPr>
          <w:p w14:paraId="62E046FB"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5.52</w:t>
            </w:r>
          </w:p>
        </w:tc>
        <w:tc>
          <w:tcPr>
            <w:tcW w:w="1460" w:type="dxa"/>
            <w:tcBorders>
              <w:top w:val="single" w:sz="4" w:space="0" w:color="auto"/>
              <w:left w:val="nil"/>
              <w:bottom w:val="nil"/>
              <w:right w:val="single" w:sz="4" w:space="0" w:color="auto"/>
            </w:tcBorders>
            <w:shd w:val="clear" w:color="auto" w:fill="auto"/>
            <w:noWrap/>
            <w:vAlign w:val="bottom"/>
            <w:hideMark/>
          </w:tcPr>
          <w:p w14:paraId="510FEC84"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5.57</w:t>
            </w:r>
          </w:p>
        </w:tc>
      </w:tr>
      <w:tr w:rsidR="003E25A1" w:rsidRPr="009F6406" w14:paraId="39AE1486" w14:textId="77777777" w:rsidTr="003E25A1">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86029A7"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 </w:t>
            </w:r>
          </w:p>
        </w:tc>
        <w:tc>
          <w:tcPr>
            <w:tcW w:w="2260" w:type="dxa"/>
            <w:gridSpan w:val="2"/>
            <w:vMerge/>
            <w:tcBorders>
              <w:top w:val="nil"/>
              <w:left w:val="single" w:sz="4" w:space="0" w:color="auto"/>
              <w:bottom w:val="single" w:sz="4" w:space="0" w:color="auto"/>
              <w:right w:val="single" w:sz="4" w:space="0" w:color="auto"/>
            </w:tcBorders>
            <w:vAlign w:val="center"/>
            <w:hideMark/>
          </w:tcPr>
          <w:p w14:paraId="2C2AB912" w14:textId="77777777" w:rsidR="003E25A1" w:rsidRPr="009F6406" w:rsidRDefault="003E25A1" w:rsidP="003E25A1">
            <w:pPr>
              <w:spacing w:before="0" w:after="0"/>
              <w:rPr>
                <w:rFonts w:ascii="Calibri" w:eastAsia="Times New Roman" w:hAnsi="Calibri" w:cs="Times New Roman"/>
                <w:b/>
                <w:bCs/>
                <w:i/>
                <w:iCs/>
                <w:color w:val="000000"/>
                <w:sz w:val="22"/>
                <w:lang w:eastAsia="zh-CN"/>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E0AB35D" w14:textId="77777777" w:rsidR="003E25A1" w:rsidRPr="009F6406" w:rsidRDefault="003E25A1" w:rsidP="003E25A1">
            <w:pPr>
              <w:spacing w:before="0" w:after="0"/>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SD</w:t>
            </w:r>
          </w:p>
        </w:tc>
        <w:tc>
          <w:tcPr>
            <w:tcW w:w="1460" w:type="dxa"/>
            <w:tcBorders>
              <w:top w:val="nil"/>
              <w:left w:val="nil"/>
              <w:bottom w:val="single" w:sz="4" w:space="0" w:color="auto"/>
              <w:right w:val="nil"/>
            </w:tcBorders>
            <w:shd w:val="clear" w:color="auto" w:fill="auto"/>
            <w:noWrap/>
            <w:vAlign w:val="bottom"/>
            <w:hideMark/>
          </w:tcPr>
          <w:p w14:paraId="7B8FF017"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0.28</w:t>
            </w:r>
          </w:p>
        </w:tc>
        <w:tc>
          <w:tcPr>
            <w:tcW w:w="1460" w:type="dxa"/>
            <w:tcBorders>
              <w:top w:val="nil"/>
              <w:left w:val="nil"/>
              <w:bottom w:val="single" w:sz="4" w:space="0" w:color="auto"/>
              <w:right w:val="single" w:sz="4" w:space="0" w:color="auto"/>
            </w:tcBorders>
            <w:shd w:val="clear" w:color="auto" w:fill="auto"/>
            <w:noWrap/>
            <w:vAlign w:val="bottom"/>
            <w:hideMark/>
          </w:tcPr>
          <w:p w14:paraId="5BFAA58E" w14:textId="77777777" w:rsidR="003E25A1" w:rsidRPr="009F6406" w:rsidRDefault="003E25A1" w:rsidP="003E25A1">
            <w:pPr>
              <w:spacing w:before="0" w:after="0"/>
              <w:jc w:val="right"/>
              <w:rPr>
                <w:rFonts w:ascii="Calibri" w:eastAsia="Times New Roman" w:hAnsi="Calibri" w:cs="Times New Roman"/>
                <w:color w:val="000000"/>
                <w:sz w:val="22"/>
                <w:lang w:eastAsia="zh-CN"/>
              </w:rPr>
            </w:pPr>
            <w:r w:rsidRPr="009F6406">
              <w:rPr>
                <w:rFonts w:ascii="Calibri" w:eastAsia="Times New Roman" w:hAnsi="Calibri" w:cs="Times New Roman"/>
                <w:color w:val="000000"/>
                <w:sz w:val="22"/>
                <w:lang w:eastAsia="zh-CN"/>
              </w:rPr>
              <w:t>0.30</w:t>
            </w:r>
          </w:p>
        </w:tc>
      </w:tr>
      <w:tr w:rsidR="003E25A1" w:rsidRPr="009F6406" w14:paraId="13221266" w14:textId="77777777" w:rsidTr="003E25A1">
        <w:trPr>
          <w:trHeight w:val="840"/>
        </w:trPr>
        <w:tc>
          <w:tcPr>
            <w:tcW w:w="7780" w:type="dxa"/>
            <w:gridSpan w:val="6"/>
            <w:tcBorders>
              <w:top w:val="single" w:sz="4" w:space="0" w:color="auto"/>
              <w:left w:val="nil"/>
              <w:bottom w:val="nil"/>
              <w:right w:val="nil"/>
            </w:tcBorders>
            <w:shd w:val="clear" w:color="auto" w:fill="auto"/>
            <w:vAlign w:val="bottom"/>
            <w:hideMark/>
          </w:tcPr>
          <w:p w14:paraId="66562DA5" w14:textId="77777777" w:rsidR="003E25A1" w:rsidRPr="009F6406" w:rsidRDefault="003E25A1" w:rsidP="003E25A1">
            <w:pPr>
              <w:spacing w:before="0" w:after="0"/>
              <w:rPr>
                <w:rFonts w:eastAsia="Times New Roman" w:cs="Times New Roman"/>
                <w:color w:val="000000"/>
                <w:sz w:val="18"/>
                <w:szCs w:val="18"/>
                <w:lang w:eastAsia="zh-CN"/>
              </w:rPr>
            </w:pPr>
            <w:r w:rsidRPr="009F6406">
              <w:rPr>
                <w:rFonts w:eastAsia="Times New Roman" w:cs="Times New Roman"/>
                <w:color w:val="000000"/>
                <w:sz w:val="18"/>
                <w:szCs w:val="18"/>
                <w:lang w:eastAsia="zh-CN"/>
              </w:rPr>
              <w:t>Notes: (1) No teacher in either group selected "Low", "Somewhat Low", or "High" with regard to their confidence teaching mathematics (2) Pupil gender was self-reported on pupil questionnaires; 3 pupils in the delayed treatment group (0.98%) did not respond.</w:t>
            </w:r>
          </w:p>
        </w:tc>
      </w:tr>
    </w:tbl>
    <w:p w14:paraId="0823888D" w14:textId="77777777" w:rsidR="000A7396" w:rsidRPr="009F6406" w:rsidRDefault="000A7396">
      <w:pPr>
        <w:spacing w:before="0" w:after="200" w:line="276" w:lineRule="auto"/>
      </w:pPr>
    </w:p>
    <w:p w14:paraId="25C8F590" w14:textId="0827E600" w:rsidR="000A7396" w:rsidRPr="009F6406" w:rsidRDefault="000A7396">
      <w:pPr>
        <w:spacing w:before="0" w:after="200" w:line="276" w:lineRule="auto"/>
      </w:pPr>
      <w:r w:rsidRPr="009F6406">
        <w:t>Table 1: Descriptive information about the sample of teachers</w:t>
      </w:r>
      <w:r w:rsidR="00971120" w:rsidRPr="009F6406">
        <w:t xml:space="preserve"> and pupils</w:t>
      </w:r>
      <w:r w:rsidRPr="009F6406">
        <w:t xml:space="preserve"> by group (experimental/delayed treatment)</w:t>
      </w:r>
      <w:r w:rsidRPr="009F6406">
        <w:br w:type="page"/>
      </w:r>
    </w:p>
    <w:tbl>
      <w:tblPr>
        <w:tblW w:w="11480" w:type="dxa"/>
        <w:tblInd w:w="93" w:type="dxa"/>
        <w:tblLook w:val="04A0" w:firstRow="1" w:lastRow="0" w:firstColumn="1" w:lastColumn="0" w:noHBand="0" w:noVBand="1"/>
      </w:tblPr>
      <w:tblGrid>
        <w:gridCol w:w="1390"/>
        <w:gridCol w:w="1420"/>
        <w:gridCol w:w="546"/>
        <w:gridCol w:w="571"/>
        <w:gridCol w:w="607"/>
        <w:gridCol w:w="711"/>
        <w:gridCol w:w="711"/>
        <w:gridCol w:w="546"/>
        <w:gridCol w:w="571"/>
        <w:gridCol w:w="607"/>
        <w:gridCol w:w="711"/>
        <w:gridCol w:w="711"/>
        <w:gridCol w:w="546"/>
        <w:gridCol w:w="571"/>
        <w:gridCol w:w="607"/>
        <w:gridCol w:w="711"/>
        <w:gridCol w:w="711"/>
      </w:tblGrid>
      <w:tr w:rsidR="000A7396" w:rsidRPr="009F6406" w14:paraId="3E88A85A" w14:textId="77777777" w:rsidTr="000A7396">
        <w:trPr>
          <w:trHeight w:val="300"/>
        </w:trPr>
        <w:tc>
          <w:tcPr>
            <w:tcW w:w="1360" w:type="dxa"/>
            <w:tcBorders>
              <w:top w:val="single" w:sz="4" w:space="0" w:color="auto"/>
              <w:left w:val="single" w:sz="4" w:space="0" w:color="auto"/>
              <w:bottom w:val="single" w:sz="4" w:space="0" w:color="auto"/>
              <w:right w:val="nil"/>
            </w:tcBorders>
            <w:shd w:val="clear" w:color="auto" w:fill="auto"/>
            <w:noWrap/>
            <w:vAlign w:val="bottom"/>
            <w:hideMark/>
          </w:tcPr>
          <w:p w14:paraId="54D53946"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lastRenderedPageBreak/>
              <w:t> </w:t>
            </w:r>
          </w:p>
        </w:tc>
        <w:tc>
          <w:tcPr>
            <w:tcW w:w="1420" w:type="dxa"/>
            <w:tcBorders>
              <w:top w:val="single" w:sz="4" w:space="0" w:color="auto"/>
              <w:left w:val="nil"/>
              <w:bottom w:val="single" w:sz="4" w:space="0" w:color="auto"/>
              <w:right w:val="nil"/>
            </w:tcBorders>
            <w:shd w:val="clear" w:color="auto" w:fill="auto"/>
            <w:noWrap/>
            <w:vAlign w:val="bottom"/>
            <w:hideMark/>
          </w:tcPr>
          <w:p w14:paraId="13030CF2"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29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146392" w14:textId="77777777" w:rsidR="000A7396" w:rsidRPr="009F6406" w:rsidRDefault="000A7396" w:rsidP="000A7396">
            <w:pPr>
              <w:spacing w:before="0" w:after="0"/>
              <w:jc w:val="center"/>
              <w:rPr>
                <w:rFonts w:eastAsia="Times New Roman" w:cs="Times New Roman"/>
                <w:b/>
                <w:bCs/>
                <w:color w:val="000000"/>
                <w:sz w:val="22"/>
                <w:lang w:eastAsia="zh-CN"/>
              </w:rPr>
            </w:pPr>
            <w:r w:rsidRPr="009F6406">
              <w:rPr>
                <w:rFonts w:eastAsia="Times New Roman" w:cs="Times New Roman"/>
                <w:b/>
                <w:bCs/>
                <w:color w:val="000000"/>
                <w:sz w:val="22"/>
                <w:lang w:eastAsia="zh-CN"/>
              </w:rPr>
              <w:t>TERM 1</w:t>
            </w:r>
          </w:p>
        </w:tc>
        <w:tc>
          <w:tcPr>
            <w:tcW w:w="29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43CD910" w14:textId="77777777" w:rsidR="000A7396" w:rsidRPr="009F6406" w:rsidRDefault="000A7396" w:rsidP="000A7396">
            <w:pPr>
              <w:spacing w:before="0" w:after="0"/>
              <w:jc w:val="center"/>
              <w:rPr>
                <w:rFonts w:eastAsia="Times New Roman" w:cs="Times New Roman"/>
                <w:b/>
                <w:bCs/>
                <w:color w:val="000000"/>
                <w:sz w:val="22"/>
                <w:lang w:eastAsia="zh-CN"/>
              </w:rPr>
            </w:pPr>
            <w:r w:rsidRPr="009F6406">
              <w:rPr>
                <w:rFonts w:eastAsia="Times New Roman" w:cs="Times New Roman"/>
                <w:b/>
                <w:bCs/>
                <w:color w:val="000000"/>
                <w:sz w:val="22"/>
                <w:lang w:eastAsia="zh-CN"/>
              </w:rPr>
              <w:t>TERM 2</w:t>
            </w:r>
          </w:p>
        </w:tc>
        <w:tc>
          <w:tcPr>
            <w:tcW w:w="29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6032C7" w14:textId="77777777" w:rsidR="000A7396" w:rsidRPr="009F6406" w:rsidRDefault="000A7396" w:rsidP="000A7396">
            <w:pPr>
              <w:spacing w:before="0" w:after="0"/>
              <w:jc w:val="center"/>
              <w:rPr>
                <w:rFonts w:eastAsia="Times New Roman" w:cs="Times New Roman"/>
                <w:b/>
                <w:bCs/>
                <w:color w:val="000000"/>
                <w:sz w:val="22"/>
                <w:lang w:eastAsia="zh-CN"/>
              </w:rPr>
            </w:pPr>
            <w:r w:rsidRPr="009F6406">
              <w:rPr>
                <w:rFonts w:eastAsia="Times New Roman" w:cs="Times New Roman"/>
                <w:b/>
                <w:bCs/>
                <w:color w:val="000000"/>
                <w:sz w:val="22"/>
                <w:lang w:eastAsia="zh-CN"/>
              </w:rPr>
              <w:t>TERM 3</w:t>
            </w:r>
          </w:p>
        </w:tc>
      </w:tr>
      <w:tr w:rsidR="000A7396" w:rsidRPr="009F6406" w14:paraId="47FB89BC" w14:textId="77777777" w:rsidTr="000A7396">
        <w:trPr>
          <w:trHeight w:val="300"/>
        </w:trPr>
        <w:tc>
          <w:tcPr>
            <w:tcW w:w="1360" w:type="dxa"/>
            <w:tcBorders>
              <w:top w:val="nil"/>
              <w:left w:val="single" w:sz="4" w:space="0" w:color="auto"/>
              <w:bottom w:val="nil"/>
              <w:right w:val="nil"/>
            </w:tcBorders>
            <w:shd w:val="clear" w:color="auto" w:fill="auto"/>
            <w:noWrap/>
            <w:vAlign w:val="bottom"/>
            <w:hideMark/>
          </w:tcPr>
          <w:p w14:paraId="1BAF570B"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1420" w:type="dxa"/>
            <w:tcBorders>
              <w:top w:val="nil"/>
              <w:left w:val="nil"/>
              <w:bottom w:val="nil"/>
              <w:right w:val="nil"/>
            </w:tcBorders>
            <w:shd w:val="clear" w:color="auto" w:fill="auto"/>
            <w:noWrap/>
            <w:vAlign w:val="bottom"/>
            <w:hideMark/>
          </w:tcPr>
          <w:p w14:paraId="30AB0C60"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471" w:type="dxa"/>
            <w:tcBorders>
              <w:top w:val="nil"/>
              <w:left w:val="single" w:sz="4" w:space="0" w:color="auto"/>
              <w:bottom w:val="nil"/>
              <w:right w:val="nil"/>
            </w:tcBorders>
            <w:shd w:val="clear" w:color="auto" w:fill="auto"/>
            <w:noWrap/>
            <w:vAlign w:val="bottom"/>
            <w:hideMark/>
          </w:tcPr>
          <w:p w14:paraId="2D068E60"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N</w:t>
            </w:r>
          </w:p>
        </w:tc>
        <w:tc>
          <w:tcPr>
            <w:tcW w:w="504" w:type="dxa"/>
            <w:tcBorders>
              <w:top w:val="nil"/>
              <w:left w:val="nil"/>
              <w:bottom w:val="nil"/>
              <w:right w:val="nil"/>
            </w:tcBorders>
            <w:shd w:val="clear" w:color="auto" w:fill="auto"/>
            <w:noWrap/>
            <w:vAlign w:val="bottom"/>
            <w:hideMark/>
          </w:tcPr>
          <w:p w14:paraId="6F90C7FF"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Min</w:t>
            </w:r>
          </w:p>
        </w:tc>
        <w:tc>
          <w:tcPr>
            <w:tcW w:w="551" w:type="dxa"/>
            <w:tcBorders>
              <w:top w:val="nil"/>
              <w:left w:val="nil"/>
              <w:bottom w:val="nil"/>
              <w:right w:val="nil"/>
            </w:tcBorders>
            <w:shd w:val="clear" w:color="auto" w:fill="auto"/>
            <w:noWrap/>
            <w:vAlign w:val="bottom"/>
            <w:hideMark/>
          </w:tcPr>
          <w:p w14:paraId="20557AA6"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Max</w:t>
            </w:r>
          </w:p>
        </w:tc>
        <w:tc>
          <w:tcPr>
            <w:tcW w:w="687" w:type="dxa"/>
            <w:tcBorders>
              <w:top w:val="nil"/>
              <w:left w:val="nil"/>
              <w:bottom w:val="nil"/>
              <w:right w:val="nil"/>
            </w:tcBorders>
            <w:shd w:val="clear" w:color="auto" w:fill="auto"/>
            <w:noWrap/>
            <w:vAlign w:val="bottom"/>
            <w:hideMark/>
          </w:tcPr>
          <w:p w14:paraId="0A4EF345"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M</w:t>
            </w:r>
          </w:p>
        </w:tc>
        <w:tc>
          <w:tcPr>
            <w:tcW w:w="687" w:type="dxa"/>
            <w:tcBorders>
              <w:top w:val="nil"/>
              <w:left w:val="nil"/>
              <w:bottom w:val="nil"/>
              <w:right w:val="single" w:sz="4" w:space="0" w:color="auto"/>
            </w:tcBorders>
            <w:shd w:val="clear" w:color="auto" w:fill="auto"/>
            <w:noWrap/>
            <w:vAlign w:val="bottom"/>
            <w:hideMark/>
          </w:tcPr>
          <w:p w14:paraId="11D7640D"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SD</w:t>
            </w:r>
          </w:p>
        </w:tc>
        <w:tc>
          <w:tcPr>
            <w:tcW w:w="471" w:type="dxa"/>
            <w:tcBorders>
              <w:top w:val="nil"/>
              <w:left w:val="nil"/>
              <w:bottom w:val="nil"/>
              <w:right w:val="nil"/>
            </w:tcBorders>
            <w:shd w:val="clear" w:color="auto" w:fill="auto"/>
            <w:noWrap/>
            <w:vAlign w:val="bottom"/>
            <w:hideMark/>
          </w:tcPr>
          <w:p w14:paraId="0F26133A"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N</w:t>
            </w:r>
          </w:p>
        </w:tc>
        <w:tc>
          <w:tcPr>
            <w:tcW w:w="504" w:type="dxa"/>
            <w:tcBorders>
              <w:top w:val="nil"/>
              <w:left w:val="nil"/>
              <w:bottom w:val="nil"/>
              <w:right w:val="nil"/>
            </w:tcBorders>
            <w:shd w:val="clear" w:color="auto" w:fill="auto"/>
            <w:noWrap/>
            <w:vAlign w:val="bottom"/>
            <w:hideMark/>
          </w:tcPr>
          <w:p w14:paraId="42BC5D01"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Min</w:t>
            </w:r>
          </w:p>
        </w:tc>
        <w:tc>
          <w:tcPr>
            <w:tcW w:w="551" w:type="dxa"/>
            <w:tcBorders>
              <w:top w:val="nil"/>
              <w:left w:val="nil"/>
              <w:bottom w:val="nil"/>
              <w:right w:val="nil"/>
            </w:tcBorders>
            <w:shd w:val="clear" w:color="auto" w:fill="auto"/>
            <w:noWrap/>
            <w:vAlign w:val="bottom"/>
            <w:hideMark/>
          </w:tcPr>
          <w:p w14:paraId="4F48CD66"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Max</w:t>
            </w:r>
          </w:p>
        </w:tc>
        <w:tc>
          <w:tcPr>
            <w:tcW w:w="687" w:type="dxa"/>
            <w:tcBorders>
              <w:top w:val="nil"/>
              <w:left w:val="nil"/>
              <w:bottom w:val="nil"/>
              <w:right w:val="nil"/>
            </w:tcBorders>
            <w:shd w:val="clear" w:color="auto" w:fill="auto"/>
            <w:noWrap/>
            <w:vAlign w:val="bottom"/>
            <w:hideMark/>
          </w:tcPr>
          <w:p w14:paraId="36FC9A52"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M</w:t>
            </w:r>
          </w:p>
        </w:tc>
        <w:tc>
          <w:tcPr>
            <w:tcW w:w="687" w:type="dxa"/>
            <w:tcBorders>
              <w:top w:val="nil"/>
              <w:left w:val="nil"/>
              <w:bottom w:val="nil"/>
              <w:right w:val="single" w:sz="4" w:space="0" w:color="auto"/>
            </w:tcBorders>
            <w:shd w:val="clear" w:color="auto" w:fill="auto"/>
            <w:noWrap/>
            <w:vAlign w:val="bottom"/>
            <w:hideMark/>
          </w:tcPr>
          <w:p w14:paraId="13B91495"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SD</w:t>
            </w:r>
          </w:p>
        </w:tc>
        <w:tc>
          <w:tcPr>
            <w:tcW w:w="471" w:type="dxa"/>
            <w:tcBorders>
              <w:top w:val="nil"/>
              <w:left w:val="nil"/>
              <w:bottom w:val="nil"/>
              <w:right w:val="nil"/>
            </w:tcBorders>
            <w:shd w:val="clear" w:color="auto" w:fill="auto"/>
            <w:noWrap/>
            <w:vAlign w:val="bottom"/>
            <w:hideMark/>
          </w:tcPr>
          <w:p w14:paraId="3E5754F9"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N</w:t>
            </w:r>
          </w:p>
        </w:tc>
        <w:tc>
          <w:tcPr>
            <w:tcW w:w="504" w:type="dxa"/>
            <w:tcBorders>
              <w:top w:val="nil"/>
              <w:left w:val="nil"/>
              <w:bottom w:val="nil"/>
              <w:right w:val="nil"/>
            </w:tcBorders>
            <w:shd w:val="clear" w:color="auto" w:fill="auto"/>
            <w:noWrap/>
            <w:vAlign w:val="bottom"/>
            <w:hideMark/>
          </w:tcPr>
          <w:p w14:paraId="37639AD1"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Min</w:t>
            </w:r>
          </w:p>
        </w:tc>
        <w:tc>
          <w:tcPr>
            <w:tcW w:w="551" w:type="dxa"/>
            <w:tcBorders>
              <w:top w:val="nil"/>
              <w:left w:val="nil"/>
              <w:bottom w:val="nil"/>
              <w:right w:val="nil"/>
            </w:tcBorders>
            <w:shd w:val="clear" w:color="auto" w:fill="auto"/>
            <w:noWrap/>
            <w:vAlign w:val="bottom"/>
            <w:hideMark/>
          </w:tcPr>
          <w:p w14:paraId="03370CE9"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Max</w:t>
            </w:r>
          </w:p>
        </w:tc>
        <w:tc>
          <w:tcPr>
            <w:tcW w:w="687" w:type="dxa"/>
            <w:tcBorders>
              <w:top w:val="nil"/>
              <w:left w:val="nil"/>
              <w:bottom w:val="nil"/>
              <w:right w:val="nil"/>
            </w:tcBorders>
            <w:shd w:val="clear" w:color="auto" w:fill="auto"/>
            <w:noWrap/>
            <w:vAlign w:val="bottom"/>
            <w:hideMark/>
          </w:tcPr>
          <w:p w14:paraId="71F6F6F8"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M</w:t>
            </w:r>
          </w:p>
        </w:tc>
        <w:tc>
          <w:tcPr>
            <w:tcW w:w="687" w:type="dxa"/>
            <w:tcBorders>
              <w:top w:val="nil"/>
              <w:left w:val="nil"/>
              <w:bottom w:val="nil"/>
              <w:right w:val="single" w:sz="4" w:space="0" w:color="auto"/>
            </w:tcBorders>
            <w:shd w:val="clear" w:color="auto" w:fill="auto"/>
            <w:noWrap/>
            <w:vAlign w:val="bottom"/>
            <w:hideMark/>
          </w:tcPr>
          <w:p w14:paraId="2A6D8E5F" w14:textId="77777777" w:rsidR="000A7396" w:rsidRPr="009F6406" w:rsidRDefault="000A7396" w:rsidP="000A7396">
            <w:pPr>
              <w:spacing w:before="0" w:after="0"/>
              <w:rPr>
                <w:rFonts w:eastAsia="Times New Roman" w:cs="Times New Roman"/>
                <w:i/>
                <w:iCs/>
                <w:color w:val="000000"/>
                <w:sz w:val="22"/>
                <w:lang w:eastAsia="zh-CN"/>
              </w:rPr>
            </w:pPr>
            <w:r w:rsidRPr="009F6406">
              <w:rPr>
                <w:rFonts w:eastAsia="Times New Roman" w:cs="Times New Roman"/>
                <w:i/>
                <w:iCs/>
                <w:color w:val="000000"/>
                <w:sz w:val="22"/>
                <w:lang w:eastAsia="zh-CN"/>
              </w:rPr>
              <w:t>SD</w:t>
            </w:r>
          </w:p>
        </w:tc>
      </w:tr>
      <w:tr w:rsidR="000A7396" w:rsidRPr="009F6406" w14:paraId="361ADEFE" w14:textId="77777777" w:rsidTr="000A7396">
        <w:trPr>
          <w:trHeight w:val="300"/>
        </w:trPr>
        <w:tc>
          <w:tcPr>
            <w:tcW w:w="1360" w:type="dxa"/>
            <w:tcBorders>
              <w:top w:val="nil"/>
              <w:left w:val="single" w:sz="4" w:space="0" w:color="auto"/>
              <w:bottom w:val="single" w:sz="4" w:space="0" w:color="auto"/>
              <w:right w:val="nil"/>
            </w:tcBorders>
            <w:shd w:val="clear" w:color="auto" w:fill="auto"/>
            <w:noWrap/>
            <w:vAlign w:val="bottom"/>
            <w:hideMark/>
          </w:tcPr>
          <w:p w14:paraId="17DFC61E" w14:textId="77777777" w:rsidR="000A7396" w:rsidRPr="009F6406" w:rsidRDefault="000A7396" w:rsidP="000A7396">
            <w:pPr>
              <w:spacing w:before="0" w:after="0"/>
              <w:rPr>
                <w:rFonts w:eastAsia="Times New Roman" w:cs="Times New Roman"/>
                <w:b/>
                <w:bCs/>
                <w:color w:val="000000"/>
                <w:sz w:val="22"/>
                <w:lang w:eastAsia="zh-CN"/>
              </w:rPr>
            </w:pPr>
            <w:r w:rsidRPr="009F6406">
              <w:rPr>
                <w:rFonts w:eastAsia="Times New Roman" w:cs="Times New Roman"/>
                <w:b/>
                <w:bCs/>
                <w:color w:val="000000"/>
                <w:sz w:val="22"/>
                <w:lang w:eastAsia="zh-CN"/>
              </w:rPr>
              <w:t>Outcome</w:t>
            </w:r>
          </w:p>
        </w:tc>
        <w:tc>
          <w:tcPr>
            <w:tcW w:w="1420" w:type="dxa"/>
            <w:tcBorders>
              <w:top w:val="nil"/>
              <w:left w:val="nil"/>
              <w:bottom w:val="single" w:sz="4" w:space="0" w:color="auto"/>
              <w:right w:val="nil"/>
            </w:tcBorders>
            <w:shd w:val="clear" w:color="auto" w:fill="auto"/>
            <w:noWrap/>
            <w:vAlign w:val="bottom"/>
            <w:hideMark/>
          </w:tcPr>
          <w:p w14:paraId="7EC0380C" w14:textId="77777777" w:rsidR="000A7396" w:rsidRPr="009F6406" w:rsidRDefault="000A7396" w:rsidP="000A7396">
            <w:pPr>
              <w:spacing w:before="0" w:after="0"/>
              <w:rPr>
                <w:rFonts w:eastAsia="Times New Roman" w:cs="Times New Roman"/>
                <w:b/>
                <w:bCs/>
                <w:color w:val="000000"/>
                <w:sz w:val="22"/>
                <w:lang w:eastAsia="zh-CN"/>
              </w:rPr>
            </w:pPr>
            <w:r w:rsidRPr="009F6406">
              <w:rPr>
                <w:rFonts w:eastAsia="Times New Roman" w:cs="Times New Roman"/>
                <w:b/>
                <w:bCs/>
                <w:color w:val="000000"/>
                <w:sz w:val="22"/>
                <w:lang w:eastAsia="zh-CN"/>
              </w:rPr>
              <w:t>Group</w:t>
            </w:r>
          </w:p>
        </w:tc>
        <w:tc>
          <w:tcPr>
            <w:tcW w:w="471" w:type="dxa"/>
            <w:tcBorders>
              <w:top w:val="nil"/>
              <w:left w:val="single" w:sz="4" w:space="0" w:color="auto"/>
              <w:bottom w:val="single" w:sz="4" w:space="0" w:color="auto"/>
              <w:right w:val="nil"/>
            </w:tcBorders>
            <w:shd w:val="clear" w:color="auto" w:fill="auto"/>
            <w:noWrap/>
            <w:vAlign w:val="bottom"/>
            <w:hideMark/>
          </w:tcPr>
          <w:p w14:paraId="2F332BAE"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04" w:type="dxa"/>
            <w:tcBorders>
              <w:top w:val="nil"/>
              <w:left w:val="nil"/>
              <w:bottom w:val="single" w:sz="4" w:space="0" w:color="auto"/>
              <w:right w:val="nil"/>
            </w:tcBorders>
            <w:shd w:val="clear" w:color="auto" w:fill="auto"/>
            <w:noWrap/>
            <w:vAlign w:val="bottom"/>
            <w:hideMark/>
          </w:tcPr>
          <w:p w14:paraId="591F8DB2"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51" w:type="dxa"/>
            <w:tcBorders>
              <w:top w:val="nil"/>
              <w:left w:val="nil"/>
              <w:bottom w:val="single" w:sz="4" w:space="0" w:color="auto"/>
              <w:right w:val="nil"/>
            </w:tcBorders>
            <w:shd w:val="clear" w:color="auto" w:fill="auto"/>
            <w:noWrap/>
            <w:vAlign w:val="bottom"/>
            <w:hideMark/>
          </w:tcPr>
          <w:p w14:paraId="2A8BDD8D"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nil"/>
              <w:left w:val="nil"/>
              <w:bottom w:val="single" w:sz="4" w:space="0" w:color="auto"/>
              <w:right w:val="nil"/>
            </w:tcBorders>
            <w:shd w:val="clear" w:color="auto" w:fill="auto"/>
            <w:noWrap/>
            <w:vAlign w:val="bottom"/>
            <w:hideMark/>
          </w:tcPr>
          <w:p w14:paraId="52BF35AD"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nil"/>
              <w:left w:val="nil"/>
              <w:bottom w:val="single" w:sz="4" w:space="0" w:color="auto"/>
              <w:right w:val="single" w:sz="4" w:space="0" w:color="auto"/>
            </w:tcBorders>
            <w:shd w:val="clear" w:color="auto" w:fill="auto"/>
            <w:noWrap/>
            <w:vAlign w:val="bottom"/>
            <w:hideMark/>
          </w:tcPr>
          <w:p w14:paraId="0C7B0452"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471" w:type="dxa"/>
            <w:tcBorders>
              <w:top w:val="nil"/>
              <w:left w:val="nil"/>
              <w:bottom w:val="single" w:sz="4" w:space="0" w:color="auto"/>
              <w:right w:val="nil"/>
            </w:tcBorders>
            <w:shd w:val="clear" w:color="auto" w:fill="auto"/>
            <w:noWrap/>
            <w:vAlign w:val="bottom"/>
            <w:hideMark/>
          </w:tcPr>
          <w:p w14:paraId="6661626D"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04" w:type="dxa"/>
            <w:tcBorders>
              <w:top w:val="nil"/>
              <w:left w:val="nil"/>
              <w:bottom w:val="single" w:sz="4" w:space="0" w:color="auto"/>
              <w:right w:val="nil"/>
            </w:tcBorders>
            <w:shd w:val="clear" w:color="auto" w:fill="auto"/>
            <w:noWrap/>
            <w:vAlign w:val="bottom"/>
            <w:hideMark/>
          </w:tcPr>
          <w:p w14:paraId="4109E8FB"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51" w:type="dxa"/>
            <w:tcBorders>
              <w:top w:val="nil"/>
              <w:left w:val="nil"/>
              <w:bottom w:val="single" w:sz="4" w:space="0" w:color="auto"/>
              <w:right w:val="nil"/>
            </w:tcBorders>
            <w:shd w:val="clear" w:color="auto" w:fill="auto"/>
            <w:noWrap/>
            <w:vAlign w:val="bottom"/>
            <w:hideMark/>
          </w:tcPr>
          <w:p w14:paraId="343BC8EA"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nil"/>
              <w:left w:val="nil"/>
              <w:bottom w:val="single" w:sz="4" w:space="0" w:color="auto"/>
              <w:right w:val="nil"/>
            </w:tcBorders>
            <w:shd w:val="clear" w:color="auto" w:fill="auto"/>
            <w:noWrap/>
            <w:vAlign w:val="bottom"/>
            <w:hideMark/>
          </w:tcPr>
          <w:p w14:paraId="749789C7"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nil"/>
              <w:left w:val="nil"/>
              <w:bottom w:val="single" w:sz="4" w:space="0" w:color="auto"/>
              <w:right w:val="single" w:sz="4" w:space="0" w:color="auto"/>
            </w:tcBorders>
            <w:shd w:val="clear" w:color="auto" w:fill="auto"/>
            <w:noWrap/>
            <w:vAlign w:val="bottom"/>
            <w:hideMark/>
          </w:tcPr>
          <w:p w14:paraId="748D9026"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471" w:type="dxa"/>
            <w:tcBorders>
              <w:top w:val="nil"/>
              <w:left w:val="nil"/>
              <w:bottom w:val="single" w:sz="4" w:space="0" w:color="auto"/>
              <w:right w:val="nil"/>
            </w:tcBorders>
            <w:shd w:val="clear" w:color="auto" w:fill="auto"/>
            <w:noWrap/>
            <w:vAlign w:val="bottom"/>
            <w:hideMark/>
          </w:tcPr>
          <w:p w14:paraId="75E0018E"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04" w:type="dxa"/>
            <w:tcBorders>
              <w:top w:val="nil"/>
              <w:left w:val="nil"/>
              <w:bottom w:val="single" w:sz="4" w:space="0" w:color="auto"/>
              <w:right w:val="nil"/>
            </w:tcBorders>
            <w:shd w:val="clear" w:color="auto" w:fill="auto"/>
            <w:noWrap/>
            <w:vAlign w:val="bottom"/>
            <w:hideMark/>
          </w:tcPr>
          <w:p w14:paraId="2DA89940"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51" w:type="dxa"/>
            <w:tcBorders>
              <w:top w:val="nil"/>
              <w:left w:val="nil"/>
              <w:bottom w:val="single" w:sz="4" w:space="0" w:color="auto"/>
              <w:right w:val="nil"/>
            </w:tcBorders>
            <w:shd w:val="clear" w:color="auto" w:fill="auto"/>
            <w:noWrap/>
            <w:vAlign w:val="bottom"/>
            <w:hideMark/>
          </w:tcPr>
          <w:p w14:paraId="380BFF0C"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nil"/>
              <w:left w:val="nil"/>
              <w:bottom w:val="single" w:sz="4" w:space="0" w:color="auto"/>
              <w:right w:val="nil"/>
            </w:tcBorders>
            <w:shd w:val="clear" w:color="auto" w:fill="auto"/>
            <w:noWrap/>
            <w:vAlign w:val="bottom"/>
            <w:hideMark/>
          </w:tcPr>
          <w:p w14:paraId="3F443E2F"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nil"/>
              <w:left w:val="nil"/>
              <w:bottom w:val="single" w:sz="4" w:space="0" w:color="auto"/>
              <w:right w:val="single" w:sz="4" w:space="0" w:color="auto"/>
            </w:tcBorders>
            <w:shd w:val="clear" w:color="auto" w:fill="auto"/>
            <w:noWrap/>
            <w:vAlign w:val="bottom"/>
            <w:hideMark/>
          </w:tcPr>
          <w:p w14:paraId="38126E36"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r>
      <w:tr w:rsidR="000A7396" w:rsidRPr="009F6406" w14:paraId="1F1FE9EF" w14:textId="77777777" w:rsidTr="000A7396">
        <w:trPr>
          <w:trHeight w:val="660"/>
        </w:trPr>
        <w:tc>
          <w:tcPr>
            <w:tcW w:w="1360" w:type="dxa"/>
            <w:vMerge w:val="restart"/>
            <w:tcBorders>
              <w:top w:val="nil"/>
              <w:left w:val="single" w:sz="4" w:space="0" w:color="auto"/>
              <w:bottom w:val="nil"/>
              <w:right w:val="single" w:sz="4" w:space="0" w:color="auto"/>
            </w:tcBorders>
            <w:shd w:val="clear" w:color="auto" w:fill="auto"/>
            <w:vAlign w:val="center"/>
            <w:hideMark/>
          </w:tcPr>
          <w:p w14:paraId="3FE973CA" w14:textId="77777777" w:rsidR="000A7396" w:rsidRPr="009F6406" w:rsidRDefault="000A7396" w:rsidP="000A7396">
            <w:pPr>
              <w:spacing w:before="0" w:after="0"/>
              <w:rPr>
                <w:rFonts w:eastAsia="Times New Roman" w:cs="Times New Roman"/>
                <w:b/>
                <w:bCs/>
                <w:i/>
                <w:iCs/>
                <w:color w:val="000000"/>
                <w:sz w:val="22"/>
                <w:lang w:eastAsia="zh-CN"/>
              </w:rPr>
            </w:pPr>
            <w:r w:rsidRPr="009F6406">
              <w:rPr>
                <w:rFonts w:eastAsia="Times New Roman" w:cs="Times New Roman"/>
                <w:b/>
                <w:bCs/>
                <w:i/>
                <w:iCs/>
                <w:color w:val="000000"/>
                <w:sz w:val="22"/>
                <w:lang w:eastAsia="zh-CN"/>
              </w:rPr>
              <w:t>Mathematics attainment</w:t>
            </w:r>
          </w:p>
        </w:tc>
        <w:tc>
          <w:tcPr>
            <w:tcW w:w="1420" w:type="dxa"/>
            <w:tcBorders>
              <w:top w:val="nil"/>
              <w:left w:val="nil"/>
              <w:bottom w:val="nil"/>
              <w:right w:val="nil"/>
            </w:tcBorders>
            <w:shd w:val="clear" w:color="auto" w:fill="auto"/>
            <w:noWrap/>
            <w:vAlign w:val="bottom"/>
            <w:hideMark/>
          </w:tcPr>
          <w:p w14:paraId="7A0BEB17"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Experimental</w:t>
            </w:r>
          </w:p>
        </w:tc>
        <w:tc>
          <w:tcPr>
            <w:tcW w:w="471" w:type="dxa"/>
            <w:tcBorders>
              <w:top w:val="nil"/>
              <w:left w:val="single" w:sz="4" w:space="0" w:color="auto"/>
              <w:bottom w:val="nil"/>
              <w:right w:val="nil"/>
            </w:tcBorders>
            <w:shd w:val="clear" w:color="auto" w:fill="auto"/>
            <w:noWrap/>
            <w:vAlign w:val="bottom"/>
            <w:hideMark/>
          </w:tcPr>
          <w:p w14:paraId="3646C1F9"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249</w:t>
            </w:r>
          </w:p>
        </w:tc>
        <w:tc>
          <w:tcPr>
            <w:tcW w:w="504" w:type="dxa"/>
            <w:tcBorders>
              <w:top w:val="nil"/>
              <w:left w:val="nil"/>
              <w:bottom w:val="nil"/>
              <w:right w:val="nil"/>
            </w:tcBorders>
            <w:shd w:val="clear" w:color="auto" w:fill="auto"/>
            <w:noWrap/>
            <w:vAlign w:val="bottom"/>
            <w:hideMark/>
          </w:tcPr>
          <w:p w14:paraId="538C4798"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69</w:t>
            </w:r>
          </w:p>
        </w:tc>
        <w:tc>
          <w:tcPr>
            <w:tcW w:w="551" w:type="dxa"/>
            <w:tcBorders>
              <w:top w:val="nil"/>
              <w:left w:val="nil"/>
              <w:bottom w:val="nil"/>
              <w:right w:val="nil"/>
            </w:tcBorders>
            <w:shd w:val="clear" w:color="auto" w:fill="auto"/>
            <w:noWrap/>
            <w:vAlign w:val="bottom"/>
            <w:hideMark/>
          </w:tcPr>
          <w:p w14:paraId="47A37FC4"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129</w:t>
            </w:r>
          </w:p>
        </w:tc>
        <w:tc>
          <w:tcPr>
            <w:tcW w:w="687" w:type="dxa"/>
            <w:tcBorders>
              <w:top w:val="nil"/>
              <w:left w:val="nil"/>
              <w:bottom w:val="nil"/>
              <w:right w:val="nil"/>
            </w:tcBorders>
            <w:shd w:val="clear" w:color="auto" w:fill="auto"/>
            <w:noWrap/>
            <w:vAlign w:val="bottom"/>
            <w:hideMark/>
          </w:tcPr>
          <w:p w14:paraId="66694B1B"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89.66</w:t>
            </w:r>
          </w:p>
        </w:tc>
        <w:tc>
          <w:tcPr>
            <w:tcW w:w="687" w:type="dxa"/>
            <w:tcBorders>
              <w:top w:val="nil"/>
              <w:left w:val="nil"/>
              <w:bottom w:val="nil"/>
              <w:right w:val="single" w:sz="4" w:space="0" w:color="auto"/>
            </w:tcBorders>
            <w:shd w:val="clear" w:color="auto" w:fill="auto"/>
            <w:noWrap/>
            <w:vAlign w:val="bottom"/>
            <w:hideMark/>
          </w:tcPr>
          <w:p w14:paraId="707340E5"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13.12</w:t>
            </w:r>
          </w:p>
        </w:tc>
        <w:tc>
          <w:tcPr>
            <w:tcW w:w="471" w:type="dxa"/>
            <w:tcBorders>
              <w:top w:val="nil"/>
              <w:left w:val="nil"/>
              <w:bottom w:val="nil"/>
              <w:right w:val="nil"/>
            </w:tcBorders>
            <w:shd w:val="clear" w:color="auto" w:fill="auto"/>
            <w:noWrap/>
            <w:vAlign w:val="bottom"/>
            <w:hideMark/>
          </w:tcPr>
          <w:p w14:paraId="108D7539"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243</w:t>
            </w:r>
          </w:p>
        </w:tc>
        <w:tc>
          <w:tcPr>
            <w:tcW w:w="504" w:type="dxa"/>
            <w:tcBorders>
              <w:top w:val="nil"/>
              <w:left w:val="nil"/>
              <w:bottom w:val="nil"/>
              <w:right w:val="nil"/>
            </w:tcBorders>
            <w:shd w:val="clear" w:color="auto" w:fill="auto"/>
            <w:noWrap/>
            <w:vAlign w:val="bottom"/>
            <w:hideMark/>
          </w:tcPr>
          <w:p w14:paraId="1DD6D211"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69</w:t>
            </w:r>
          </w:p>
        </w:tc>
        <w:tc>
          <w:tcPr>
            <w:tcW w:w="551" w:type="dxa"/>
            <w:tcBorders>
              <w:top w:val="nil"/>
              <w:left w:val="nil"/>
              <w:bottom w:val="nil"/>
              <w:right w:val="nil"/>
            </w:tcBorders>
            <w:shd w:val="clear" w:color="auto" w:fill="auto"/>
            <w:noWrap/>
            <w:vAlign w:val="bottom"/>
            <w:hideMark/>
          </w:tcPr>
          <w:p w14:paraId="55459F28"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135</w:t>
            </w:r>
          </w:p>
        </w:tc>
        <w:tc>
          <w:tcPr>
            <w:tcW w:w="687" w:type="dxa"/>
            <w:tcBorders>
              <w:top w:val="nil"/>
              <w:left w:val="nil"/>
              <w:bottom w:val="nil"/>
              <w:right w:val="nil"/>
            </w:tcBorders>
            <w:shd w:val="clear" w:color="auto" w:fill="auto"/>
            <w:noWrap/>
            <w:vAlign w:val="bottom"/>
            <w:hideMark/>
          </w:tcPr>
          <w:p w14:paraId="6AF79839"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96.13</w:t>
            </w:r>
          </w:p>
        </w:tc>
        <w:tc>
          <w:tcPr>
            <w:tcW w:w="687" w:type="dxa"/>
            <w:tcBorders>
              <w:top w:val="nil"/>
              <w:left w:val="nil"/>
              <w:bottom w:val="nil"/>
              <w:right w:val="single" w:sz="4" w:space="0" w:color="auto"/>
            </w:tcBorders>
            <w:shd w:val="clear" w:color="auto" w:fill="auto"/>
            <w:noWrap/>
            <w:vAlign w:val="bottom"/>
            <w:hideMark/>
          </w:tcPr>
          <w:p w14:paraId="3797A29E"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12.70</w:t>
            </w:r>
          </w:p>
        </w:tc>
        <w:tc>
          <w:tcPr>
            <w:tcW w:w="471" w:type="dxa"/>
            <w:tcBorders>
              <w:top w:val="nil"/>
              <w:left w:val="nil"/>
              <w:bottom w:val="nil"/>
              <w:right w:val="nil"/>
            </w:tcBorders>
            <w:shd w:val="clear" w:color="auto" w:fill="auto"/>
            <w:noWrap/>
            <w:vAlign w:val="bottom"/>
            <w:hideMark/>
          </w:tcPr>
          <w:p w14:paraId="4F464E0E"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248</w:t>
            </w:r>
          </w:p>
        </w:tc>
        <w:tc>
          <w:tcPr>
            <w:tcW w:w="504" w:type="dxa"/>
            <w:tcBorders>
              <w:top w:val="nil"/>
              <w:left w:val="nil"/>
              <w:bottom w:val="nil"/>
              <w:right w:val="nil"/>
            </w:tcBorders>
            <w:shd w:val="clear" w:color="auto" w:fill="auto"/>
            <w:noWrap/>
            <w:vAlign w:val="bottom"/>
            <w:hideMark/>
          </w:tcPr>
          <w:p w14:paraId="572D53F0"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69</w:t>
            </w:r>
          </w:p>
        </w:tc>
        <w:tc>
          <w:tcPr>
            <w:tcW w:w="551" w:type="dxa"/>
            <w:tcBorders>
              <w:top w:val="nil"/>
              <w:left w:val="nil"/>
              <w:bottom w:val="nil"/>
              <w:right w:val="nil"/>
            </w:tcBorders>
            <w:shd w:val="clear" w:color="auto" w:fill="auto"/>
            <w:noWrap/>
            <w:vAlign w:val="bottom"/>
            <w:hideMark/>
          </w:tcPr>
          <w:p w14:paraId="00FA0AC3"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135</w:t>
            </w:r>
          </w:p>
        </w:tc>
        <w:tc>
          <w:tcPr>
            <w:tcW w:w="687" w:type="dxa"/>
            <w:tcBorders>
              <w:top w:val="nil"/>
              <w:left w:val="nil"/>
              <w:bottom w:val="nil"/>
              <w:right w:val="nil"/>
            </w:tcBorders>
            <w:shd w:val="clear" w:color="auto" w:fill="auto"/>
            <w:noWrap/>
            <w:vAlign w:val="bottom"/>
            <w:hideMark/>
          </w:tcPr>
          <w:p w14:paraId="137B95E3"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97.36</w:t>
            </w:r>
          </w:p>
        </w:tc>
        <w:tc>
          <w:tcPr>
            <w:tcW w:w="687" w:type="dxa"/>
            <w:tcBorders>
              <w:top w:val="nil"/>
              <w:left w:val="nil"/>
              <w:bottom w:val="nil"/>
              <w:right w:val="single" w:sz="4" w:space="0" w:color="auto"/>
            </w:tcBorders>
            <w:shd w:val="clear" w:color="auto" w:fill="auto"/>
            <w:noWrap/>
            <w:vAlign w:val="bottom"/>
            <w:hideMark/>
          </w:tcPr>
          <w:p w14:paraId="0731DE0A"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13.28</w:t>
            </w:r>
          </w:p>
        </w:tc>
      </w:tr>
      <w:tr w:rsidR="000A7396" w:rsidRPr="009F6406" w14:paraId="5AAB0F52" w14:textId="77777777" w:rsidTr="000A7396">
        <w:trPr>
          <w:trHeight w:val="735"/>
        </w:trPr>
        <w:tc>
          <w:tcPr>
            <w:tcW w:w="1360" w:type="dxa"/>
            <w:vMerge/>
            <w:tcBorders>
              <w:top w:val="nil"/>
              <w:left w:val="single" w:sz="4" w:space="0" w:color="auto"/>
              <w:bottom w:val="nil"/>
              <w:right w:val="single" w:sz="4" w:space="0" w:color="auto"/>
            </w:tcBorders>
            <w:vAlign w:val="center"/>
            <w:hideMark/>
          </w:tcPr>
          <w:p w14:paraId="265E2BD0" w14:textId="77777777" w:rsidR="000A7396" w:rsidRPr="009F6406" w:rsidRDefault="000A7396" w:rsidP="000A7396">
            <w:pPr>
              <w:spacing w:before="0" w:after="0"/>
              <w:rPr>
                <w:rFonts w:eastAsia="Times New Roman" w:cs="Times New Roman"/>
                <w:b/>
                <w:bCs/>
                <w:i/>
                <w:iCs/>
                <w:color w:val="000000"/>
                <w:sz w:val="22"/>
                <w:lang w:eastAsia="zh-CN"/>
              </w:rPr>
            </w:pPr>
          </w:p>
        </w:tc>
        <w:tc>
          <w:tcPr>
            <w:tcW w:w="1420" w:type="dxa"/>
            <w:tcBorders>
              <w:top w:val="nil"/>
              <w:left w:val="nil"/>
              <w:bottom w:val="nil"/>
              <w:right w:val="nil"/>
            </w:tcBorders>
            <w:shd w:val="clear" w:color="auto" w:fill="auto"/>
            <w:vAlign w:val="bottom"/>
            <w:hideMark/>
          </w:tcPr>
          <w:p w14:paraId="05C38C51"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Delayed treatment</w:t>
            </w:r>
          </w:p>
        </w:tc>
        <w:tc>
          <w:tcPr>
            <w:tcW w:w="471" w:type="dxa"/>
            <w:tcBorders>
              <w:top w:val="nil"/>
              <w:left w:val="single" w:sz="4" w:space="0" w:color="auto"/>
              <w:bottom w:val="nil"/>
              <w:right w:val="nil"/>
            </w:tcBorders>
            <w:shd w:val="clear" w:color="auto" w:fill="auto"/>
            <w:noWrap/>
            <w:vAlign w:val="bottom"/>
            <w:hideMark/>
          </w:tcPr>
          <w:p w14:paraId="39EAAEAB"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281</w:t>
            </w:r>
          </w:p>
        </w:tc>
        <w:tc>
          <w:tcPr>
            <w:tcW w:w="504" w:type="dxa"/>
            <w:tcBorders>
              <w:top w:val="nil"/>
              <w:left w:val="nil"/>
              <w:bottom w:val="nil"/>
              <w:right w:val="nil"/>
            </w:tcBorders>
            <w:shd w:val="clear" w:color="auto" w:fill="auto"/>
            <w:noWrap/>
            <w:vAlign w:val="bottom"/>
            <w:hideMark/>
          </w:tcPr>
          <w:p w14:paraId="7B3BB0E5"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69</w:t>
            </w:r>
          </w:p>
        </w:tc>
        <w:tc>
          <w:tcPr>
            <w:tcW w:w="551" w:type="dxa"/>
            <w:tcBorders>
              <w:top w:val="nil"/>
              <w:left w:val="nil"/>
              <w:bottom w:val="nil"/>
              <w:right w:val="nil"/>
            </w:tcBorders>
            <w:shd w:val="clear" w:color="auto" w:fill="auto"/>
            <w:noWrap/>
            <w:vAlign w:val="bottom"/>
            <w:hideMark/>
          </w:tcPr>
          <w:p w14:paraId="3BFE3076"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123</w:t>
            </w:r>
          </w:p>
        </w:tc>
        <w:tc>
          <w:tcPr>
            <w:tcW w:w="687" w:type="dxa"/>
            <w:tcBorders>
              <w:top w:val="nil"/>
              <w:left w:val="nil"/>
              <w:bottom w:val="nil"/>
              <w:right w:val="nil"/>
            </w:tcBorders>
            <w:shd w:val="clear" w:color="auto" w:fill="auto"/>
            <w:noWrap/>
            <w:vAlign w:val="bottom"/>
            <w:hideMark/>
          </w:tcPr>
          <w:p w14:paraId="2195EEAB"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88.70</w:t>
            </w:r>
          </w:p>
        </w:tc>
        <w:tc>
          <w:tcPr>
            <w:tcW w:w="687" w:type="dxa"/>
            <w:tcBorders>
              <w:top w:val="nil"/>
              <w:left w:val="nil"/>
              <w:bottom w:val="nil"/>
              <w:right w:val="single" w:sz="4" w:space="0" w:color="auto"/>
            </w:tcBorders>
            <w:shd w:val="clear" w:color="auto" w:fill="auto"/>
            <w:noWrap/>
            <w:vAlign w:val="bottom"/>
            <w:hideMark/>
          </w:tcPr>
          <w:p w14:paraId="0FF1DAC2"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12.58</w:t>
            </w:r>
          </w:p>
        </w:tc>
        <w:tc>
          <w:tcPr>
            <w:tcW w:w="471" w:type="dxa"/>
            <w:tcBorders>
              <w:top w:val="nil"/>
              <w:left w:val="nil"/>
              <w:bottom w:val="nil"/>
              <w:right w:val="nil"/>
            </w:tcBorders>
            <w:shd w:val="clear" w:color="auto" w:fill="auto"/>
            <w:noWrap/>
            <w:vAlign w:val="bottom"/>
            <w:hideMark/>
          </w:tcPr>
          <w:p w14:paraId="4C6206A3"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280</w:t>
            </w:r>
          </w:p>
        </w:tc>
        <w:tc>
          <w:tcPr>
            <w:tcW w:w="504" w:type="dxa"/>
            <w:tcBorders>
              <w:top w:val="nil"/>
              <w:left w:val="nil"/>
              <w:bottom w:val="nil"/>
              <w:right w:val="nil"/>
            </w:tcBorders>
            <w:shd w:val="clear" w:color="auto" w:fill="auto"/>
            <w:noWrap/>
            <w:vAlign w:val="bottom"/>
            <w:hideMark/>
          </w:tcPr>
          <w:p w14:paraId="67A583F6"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69</w:t>
            </w:r>
          </w:p>
        </w:tc>
        <w:tc>
          <w:tcPr>
            <w:tcW w:w="551" w:type="dxa"/>
            <w:tcBorders>
              <w:top w:val="nil"/>
              <w:left w:val="nil"/>
              <w:bottom w:val="nil"/>
              <w:right w:val="nil"/>
            </w:tcBorders>
            <w:shd w:val="clear" w:color="auto" w:fill="auto"/>
            <w:noWrap/>
            <w:vAlign w:val="bottom"/>
            <w:hideMark/>
          </w:tcPr>
          <w:p w14:paraId="53C47205"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124</w:t>
            </w:r>
          </w:p>
        </w:tc>
        <w:tc>
          <w:tcPr>
            <w:tcW w:w="687" w:type="dxa"/>
            <w:tcBorders>
              <w:top w:val="nil"/>
              <w:left w:val="nil"/>
              <w:bottom w:val="nil"/>
              <w:right w:val="nil"/>
            </w:tcBorders>
            <w:shd w:val="clear" w:color="auto" w:fill="auto"/>
            <w:noWrap/>
            <w:vAlign w:val="bottom"/>
            <w:hideMark/>
          </w:tcPr>
          <w:p w14:paraId="32571B1C"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94.20</w:t>
            </w:r>
          </w:p>
        </w:tc>
        <w:tc>
          <w:tcPr>
            <w:tcW w:w="687" w:type="dxa"/>
            <w:tcBorders>
              <w:top w:val="nil"/>
              <w:left w:val="nil"/>
              <w:bottom w:val="nil"/>
              <w:right w:val="single" w:sz="4" w:space="0" w:color="auto"/>
            </w:tcBorders>
            <w:shd w:val="clear" w:color="auto" w:fill="auto"/>
            <w:noWrap/>
            <w:vAlign w:val="bottom"/>
            <w:hideMark/>
          </w:tcPr>
          <w:p w14:paraId="52B7CD39"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12.20</w:t>
            </w:r>
          </w:p>
        </w:tc>
        <w:tc>
          <w:tcPr>
            <w:tcW w:w="471" w:type="dxa"/>
            <w:tcBorders>
              <w:top w:val="nil"/>
              <w:left w:val="nil"/>
              <w:bottom w:val="nil"/>
              <w:right w:val="nil"/>
            </w:tcBorders>
            <w:shd w:val="clear" w:color="auto" w:fill="auto"/>
            <w:noWrap/>
            <w:vAlign w:val="bottom"/>
            <w:hideMark/>
          </w:tcPr>
          <w:p w14:paraId="7048EB8E"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275</w:t>
            </w:r>
          </w:p>
        </w:tc>
        <w:tc>
          <w:tcPr>
            <w:tcW w:w="504" w:type="dxa"/>
            <w:tcBorders>
              <w:top w:val="nil"/>
              <w:left w:val="nil"/>
              <w:bottom w:val="nil"/>
              <w:right w:val="nil"/>
            </w:tcBorders>
            <w:shd w:val="clear" w:color="auto" w:fill="auto"/>
            <w:noWrap/>
            <w:vAlign w:val="bottom"/>
            <w:hideMark/>
          </w:tcPr>
          <w:p w14:paraId="38819D59"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69</w:t>
            </w:r>
          </w:p>
        </w:tc>
        <w:tc>
          <w:tcPr>
            <w:tcW w:w="551" w:type="dxa"/>
            <w:tcBorders>
              <w:top w:val="nil"/>
              <w:left w:val="nil"/>
              <w:bottom w:val="nil"/>
              <w:right w:val="nil"/>
            </w:tcBorders>
            <w:shd w:val="clear" w:color="auto" w:fill="auto"/>
            <w:noWrap/>
            <w:vAlign w:val="bottom"/>
            <w:hideMark/>
          </w:tcPr>
          <w:p w14:paraId="5F7E356C"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135</w:t>
            </w:r>
          </w:p>
        </w:tc>
        <w:tc>
          <w:tcPr>
            <w:tcW w:w="687" w:type="dxa"/>
            <w:tcBorders>
              <w:top w:val="nil"/>
              <w:left w:val="nil"/>
              <w:bottom w:val="nil"/>
              <w:right w:val="nil"/>
            </w:tcBorders>
            <w:shd w:val="clear" w:color="auto" w:fill="auto"/>
            <w:noWrap/>
            <w:vAlign w:val="bottom"/>
            <w:hideMark/>
          </w:tcPr>
          <w:p w14:paraId="07D46520"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96.32</w:t>
            </w:r>
          </w:p>
        </w:tc>
        <w:tc>
          <w:tcPr>
            <w:tcW w:w="687" w:type="dxa"/>
            <w:tcBorders>
              <w:top w:val="nil"/>
              <w:left w:val="nil"/>
              <w:bottom w:val="nil"/>
              <w:right w:val="single" w:sz="4" w:space="0" w:color="auto"/>
            </w:tcBorders>
            <w:shd w:val="clear" w:color="auto" w:fill="auto"/>
            <w:noWrap/>
            <w:vAlign w:val="bottom"/>
            <w:hideMark/>
          </w:tcPr>
          <w:p w14:paraId="7A383DE2"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12.63</w:t>
            </w:r>
          </w:p>
        </w:tc>
      </w:tr>
      <w:tr w:rsidR="000A7396" w:rsidRPr="009F6406" w14:paraId="6660D4F4" w14:textId="77777777" w:rsidTr="000A7396">
        <w:trPr>
          <w:trHeight w:val="660"/>
        </w:trPr>
        <w:tc>
          <w:tcPr>
            <w:tcW w:w="1360" w:type="dxa"/>
            <w:vMerge/>
            <w:tcBorders>
              <w:top w:val="nil"/>
              <w:left w:val="single" w:sz="4" w:space="0" w:color="auto"/>
              <w:bottom w:val="nil"/>
              <w:right w:val="single" w:sz="4" w:space="0" w:color="auto"/>
            </w:tcBorders>
            <w:vAlign w:val="center"/>
            <w:hideMark/>
          </w:tcPr>
          <w:p w14:paraId="6F779F2B" w14:textId="77777777" w:rsidR="000A7396" w:rsidRPr="009F6406" w:rsidRDefault="000A7396" w:rsidP="000A7396">
            <w:pPr>
              <w:spacing w:before="0" w:after="0"/>
              <w:rPr>
                <w:rFonts w:eastAsia="Times New Roman" w:cs="Times New Roman"/>
                <w:b/>
                <w:bCs/>
                <w:i/>
                <w:iCs/>
                <w:color w:val="000000"/>
                <w:sz w:val="22"/>
                <w:lang w:eastAsia="zh-CN"/>
              </w:rPr>
            </w:pPr>
          </w:p>
        </w:tc>
        <w:tc>
          <w:tcPr>
            <w:tcW w:w="1420" w:type="dxa"/>
            <w:tcBorders>
              <w:top w:val="nil"/>
              <w:left w:val="nil"/>
              <w:bottom w:val="nil"/>
              <w:right w:val="nil"/>
            </w:tcBorders>
            <w:shd w:val="clear" w:color="auto" w:fill="auto"/>
            <w:noWrap/>
            <w:vAlign w:val="bottom"/>
            <w:hideMark/>
          </w:tcPr>
          <w:p w14:paraId="5B22216A"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Overall</w:t>
            </w:r>
          </w:p>
        </w:tc>
        <w:tc>
          <w:tcPr>
            <w:tcW w:w="471" w:type="dxa"/>
            <w:tcBorders>
              <w:top w:val="nil"/>
              <w:left w:val="single" w:sz="4" w:space="0" w:color="auto"/>
              <w:bottom w:val="nil"/>
              <w:right w:val="nil"/>
            </w:tcBorders>
            <w:shd w:val="clear" w:color="auto" w:fill="auto"/>
            <w:noWrap/>
            <w:vAlign w:val="bottom"/>
            <w:hideMark/>
          </w:tcPr>
          <w:p w14:paraId="4768D5D2"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530</w:t>
            </w:r>
          </w:p>
        </w:tc>
        <w:tc>
          <w:tcPr>
            <w:tcW w:w="504" w:type="dxa"/>
            <w:tcBorders>
              <w:top w:val="nil"/>
              <w:left w:val="nil"/>
              <w:bottom w:val="nil"/>
              <w:right w:val="nil"/>
            </w:tcBorders>
            <w:shd w:val="clear" w:color="auto" w:fill="auto"/>
            <w:noWrap/>
            <w:vAlign w:val="bottom"/>
            <w:hideMark/>
          </w:tcPr>
          <w:p w14:paraId="1BDFABDD"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69</w:t>
            </w:r>
          </w:p>
        </w:tc>
        <w:tc>
          <w:tcPr>
            <w:tcW w:w="551" w:type="dxa"/>
            <w:tcBorders>
              <w:top w:val="nil"/>
              <w:left w:val="nil"/>
              <w:bottom w:val="nil"/>
              <w:right w:val="nil"/>
            </w:tcBorders>
            <w:shd w:val="clear" w:color="auto" w:fill="auto"/>
            <w:noWrap/>
            <w:vAlign w:val="bottom"/>
            <w:hideMark/>
          </w:tcPr>
          <w:p w14:paraId="6ED0F734"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129</w:t>
            </w:r>
          </w:p>
        </w:tc>
        <w:tc>
          <w:tcPr>
            <w:tcW w:w="687" w:type="dxa"/>
            <w:tcBorders>
              <w:top w:val="nil"/>
              <w:left w:val="nil"/>
              <w:bottom w:val="nil"/>
              <w:right w:val="nil"/>
            </w:tcBorders>
            <w:shd w:val="clear" w:color="auto" w:fill="auto"/>
            <w:noWrap/>
            <w:vAlign w:val="bottom"/>
            <w:hideMark/>
          </w:tcPr>
          <w:p w14:paraId="61A86F63"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89.15</w:t>
            </w:r>
          </w:p>
        </w:tc>
        <w:tc>
          <w:tcPr>
            <w:tcW w:w="687" w:type="dxa"/>
            <w:tcBorders>
              <w:top w:val="nil"/>
              <w:left w:val="nil"/>
              <w:bottom w:val="nil"/>
              <w:right w:val="single" w:sz="4" w:space="0" w:color="auto"/>
            </w:tcBorders>
            <w:shd w:val="clear" w:color="auto" w:fill="auto"/>
            <w:noWrap/>
            <w:vAlign w:val="bottom"/>
            <w:hideMark/>
          </w:tcPr>
          <w:p w14:paraId="15C61F94"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12.83</w:t>
            </w:r>
          </w:p>
        </w:tc>
        <w:tc>
          <w:tcPr>
            <w:tcW w:w="471" w:type="dxa"/>
            <w:tcBorders>
              <w:top w:val="nil"/>
              <w:left w:val="nil"/>
              <w:bottom w:val="nil"/>
              <w:right w:val="nil"/>
            </w:tcBorders>
            <w:shd w:val="clear" w:color="auto" w:fill="auto"/>
            <w:noWrap/>
            <w:vAlign w:val="bottom"/>
            <w:hideMark/>
          </w:tcPr>
          <w:p w14:paraId="6CB638D8"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523</w:t>
            </w:r>
          </w:p>
        </w:tc>
        <w:tc>
          <w:tcPr>
            <w:tcW w:w="504" w:type="dxa"/>
            <w:tcBorders>
              <w:top w:val="nil"/>
              <w:left w:val="nil"/>
              <w:bottom w:val="nil"/>
              <w:right w:val="nil"/>
            </w:tcBorders>
            <w:shd w:val="clear" w:color="auto" w:fill="auto"/>
            <w:noWrap/>
            <w:vAlign w:val="bottom"/>
            <w:hideMark/>
          </w:tcPr>
          <w:p w14:paraId="25AFACA2"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69</w:t>
            </w:r>
          </w:p>
        </w:tc>
        <w:tc>
          <w:tcPr>
            <w:tcW w:w="551" w:type="dxa"/>
            <w:tcBorders>
              <w:top w:val="nil"/>
              <w:left w:val="nil"/>
              <w:bottom w:val="nil"/>
              <w:right w:val="nil"/>
            </w:tcBorders>
            <w:shd w:val="clear" w:color="auto" w:fill="auto"/>
            <w:noWrap/>
            <w:vAlign w:val="bottom"/>
            <w:hideMark/>
          </w:tcPr>
          <w:p w14:paraId="5F7E878F"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135</w:t>
            </w:r>
          </w:p>
        </w:tc>
        <w:tc>
          <w:tcPr>
            <w:tcW w:w="687" w:type="dxa"/>
            <w:tcBorders>
              <w:top w:val="nil"/>
              <w:left w:val="nil"/>
              <w:bottom w:val="nil"/>
              <w:right w:val="nil"/>
            </w:tcBorders>
            <w:shd w:val="clear" w:color="auto" w:fill="auto"/>
            <w:noWrap/>
            <w:vAlign w:val="bottom"/>
            <w:hideMark/>
          </w:tcPr>
          <w:p w14:paraId="14236872"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95.08</w:t>
            </w:r>
          </w:p>
        </w:tc>
        <w:tc>
          <w:tcPr>
            <w:tcW w:w="687" w:type="dxa"/>
            <w:tcBorders>
              <w:top w:val="nil"/>
              <w:left w:val="nil"/>
              <w:bottom w:val="nil"/>
              <w:right w:val="single" w:sz="4" w:space="0" w:color="auto"/>
            </w:tcBorders>
            <w:shd w:val="clear" w:color="auto" w:fill="auto"/>
            <w:noWrap/>
            <w:vAlign w:val="bottom"/>
            <w:hideMark/>
          </w:tcPr>
          <w:p w14:paraId="2D6A9BAE"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12.46</w:t>
            </w:r>
          </w:p>
        </w:tc>
        <w:tc>
          <w:tcPr>
            <w:tcW w:w="471" w:type="dxa"/>
            <w:tcBorders>
              <w:top w:val="nil"/>
              <w:left w:val="nil"/>
              <w:bottom w:val="nil"/>
              <w:right w:val="nil"/>
            </w:tcBorders>
            <w:shd w:val="clear" w:color="auto" w:fill="auto"/>
            <w:noWrap/>
            <w:vAlign w:val="bottom"/>
            <w:hideMark/>
          </w:tcPr>
          <w:p w14:paraId="6DE339E0"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523</w:t>
            </w:r>
          </w:p>
        </w:tc>
        <w:tc>
          <w:tcPr>
            <w:tcW w:w="504" w:type="dxa"/>
            <w:tcBorders>
              <w:top w:val="nil"/>
              <w:left w:val="nil"/>
              <w:bottom w:val="nil"/>
              <w:right w:val="nil"/>
            </w:tcBorders>
            <w:shd w:val="clear" w:color="auto" w:fill="auto"/>
            <w:noWrap/>
            <w:vAlign w:val="bottom"/>
            <w:hideMark/>
          </w:tcPr>
          <w:p w14:paraId="41303425"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69</w:t>
            </w:r>
          </w:p>
        </w:tc>
        <w:tc>
          <w:tcPr>
            <w:tcW w:w="551" w:type="dxa"/>
            <w:tcBorders>
              <w:top w:val="nil"/>
              <w:left w:val="nil"/>
              <w:bottom w:val="nil"/>
              <w:right w:val="nil"/>
            </w:tcBorders>
            <w:shd w:val="clear" w:color="auto" w:fill="auto"/>
            <w:noWrap/>
            <w:vAlign w:val="bottom"/>
            <w:hideMark/>
          </w:tcPr>
          <w:p w14:paraId="714D4D53"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135</w:t>
            </w:r>
          </w:p>
        </w:tc>
        <w:tc>
          <w:tcPr>
            <w:tcW w:w="687" w:type="dxa"/>
            <w:tcBorders>
              <w:top w:val="nil"/>
              <w:left w:val="nil"/>
              <w:bottom w:val="nil"/>
              <w:right w:val="nil"/>
            </w:tcBorders>
            <w:shd w:val="clear" w:color="auto" w:fill="auto"/>
            <w:noWrap/>
            <w:vAlign w:val="bottom"/>
            <w:hideMark/>
          </w:tcPr>
          <w:p w14:paraId="3D9C59D8"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96.81</w:t>
            </w:r>
          </w:p>
        </w:tc>
        <w:tc>
          <w:tcPr>
            <w:tcW w:w="687" w:type="dxa"/>
            <w:tcBorders>
              <w:top w:val="nil"/>
              <w:left w:val="nil"/>
              <w:bottom w:val="nil"/>
              <w:right w:val="single" w:sz="4" w:space="0" w:color="auto"/>
            </w:tcBorders>
            <w:shd w:val="clear" w:color="auto" w:fill="auto"/>
            <w:noWrap/>
            <w:vAlign w:val="bottom"/>
            <w:hideMark/>
          </w:tcPr>
          <w:p w14:paraId="322F9481"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12.94</w:t>
            </w:r>
          </w:p>
        </w:tc>
      </w:tr>
      <w:tr w:rsidR="000A7396" w:rsidRPr="009F6406" w14:paraId="62205657" w14:textId="77777777" w:rsidTr="000A7396">
        <w:trPr>
          <w:trHeight w:val="300"/>
        </w:trPr>
        <w:tc>
          <w:tcPr>
            <w:tcW w:w="1360" w:type="dxa"/>
            <w:tcBorders>
              <w:top w:val="single" w:sz="4" w:space="0" w:color="auto"/>
              <w:left w:val="single" w:sz="4" w:space="0" w:color="auto"/>
              <w:bottom w:val="single" w:sz="4" w:space="0" w:color="auto"/>
              <w:right w:val="nil"/>
            </w:tcBorders>
            <w:shd w:val="clear" w:color="auto" w:fill="auto"/>
            <w:noWrap/>
            <w:vAlign w:val="bottom"/>
            <w:hideMark/>
          </w:tcPr>
          <w:p w14:paraId="2BD68868" w14:textId="77777777" w:rsidR="000A7396" w:rsidRPr="009F6406" w:rsidRDefault="000A7396" w:rsidP="000A7396">
            <w:pPr>
              <w:spacing w:before="0" w:after="0"/>
              <w:rPr>
                <w:rFonts w:eastAsia="Times New Roman" w:cs="Times New Roman"/>
                <w:b/>
                <w:bCs/>
                <w:i/>
                <w:iCs/>
                <w:color w:val="000000"/>
                <w:sz w:val="22"/>
                <w:lang w:eastAsia="zh-CN"/>
              </w:rPr>
            </w:pPr>
            <w:r w:rsidRPr="009F6406">
              <w:rPr>
                <w:rFonts w:eastAsia="Times New Roman" w:cs="Times New Roman"/>
                <w:b/>
                <w:bCs/>
                <w:i/>
                <w:iCs/>
                <w:color w:val="000000"/>
                <w:sz w:val="22"/>
                <w:lang w:eastAsia="zh-CN"/>
              </w:rPr>
              <w:t> </w:t>
            </w:r>
          </w:p>
        </w:tc>
        <w:tc>
          <w:tcPr>
            <w:tcW w:w="1420" w:type="dxa"/>
            <w:tcBorders>
              <w:top w:val="single" w:sz="4" w:space="0" w:color="auto"/>
              <w:left w:val="nil"/>
              <w:bottom w:val="single" w:sz="4" w:space="0" w:color="auto"/>
              <w:right w:val="nil"/>
            </w:tcBorders>
            <w:shd w:val="clear" w:color="auto" w:fill="auto"/>
            <w:noWrap/>
            <w:vAlign w:val="bottom"/>
            <w:hideMark/>
          </w:tcPr>
          <w:p w14:paraId="603BC99B"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471" w:type="dxa"/>
            <w:tcBorders>
              <w:top w:val="single" w:sz="4" w:space="0" w:color="auto"/>
              <w:left w:val="single" w:sz="4" w:space="0" w:color="auto"/>
              <w:bottom w:val="single" w:sz="4" w:space="0" w:color="auto"/>
              <w:right w:val="nil"/>
            </w:tcBorders>
            <w:shd w:val="clear" w:color="auto" w:fill="auto"/>
            <w:noWrap/>
            <w:vAlign w:val="bottom"/>
            <w:hideMark/>
          </w:tcPr>
          <w:p w14:paraId="70B2389D"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04" w:type="dxa"/>
            <w:tcBorders>
              <w:top w:val="single" w:sz="4" w:space="0" w:color="auto"/>
              <w:left w:val="nil"/>
              <w:bottom w:val="single" w:sz="4" w:space="0" w:color="auto"/>
              <w:right w:val="nil"/>
            </w:tcBorders>
            <w:shd w:val="clear" w:color="auto" w:fill="auto"/>
            <w:noWrap/>
            <w:vAlign w:val="bottom"/>
            <w:hideMark/>
          </w:tcPr>
          <w:p w14:paraId="0032E22A"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51" w:type="dxa"/>
            <w:tcBorders>
              <w:top w:val="single" w:sz="4" w:space="0" w:color="auto"/>
              <w:left w:val="nil"/>
              <w:bottom w:val="single" w:sz="4" w:space="0" w:color="auto"/>
              <w:right w:val="nil"/>
            </w:tcBorders>
            <w:shd w:val="clear" w:color="auto" w:fill="auto"/>
            <w:noWrap/>
            <w:vAlign w:val="bottom"/>
            <w:hideMark/>
          </w:tcPr>
          <w:p w14:paraId="3B1B13CA"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single" w:sz="4" w:space="0" w:color="auto"/>
              <w:left w:val="nil"/>
              <w:bottom w:val="single" w:sz="4" w:space="0" w:color="auto"/>
              <w:right w:val="nil"/>
            </w:tcBorders>
            <w:shd w:val="clear" w:color="auto" w:fill="auto"/>
            <w:noWrap/>
            <w:vAlign w:val="bottom"/>
            <w:hideMark/>
          </w:tcPr>
          <w:p w14:paraId="18D2FE82"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14:paraId="717A8615"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471" w:type="dxa"/>
            <w:tcBorders>
              <w:top w:val="single" w:sz="4" w:space="0" w:color="auto"/>
              <w:left w:val="nil"/>
              <w:bottom w:val="single" w:sz="4" w:space="0" w:color="auto"/>
              <w:right w:val="nil"/>
            </w:tcBorders>
            <w:shd w:val="clear" w:color="auto" w:fill="auto"/>
            <w:noWrap/>
            <w:vAlign w:val="bottom"/>
            <w:hideMark/>
          </w:tcPr>
          <w:p w14:paraId="0476D110"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04" w:type="dxa"/>
            <w:tcBorders>
              <w:top w:val="single" w:sz="4" w:space="0" w:color="auto"/>
              <w:left w:val="nil"/>
              <w:bottom w:val="single" w:sz="4" w:space="0" w:color="auto"/>
              <w:right w:val="nil"/>
            </w:tcBorders>
            <w:shd w:val="clear" w:color="auto" w:fill="auto"/>
            <w:noWrap/>
            <w:vAlign w:val="bottom"/>
            <w:hideMark/>
          </w:tcPr>
          <w:p w14:paraId="5D3F08D6"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51" w:type="dxa"/>
            <w:tcBorders>
              <w:top w:val="single" w:sz="4" w:space="0" w:color="auto"/>
              <w:left w:val="nil"/>
              <w:bottom w:val="single" w:sz="4" w:space="0" w:color="auto"/>
              <w:right w:val="nil"/>
            </w:tcBorders>
            <w:shd w:val="clear" w:color="auto" w:fill="auto"/>
            <w:noWrap/>
            <w:vAlign w:val="bottom"/>
            <w:hideMark/>
          </w:tcPr>
          <w:p w14:paraId="5642D228"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single" w:sz="4" w:space="0" w:color="auto"/>
              <w:left w:val="nil"/>
              <w:bottom w:val="single" w:sz="4" w:space="0" w:color="auto"/>
              <w:right w:val="nil"/>
            </w:tcBorders>
            <w:shd w:val="clear" w:color="auto" w:fill="auto"/>
            <w:noWrap/>
            <w:vAlign w:val="bottom"/>
            <w:hideMark/>
          </w:tcPr>
          <w:p w14:paraId="5C852F42"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14:paraId="7C72D1F0"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471" w:type="dxa"/>
            <w:tcBorders>
              <w:top w:val="single" w:sz="4" w:space="0" w:color="auto"/>
              <w:left w:val="nil"/>
              <w:bottom w:val="single" w:sz="4" w:space="0" w:color="auto"/>
              <w:right w:val="nil"/>
            </w:tcBorders>
            <w:shd w:val="clear" w:color="auto" w:fill="auto"/>
            <w:noWrap/>
            <w:vAlign w:val="bottom"/>
            <w:hideMark/>
          </w:tcPr>
          <w:p w14:paraId="5BECD1A8"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04" w:type="dxa"/>
            <w:tcBorders>
              <w:top w:val="single" w:sz="4" w:space="0" w:color="auto"/>
              <w:left w:val="nil"/>
              <w:bottom w:val="single" w:sz="4" w:space="0" w:color="auto"/>
              <w:right w:val="nil"/>
            </w:tcBorders>
            <w:shd w:val="clear" w:color="auto" w:fill="auto"/>
            <w:noWrap/>
            <w:vAlign w:val="bottom"/>
            <w:hideMark/>
          </w:tcPr>
          <w:p w14:paraId="27340268"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551" w:type="dxa"/>
            <w:tcBorders>
              <w:top w:val="single" w:sz="4" w:space="0" w:color="auto"/>
              <w:left w:val="nil"/>
              <w:bottom w:val="single" w:sz="4" w:space="0" w:color="auto"/>
              <w:right w:val="nil"/>
            </w:tcBorders>
            <w:shd w:val="clear" w:color="auto" w:fill="auto"/>
            <w:noWrap/>
            <w:vAlign w:val="bottom"/>
            <w:hideMark/>
          </w:tcPr>
          <w:p w14:paraId="114D2A99"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single" w:sz="4" w:space="0" w:color="auto"/>
              <w:left w:val="nil"/>
              <w:bottom w:val="single" w:sz="4" w:space="0" w:color="auto"/>
              <w:right w:val="nil"/>
            </w:tcBorders>
            <w:shd w:val="clear" w:color="auto" w:fill="auto"/>
            <w:noWrap/>
            <w:vAlign w:val="bottom"/>
            <w:hideMark/>
          </w:tcPr>
          <w:p w14:paraId="5867E8C0"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14:paraId="2558FE4B"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 </w:t>
            </w:r>
          </w:p>
        </w:tc>
      </w:tr>
      <w:tr w:rsidR="000A7396" w:rsidRPr="009F6406" w14:paraId="79338107" w14:textId="77777777" w:rsidTr="000A7396">
        <w:trPr>
          <w:trHeight w:val="615"/>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0D9D324F" w14:textId="77777777" w:rsidR="000A7396" w:rsidRPr="009F6406" w:rsidRDefault="000A7396" w:rsidP="000A7396">
            <w:pPr>
              <w:spacing w:before="0" w:after="0"/>
              <w:rPr>
                <w:rFonts w:eastAsia="Times New Roman" w:cs="Times New Roman"/>
                <w:b/>
                <w:bCs/>
                <w:i/>
                <w:iCs/>
                <w:color w:val="000000"/>
                <w:sz w:val="22"/>
                <w:lang w:eastAsia="zh-CN"/>
              </w:rPr>
            </w:pPr>
            <w:r w:rsidRPr="009F6406">
              <w:rPr>
                <w:rFonts w:eastAsia="Times New Roman" w:cs="Times New Roman"/>
                <w:b/>
                <w:bCs/>
                <w:i/>
                <w:iCs/>
                <w:color w:val="000000"/>
                <w:sz w:val="22"/>
                <w:lang w:eastAsia="zh-CN"/>
              </w:rPr>
              <w:t>Attitude towards mathematics</w:t>
            </w:r>
          </w:p>
        </w:tc>
        <w:tc>
          <w:tcPr>
            <w:tcW w:w="1420" w:type="dxa"/>
            <w:tcBorders>
              <w:top w:val="nil"/>
              <w:left w:val="nil"/>
              <w:bottom w:val="nil"/>
              <w:right w:val="nil"/>
            </w:tcBorders>
            <w:shd w:val="clear" w:color="auto" w:fill="auto"/>
            <w:noWrap/>
            <w:vAlign w:val="bottom"/>
            <w:hideMark/>
          </w:tcPr>
          <w:p w14:paraId="629FA6FC"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Experimental</w:t>
            </w:r>
          </w:p>
        </w:tc>
        <w:tc>
          <w:tcPr>
            <w:tcW w:w="471" w:type="dxa"/>
            <w:tcBorders>
              <w:top w:val="nil"/>
              <w:left w:val="single" w:sz="4" w:space="0" w:color="auto"/>
              <w:bottom w:val="nil"/>
              <w:right w:val="nil"/>
            </w:tcBorders>
            <w:shd w:val="clear" w:color="auto" w:fill="auto"/>
            <w:noWrap/>
            <w:vAlign w:val="bottom"/>
            <w:hideMark/>
          </w:tcPr>
          <w:p w14:paraId="21D60AC8"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246</w:t>
            </w:r>
          </w:p>
        </w:tc>
        <w:tc>
          <w:tcPr>
            <w:tcW w:w="504" w:type="dxa"/>
            <w:tcBorders>
              <w:top w:val="nil"/>
              <w:left w:val="nil"/>
              <w:bottom w:val="nil"/>
              <w:right w:val="nil"/>
            </w:tcBorders>
            <w:shd w:val="clear" w:color="auto" w:fill="auto"/>
            <w:noWrap/>
            <w:vAlign w:val="bottom"/>
            <w:hideMark/>
          </w:tcPr>
          <w:p w14:paraId="2B687073"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0</w:t>
            </w:r>
          </w:p>
        </w:tc>
        <w:tc>
          <w:tcPr>
            <w:tcW w:w="551" w:type="dxa"/>
            <w:tcBorders>
              <w:top w:val="nil"/>
              <w:left w:val="nil"/>
              <w:bottom w:val="nil"/>
              <w:right w:val="nil"/>
            </w:tcBorders>
            <w:shd w:val="clear" w:color="auto" w:fill="auto"/>
            <w:noWrap/>
            <w:vAlign w:val="bottom"/>
            <w:hideMark/>
          </w:tcPr>
          <w:p w14:paraId="60AEC4CA"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16</w:t>
            </w:r>
          </w:p>
        </w:tc>
        <w:tc>
          <w:tcPr>
            <w:tcW w:w="687" w:type="dxa"/>
            <w:tcBorders>
              <w:top w:val="nil"/>
              <w:left w:val="nil"/>
              <w:bottom w:val="nil"/>
              <w:right w:val="nil"/>
            </w:tcBorders>
            <w:shd w:val="clear" w:color="auto" w:fill="auto"/>
            <w:noWrap/>
            <w:vAlign w:val="bottom"/>
            <w:hideMark/>
          </w:tcPr>
          <w:p w14:paraId="2BC0717F"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11.00</w:t>
            </w:r>
          </w:p>
        </w:tc>
        <w:tc>
          <w:tcPr>
            <w:tcW w:w="687" w:type="dxa"/>
            <w:tcBorders>
              <w:top w:val="nil"/>
              <w:left w:val="nil"/>
              <w:bottom w:val="nil"/>
              <w:right w:val="single" w:sz="4" w:space="0" w:color="auto"/>
            </w:tcBorders>
            <w:shd w:val="clear" w:color="auto" w:fill="auto"/>
            <w:noWrap/>
            <w:vAlign w:val="bottom"/>
            <w:hideMark/>
          </w:tcPr>
          <w:p w14:paraId="10CECF22"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4.02</w:t>
            </w:r>
          </w:p>
        </w:tc>
        <w:tc>
          <w:tcPr>
            <w:tcW w:w="471" w:type="dxa"/>
            <w:tcBorders>
              <w:top w:val="nil"/>
              <w:left w:val="nil"/>
              <w:bottom w:val="nil"/>
              <w:right w:val="nil"/>
            </w:tcBorders>
            <w:shd w:val="clear" w:color="auto" w:fill="auto"/>
            <w:noWrap/>
            <w:vAlign w:val="bottom"/>
            <w:hideMark/>
          </w:tcPr>
          <w:p w14:paraId="68ED1574"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243</w:t>
            </w:r>
          </w:p>
        </w:tc>
        <w:tc>
          <w:tcPr>
            <w:tcW w:w="504" w:type="dxa"/>
            <w:tcBorders>
              <w:top w:val="nil"/>
              <w:left w:val="nil"/>
              <w:bottom w:val="nil"/>
              <w:right w:val="nil"/>
            </w:tcBorders>
            <w:shd w:val="clear" w:color="auto" w:fill="auto"/>
            <w:noWrap/>
            <w:vAlign w:val="bottom"/>
            <w:hideMark/>
          </w:tcPr>
          <w:p w14:paraId="6A5CF5A1"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0</w:t>
            </w:r>
          </w:p>
        </w:tc>
        <w:tc>
          <w:tcPr>
            <w:tcW w:w="551" w:type="dxa"/>
            <w:tcBorders>
              <w:top w:val="nil"/>
              <w:left w:val="nil"/>
              <w:bottom w:val="nil"/>
              <w:right w:val="nil"/>
            </w:tcBorders>
            <w:shd w:val="clear" w:color="auto" w:fill="auto"/>
            <w:noWrap/>
            <w:vAlign w:val="bottom"/>
            <w:hideMark/>
          </w:tcPr>
          <w:p w14:paraId="0B481050"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16</w:t>
            </w:r>
          </w:p>
        </w:tc>
        <w:tc>
          <w:tcPr>
            <w:tcW w:w="687" w:type="dxa"/>
            <w:tcBorders>
              <w:top w:val="nil"/>
              <w:left w:val="nil"/>
              <w:bottom w:val="nil"/>
              <w:right w:val="nil"/>
            </w:tcBorders>
            <w:shd w:val="clear" w:color="auto" w:fill="auto"/>
            <w:noWrap/>
            <w:vAlign w:val="bottom"/>
            <w:hideMark/>
          </w:tcPr>
          <w:p w14:paraId="66A672F9"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10.77</w:t>
            </w:r>
          </w:p>
        </w:tc>
        <w:tc>
          <w:tcPr>
            <w:tcW w:w="687" w:type="dxa"/>
            <w:tcBorders>
              <w:top w:val="nil"/>
              <w:left w:val="nil"/>
              <w:bottom w:val="nil"/>
              <w:right w:val="single" w:sz="4" w:space="0" w:color="auto"/>
            </w:tcBorders>
            <w:shd w:val="clear" w:color="auto" w:fill="auto"/>
            <w:noWrap/>
            <w:vAlign w:val="bottom"/>
            <w:hideMark/>
          </w:tcPr>
          <w:p w14:paraId="1A95B737"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3.95</w:t>
            </w:r>
          </w:p>
        </w:tc>
        <w:tc>
          <w:tcPr>
            <w:tcW w:w="471" w:type="dxa"/>
            <w:tcBorders>
              <w:top w:val="nil"/>
              <w:left w:val="nil"/>
              <w:bottom w:val="nil"/>
              <w:right w:val="nil"/>
            </w:tcBorders>
            <w:shd w:val="clear" w:color="auto" w:fill="auto"/>
            <w:noWrap/>
            <w:vAlign w:val="bottom"/>
            <w:hideMark/>
          </w:tcPr>
          <w:p w14:paraId="7CA27D03"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245</w:t>
            </w:r>
          </w:p>
        </w:tc>
        <w:tc>
          <w:tcPr>
            <w:tcW w:w="504" w:type="dxa"/>
            <w:tcBorders>
              <w:top w:val="nil"/>
              <w:left w:val="nil"/>
              <w:bottom w:val="nil"/>
              <w:right w:val="nil"/>
            </w:tcBorders>
            <w:shd w:val="clear" w:color="auto" w:fill="auto"/>
            <w:noWrap/>
            <w:vAlign w:val="bottom"/>
            <w:hideMark/>
          </w:tcPr>
          <w:p w14:paraId="00A2D999"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0</w:t>
            </w:r>
          </w:p>
        </w:tc>
        <w:tc>
          <w:tcPr>
            <w:tcW w:w="551" w:type="dxa"/>
            <w:tcBorders>
              <w:top w:val="nil"/>
              <w:left w:val="nil"/>
              <w:bottom w:val="nil"/>
              <w:right w:val="nil"/>
            </w:tcBorders>
            <w:shd w:val="clear" w:color="auto" w:fill="auto"/>
            <w:noWrap/>
            <w:vAlign w:val="bottom"/>
            <w:hideMark/>
          </w:tcPr>
          <w:p w14:paraId="02827FA7"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16</w:t>
            </w:r>
          </w:p>
        </w:tc>
        <w:tc>
          <w:tcPr>
            <w:tcW w:w="687" w:type="dxa"/>
            <w:tcBorders>
              <w:top w:val="nil"/>
              <w:left w:val="nil"/>
              <w:bottom w:val="nil"/>
              <w:right w:val="nil"/>
            </w:tcBorders>
            <w:shd w:val="clear" w:color="auto" w:fill="auto"/>
            <w:noWrap/>
            <w:vAlign w:val="bottom"/>
            <w:hideMark/>
          </w:tcPr>
          <w:p w14:paraId="6367DE91"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10.35</w:t>
            </w:r>
          </w:p>
        </w:tc>
        <w:tc>
          <w:tcPr>
            <w:tcW w:w="687" w:type="dxa"/>
            <w:tcBorders>
              <w:top w:val="nil"/>
              <w:left w:val="nil"/>
              <w:bottom w:val="nil"/>
              <w:right w:val="single" w:sz="4" w:space="0" w:color="auto"/>
            </w:tcBorders>
            <w:shd w:val="clear" w:color="auto" w:fill="auto"/>
            <w:noWrap/>
            <w:vAlign w:val="bottom"/>
            <w:hideMark/>
          </w:tcPr>
          <w:p w14:paraId="22D24F28"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3.79</w:t>
            </w:r>
          </w:p>
        </w:tc>
      </w:tr>
      <w:tr w:rsidR="000A7396" w:rsidRPr="009F6406" w14:paraId="3DB39C72" w14:textId="77777777" w:rsidTr="000A7396">
        <w:trPr>
          <w:trHeight w:val="795"/>
        </w:trPr>
        <w:tc>
          <w:tcPr>
            <w:tcW w:w="1360" w:type="dxa"/>
            <w:vMerge/>
            <w:tcBorders>
              <w:top w:val="nil"/>
              <w:left w:val="single" w:sz="4" w:space="0" w:color="auto"/>
              <w:bottom w:val="single" w:sz="4" w:space="0" w:color="000000"/>
              <w:right w:val="single" w:sz="4" w:space="0" w:color="auto"/>
            </w:tcBorders>
            <w:vAlign w:val="center"/>
            <w:hideMark/>
          </w:tcPr>
          <w:p w14:paraId="47E9DF08" w14:textId="77777777" w:rsidR="000A7396" w:rsidRPr="009F6406" w:rsidRDefault="000A7396" w:rsidP="000A7396">
            <w:pPr>
              <w:spacing w:before="0" w:after="0"/>
              <w:rPr>
                <w:rFonts w:eastAsia="Times New Roman" w:cs="Times New Roman"/>
                <w:b/>
                <w:bCs/>
                <w:i/>
                <w:iCs/>
                <w:color w:val="000000"/>
                <w:sz w:val="22"/>
                <w:lang w:eastAsia="zh-CN"/>
              </w:rPr>
            </w:pPr>
          </w:p>
        </w:tc>
        <w:tc>
          <w:tcPr>
            <w:tcW w:w="1420" w:type="dxa"/>
            <w:tcBorders>
              <w:top w:val="nil"/>
              <w:left w:val="nil"/>
              <w:bottom w:val="nil"/>
              <w:right w:val="nil"/>
            </w:tcBorders>
            <w:shd w:val="clear" w:color="auto" w:fill="auto"/>
            <w:vAlign w:val="bottom"/>
            <w:hideMark/>
          </w:tcPr>
          <w:p w14:paraId="721E088D"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Delayed treatment</w:t>
            </w:r>
          </w:p>
        </w:tc>
        <w:tc>
          <w:tcPr>
            <w:tcW w:w="471" w:type="dxa"/>
            <w:tcBorders>
              <w:top w:val="nil"/>
              <w:left w:val="single" w:sz="4" w:space="0" w:color="auto"/>
              <w:bottom w:val="nil"/>
              <w:right w:val="nil"/>
            </w:tcBorders>
            <w:shd w:val="clear" w:color="auto" w:fill="auto"/>
            <w:noWrap/>
            <w:vAlign w:val="bottom"/>
            <w:hideMark/>
          </w:tcPr>
          <w:p w14:paraId="053AF07A"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276</w:t>
            </w:r>
          </w:p>
        </w:tc>
        <w:tc>
          <w:tcPr>
            <w:tcW w:w="504" w:type="dxa"/>
            <w:tcBorders>
              <w:top w:val="nil"/>
              <w:left w:val="nil"/>
              <w:bottom w:val="nil"/>
              <w:right w:val="nil"/>
            </w:tcBorders>
            <w:shd w:val="clear" w:color="auto" w:fill="auto"/>
            <w:noWrap/>
            <w:vAlign w:val="bottom"/>
            <w:hideMark/>
          </w:tcPr>
          <w:p w14:paraId="41283756"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0</w:t>
            </w:r>
          </w:p>
        </w:tc>
        <w:tc>
          <w:tcPr>
            <w:tcW w:w="551" w:type="dxa"/>
            <w:tcBorders>
              <w:top w:val="nil"/>
              <w:left w:val="nil"/>
              <w:bottom w:val="nil"/>
              <w:right w:val="nil"/>
            </w:tcBorders>
            <w:shd w:val="clear" w:color="auto" w:fill="auto"/>
            <w:noWrap/>
            <w:vAlign w:val="bottom"/>
            <w:hideMark/>
          </w:tcPr>
          <w:p w14:paraId="3EDFAEDE"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16</w:t>
            </w:r>
          </w:p>
        </w:tc>
        <w:tc>
          <w:tcPr>
            <w:tcW w:w="687" w:type="dxa"/>
            <w:tcBorders>
              <w:top w:val="nil"/>
              <w:left w:val="nil"/>
              <w:bottom w:val="nil"/>
              <w:right w:val="nil"/>
            </w:tcBorders>
            <w:shd w:val="clear" w:color="auto" w:fill="auto"/>
            <w:noWrap/>
            <w:vAlign w:val="bottom"/>
            <w:hideMark/>
          </w:tcPr>
          <w:p w14:paraId="26443F36"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11.53</w:t>
            </w:r>
          </w:p>
        </w:tc>
        <w:tc>
          <w:tcPr>
            <w:tcW w:w="687" w:type="dxa"/>
            <w:tcBorders>
              <w:top w:val="nil"/>
              <w:left w:val="nil"/>
              <w:bottom w:val="nil"/>
              <w:right w:val="single" w:sz="4" w:space="0" w:color="auto"/>
            </w:tcBorders>
            <w:shd w:val="clear" w:color="auto" w:fill="auto"/>
            <w:noWrap/>
            <w:vAlign w:val="bottom"/>
            <w:hideMark/>
          </w:tcPr>
          <w:p w14:paraId="2339B5D0"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3.77</w:t>
            </w:r>
          </w:p>
        </w:tc>
        <w:tc>
          <w:tcPr>
            <w:tcW w:w="471" w:type="dxa"/>
            <w:tcBorders>
              <w:top w:val="nil"/>
              <w:left w:val="nil"/>
              <w:bottom w:val="nil"/>
              <w:right w:val="nil"/>
            </w:tcBorders>
            <w:shd w:val="clear" w:color="auto" w:fill="auto"/>
            <w:noWrap/>
            <w:vAlign w:val="bottom"/>
            <w:hideMark/>
          </w:tcPr>
          <w:p w14:paraId="7800B311"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277</w:t>
            </w:r>
          </w:p>
        </w:tc>
        <w:tc>
          <w:tcPr>
            <w:tcW w:w="504" w:type="dxa"/>
            <w:tcBorders>
              <w:top w:val="nil"/>
              <w:left w:val="nil"/>
              <w:bottom w:val="nil"/>
              <w:right w:val="nil"/>
            </w:tcBorders>
            <w:shd w:val="clear" w:color="auto" w:fill="auto"/>
            <w:noWrap/>
            <w:vAlign w:val="bottom"/>
            <w:hideMark/>
          </w:tcPr>
          <w:p w14:paraId="4DE29075"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0</w:t>
            </w:r>
          </w:p>
        </w:tc>
        <w:tc>
          <w:tcPr>
            <w:tcW w:w="551" w:type="dxa"/>
            <w:tcBorders>
              <w:top w:val="nil"/>
              <w:left w:val="nil"/>
              <w:bottom w:val="nil"/>
              <w:right w:val="nil"/>
            </w:tcBorders>
            <w:shd w:val="clear" w:color="auto" w:fill="auto"/>
            <w:noWrap/>
            <w:vAlign w:val="bottom"/>
            <w:hideMark/>
          </w:tcPr>
          <w:p w14:paraId="07CCA6F5"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16</w:t>
            </w:r>
          </w:p>
        </w:tc>
        <w:tc>
          <w:tcPr>
            <w:tcW w:w="687" w:type="dxa"/>
            <w:tcBorders>
              <w:top w:val="nil"/>
              <w:left w:val="nil"/>
              <w:bottom w:val="nil"/>
              <w:right w:val="nil"/>
            </w:tcBorders>
            <w:shd w:val="clear" w:color="auto" w:fill="auto"/>
            <w:noWrap/>
            <w:vAlign w:val="bottom"/>
            <w:hideMark/>
          </w:tcPr>
          <w:p w14:paraId="512DBF4C"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11.01</w:t>
            </w:r>
          </w:p>
        </w:tc>
        <w:tc>
          <w:tcPr>
            <w:tcW w:w="687" w:type="dxa"/>
            <w:tcBorders>
              <w:top w:val="nil"/>
              <w:left w:val="nil"/>
              <w:bottom w:val="nil"/>
              <w:right w:val="single" w:sz="4" w:space="0" w:color="auto"/>
            </w:tcBorders>
            <w:shd w:val="clear" w:color="auto" w:fill="auto"/>
            <w:noWrap/>
            <w:vAlign w:val="bottom"/>
            <w:hideMark/>
          </w:tcPr>
          <w:p w14:paraId="6310AC96"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4.08</w:t>
            </w:r>
          </w:p>
        </w:tc>
        <w:tc>
          <w:tcPr>
            <w:tcW w:w="471" w:type="dxa"/>
            <w:tcBorders>
              <w:top w:val="nil"/>
              <w:left w:val="nil"/>
              <w:bottom w:val="nil"/>
              <w:right w:val="nil"/>
            </w:tcBorders>
            <w:shd w:val="clear" w:color="auto" w:fill="auto"/>
            <w:noWrap/>
            <w:vAlign w:val="bottom"/>
            <w:hideMark/>
          </w:tcPr>
          <w:p w14:paraId="11B9D880"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265</w:t>
            </w:r>
          </w:p>
        </w:tc>
        <w:tc>
          <w:tcPr>
            <w:tcW w:w="504" w:type="dxa"/>
            <w:tcBorders>
              <w:top w:val="nil"/>
              <w:left w:val="nil"/>
              <w:bottom w:val="nil"/>
              <w:right w:val="nil"/>
            </w:tcBorders>
            <w:shd w:val="clear" w:color="auto" w:fill="auto"/>
            <w:noWrap/>
            <w:vAlign w:val="bottom"/>
            <w:hideMark/>
          </w:tcPr>
          <w:p w14:paraId="21B37075"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0</w:t>
            </w:r>
          </w:p>
        </w:tc>
        <w:tc>
          <w:tcPr>
            <w:tcW w:w="551" w:type="dxa"/>
            <w:tcBorders>
              <w:top w:val="nil"/>
              <w:left w:val="nil"/>
              <w:bottom w:val="nil"/>
              <w:right w:val="nil"/>
            </w:tcBorders>
            <w:shd w:val="clear" w:color="auto" w:fill="auto"/>
            <w:noWrap/>
            <w:vAlign w:val="bottom"/>
            <w:hideMark/>
          </w:tcPr>
          <w:p w14:paraId="7BEDF6B1"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16</w:t>
            </w:r>
          </w:p>
        </w:tc>
        <w:tc>
          <w:tcPr>
            <w:tcW w:w="687" w:type="dxa"/>
            <w:tcBorders>
              <w:top w:val="nil"/>
              <w:left w:val="nil"/>
              <w:bottom w:val="nil"/>
              <w:right w:val="nil"/>
            </w:tcBorders>
            <w:shd w:val="clear" w:color="auto" w:fill="auto"/>
            <w:noWrap/>
            <w:vAlign w:val="bottom"/>
            <w:hideMark/>
          </w:tcPr>
          <w:p w14:paraId="731DDB5C"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11.01</w:t>
            </w:r>
          </w:p>
        </w:tc>
        <w:tc>
          <w:tcPr>
            <w:tcW w:w="687" w:type="dxa"/>
            <w:tcBorders>
              <w:top w:val="nil"/>
              <w:left w:val="nil"/>
              <w:bottom w:val="nil"/>
              <w:right w:val="single" w:sz="4" w:space="0" w:color="auto"/>
            </w:tcBorders>
            <w:shd w:val="clear" w:color="auto" w:fill="auto"/>
            <w:noWrap/>
            <w:vAlign w:val="bottom"/>
            <w:hideMark/>
          </w:tcPr>
          <w:p w14:paraId="5B754A63"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3.88</w:t>
            </w:r>
          </w:p>
        </w:tc>
      </w:tr>
      <w:tr w:rsidR="000A7396" w:rsidRPr="009F6406" w14:paraId="66B99682" w14:textId="77777777" w:rsidTr="000A7396">
        <w:trPr>
          <w:trHeight w:val="615"/>
        </w:trPr>
        <w:tc>
          <w:tcPr>
            <w:tcW w:w="1360" w:type="dxa"/>
            <w:vMerge/>
            <w:tcBorders>
              <w:top w:val="nil"/>
              <w:left w:val="single" w:sz="4" w:space="0" w:color="auto"/>
              <w:bottom w:val="single" w:sz="4" w:space="0" w:color="000000"/>
              <w:right w:val="single" w:sz="4" w:space="0" w:color="auto"/>
            </w:tcBorders>
            <w:vAlign w:val="center"/>
            <w:hideMark/>
          </w:tcPr>
          <w:p w14:paraId="2E858B25" w14:textId="77777777" w:rsidR="000A7396" w:rsidRPr="009F6406" w:rsidRDefault="000A7396" w:rsidP="000A7396">
            <w:pPr>
              <w:spacing w:before="0" w:after="0"/>
              <w:rPr>
                <w:rFonts w:eastAsia="Times New Roman" w:cs="Times New Roman"/>
                <w:b/>
                <w:bCs/>
                <w:i/>
                <w:iCs/>
                <w:color w:val="000000"/>
                <w:sz w:val="22"/>
                <w:lang w:eastAsia="zh-CN"/>
              </w:rPr>
            </w:pPr>
          </w:p>
        </w:tc>
        <w:tc>
          <w:tcPr>
            <w:tcW w:w="1420" w:type="dxa"/>
            <w:tcBorders>
              <w:top w:val="nil"/>
              <w:left w:val="nil"/>
              <w:bottom w:val="single" w:sz="4" w:space="0" w:color="auto"/>
              <w:right w:val="nil"/>
            </w:tcBorders>
            <w:shd w:val="clear" w:color="auto" w:fill="auto"/>
            <w:noWrap/>
            <w:vAlign w:val="bottom"/>
            <w:hideMark/>
          </w:tcPr>
          <w:p w14:paraId="5437DA17" w14:textId="77777777" w:rsidR="000A7396" w:rsidRPr="009F6406" w:rsidRDefault="000A7396" w:rsidP="000A7396">
            <w:pPr>
              <w:spacing w:before="0" w:after="0"/>
              <w:rPr>
                <w:rFonts w:eastAsia="Times New Roman" w:cs="Times New Roman"/>
                <w:color w:val="000000"/>
                <w:sz w:val="22"/>
                <w:lang w:eastAsia="zh-CN"/>
              </w:rPr>
            </w:pPr>
            <w:r w:rsidRPr="009F6406">
              <w:rPr>
                <w:rFonts w:eastAsia="Times New Roman" w:cs="Times New Roman"/>
                <w:color w:val="000000"/>
                <w:sz w:val="22"/>
                <w:lang w:eastAsia="zh-CN"/>
              </w:rPr>
              <w:t>Overall</w:t>
            </w:r>
          </w:p>
        </w:tc>
        <w:tc>
          <w:tcPr>
            <w:tcW w:w="471" w:type="dxa"/>
            <w:tcBorders>
              <w:top w:val="nil"/>
              <w:left w:val="single" w:sz="4" w:space="0" w:color="auto"/>
              <w:bottom w:val="single" w:sz="4" w:space="0" w:color="auto"/>
              <w:right w:val="nil"/>
            </w:tcBorders>
            <w:shd w:val="clear" w:color="auto" w:fill="auto"/>
            <w:noWrap/>
            <w:vAlign w:val="bottom"/>
            <w:hideMark/>
          </w:tcPr>
          <w:p w14:paraId="7DB6816A"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522</w:t>
            </w:r>
          </w:p>
        </w:tc>
        <w:tc>
          <w:tcPr>
            <w:tcW w:w="504" w:type="dxa"/>
            <w:tcBorders>
              <w:top w:val="nil"/>
              <w:left w:val="nil"/>
              <w:bottom w:val="single" w:sz="4" w:space="0" w:color="auto"/>
              <w:right w:val="nil"/>
            </w:tcBorders>
            <w:shd w:val="clear" w:color="auto" w:fill="auto"/>
            <w:noWrap/>
            <w:vAlign w:val="bottom"/>
            <w:hideMark/>
          </w:tcPr>
          <w:p w14:paraId="5D8FB046"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0</w:t>
            </w:r>
          </w:p>
        </w:tc>
        <w:tc>
          <w:tcPr>
            <w:tcW w:w="551" w:type="dxa"/>
            <w:tcBorders>
              <w:top w:val="nil"/>
              <w:left w:val="nil"/>
              <w:bottom w:val="single" w:sz="4" w:space="0" w:color="auto"/>
              <w:right w:val="nil"/>
            </w:tcBorders>
            <w:shd w:val="clear" w:color="auto" w:fill="auto"/>
            <w:noWrap/>
            <w:vAlign w:val="bottom"/>
            <w:hideMark/>
          </w:tcPr>
          <w:p w14:paraId="6C6A5581"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16</w:t>
            </w:r>
          </w:p>
        </w:tc>
        <w:tc>
          <w:tcPr>
            <w:tcW w:w="687" w:type="dxa"/>
            <w:tcBorders>
              <w:top w:val="nil"/>
              <w:left w:val="nil"/>
              <w:bottom w:val="single" w:sz="4" w:space="0" w:color="auto"/>
              <w:right w:val="nil"/>
            </w:tcBorders>
            <w:shd w:val="clear" w:color="auto" w:fill="auto"/>
            <w:noWrap/>
            <w:vAlign w:val="bottom"/>
            <w:hideMark/>
          </w:tcPr>
          <w:p w14:paraId="465F1B2B"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11.28</w:t>
            </w:r>
          </w:p>
        </w:tc>
        <w:tc>
          <w:tcPr>
            <w:tcW w:w="687" w:type="dxa"/>
            <w:tcBorders>
              <w:top w:val="nil"/>
              <w:left w:val="nil"/>
              <w:bottom w:val="single" w:sz="4" w:space="0" w:color="auto"/>
              <w:right w:val="single" w:sz="4" w:space="0" w:color="auto"/>
            </w:tcBorders>
            <w:shd w:val="clear" w:color="auto" w:fill="auto"/>
            <w:noWrap/>
            <w:vAlign w:val="bottom"/>
            <w:hideMark/>
          </w:tcPr>
          <w:p w14:paraId="49A20A46"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3.90</w:t>
            </w:r>
          </w:p>
        </w:tc>
        <w:tc>
          <w:tcPr>
            <w:tcW w:w="471" w:type="dxa"/>
            <w:tcBorders>
              <w:top w:val="nil"/>
              <w:left w:val="nil"/>
              <w:bottom w:val="single" w:sz="4" w:space="0" w:color="auto"/>
              <w:right w:val="nil"/>
            </w:tcBorders>
            <w:shd w:val="clear" w:color="auto" w:fill="auto"/>
            <w:noWrap/>
            <w:vAlign w:val="bottom"/>
            <w:hideMark/>
          </w:tcPr>
          <w:p w14:paraId="68710E79"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520</w:t>
            </w:r>
          </w:p>
        </w:tc>
        <w:tc>
          <w:tcPr>
            <w:tcW w:w="504" w:type="dxa"/>
            <w:tcBorders>
              <w:top w:val="nil"/>
              <w:left w:val="nil"/>
              <w:bottom w:val="single" w:sz="4" w:space="0" w:color="auto"/>
              <w:right w:val="nil"/>
            </w:tcBorders>
            <w:shd w:val="clear" w:color="auto" w:fill="auto"/>
            <w:noWrap/>
            <w:vAlign w:val="bottom"/>
            <w:hideMark/>
          </w:tcPr>
          <w:p w14:paraId="54451923"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0</w:t>
            </w:r>
          </w:p>
        </w:tc>
        <w:tc>
          <w:tcPr>
            <w:tcW w:w="551" w:type="dxa"/>
            <w:tcBorders>
              <w:top w:val="nil"/>
              <w:left w:val="nil"/>
              <w:bottom w:val="single" w:sz="4" w:space="0" w:color="auto"/>
              <w:right w:val="nil"/>
            </w:tcBorders>
            <w:shd w:val="clear" w:color="auto" w:fill="auto"/>
            <w:noWrap/>
            <w:vAlign w:val="bottom"/>
            <w:hideMark/>
          </w:tcPr>
          <w:p w14:paraId="79E2441B"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16</w:t>
            </w:r>
          </w:p>
        </w:tc>
        <w:tc>
          <w:tcPr>
            <w:tcW w:w="687" w:type="dxa"/>
            <w:tcBorders>
              <w:top w:val="nil"/>
              <w:left w:val="nil"/>
              <w:bottom w:val="single" w:sz="4" w:space="0" w:color="auto"/>
              <w:right w:val="nil"/>
            </w:tcBorders>
            <w:shd w:val="clear" w:color="auto" w:fill="auto"/>
            <w:noWrap/>
            <w:vAlign w:val="bottom"/>
            <w:hideMark/>
          </w:tcPr>
          <w:p w14:paraId="785BAB54"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10.90</w:t>
            </w:r>
          </w:p>
        </w:tc>
        <w:tc>
          <w:tcPr>
            <w:tcW w:w="687" w:type="dxa"/>
            <w:tcBorders>
              <w:top w:val="nil"/>
              <w:left w:val="nil"/>
              <w:bottom w:val="single" w:sz="4" w:space="0" w:color="auto"/>
              <w:right w:val="single" w:sz="4" w:space="0" w:color="auto"/>
            </w:tcBorders>
            <w:shd w:val="clear" w:color="auto" w:fill="auto"/>
            <w:noWrap/>
            <w:vAlign w:val="bottom"/>
            <w:hideMark/>
          </w:tcPr>
          <w:p w14:paraId="6FC8A887"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4.02</w:t>
            </w:r>
          </w:p>
        </w:tc>
        <w:tc>
          <w:tcPr>
            <w:tcW w:w="471" w:type="dxa"/>
            <w:tcBorders>
              <w:top w:val="nil"/>
              <w:left w:val="nil"/>
              <w:bottom w:val="single" w:sz="4" w:space="0" w:color="auto"/>
              <w:right w:val="nil"/>
            </w:tcBorders>
            <w:shd w:val="clear" w:color="auto" w:fill="auto"/>
            <w:noWrap/>
            <w:vAlign w:val="bottom"/>
            <w:hideMark/>
          </w:tcPr>
          <w:p w14:paraId="7FF63C59"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510</w:t>
            </w:r>
          </w:p>
        </w:tc>
        <w:tc>
          <w:tcPr>
            <w:tcW w:w="504" w:type="dxa"/>
            <w:tcBorders>
              <w:top w:val="nil"/>
              <w:left w:val="nil"/>
              <w:bottom w:val="single" w:sz="4" w:space="0" w:color="auto"/>
              <w:right w:val="nil"/>
            </w:tcBorders>
            <w:shd w:val="clear" w:color="auto" w:fill="auto"/>
            <w:noWrap/>
            <w:vAlign w:val="bottom"/>
            <w:hideMark/>
          </w:tcPr>
          <w:p w14:paraId="24762589"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0</w:t>
            </w:r>
          </w:p>
        </w:tc>
        <w:tc>
          <w:tcPr>
            <w:tcW w:w="551" w:type="dxa"/>
            <w:tcBorders>
              <w:top w:val="nil"/>
              <w:left w:val="nil"/>
              <w:bottom w:val="single" w:sz="4" w:space="0" w:color="auto"/>
              <w:right w:val="nil"/>
            </w:tcBorders>
            <w:shd w:val="clear" w:color="auto" w:fill="auto"/>
            <w:noWrap/>
            <w:vAlign w:val="bottom"/>
            <w:hideMark/>
          </w:tcPr>
          <w:p w14:paraId="638AAE57"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16</w:t>
            </w:r>
          </w:p>
        </w:tc>
        <w:tc>
          <w:tcPr>
            <w:tcW w:w="687" w:type="dxa"/>
            <w:tcBorders>
              <w:top w:val="nil"/>
              <w:left w:val="nil"/>
              <w:bottom w:val="single" w:sz="4" w:space="0" w:color="auto"/>
              <w:right w:val="nil"/>
            </w:tcBorders>
            <w:shd w:val="clear" w:color="auto" w:fill="auto"/>
            <w:noWrap/>
            <w:vAlign w:val="bottom"/>
            <w:hideMark/>
          </w:tcPr>
          <w:p w14:paraId="5A4F3AF0"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10.69</w:t>
            </w:r>
          </w:p>
        </w:tc>
        <w:tc>
          <w:tcPr>
            <w:tcW w:w="687" w:type="dxa"/>
            <w:tcBorders>
              <w:top w:val="nil"/>
              <w:left w:val="nil"/>
              <w:bottom w:val="single" w:sz="4" w:space="0" w:color="auto"/>
              <w:right w:val="single" w:sz="4" w:space="0" w:color="auto"/>
            </w:tcBorders>
            <w:shd w:val="clear" w:color="auto" w:fill="auto"/>
            <w:noWrap/>
            <w:vAlign w:val="bottom"/>
            <w:hideMark/>
          </w:tcPr>
          <w:p w14:paraId="2C94E247" w14:textId="77777777" w:rsidR="000A7396" w:rsidRPr="009F6406" w:rsidRDefault="000A7396" w:rsidP="000A7396">
            <w:pPr>
              <w:spacing w:before="0" w:after="0"/>
              <w:jc w:val="right"/>
              <w:rPr>
                <w:rFonts w:eastAsia="Times New Roman" w:cs="Times New Roman"/>
                <w:color w:val="000000"/>
                <w:sz w:val="22"/>
                <w:lang w:eastAsia="zh-CN"/>
              </w:rPr>
            </w:pPr>
            <w:r w:rsidRPr="009F6406">
              <w:rPr>
                <w:rFonts w:eastAsia="Times New Roman" w:cs="Times New Roman"/>
                <w:color w:val="000000"/>
                <w:sz w:val="22"/>
                <w:lang w:eastAsia="zh-CN"/>
              </w:rPr>
              <w:t>3.85</w:t>
            </w:r>
          </w:p>
        </w:tc>
      </w:tr>
      <w:tr w:rsidR="000A7396" w:rsidRPr="009F6406" w14:paraId="583D00B5" w14:textId="77777777" w:rsidTr="000A7396">
        <w:trPr>
          <w:trHeight w:val="1230"/>
        </w:trPr>
        <w:tc>
          <w:tcPr>
            <w:tcW w:w="11480" w:type="dxa"/>
            <w:gridSpan w:val="17"/>
            <w:tcBorders>
              <w:top w:val="nil"/>
              <w:left w:val="nil"/>
              <w:bottom w:val="nil"/>
              <w:right w:val="nil"/>
            </w:tcBorders>
            <w:shd w:val="clear" w:color="auto" w:fill="auto"/>
            <w:vAlign w:val="bottom"/>
            <w:hideMark/>
          </w:tcPr>
          <w:p w14:paraId="78CFD576" w14:textId="77777777" w:rsidR="000A7396" w:rsidRPr="009F6406" w:rsidRDefault="000A7396" w:rsidP="000A7396">
            <w:pPr>
              <w:spacing w:before="0" w:after="0"/>
              <w:rPr>
                <w:rFonts w:eastAsia="Times New Roman" w:cs="Times New Roman"/>
                <w:color w:val="000000"/>
                <w:sz w:val="18"/>
                <w:szCs w:val="18"/>
                <w:lang w:eastAsia="zh-CN"/>
              </w:rPr>
            </w:pPr>
            <w:r w:rsidRPr="009F6406">
              <w:rPr>
                <w:rFonts w:eastAsia="Times New Roman" w:cs="Times New Roman"/>
                <w:color w:val="000000"/>
                <w:sz w:val="18"/>
                <w:szCs w:val="18"/>
                <w:lang w:eastAsia="zh-CN"/>
              </w:rPr>
              <w:t>Note: Attitude towards mathematics is reported based on pupils' sum scores from questionnaire responses, where 0="very unhappy" and 4="very happy" for each item. Mathematics attainment is reported based on pupils' standard age scores (SAS), where an SAS of 100 corresponds to the national mean score for a given age group. Numbers of pupils vary between the attainment and attitude results because of a) one instance in which the questionnaire was administered substantially after the assessment and 5 pupils had been pulled out of class, and b) pupil non-response, which never exceeded 2 pupils per class per time point.</w:t>
            </w:r>
          </w:p>
        </w:tc>
      </w:tr>
    </w:tbl>
    <w:p w14:paraId="18ECEEAD" w14:textId="77777777" w:rsidR="000A7396" w:rsidRPr="009F6406" w:rsidRDefault="000A7396">
      <w:pPr>
        <w:spacing w:before="0" w:after="200" w:line="276" w:lineRule="auto"/>
      </w:pPr>
    </w:p>
    <w:p w14:paraId="45DE27D7" w14:textId="2655EB44" w:rsidR="00EB19A9" w:rsidRPr="009F6406" w:rsidRDefault="00FA56D0">
      <w:pPr>
        <w:spacing w:before="0" w:after="200" w:line="276" w:lineRule="auto"/>
      </w:pPr>
      <w:r w:rsidRPr="009F6406">
        <w:t>Table 2</w:t>
      </w:r>
      <w:r w:rsidR="00EB19A9" w:rsidRPr="009F6406">
        <w:t>: Pupil descriptive stati</w:t>
      </w:r>
      <w:r w:rsidR="00D63D65" w:rsidRPr="009F6406">
        <w:t xml:space="preserve">stics for </w:t>
      </w:r>
      <w:r w:rsidR="00EB19A9" w:rsidRPr="009F6406">
        <w:t>mathematics attainment and attitu</w:t>
      </w:r>
      <w:r w:rsidR="00D63D65" w:rsidRPr="009F6406">
        <w:t>des towards mathematics</w:t>
      </w:r>
      <w:r w:rsidR="00EB19A9" w:rsidRPr="009F6406">
        <w:t xml:space="preserve"> by group (experimental/delayed treatment)</w:t>
      </w:r>
      <w:r w:rsidR="00B83AE7" w:rsidRPr="009F6406">
        <w:t xml:space="preserve"> and overall</w:t>
      </w:r>
      <w:r w:rsidR="00EB19A9" w:rsidRPr="009F6406">
        <w:br w:type="page"/>
      </w:r>
    </w:p>
    <w:p w14:paraId="111C71B2" w14:textId="77777777" w:rsidR="000C4388" w:rsidRPr="009F6406" w:rsidRDefault="000C4388" w:rsidP="000C4388"/>
    <w:tbl>
      <w:tblPr>
        <w:tblW w:w="0" w:type="auto"/>
        <w:tblLook w:val="04A0" w:firstRow="1" w:lastRow="0" w:firstColumn="1" w:lastColumn="0" w:noHBand="0" w:noVBand="1"/>
      </w:tblPr>
      <w:tblGrid>
        <w:gridCol w:w="4544"/>
        <w:gridCol w:w="746"/>
        <w:gridCol w:w="656"/>
        <w:gridCol w:w="532"/>
        <w:gridCol w:w="594"/>
        <w:gridCol w:w="532"/>
        <w:gridCol w:w="746"/>
        <w:gridCol w:w="594"/>
        <w:gridCol w:w="532"/>
        <w:gridCol w:w="664"/>
        <w:gridCol w:w="552"/>
        <w:gridCol w:w="746"/>
        <w:gridCol w:w="594"/>
        <w:gridCol w:w="532"/>
        <w:gridCol w:w="664"/>
        <w:gridCol w:w="552"/>
      </w:tblGrid>
      <w:tr w:rsidR="000C4388" w:rsidRPr="009F6406" w14:paraId="31E5EC0F" w14:textId="77777777" w:rsidTr="000C4388">
        <w:trPr>
          <w:trHeight w:val="288"/>
        </w:trPr>
        <w:tc>
          <w:tcPr>
            <w:tcW w:w="0" w:type="auto"/>
            <w:tcBorders>
              <w:top w:val="single" w:sz="4" w:space="0" w:color="auto"/>
            </w:tcBorders>
            <w:shd w:val="clear" w:color="auto" w:fill="auto"/>
            <w:noWrap/>
            <w:vAlign w:val="bottom"/>
            <w:hideMark/>
          </w:tcPr>
          <w:p w14:paraId="76AB305B" w14:textId="77777777" w:rsidR="000C4388" w:rsidRPr="009F6406" w:rsidRDefault="000C4388" w:rsidP="007F38E7">
            <w:pPr>
              <w:spacing w:after="0"/>
              <w:rPr>
                <w:rFonts w:eastAsia="Times New Roman" w:cs="Times New Roman"/>
                <w:b/>
                <w:bCs/>
                <w:color w:val="000000"/>
                <w:sz w:val="14"/>
                <w:szCs w:val="14"/>
                <w:u w:val="single"/>
              </w:rPr>
            </w:pPr>
          </w:p>
        </w:tc>
        <w:tc>
          <w:tcPr>
            <w:tcW w:w="0" w:type="auto"/>
            <w:gridSpan w:val="5"/>
            <w:tcBorders>
              <w:top w:val="single" w:sz="4" w:space="0" w:color="auto"/>
              <w:right w:val="single" w:sz="4" w:space="0" w:color="auto"/>
            </w:tcBorders>
            <w:shd w:val="clear" w:color="auto" w:fill="auto"/>
            <w:noWrap/>
            <w:vAlign w:val="bottom"/>
            <w:hideMark/>
          </w:tcPr>
          <w:p w14:paraId="206AF751" w14:textId="77777777" w:rsidR="000C4388" w:rsidRPr="009F6406" w:rsidRDefault="002F2ABC" w:rsidP="007F38E7">
            <w:pPr>
              <w:spacing w:after="0"/>
              <w:jc w:val="center"/>
              <w:rPr>
                <w:rFonts w:eastAsia="Times New Roman" w:cs="Times New Roman"/>
                <w:color w:val="000000"/>
                <w:sz w:val="14"/>
                <w:szCs w:val="14"/>
              </w:rPr>
            </w:pPr>
            <w:r w:rsidRPr="009F6406">
              <w:rPr>
                <w:rFonts w:eastAsia="Times New Roman" w:cs="Times New Roman"/>
                <w:b/>
                <w:bCs/>
                <w:color w:val="000000"/>
                <w:sz w:val="14"/>
                <w:szCs w:val="14"/>
              </w:rPr>
              <w:t>TERM</w:t>
            </w:r>
            <w:r w:rsidR="00F605DD" w:rsidRPr="009F6406">
              <w:rPr>
                <w:rFonts w:eastAsia="Times New Roman" w:cs="Times New Roman"/>
                <w:b/>
                <w:bCs/>
                <w:color w:val="000000"/>
                <w:sz w:val="14"/>
                <w:szCs w:val="14"/>
              </w:rPr>
              <w:t xml:space="preserve"> 1 (September-October 2015)</w:t>
            </w:r>
            <w:r w:rsidR="000C4388" w:rsidRPr="009F6406">
              <w:rPr>
                <w:rFonts w:eastAsia="Times New Roman" w:cs="Times New Roman"/>
                <w:b/>
                <w:bCs/>
                <w:color w:val="000000"/>
                <w:sz w:val="14"/>
                <w:szCs w:val="14"/>
              </w:rPr>
              <w:t>:</w:t>
            </w:r>
          </w:p>
        </w:tc>
        <w:tc>
          <w:tcPr>
            <w:tcW w:w="0" w:type="auto"/>
            <w:gridSpan w:val="5"/>
            <w:tcBorders>
              <w:top w:val="single" w:sz="4" w:space="0" w:color="auto"/>
              <w:left w:val="single" w:sz="4" w:space="0" w:color="auto"/>
              <w:right w:val="single" w:sz="4" w:space="0" w:color="auto"/>
            </w:tcBorders>
            <w:shd w:val="clear" w:color="auto" w:fill="auto"/>
            <w:noWrap/>
            <w:vAlign w:val="bottom"/>
            <w:hideMark/>
          </w:tcPr>
          <w:p w14:paraId="429E9366" w14:textId="77777777" w:rsidR="000C4388" w:rsidRPr="009F6406" w:rsidRDefault="002F2ABC" w:rsidP="007F38E7">
            <w:pPr>
              <w:spacing w:after="0"/>
              <w:jc w:val="center"/>
              <w:rPr>
                <w:rFonts w:eastAsia="Times New Roman" w:cs="Times New Roman"/>
                <w:color w:val="000000"/>
                <w:sz w:val="14"/>
                <w:szCs w:val="14"/>
              </w:rPr>
            </w:pPr>
            <w:r w:rsidRPr="009F6406">
              <w:rPr>
                <w:rFonts w:eastAsia="Times New Roman" w:cs="Times New Roman"/>
                <w:b/>
                <w:bCs/>
                <w:color w:val="000000"/>
                <w:sz w:val="14"/>
                <w:szCs w:val="14"/>
              </w:rPr>
              <w:t>TERM</w:t>
            </w:r>
            <w:r w:rsidR="00F605DD" w:rsidRPr="009F6406">
              <w:rPr>
                <w:rFonts w:eastAsia="Times New Roman" w:cs="Times New Roman"/>
                <w:b/>
                <w:bCs/>
                <w:color w:val="000000"/>
                <w:sz w:val="14"/>
                <w:szCs w:val="14"/>
              </w:rPr>
              <w:t xml:space="preserve"> 2 (January-February 2016)</w:t>
            </w:r>
            <w:r w:rsidR="000C4388" w:rsidRPr="009F6406">
              <w:rPr>
                <w:rFonts w:eastAsia="Times New Roman" w:cs="Times New Roman"/>
                <w:b/>
                <w:bCs/>
                <w:color w:val="000000"/>
                <w:sz w:val="14"/>
                <w:szCs w:val="14"/>
              </w:rPr>
              <w:t>:</w:t>
            </w:r>
          </w:p>
        </w:tc>
        <w:tc>
          <w:tcPr>
            <w:tcW w:w="0" w:type="auto"/>
            <w:gridSpan w:val="5"/>
            <w:tcBorders>
              <w:top w:val="single" w:sz="4" w:space="0" w:color="auto"/>
              <w:left w:val="single" w:sz="4" w:space="0" w:color="auto"/>
            </w:tcBorders>
            <w:shd w:val="clear" w:color="auto" w:fill="auto"/>
            <w:noWrap/>
            <w:vAlign w:val="bottom"/>
            <w:hideMark/>
          </w:tcPr>
          <w:p w14:paraId="58899A01" w14:textId="77777777" w:rsidR="000C4388" w:rsidRPr="009F6406" w:rsidRDefault="002F2ABC" w:rsidP="007F38E7">
            <w:pPr>
              <w:spacing w:after="0"/>
              <w:jc w:val="center"/>
              <w:rPr>
                <w:rFonts w:eastAsia="Times New Roman" w:cs="Times New Roman"/>
                <w:color w:val="000000"/>
                <w:sz w:val="14"/>
                <w:szCs w:val="14"/>
              </w:rPr>
            </w:pPr>
            <w:r w:rsidRPr="009F6406">
              <w:rPr>
                <w:rFonts w:eastAsia="Times New Roman" w:cs="Times New Roman"/>
                <w:b/>
                <w:bCs/>
                <w:color w:val="000000"/>
                <w:sz w:val="14"/>
                <w:szCs w:val="14"/>
              </w:rPr>
              <w:t>TERM</w:t>
            </w:r>
            <w:r w:rsidR="00F605DD" w:rsidRPr="009F6406">
              <w:rPr>
                <w:rFonts w:eastAsia="Times New Roman" w:cs="Times New Roman"/>
                <w:b/>
                <w:bCs/>
                <w:color w:val="000000"/>
                <w:sz w:val="14"/>
                <w:szCs w:val="14"/>
              </w:rPr>
              <w:t xml:space="preserve"> 3 (April-May 2016)</w:t>
            </w:r>
            <w:r w:rsidR="000C4388" w:rsidRPr="009F6406">
              <w:rPr>
                <w:rFonts w:eastAsia="Times New Roman" w:cs="Times New Roman"/>
                <w:b/>
                <w:bCs/>
                <w:color w:val="000000"/>
                <w:sz w:val="14"/>
                <w:szCs w:val="14"/>
              </w:rPr>
              <w:t>:</w:t>
            </w:r>
          </w:p>
        </w:tc>
      </w:tr>
      <w:tr w:rsidR="000C4388" w:rsidRPr="009F6406" w14:paraId="0D152435" w14:textId="77777777" w:rsidTr="000C4388">
        <w:trPr>
          <w:trHeight w:val="288"/>
        </w:trPr>
        <w:tc>
          <w:tcPr>
            <w:tcW w:w="0" w:type="auto"/>
            <w:shd w:val="clear" w:color="auto" w:fill="auto"/>
            <w:noWrap/>
            <w:vAlign w:val="bottom"/>
            <w:hideMark/>
          </w:tcPr>
          <w:p w14:paraId="5C9DD12A"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color w:val="000000"/>
                <w:sz w:val="14"/>
                <w:szCs w:val="14"/>
              </w:rPr>
              <w:t> </w:t>
            </w:r>
          </w:p>
        </w:tc>
        <w:tc>
          <w:tcPr>
            <w:tcW w:w="0" w:type="auto"/>
            <w:shd w:val="clear" w:color="auto" w:fill="auto"/>
            <w:noWrap/>
            <w:vAlign w:val="center"/>
            <w:hideMark/>
          </w:tcPr>
          <w:p w14:paraId="2D6E30AB"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0</w:t>
            </w:r>
          </w:p>
        </w:tc>
        <w:tc>
          <w:tcPr>
            <w:tcW w:w="0" w:type="auto"/>
            <w:gridSpan w:val="4"/>
            <w:tcBorders>
              <w:right w:val="single" w:sz="4" w:space="0" w:color="auto"/>
            </w:tcBorders>
            <w:shd w:val="clear" w:color="auto" w:fill="auto"/>
            <w:noWrap/>
            <w:vAlign w:val="center"/>
            <w:hideMark/>
          </w:tcPr>
          <w:p w14:paraId="774DE5FC"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1</w:t>
            </w:r>
          </w:p>
        </w:tc>
        <w:tc>
          <w:tcPr>
            <w:tcW w:w="0" w:type="auto"/>
            <w:tcBorders>
              <w:left w:val="single" w:sz="4" w:space="0" w:color="auto"/>
            </w:tcBorders>
            <w:shd w:val="clear" w:color="auto" w:fill="auto"/>
            <w:noWrap/>
            <w:vAlign w:val="center"/>
            <w:hideMark/>
          </w:tcPr>
          <w:p w14:paraId="027CFAE6"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0</w:t>
            </w:r>
          </w:p>
        </w:tc>
        <w:tc>
          <w:tcPr>
            <w:tcW w:w="0" w:type="auto"/>
            <w:gridSpan w:val="4"/>
            <w:tcBorders>
              <w:right w:val="single" w:sz="4" w:space="0" w:color="auto"/>
            </w:tcBorders>
            <w:shd w:val="clear" w:color="auto" w:fill="auto"/>
            <w:noWrap/>
            <w:vAlign w:val="center"/>
            <w:hideMark/>
          </w:tcPr>
          <w:p w14:paraId="0FB1F0E5"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1</w:t>
            </w:r>
          </w:p>
        </w:tc>
        <w:tc>
          <w:tcPr>
            <w:tcW w:w="0" w:type="auto"/>
            <w:tcBorders>
              <w:left w:val="single" w:sz="4" w:space="0" w:color="auto"/>
            </w:tcBorders>
            <w:shd w:val="clear" w:color="auto" w:fill="auto"/>
            <w:noWrap/>
            <w:vAlign w:val="center"/>
            <w:hideMark/>
          </w:tcPr>
          <w:p w14:paraId="38734288"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0</w:t>
            </w:r>
          </w:p>
        </w:tc>
        <w:tc>
          <w:tcPr>
            <w:tcW w:w="0" w:type="auto"/>
            <w:gridSpan w:val="4"/>
            <w:shd w:val="clear" w:color="auto" w:fill="auto"/>
            <w:noWrap/>
            <w:vAlign w:val="center"/>
            <w:hideMark/>
          </w:tcPr>
          <w:p w14:paraId="38CC34DF"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1</w:t>
            </w:r>
          </w:p>
        </w:tc>
      </w:tr>
      <w:tr w:rsidR="000C4388" w:rsidRPr="009F6406" w14:paraId="3C3C469B" w14:textId="77777777" w:rsidTr="000C4388">
        <w:trPr>
          <w:trHeight w:val="304"/>
        </w:trPr>
        <w:tc>
          <w:tcPr>
            <w:tcW w:w="0" w:type="auto"/>
            <w:tcBorders>
              <w:bottom w:val="single" w:sz="4" w:space="0" w:color="auto"/>
            </w:tcBorders>
            <w:shd w:val="clear" w:color="auto" w:fill="auto"/>
            <w:noWrap/>
            <w:vAlign w:val="bottom"/>
            <w:hideMark/>
          </w:tcPr>
          <w:p w14:paraId="7F1ACCE2"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color w:val="000000"/>
                <w:sz w:val="14"/>
                <w:szCs w:val="14"/>
              </w:rPr>
              <w:t> </w:t>
            </w:r>
            <w:r w:rsidRPr="009F6406">
              <w:rPr>
                <w:rFonts w:eastAsia="Times New Roman" w:cs="Times New Roman"/>
                <w:i/>
                <w:iCs/>
                <w:color w:val="000000"/>
                <w:sz w:val="14"/>
                <w:szCs w:val="14"/>
              </w:rPr>
              <w:t>FIXED EFFECTS</w:t>
            </w:r>
          </w:p>
        </w:tc>
        <w:tc>
          <w:tcPr>
            <w:tcW w:w="0" w:type="auto"/>
            <w:tcBorders>
              <w:bottom w:val="single" w:sz="4" w:space="0" w:color="auto"/>
            </w:tcBorders>
            <w:shd w:val="clear" w:color="auto" w:fill="auto"/>
            <w:noWrap/>
            <w:vAlign w:val="center"/>
            <w:hideMark/>
          </w:tcPr>
          <w:p w14:paraId="4232ECD1"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0" w:type="auto"/>
            <w:tcBorders>
              <w:bottom w:val="single" w:sz="4" w:space="0" w:color="auto"/>
            </w:tcBorders>
            <w:shd w:val="clear" w:color="auto" w:fill="auto"/>
            <w:vAlign w:val="center"/>
            <w:hideMark/>
          </w:tcPr>
          <w:p w14:paraId="36B3EB5D"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0" w:type="auto"/>
            <w:tcBorders>
              <w:bottom w:val="single" w:sz="4" w:space="0" w:color="auto"/>
            </w:tcBorders>
            <w:shd w:val="clear" w:color="auto" w:fill="auto"/>
            <w:vAlign w:val="center"/>
            <w:hideMark/>
          </w:tcPr>
          <w:p w14:paraId="2F5915AB"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SE</w:t>
            </w:r>
          </w:p>
        </w:tc>
        <w:tc>
          <w:tcPr>
            <w:tcW w:w="0" w:type="auto"/>
            <w:tcBorders>
              <w:bottom w:val="single" w:sz="4" w:space="0" w:color="auto"/>
            </w:tcBorders>
            <w:shd w:val="clear" w:color="auto" w:fill="auto"/>
            <w:vAlign w:val="center"/>
            <w:hideMark/>
          </w:tcPr>
          <w:p w14:paraId="07A11485"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p</w:t>
            </w:r>
          </w:p>
        </w:tc>
        <w:tc>
          <w:tcPr>
            <w:tcW w:w="0" w:type="auto"/>
            <w:tcBorders>
              <w:bottom w:val="single" w:sz="4" w:space="0" w:color="auto"/>
              <w:right w:val="single" w:sz="4" w:space="0" w:color="auto"/>
            </w:tcBorders>
            <w:shd w:val="clear" w:color="auto" w:fill="auto"/>
            <w:vAlign w:val="center"/>
            <w:hideMark/>
          </w:tcPr>
          <w:p w14:paraId="499CEC29"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ES</w:t>
            </w:r>
          </w:p>
        </w:tc>
        <w:tc>
          <w:tcPr>
            <w:tcW w:w="0" w:type="auto"/>
            <w:tcBorders>
              <w:left w:val="single" w:sz="4" w:space="0" w:color="auto"/>
              <w:bottom w:val="single" w:sz="4" w:space="0" w:color="auto"/>
            </w:tcBorders>
            <w:shd w:val="clear" w:color="auto" w:fill="auto"/>
            <w:noWrap/>
            <w:vAlign w:val="center"/>
            <w:hideMark/>
          </w:tcPr>
          <w:p w14:paraId="241CC36D"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0" w:type="auto"/>
            <w:tcBorders>
              <w:bottom w:val="single" w:sz="4" w:space="0" w:color="auto"/>
            </w:tcBorders>
            <w:shd w:val="clear" w:color="auto" w:fill="auto"/>
            <w:vAlign w:val="center"/>
            <w:hideMark/>
          </w:tcPr>
          <w:p w14:paraId="7E8200F7"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0" w:type="auto"/>
            <w:tcBorders>
              <w:bottom w:val="single" w:sz="4" w:space="0" w:color="auto"/>
            </w:tcBorders>
            <w:shd w:val="clear" w:color="auto" w:fill="auto"/>
            <w:vAlign w:val="center"/>
            <w:hideMark/>
          </w:tcPr>
          <w:p w14:paraId="5C6BF1CC"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SE</w:t>
            </w:r>
          </w:p>
        </w:tc>
        <w:tc>
          <w:tcPr>
            <w:tcW w:w="0" w:type="auto"/>
            <w:tcBorders>
              <w:bottom w:val="single" w:sz="4" w:space="0" w:color="auto"/>
            </w:tcBorders>
            <w:shd w:val="clear" w:color="auto" w:fill="auto"/>
            <w:vAlign w:val="center"/>
            <w:hideMark/>
          </w:tcPr>
          <w:p w14:paraId="342818DE"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p</w:t>
            </w:r>
          </w:p>
        </w:tc>
        <w:tc>
          <w:tcPr>
            <w:tcW w:w="0" w:type="auto"/>
            <w:tcBorders>
              <w:bottom w:val="single" w:sz="4" w:space="0" w:color="auto"/>
              <w:right w:val="single" w:sz="4" w:space="0" w:color="auto"/>
            </w:tcBorders>
            <w:shd w:val="clear" w:color="auto" w:fill="auto"/>
            <w:vAlign w:val="center"/>
            <w:hideMark/>
          </w:tcPr>
          <w:p w14:paraId="014EDCDC"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ES</w:t>
            </w:r>
          </w:p>
        </w:tc>
        <w:tc>
          <w:tcPr>
            <w:tcW w:w="0" w:type="auto"/>
            <w:tcBorders>
              <w:left w:val="single" w:sz="4" w:space="0" w:color="auto"/>
              <w:bottom w:val="single" w:sz="4" w:space="0" w:color="auto"/>
            </w:tcBorders>
            <w:shd w:val="clear" w:color="auto" w:fill="auto"/>
            <w:noWrap/>
            <w:vAlign w:val="center"/>
            <w:hideMark/>
          </w:tcPr>
          <w:p w14:paraId="497BA017"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0" w:type="auto"/>
            <w:tcBorders>
              <w:bottom w:val="single" w:sz="4" w:space="0" w:color="auto"/>
            </w:tcBorders>
            <w:shd w:val="clear" w:color="auto" w:fill="auto"/>
            <w:vAlign w:val="center"/>
            <w:hideMark/>
          </w:tcPr>
          <w:p w14:paraId="26B966BA"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0" w:type="auto"/>
            <w:tcBorders>
              <w:bottom w:val="single" w:sz="4" w:space="0" w:color="auto"/>
            </w:tcBorders>
            <w:shd w:val="clear" w:color="auto" w:fill="auto"/>
            <w:vAlign w:val="center"/>
            <w:hideMark/>
          </w:tcPr>
          <w:p w14:paraId="31A6C0BE"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SE</w:t>
            </w:r>
          </w:p>
        </w:tc>
        <w:tc>
          <w:tcPr>
            <w:tcW w:w="0" w:type="auto"/>
            <w:tcBorders>
              <w:bottom w:val="single" w:sz="4" w:space="0" w:color="auto"/>
            </w:tcBorders>
            <w:shd w:val="clear" w:color="auto" w:fill="auto"/>
            <w:vAlign w:val="center"/>
            <w:hideMark/>
          </w:tcPr>
          <w:p w14:paraId="653D0453"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p</w:t>
            </w:r>
          </w:p>
        </w:tc>
        <w:tc>
          <w:tcPr>
            <w:tcW w:w="0" w:type="auto"/>
            <w:tcBorders>
              <w:bottom w:val="single" w:sz="4" w:space="0" w:color="auto"/>
            </w:tcBorders>
            <w:shd w:val="clear" w:color="auto" w:fill="auto"/>
            <w:vAlign w:val="center"/>
            <w:hideMark/>
          </w:tcPr>
          <w:p w14:paraId="70DBD30B" w14:textId="77777777" w:rsidR="000C4388" w:rsidRPr="009F6406" w:rsidRDefault="000C4388" w:rsidP="007F38E7">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ES</w:t>
            </w:r>
          </w:p>
        </w:tc>
      </w:tr>
      <w:tr w:rsidR="000C4388" w:rsidRPr="009F6406" w14:paraId="5328960E" w14:textId="77777777" w:rsidTr="000C4388">
        <w:trPr>
          <w:trHeight w:val="288"/>
        </w:trPr>
        <w:tc>
          <w:tcPr>
            <w:tcW w:w="0" w:type="auto"/>
            <w:tcBorders>
              <w:top w:val="single" w:sz="4" w:space="0" w:color="auto"/>
            </w:tcBorders>
            <w:shd w:val="clear" w:color="auto" w:fill="auto"/>
            <w:noWrap/>
            <w:vAlign w:val="center"/>
            <w:hideMark/>
          </w:tcPr>
          <w:p w14:paraId="6F6D7AA7" w14:textId="77777777" w:rsidR="000C4388" w:rsidRPr="009F6406" w:rsidRDefault="000C4388" w:rsidP="007F38E7">
            <w:pPr>
              <w:spacing w:after="0"/>
              <w:rPr>
                <w:rFonts w:eastAsia="Times New Roman" w:cs="Times New Roman"/>
                <w:b/>
                <w:bCs/>
                <w:color w:val="000000"/>
                <w:sz w:val="14"/>
                <w:szCs w:val="14"/>
              </w:rPr>
            </w:pPr>
            <w:r w:rsidRPr="009F6406">
              <w:rPr>
                <w:rFonts w:eastAsia="Times New Roman" w:cs="Times New Roman"/>
                <w:b/>
                <w:bCs/>
                <w:color w:val="000000"/>
                <w:sz w:val="14"/>
                <w:szCs w:val="14"/>
              </w:rPr>
              <w:t>Average Math Knowledge:</w:t>
            </w:r>
          </w:p>
        </w:tc>
        <w:tc>
          <w:tcPr>
            <w:tcW w:w="0" w:type="auto"/>
            <w:tcBorders>
              <w:top w:val="single" w:sz="4" w:space="0" w:color="auto"/>
            </w:tcBorders>
            <w:shd w:val="clear" w:color="auto" w:fill="auto"/>
            <w:noWrap/>
            <w:vAlign w:val="center"/>
            <w:hideMark/>
          </w:tcPr>
          <w:p w14:paraId="56074A68"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89.40</w:t>
            </w:r>
          </w:p>
        </w:tc>
        <w:tc>
          <w:tcPr>
            <w:tcW w:w="0" w:type="auto"/>
            <w:tcBorders>
              <w:top w:val="single" w:sz="4" w:space="0" w:color="auto"/>
            </w:tcBorders>
            <w:shd w:val="clear" w:color="auto" w:fill="auto"/>
            <w:noWrap/>
            <w:vAlign w:val="center"/>
            <w:hideMark/>
          </w:tcPr>
          <w:p w14:paraId="70BE6DCA"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81.93</w:t>
            </w:r>
          </w:p>
        </w:tc>
        <w:tc>
          <w:tcPr>
            <w:tcW w:w="0" w:type="auto"/>
            <w:tcBorders>
              <w:top w:val="single" w:sz="4" w:space="0" w:color="auto"/>
            </w:tcBorders>
            <w:shd w:val="clear" w:color="auto" w:fill="auto"/>
            <w:noWrap/>
            <w:vAlign w:val="center"/>
            <w:hideMark/>
          </w:tcPr>
          <w:p w14:paraId="5486E1CE"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noWrap/>
            <w:vAlign w:val="center"/>
            <w:hideMark/>
          </w:tcPr>
          <w:p w14:paraId="55918CC0"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right w:val="single" w:sz="4" w:space="0" w:color="auto"/>
            </w:tcBorders>
            <w:shd w:val="clear" w:color="auto" w:fill="auto"/>
            <w:noWrap/>
            <w:vAlign w:val="center"/>
            <w:hideMark/>
          </w:tcPr>
          <w:p w14:paraId="4BD197B0"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left w:val="single" w:sz="4" w:space="0" w:color="auto"/>
            </w:tcBorders>
            <w:shd w:val="clear" w:color="auto" w:fill="auto"/>
            <w:noWrap/>
            <w:vAlign w:val="center"/>
            <w:hideMark/>
          </w:tcPr>
          <w:p w14:paraId="42B51108"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94.90</w:t>
            </w:r>
          </w:p>
        </w:tc>
        <w:tc>
          <w:tcPr>
            <w:tcW w:w="0" w:type="auto"/>
            <w:tcBorders>
              <w:top w:val="single" w:sz="4" w:space="0" w:color="auto"/>
            </w:tcBorders>
            <w:shd w:val="clear" w:color="auto" w:fill="auto"/>
            <w:noWrap/>
            <w:vAlign w:val="center"/>
            <w:hideMark/>
          </w:tcPr>
          <w:p w14:paraId="375B2E6F"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40.92</w:t>
            </w:r>
          </w:p>
        </w:tc>
        <w:tc>
          <w:tcPr>
            <w:tcW w:w="0" w:type="auto"/>
            <w:tcBorders>
              <w:top w:val="single" w:sz="4" w:space="0" w:color="auto"/>
            </w:tcBorders>
            <w:shd w:val="clear" w:color="auto" w:fill="auto"/>
            <w:noWrap/>
            <w:vAlign w:val="center"/>
            <w:hideMark/>
          </w:tcPr>
          <w:p w14:paraId="40111996"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noWrap/>
            <w:vAlign w:val="center"/>
            <w:hideMark/>
          </w:tcPr>
          <w:p w14:paraId="6B0F7159"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right w:val="single" w:sz="4" w:space="0" w:color="auto"/>
            </w:tcBorders>
            <w:shd w:val="clear" w:color="auto" w:fill="auto"/>
            <w:noWrap/>
            <w:vAlign w:val="center"/>
            <w:hideMark/>
          </w:tcPr>
          <w:p w14:paraId="4A7C45B6"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left w:val="single" w:sz="4" w:space="0" w:color="auto"/>
            </w:tcBorders>
            <w:shd w:val="clear" w:color="auto" w:fill="auto"/>
            <w:noWrap/>
            <w:vAlign w:val="center"/>
            <w:hideMark/>
          </w:tcPr>
          <w:p w14:paraId="1C8B43FE"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96.55</w:t>
            </w:r>
          </w:p>
        </w:tc>
        <w:tc>
          <w:tcPr>
            <w:tcW w:w="0" w:type="auto"/>
            <w:tcBorders>
              <w:top w:val="single" w:sz="4" w:space="0" w:color="auto"/>
            </w:tcBorders>
            <w:shd w:val="clear" w:color="auto" w:fill="auto"/>
            <w:noWrap/>
            <w:vAlign w:val="center"/>
            <w:hideMark/>
          </w:tcPr>
          <w:p w14:paraId="25BC17D4"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34.72</w:t>
            </w:r>
          </w:p>
        </w:tc>
        <w:tc>
          <w:tcPr>
            <w:tcW w:w="0" w:type="auto"/>
            <w:tcBorders>
              <w:top w:val="single" w:sz="4" w:space="0" w:color="auto"/>
            </w:tcBorders>
            <w:shd w:val="clear" w:color="auto" w:fill="auto"/>
            <w:noWrap/>
            <w:vAlign w:val="center"/>
            <w:hideMark/>
          </w:tcPr>
          <w:p w14:paraId="3BEAEE77"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noWrap/>
            <w:vAlign w:val="center"/>
            <w:hideMark/>
          </w:tcPr>
          <w:p w14:paraId="3ECB2BE3"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noWrap/>
            <w:vAlign w:val="center"/>
            <w:hideMark/>
          </w:tcPr>
          <w:p w14:paraId="135F8972" w14:textId="77777777" w:rsidR="000C4388" w:rsidRPr="009F6406" w:rsidRDefault="000C4388" w:rsidP="007F38E7">
            <w:pPr>
              <w:spacing w:after="0"/>
              <w:jc w:val="center"/>
              <w:rPr>
                <w:rFonts w:eastAsia="Times New Roman" w:cs="Times New Roman"/>
                <w:color w:val="000000"/>
                <w:sz w:val="14"/>
                <w:szCs w:val="14"/>
              </w:rPr>
            </w:pPr>
          </w:p>
        </w:tc>
      </w:tr>
      <w:tr w:rsidR="000C4388" w:rsidRPr="009F6406" w14:paraId="63212E5A" w14:textId="77777777" w:rsidTr="00F605DD">
        <w:trPr>
          <w:trHeight w:val="288"/>
        </w:trPr>
        <w:tc>
          <w:tcPr>
            <w:tcW w:w="0" w:type="auto"/>
            <w:shd w:val="clear" w:color="auto" w:fill="auto"/>
            <w:vAlign w:val="center"/>
            <w:hideMark/>
          </w:tcPr>
          <w:p w14:paraId="57118767"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b/>
                <w:color w:val="000000"/>
                <w:sz w:val="14"/>
                <w:szCs w:val="14"/>
              </w:rPr>
              <w:t>Experimental Group:</w:t>
            </w:r>
            <w:r w:rsidRPr="009F6406">
              <w:rPr>
                <w:rFonts w:eastAsia="Times New Roman" w:cs="Times New Roman"/>
                <w:color w:val="000000"/>
                <w:sz w:val="14"/>
                <w:szCs w:val="14"/>
              </w:rPr>
              <w:t xml:space="preserve"> Teacher started using </w:t>
            </w:r>
            <w:r w:rsidRPr="009F6406">
              <w:rPr>
                <w:rFonts w:eastAsia="Times New Roman" w:cs="Times New Roman"/>
                <w:i/>
                <w:color w:val="000000"/>
                <w:sz w:val="14"/>
                <w:szCs w:val="14"/>
              </w:rPr>
              <w:t>Inspire Maths</w:t>
            </w:r>
            <w:r w:rsidRPr="009F6406">
              <w:rPr>
                <w:rFonts w:eastAsia="Times New Roman" w:cs="Times New Roman"/>
                <w:color w:val="000000"/>
                <w:sz w:val="14"/>
                <w:szCs w:val="14"/>
              </w:rPr>
              <w:t xml:space="preserve"> in September? (vs. January)</w:t>
            </w:r>
          </w:p>
        </w:tc>
        <w:tc>
          <w:tcPr>
            <w:tcW w:w="0" w:type="auto"/>
            <w:shd w:val="clear" w:color="auto" w:fill="auto"/>
            <w:vAlign w:val="center"/>
            <w:hideMark/>
          </w:tcPr>
          <w:p w14:paraId="56845EF8"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hideMark/>
          </w:tcPr>
          <w:p w14:paraId="2F3C4728"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3.53</w:t>
            </w:r>
          </w:p>
        </w:tc>
        <w:tc>
          <w:tcPr>
            <w:tcW w:w="0" w:type="auto"/>
            <w:shd w:val="clear" w:color="auto" w:fill="auto"/>
            <w:vAlign w:val="center"/>
            <w:hideMark/>
          </w:tcPr>
          <w:p w14:paraId="3682950F"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0.17</w:t>
            </w:r>
          </w:p>
        </w:tc>
        <w:tc>
          <w:tcPr>
            <w:tcW w:w="0" w:type="auto"/>
            <w:shd w:val="clear" w:color="auto" w:fill="auto"/>
            <w:vAlign w:val="center"/>
            <w:hideMark/>
          </w:tcPr>
          <w:p w14:paraId="4A9D3DE2"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0.303</w:t>
            </w:r>
          </w:p>
        </w:tc>
        <w:tc>
          <w:tcPr>
            <w:tcW w:w="0" w:type="auto"/>
            <w:tcBorders>
              <w:right w:val="single" w:sz="4" w:space="0" w:color="auto"/>
            </w:tcBorders>
            <w:shd w:val="clear" w:color="auto" w:fill="auto"/>
            <w:vAlign w:val="center"/>
            <w:hideMark/>
          </w:tcPr>
          <w:p w14:paraId="0D5BF45A"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0.30</w:t>
            </w:r>
          </w:p>
        </w:tc>
        <w:tc>
          <w:tcPr>
            <w:tcW w:w="0" w:type="auto"/>
            <w:tcBorders>
              <w:left w:val="single" w:sz="4" w:space="0" w:color="auto"/>
            </w:tcBorders>
            <w:shd w:val="clear" w:color="auto" w:fill="auto"/>
            <w:noWrap/>
            <w:vAlign w:val="center"/>
            <w:hideMark/>
          </w:tcPr>
          <w:p w14:paraId="1BB9CDBB"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hideMark/>
          </w:tcPr>
          <w:p w14:paraId="421638C7"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-0.40</w:t>
            </w:r>
          </w:p>
        </w:tc>
        <w:tc>
          <w:tcPr>
            <w:tcW w:w="0" w:type="auto"/>
            <w:shd w:val="clear" w:color="auto" w:fill="auto"/>
            <w:vAlign w:val="center"/>
            <w:hideMark/>
          </w:tcPr>
          <w:p w14:paraId="698D0CD2"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2.47</w:t>
            </w:r>
          </w:p>
        </w:tc>
        <w:tc>
          <w:tcPr>
            <w:tcW w:w="0" w:type="auto"/>
            <w:shd w:val="clear" w:color="auto" w:fill="auto"/>
            <w:vAlign w:val="center"/>
            <w:hideMark/>
          </w:tcPr>
          <w:p w14:paraId="6331CF05"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0.872</w:t>
            </w:r>
          </w:p>
        </w:tc>
        <w:tc>
          <w:tcPr>
            <w:tcW w:w="0" w:type="auto"/>
            <w:tcBorders>
              <w:right w:val="single" w:sz="4" w:space="0" w:color="auto"/>
            </w:tcBorders>
            <w:shd w:val="clear" w:color="auto" w:fill="auto"/>
            <w:vAlign w:val="center"/>
            <w:hideMark/>
          </w:tcPr>
          <w:p w14:paraId="08DFE0E4"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-0.04</w:t>
            </w:r>
          </w:p>
        </w:tc>
        <w:tc>
          <w:tcPr>
            <w:tcW w:w="0" w:type="auto"/>
            <w:tcBorders>
              <w:left w:val="single" w:sz="4" w:space="0" w:color="auto"/>
            </w:tcBorders>
            <w:shd w:val="clear" w:color="auto" w:fill="auto"/>
            <w:vAlign w:val="center"/>
            <w:hideMark/>
          </w:tcPr>
          <w:p w14:paraId="0FC337CA"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hideMark/>
          </w:tcPr>
          <w:p w14:paraId="4F3FF342"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3.86</w:t>
            </w:r>
          </w:p>
        </w:tc>
        <w:tc>
          <w:tcPr>
            <w:tcW w:w="0" w:type="auto"/>
            <w:shd w:val="clear" w:color="auto" w:fill="auto"/>
            <w:noWrap/>
            <w:vAlign w:val="center"/>
            <w:hideMark/>
          </w:tcPr>
          <w:p w14:paraId="636411A0"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1.80</w:t>
            </w:r>
          </w:p>
        </w:tc>
        <w:tc>
          <w:tcPr>
            <w:tcW w:w="0" w:type="auto"/>
            <w:shd w:val="clear" w:color="auto" w:fill="auto"/>
            <w:vAlign w:val="center"/>
            <w:hideMark/>
          </w:tcPr>
          <w:p w14:paraId="1105217C"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0.046</w:t>
            </w:r>
          </w:p>
        </w:tc>
        <w:tc>
          <w:tcPr>
            <w:tcW w:w="0" w:type="auto"/>
            <w:shd w:val="clear" w:color="auto" w:fill="auto"/>
            <w:vAlign w:val="center"/>
            <w:hideMark/>
          </w:tcPr>
          <w:p w14:paraId="0CE25D47"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0.42</w:t>
            </w:r>
          </w:p>
        </w:tc>
      </w:tr>
      <w:tr w:rsidR="000C4388" w:rsidRPr="009F6406" w14:paraId="1028F39F" w14:textId="77777777" w:rsidTr="00F605DD">
        <w:trPr>
          <w:trHeight w:val="288"/>
        </w:trPr>
        <w:tc>
          <w:tcPr>
            <w:tcW w:w="0" w:type="auto"/>
            <w:shd w:val="clear" w:color="auto" w:fill="auto"/>
            <w:noWrap/>
            <w:vAlign w:val="center"/>
            <w:hideMark/>
          </w:tcPr>
          <w:p w14:paraId="0AFC306E"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b/>
                <w:color w:val="000000"/>
                <w:sz w:val="14"/>
                <w:szCs w:val="14"/>
              </w:rPr>
              <w:t>Pupil:</w:t>
            </w:r>
            <w:r w:rsidRPr="009F6406">
              <w:rPr>
                <w:rFonts w:eastAsia="Times New Roman" w:cs="Times New Roman"/>
                <w:color w:val="000000"/>
                <w:sz w:val="14"/>
                <w:szCs w:val="14"/>
              </w:rPr>
              <w:t xml:space="preserve"> Math knowledge at the beginning of this term</w:t>
            </w:r>
          </w:p>
        </w:tc>
        <w:tc>
          <w:tcPr>
            <w:tcW w:w="0" w:type="auto"/>
            <w:shd w:val="clear" w:color="auto" w:fill="auto"/>
            <w:vAlign w:val="center"/>
            <w:hideMark/>
          </w:tcPr>
          <w:p w14:paraId="07DA977F"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hideMark/>
          </w:tcPr>
          <w:p w14:paraId="67F2AB11"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hideMark/>
          </w:tcPr>
          <w:p w14:paraId="63999366"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hideMark/>
          </w:tcPr>
          <w:p w14:paraId="15B8A34C"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right w:val="single" w:sz="4" w:space="0" w:color="auto"/>
            </w:tcBorders>
            <w:shd w:val="clear" w:color="auto" w:fill="auto"/>
            <w:vAlign w:val="center"/>
            <w:hideMark/>
          </w:tcPr>
          <w:p w14:paraId="675D5C05"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tcBorders>
            <w:shd w:val="clear" w:color="auto" w:fill="auto"/>
            <w:noWrap/>
            <w:vAlign w:val="center"/>
            <w:hideMark/>
          </w:tcPr>
          <w:p w14:paraId="03A01B9D"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noWrap/>
            <w:vAlign w:val="center"/>
            <w:hideMark/>
          </w:tcPr>
          <w:p w14:paraId="305009D0"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0.58</w:t>
            </w:r>
          </w:p>
        </w:tc>
        <w:tc>
          <w:tcPr>
            <w:tcW w:w="0" w:type="auto"/>
            <w:shd w:val="clear" w:color="auto" w:fill="auto"/>
            <w:vAlign w:val="center"/>
            <w:hideMark/>
          </w:tcPr>
          <w:p w14:paraId="099537BF"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0.04</w:t>
            </w:r>
          </w:p>
        </w:tc>
        <w:tc>
          <w:tcPr>
            <w:tcW w:w="0" w:type="auto"/>
            <w:shd w:val="clear" w:color="auto" w:fill="auto"/>
            <w:vAlign w:val="center"/>
            <w:hideMark/>
          </w:tcPr>
          <w:p w14:paraId="3C88634B"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&lt;0.001</w:t>
            </w:r>
          </w:p>
        </w:tc>
        <w:tc>
          <w:tcPr>
            <w:tcW w:w="0" w:type="auto"/>
            <w:tcBorders>
              <w:right w:val="single" w:sz="4" w:space="0" w:color="auto"/>
            </w:tcBorders>
            <w:shd w:val="clear" w:color="auto" w:fill="auto"/>
            <w:vAlign w:val="center"/>
            <w:hideMark/>
          </w:tcPr>
          <w:p w14:paraId="575603F8"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1.61</w:t>
            </w:r>
          </w:p>
        </w:tc>
        <w:tc>
          <w:tcPr>
            <w:tcW w:w="0" w:type="auto"/>
            <w:tcBorders>
              <w:left w:val="single" w:sz="4" w:space="0" w:color="auto"/>
            </w:tcBorders>
            <w:shd w:val="clear" w:color="auto" w:fill="auto"/>
            <w:vAlign w:val="center"/>
            <w:hideMark/>
          </w:tcPr>
          <w:p w14:paraId="19E32520"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hideMark/>
          </w:tcPr>
          <w:p w14:paraId="3A1402E9"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0.67</w:t>
            </w:r>
          </w:p>
        </w:tc>
        <w:tc>
          <w:tcPr>
            <w:tcW w:w="0" w:type="auto"/>
            <w:shd w:val="clear" w:color="auto" w:fill="auto"/>
            <w:noWrap/>
            <w:vAlign w:val="center"/>
            <w:hideMark/>
          </w:tcPr>
          <w:p w14:paraId="2CC066A8"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0.04</w:t>
            </w:r>
          </w:p>
        </w:tc>
        <w:tc>
          <w:tcPr>
            <w:tcW w:w="0" w:type="auto"/>
            <w:shd w:val="clear" w:color="auto" w:fill="auto"/>
            <w:vAlign w:val="center"/>
            <w:hideMark/>
          </w:tcPr>
          <w:p w14:paraId="6C2F15D8"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&lt;0.001</w:t>
            </w:r>
          </w:p>
        </w:tc>
        <w:tc>
          <w:tcPr>
            <w:tcW w:w="0" w:type="auto"/>
            <w:shd w:val="clear" w:color="auto" w:fill="auto"/>
            <w:vAlign w:val="center"/>
            <w:hideMark/>
          </w:tcPr>
          <w:p w14:paraId="6565DF00"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1.81</w:t>
            </w:r>
          </w:p>
        </w:tc>
      </w:tr>
      <w:tr w:rsidR="000C4388" w:rsidRPr="009F6406" w14:paraId="475FA929" w14:textId="77777777" w:rsidTr="00F605DD">
        <w:trPr>
          <w:trHeight w:val="288"/>
        </w:trPr>
        <w:tc>
          <w:tcPr>
            <w:tcW w:w="0" w:type="auto"/>
            <w:shd w:val="clear" w:color="auto" w:fill="auto"/>
            <w:noWrap/>
            <w:vAlign w:val="center"/>
          </w:tcPr>
          <w:p w14:paraId="0E16CE77"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b/>
                <w:color w:val="000000"/>
                <w:sz w:val="14"/>
                <w:szCs w:val="14"/>
              </w:rPr>
              <w:t>Pupil:</w:t>
            </w:r>
            <w:r w:rsidRPr="009F6406">
              <w:rPr>
                <w:rFonts w:eastAsia="Times New Roman" w:cs="Times New Roman"/>
                <w:color w:val="000000"/>
                <w:sz w:val="14"/>
                <w:szCs w:val="14"/>
              </w:rPr>
              <w:t xml:space="preserve"> Female?</w:t>
            </w:r>
          </w:p>
        </w:tc>
        <w:tc>
          <w:tcPr>
            <w:tcW w:w="0" w:type="auto"/>
            <w:shd w:val="clear" w:color="auto" w:fill="auto"/>
            <w:vAlign w:val="center"/>
          </w:tcPr>
          <w:p w14:paraId="1BFB6B72"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tcPr>
          <w:p w14:paraId="1755C171"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2.57</w:t>
            </w:r>
          </w:p>
        </w:tc>
        <w:tc>
          <w:tcPr>
            <w:tcW w:w="0" w:type="auto"/>
            <w:shd w:val="clear" w:color="auto" w:fill="auto"/>
            <w:vAlign w:val="center"/>
          </w:tcPr>
          <w:p w14:paraId="4FEADB66"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1.03</w:t>
            </w:r>
          </w:p>
        </w:tc>
        <w:tc>
          <w:tcPr>
            <w:tcW w:w="0" w:type="auto"/>
            <w:shd w:val="clear" w:color="auto" w:fill="auto"/>
            <w:vAlign w:val="center"/>
          </w:tcPr>
          <w:p w14:paraId="7FEFBF9A"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0.013</w:t>
            </w:r>
          </w:p>
        </w:tc>
        <w:tc>
          <w:tcPr>
            <w:tcW w:w="0" w:type="auto"/>
            <w:tcBorders>
              <w:right w:val="single" w:sz="4" w:space="0" w:color="auto"/>
            </w:tcBorders>
            <w:shd w:val="clear" w:color="auto" w:fill="auto"/>
            <w:vAlign w:val="center"/>
          </w:tcPr>
          <w:p w14:paraId="2B967833"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0.22</w:t>
            </w:r>
          </w:p>
        </w:tc>
        <w:tc>
          <w:tcPr>
            <w:tcW w:w="0" w:type="auto"/>
            <w:tcBorders>
              <w:left w:val="single" w:sz="4" w:space="0" w:color="auto"/>
            </w:tcBorders>
            <w:shd w:val="clear" w:color="auto" w:fill="auto"/>
            <w:noWrap/>
            <w:vAlign w:val="center"/>
          </w:tcPr>
          <w:p w14:paraId="468DFCBE"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noWrap/>
            <w:vAlign w:val="center"/>
          </w:tcPr>
          <w:p w14:paraId="5025D20D"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0.98</w:t>
            </w:r>
          </w:p>
        </w:tc>
        <w:tc>
          <w:tcPr>
            <w:tcW w:w="0" w:type="auto"/>
            <w:shd w:val="clear" w:color="auto" w:fill="auto"/>
            <w:vAlign w:val="center"/>
          </w:tcPr>
          <w:p w14:paraId="55F80C12"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0.86</w:t>
            </w:r>
          </w:p>
        </w:tc>
        <w:tc>
          <w:tcPr>
            <w:tcW w:w="0" w:type="auto"/>
            <w:shd w:val="clear" w:color="auto" w:fill="auto"/>
            <w:vAlign w:val="center"/>
          </w:tcPr>
          <w:p w14:paraId="27F3F617"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0.255</w:t>
            </w:r>
          </w:p>
        </w:tc>
        <w:tc>
          <w:tcPr>
            <w:tcW w:w="0" w:type="auto"/>
            <w:tcBorders>
              <w:right w:val="single" w:sz="4" w:space="0" w:color="auto"/>
            </w:tcBorders>
            <w:shd w:val="clear" w:color="auto" w:fill="auto"/>
            <w:vAlign w:val="center"/>
          </w:tcPr>
          <w:p w14:paraId="5534AB3E"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0.11</w:t>
            </w:r>
          </w:p>
        </w:tc>
        <w:tc>
          <w:tcPr>
            <w:tcW w:w="0" w:type="auto"/>
            <w:tcBorders>
              <w:left w:val="single" w:sz="4" w:space="0" w:color="auto"/>
            </w:tcBorders>
            <w:shd w:val="clear" w:color="auto" w:fill="auto"/>
            <w:vAlign w:val="center"/>
          </w:tcPr>
          <w:p w14:paraId="609A5006"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tcPr>
          <w:p w14:paraId="1AFCE29A"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-1.92</w:t>
            </w:r>
          </w:p>
        </w:tc>
        <w:tc>
          <w:tcPr>
            <w:tcW w:w="0" w:type="auto"/>
            <w:shd w:val="clear" w:color="auto" w:fill="auto"/>
            <w:noWrap/>
            <w:vAlign w:val="center"/>
          </w:tcPr>
          <w:p w14:paraId="728E016A"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0.87</w:t>
            </w:r>
          </w:p>
        </w:tc>
        <w:tc>
          <w:tcPr>
            <w:tcW w:w="0" w:type="auto"/>
            <w:shd w:val="clear" w:color="auto" w:fill="auto"/>
            <w:vAlign w:val="center"/>
          </w:tcPr>
          <w:p w14:paraId="4CD926AF"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0.028</w:t>
            </w:r>
          </w:p>
        </w:tc>
        <w:tc>
          <w:tcPr>
            <w:tcW w:w="0" w:type="auto"/>
            <w:shd w:val="clear" w:color="auto" w:fill="auto"/>
            <w:vAlign w:val="center"/>
          </w:tcPr>
          <w:p w14:paraId="41ADE60F" w14:textId="77777777" w:rsidR="000C4388" w:rsidRPr="009F6406" w:rsidRDefault="000C4388" w:rsidP="007F38E7">
            <w:pPr>
              <w:spacing w:after="0"/>
              <w:jc w:val="center"/>
              <w:rPr>
                <w:rFonts w:eastAsia="Times New Roman" w:cs="Times New Roman"/>
                <w:iCs/>
                <w:color w:val="000000"/>
                <w:sz w:val="14"/>
                <w:szCs w:val="14"/>
              </w:rPr>
            </w:pPr>
            <w:r w:rsidRPr="009F6406">
              <w:rPr>
                <w:rFonts w:eastAsia="Times New Roman" w:cs="Times New Roman"/>
                <w:iCs/>
                <w:color w:val="000000"/>
                <w:sz w:val="14"/>
                <w:szCs w:val="14"/>
              </w:rPr>
              <w:t>-0.21</w:t>
            </w:r>
          </w:p>
        </w:tc>
      </w:tr>
      <w:tr w:rsidR="000C4388" w:rsidRPr="009F6406" w14:paraId="0A33E8BE" w14:textId="77777777" w:rsidTr="000C4388">
        <w:trPr>
          <w:trHeight w:val="288"/>
        </w:trPr>
        <w:tc>
          <w:tcPr>
            <w:tcW w:w="0" w:type="auto"/>
            <w:shd w:val="clear" w:color="auto" w:fill="auto"/>
            <w:noWrap/>
            <w:vAlign w:val="center"/>
          </w:tcPr>
          <w:p w14:paraId="3BE97052"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b/>
                <w:color w:val="000000"/>
                <w:sz w:val="14"/>
                <w:szCs w:val="14"/>
              </w:rPr>
              <w:t>Teacher:</w:t>
            </w:r>
            <w:r w:rsidRPr="009F6406">
              <w:rPr>
                <w:rFonts w:eastAsia="Times New Roman" w:cs="Times New Roman"/>
                <w:color w:val="000000"/>
                <w:sz w:val="14"/>
                <w:szCs w:val="14"/>
              </w:rPr>
              <w:t xml:space="preserve"> Years of experience</w:t>
            </w:r>
          </w:p>
        </w:tc>
        <w:tc>
          <w:tcPr>
            <w:tcW w:w="0" w:type="auto"/>
            <w:shd w:val="clear" w:color="auto" w:fill="auto"/>
            <w:vAlign w:val="center"/>
          </w:tcPr>
          <w:p w14:paraId="0586DF3F"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tcPr>
          <w:p w14:paraId="222F251E"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0.14</w:t>
            </w:r>
          </w:p>
        </w:tc>
        <w:tc>
          <w:tcPr>
            <w:tcW w:w="0" w:type="auto"/>
            <w:shd w:val="clear" w:color="auto" w:fill="auto"/>
            <w:vAlign w:val="center"/>
          </w:tcPr>
          <w:p w14:paraId="05AFB057"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0.17</w:t>
            </w:r>
          </w:p>
        </w:tc>
        <w:tc>
          <w:tcPr>
            <w:tcW w:w="0" w:type="auto"/>
            <w:shd w:val="clear" w:color="auto" w:fill="auto"/>
            <w:vAlign w:val="center"/>
          </w:tcPr>
          <w:p w14:paraId="400CB52C"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0.404</w:t>
            </w:r>
          </w:p>
        </w:tc>
        <w:tc>
          <w:tcPr>
            <w:tcW w:w="0" w:type="auto"/>
            <w:tcBorders>
              <w:right w:val="single" w:sz="4" w:space="0" w:color="auto"/>
            </w:tcBorders>
            <w:shd w:val="clear" w:color="auto" w:fill="auto"/>
            <w:vAlign w:val="center"/>
          </w:tcPr>
          <w:p w14:paraId="428F4255"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0.16</w:t>
            </w:r>
          </w:p>
        </w:tc>
        <w:tc>
          <w:tcPr>
            <w:tcW w:w="0" w:type="auto"/>
            <w:tcBorders>
              <w:left w:val="single" w:sz="4" w:space="0" w:color="auto"/>
            </w:tcBorders>
            <w:shd w:val="clear" w:color="auto" w:fill="auto"/>
            <w:noWrap/>
            <w:vAlign w:val="center"/>
          </w:tcPr>
          <w:p w14:paraId="0CF09F8F"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noWrap/>
            <w:vAlign w:val="center"/>
          </w:tcPr>
          <w:p w14:paraId="0625DAEA"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0.06</w:t>
            </w:r>
          </w:p>
        </w:tc>
        <w:tc>
          <w:tcPr>
            <w:tcW w:w="0" w:type="auto"/>
            <w:shd w:val="clear" w:color="auto" w:fill="auto"/>
            <w:vAlign w:val="center"/>
          </w:tcPr>
          <w:p w14:paraId="754BEBB1"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0.10</w:t>
            </w:r>
          </w:p>
        </w:tc>
        <w:tc>
          <w:tcPr>
            <w:tcW w:w="0" w:type="auto"/>
            <w:shd w:val="clear" w:color="auto" w:fill="auto"/>
            <w:vAlign w:val="center"/>
          </w:tcPr>
          <w:p w14:paraId="7C9DD757"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0.553</w:t>
            </w:r>
          </w:p>
        </w:tc>
        <w:tc>
          <w:tcPr>
            <w:tcW w:w="0" w:type="auto"/>
            <w:tcBorders>
              <w:right w:val="single" w:sz="4" w:space="0" w:color="auto"/>
            </w:tcBorders>
            <w:shd w:val="clear" w:color="auto" w:fill="auto"/>
            <w:vAlign w:val="center"/>
          </w:tcPr>
          <w:p w14:paraId="4E5B1021"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0.09</w:t>
            </w:r>
          </w:p>
        </w:tc>
        <w:tc>
          <w:tcPr>
            <w:tcW w:w="0" w:type="auto"/>
            <w:tcBorders>
              <w:left w:val="single" w:sz="4" w:space="0" w:color="auto"/>
            </w:tcBorders>
            <w:shd w:val="clear" w:color="auto" w:fill="auto"/>
            <w:vAlign w:val="center"/>
          </w:tcPr>
          <w:p w14:paraId="16868EA5"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tcPr>
          <w:p w14:paraId="431AFC73"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-0.09</w:t>
            </w:r>
          </w:p>
        </w:tc>
        <w:tc>
          <w:tcPr>
            <w:tcW w:w="0" w:type="auto"/>
            <w:shd w:val="clear" w:color="auto" w:fill="auto"/>
            <w:noWrap/>
            <w:vAlign w:val="center"/>
          </w:tcPr>
          <w:p w14:paraId="7D539D91"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0.11</w:t>
            </w:r>
          </w:p>
        </w:tc>
        <w:tc>
          <w:tcPr>
            <w:tcW w:w="0" w:type="auto"/>
            <w:shd w:val="clear" w:color="auto" w:fill="auto"/>
            <w:vAlign w:val="center"/>
          </w:tcPr>
          <w:p w14:paraId="0BD0C30F"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0.401</w:t>
            </w:r>
          </w:p>
        </w:tc>
        <w:tc>
          <w:tcPr>
            <w:tcW w:w="0" w:type="auto"/>
            <w:shd w:val="clear" w:color="auto" w:fill="auto"/>
            <w:vAlign w:val="center"/>
          </w:tcPr>
          <w:p w14:paraId="62D7C1D5"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-0.13</w:t>
            </w:r>
          </w:p>
        </w:tc>
      </w:tr>
      <w:tr w:rsidR="000C4388" w:rsidRPr="009F6406" w14:paraId="211C9679" w14:textId="77777777" w:rsidTr="000C4388">
        <w:trPr>
          <w:trHeight w:val="288"/>
        </w:trPr>
        <w:tc>
          <w:tcPr>
            <w:tcW w:w="0" w:type="auto"/>
            <w:shd w:val="clear" w:color="auto" w:fill="auto"/>
            <w:noWrap/>
            <w:vAlign w:val="center"/>
          </w:tcPr>
          <w:p w14:paraId="047464C5"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b/>
                <w:color w:val="000000"/>
                <w:sz w:val="14"/>
                <w:szCs w:val="14"/>
              </w:rPr>
              <w:t>Teacher:</w:t>
            </w:r>
            <w:r w:rsidRPr="009F6406">
              <w:rPr>
                <w:rFonts w:eastAsia="Times New Roman" w:cs="Times New Roman"/>
                <w:color w:val="000000"/>
                <w:sz w:val="14"/>
                <w:szCs w:val="14"/>
              </w:rPr>
              <w:t xml:space="preserve"> Proportion of experience teaching Year 1</w:t>
            </w:r>
          </w:p>
        </w:tc>
        <w:tc>
          <w:tcPr>
            <w:tcW w:w="0" w:type="auto"/>
            <w:shd w:val="clear" w:color="auto" w:fill="auto"/>
            <w:vAlign w:val="center"/>
          </w:tcPr>
          <w:p w14:paraId="004A7F56"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tcPr>
          <w:p w14:paraId="4503A856"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0.29</w:t>
            </w:r>
          </w:p>
        </w:tc>
        <w:tc>
          <w:tcPr>
            <w:tcW w:w="0" w:type="auto"/>
            <w:shd w:val="clear" w:color="auto" w:fill="auto"/>
            <w:vAlign w:val="center"/>
          </w:tcPr>
          <w:p w14:paraId="385DB785"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0.61</w:t>
            </w:r>
          </w:p>
        </w:tc>
        <w:tc>
          <w:tcPr>
            <w:tcW w:w="0" w:type="auto"/>
            <w:shd w:val="clear" w:color="auto" w:fill="auto"/>
            <w:vAlign w:val="center"/>
          </w:tcPr>
          <w:p w14:paraId="7E564E17"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0.637</w:t>
            </w:r>
          </w:p>
        </w:tc>
        <w:tc>
          <w:tcPr>
            <w:tcW w:w="0" w:type="auto"/>
            <w:tcBorders>
              <w:right w:val="single" w:sz="4" w:space="0" w:color="auto"/>
            </w:tcBorders>
            <w:shd w:val="clear" w:color="auto" w:fill="auto"/>
            <w:vAlign w:val="center"/>
          </w:tcPr>
          <w:p w14:paraId="4FFED452"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0.10</w:t>
            </w:r>
          </w:p>
        </w:tc>
        <w:tc>
          <w:tcPr>
            <w:tcW w:w="0" w:type="auto"/>
            <w:tcBorders>
              <w:left w:val="single" w:sz="4" w:space="0" w:color="auto"/>
            </w:tcBorders>
            <w:shd w:val="clear" w:color="auto" w:fill="auto"/>
            <w:noWrap/>
            <w:vAlign w:val="center"/>
          </w:tcPr>
          <w:p w14:paraId="7E243350"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noWrap/>
            <w:vAlign w:val="center"/>
          </w:tcPr>
          <w:p w14:paraId="4DD188FC"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-0.63</w:t>
            </w:r>
          </w:p>
        </w:tc>
        <w:tc>
          <w:tcPr>
            <w:tcW w:w="0" w:type="auto"/>
            <w:shd w:val="clear" w:color="auto" w:fill="auto"/>
            <w:vAlign w:val="center"/>
          </w:tcPr>
          <w:p w14:paraId="7A810E60"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0.37</w:t>
            </w:r>
          </w:p>
        </w:tc>
        <w:tc>
          <w:tcPr>
            <w:tcW w:w="0" w:type="auto"/>
            <w:shd w:val="clear" w:color="auto" w:fill="auto"/>
            <w:vAlign w:val="center"/>
          </w:tcPr>
          <w:p w14:paraId="4411691E"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0.104</w:t>
            </w:r>
          </w:p>
        </w:tc>
        <w:tc>
          <w:tcPr>
            <w:tcW w:w="0" w:type="auto"/>
            <w:tcBorders>
              <w:right w:val="single" w:sz="4" w:space="0" w:color="auto"/>
            </w:tcBorders>
            <w:shd w:val="clear" w:color="auto" w:fill="auto"/>
            <w:vAlign w:val="center"/>
          </w:tcPr>
          <w:p w14:paraId="6AFA81A2"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-0.28</w:t>
            </w:r>
          </w:p>
        </w:tc>
        <w:tc>
          <w:tcPr>
            <w:tcW w:w="0" w:type="auto"/>
            <w:tcBorders>
              <w:left w:val="single" w:sz="4" w:space="0" w:color="auto"/>
            </w:tcBorders>
            <w:shd w:val="clear" w:color="auto" w:fill="auto"/>
            <w:vAlign w:val="center"/>
          </w:tcPr>
          <w:p w14:paraId="274C069C"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tcPr>
          <w:p w14:paraId="2AA651BC"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-0.46</w:t>
            </w:r>
          </w:p>
        </w:tc>
        <w:tc>
          <w:tcPr>
            <w:tcW w:w="0" w:type="auto"/>
            <w:shd w:val="clear" w:color="auto" w:fill="auto"/>
            <w:noWrap/>
            <w:vAlign w:val="center"/>
          </w:tcPr>
          <w:p w14:paraId="499A6294"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0.34</w:t>
            </w:r>
          </w:p>
        </w:tc>
        <w:tc>
          <w:tcPr>
            <w:tcW w:w="0" w:type="auto"/>
            <w:shd w:val="clear" w:color="auto" w:fill="auto"/>
            <w:vAlign w:val="center"/>
          </w:tcPr>
          <w:p w14:paraId="42C493F8"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0.191</w:t>
            </w:r>
          </w:p>
        </w:tc>
        <w:tc>
          <w:tcPr>
            <w:tcW w:w="0" w:type="auto"/>
            <w:shd w:val="clear" w:color="auto" w:fill="auto"/>
            <w:vAlign w:val="center"/>
          </w:tcPr>
          <w:p w14:paraId="0A6D6085"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-0.20</w:t>
            </w:r>
          </w:p>
        </w:tc>
      </w:tr>
      <w:tr w:rsidR="000C4388" w:rsidRPr="009F6406" w14:paraId="7153BF6A" w14:textId="77777777" w:rsidTr="000C4388">
        <w:trPr>
          <w:trHeight w:val="288"/>
        </w:trPr>
        <w:tc>
          <w:tcPr>
            <w:tcW w:w="0" w:type="auto"/>
            <w:shd w:val="clear" w:color="auto" w:fill="auto"/>
            <w:noWrap/>
            <w:vAlign w:val="center"/>
          </w:tcPr>
          <w:p w14:paraId="60C576B9"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b/>
                <w:color w:val="000000"/>
                <w:sz w:val="14"/>
                <w:szCs w:val="14"/>
              </w:rPr>
              <w:t>Control measure:</w:t>
            </w:r>
            <w:r w:rsidRPr="009F6406">
              <w:rPr>
                <w:rFonts w:eastAsia="Times New Roman" w:cs="Times New Roman"/>
                <w:color w:val="000000"/>
                <w:sz w:val="14"/>
                <w:szCs w:val="14"/>
              </w:rPr>
              <w:t xml:space="preserve"> Days since the first class received pupil tests, this testing point</w:t>
            </w:r>
          </w:p>
        </w:tc>
        <w:tc>
          <w:tcPr>
            <w:tcW w:w="0" w:type="auto"/>
            <w:shd w:val="clear" w:color="auto" w:fill="auto"/>
            <w:vAlign w:val="center"/>
          </w:tcPr>
          <w:p w14:paraId="12687E16"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tcPr>
          <w:p w14:paraId="4DB9D487"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0.26</w:t>
            </w:r>
          </w:p>
        </w:tc>
        <w:tc>
          <w:tcPr>
            <w:tcW w:w="0" w:type="auto"/>
            <w:shd w:val="clear" w:color="auto" w:fill="auto"/>
            <w:vAlign w:val="center"/>
          </w:tcPr>
          <w:p w14:paraId="6D1B2445"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0.17</w:t>
            </w:r>
          </w:p>
        </w:tc>
        <w:tc>
          <w:tcPr>
            <w:tcW w:w="0" w:type="auto"/>
            <w:shd w:val="clear" w:color="auto" w:fill="auto"/>
            <w:vAlign w:val="center"/>
          </w:tcPr>
          <w:p w14:paraId="454B541E"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0.148</w:t>
            </w:r>
          </w:p>
        </w:tc>
        <w:tc>
          <w:tcPr>
            <w:tcW w:w="0" w:type="auto"/>
            <w:tcBorders>
              <w:right w:val="single" w:sz="4" w:space="0" w:color="auto"/>
            </w:tcBorders>
            <w:shd w:val="clear" w:color="auto" w:fill="auto"/>
            <w:vAlign w:val="center"/>
          </w:tcPr>
          <w:p w14:paraId="75E6CFD9"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0.42</w:t>
            </w:r>
          </w:p>
        </w:tc>
        <w:tc>
          <w:tcPr>
            <w:tcW w:w="0" w:type="auto"/>
            <w:tcBorders>
              <w:left w:val="single" w:sz="4" w:space="0" w:color="auto"/>
            </w:tcBorders>
            <w:shd w:val="clear" w:color="auto" w:fill="auto"/>
            <w:noWrap/>
            <w:vAlign w:val="center"/>
          </w:tcPr>
          <w:p w14:paraId="32C0A694"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noWrap/>
            <w:vAlign w:val="center"/>
          </w:tcPr>
          <w:p w14:paraId="23C3413A"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0.15</w:t>
            </w:r>
          </w:p>
        </w:tc>
        <w:tc>
          <w:tcPr>
            <w:tcW w:w="0" w:type="auto"/>
            <w:shd w:val="clear" w:color="auto" w:fill="auto"/>
            <w:vAlign w:val="center"/>
          </w:tcPr>
          <w:p w14:paraId="14AA1029"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0.10</w:t>
            </w:r>
          </w:p>
        </w:tc>
        <w:tc>
          <w:tcPr>
            <w:tcW w:w="0" w:type="auto"/>
            <w:shd w:val="clear" w:color="auto" w:fill="auto"/>
            <w:vAlign w:val="center"/>
          </w:tcPr>
          <w:p w14:paraId="5B3AB050"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0.172</w:t>
            </w:r>
          </w:p>
        </w:tc>
        <w:tc>
          <w:tcPr>
            <w:tcW w:w="0" w:type="auto"/>
            <w:tcBorders>
              <w:right w:val="single" w:sz="4" w:space="0" w:color="auto"/>
            </w:tcBorders>
            <w:shd w:val="clear" w:color="auto" w:fill="auto"/>
            <w:vAlign w:val="center"/>
          </w:tcPr>
          <w:p w14:paraId="758AC879"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0.30</w:t>
            </w:r>
          </w:p>
        </w:tc>
        <w:tc>
          <w:tcPr>
            <w:tcW w:w="0" w:type="auto"/>
            <w:tcBorders>
              <w:left w:val="single" w:sz="4" w:space="0" w:color="auto"/>
            </w:tcBorders>
            <w:shd w:val="clear" w:color="auto" w:fill="auto"/>
            <w:vAlign w:val="center"/>
          </w:tcPr>
          <w:p w14:paraId="6839BADF"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vAlign w:val="center"/>
          </w:tcPr>
          <w:p w14:paraId="09C2F307"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0.10</w:t>
            </w:r>
          </w:p>
        </w:tc>
        <w:tc>
          <w:tcPr>
            <w:tcW w:w="0" w:type="auto"/>
            <w:shd w:val="clear" w:color="auto" w:fill="auto"/>
            <w:noWrap/>
            <w:vAlign w:val="center"/>
          </w:tcPr>
          <w:p w14:paraId="16F20A3E"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0.07</w:t>
            </w:r>
          </w:p>
        </w:tc>
        <w:tc>
          <w:tcPr>
            <w:tcW w:w="0" w:type="auto"/>
            <w:shd w:val="clear" w:color="auto" w:fill="auto"/>
            <w:vAlign w:val="center"/>
          </w:tcPr>
          <w:p w14:paraId="5E7FB6ED"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0.160</w:t>
            </w:r>
          </w:p>
        </w:tc>
        <w:tc>
          <w:tcPr>
            <w:tcW w:w="0" w:type="auto"/>
            <w:shd w:val="clear" w:color="auto" w:fill="auto"/>
            <w:vAlign w:val="center"/>
          </w:tcPr>
          <w:p w14:paraId="64998A19"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0.23</w:t>
            </w:r>
          </w:p>
        </w:tc>
      </w:tr>
      <w:tr w:rsidR="000C4388" w:rsidRPr="009F6406" w14:paraId="49D1ED3C" w14:textId="77777777" w:rsidTr="00F605DD">
        <w:trPr>
          <w:trHeight w:val="288"/>
        </w:trPr>
        <w:tc>
          <w:tcPr>
            <w:tcW w:w="0" w:type="auto"/>
            <w:tcBorders>
              <w:bottom w:val="single" w:sz="4" w:space="0" w:color="auto"/>
            </w:tcBorders>
            <w:shd w:val="clear" w:color="auto" w:fill="auto"/>
            <w:noWrap/>
            <w:vAlign w:val="center"/>
            <w:hideMark/>
          </w:tcPr>
          <w:p w14:paraId="34E339A6"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b/>
                <w:color w:val="000000"/>
                <w:sz w:val="14"/>
                <w:szCs w:val="14"/>
              </w:rPr>
              <w:t>Control measure:</w:t>
            </w:r>
            <w:r w:rsidRPr="009F6406">
              <w:rPr>
                <w:rFonts w:eastAsia="Times New Roman" w:cs="Times New Roman"/>
                <w:color w:val="000000"/>
                <w:sz w:val="14"/>
                <w:szCs w:val="14"/>
              </w:rPr>
              <w:t xml:space="preserve"> Days since the first class received pupil tests, last testing point</w:t>
            </w:r>
          </w:p>
        </w:tc>
        <w:tc>
          <w:tcPr>
            <w:tcW w:w="0" w:type="auto"/>
            <w:tcBorders>
              <w:bottom w:val="single" w:sz="4" w:space="0" w:color="auto"/>
            </w:tcBorders>
            <w:shd w:val="clear" w:color="auto" w:fill="auto"/>
            <w:vAlign w:val="center"/>
            <w:hideMark/>
          </w:tcPr>
          <w:p w14:paraId="0C275DC4"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vAlign w:val="center"/>
            <w:hideMark/>
          </w:tcPr>
          <w:p w14:paraId="5D44CE1E"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vAlign w:val="center"/>
            <w:hideMark/>
          </w:tcPr>
          <w:p w14:paraId="33A42B4B"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vAlign w:val="center"/>
            <w:hideMark/>
          </w:tcPr>
          <w:p w14:paraId="3C1DA048"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right w:val="single" w:sz="4" w:space="0" w:color="auto"/>
            </w:tcBorders>
            <w:shd w:val="clear" w:color="auto" w:fill="auto"/>
            <w:vAlign w:val="center"/>
            <w:hideMark/>
          </w:tcPr>
          <w:p w14:paraId="579AC14C"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bottom w:val="single" w:sz="4" w:space="0" w:color="auto"/>
            </w:tcBorders>
            <w:shd w:val="clear" w:color="auto" w:fill="auto"/>
            <w:noWrap/>
            <w:vAlign w:val="center"/>
            <w:hideMark/>
          </w:tcPr>
          <w:p w14:paraId="66F663F6"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noWrap/>
            <w:vAlign w:val="center"/>
            <w:hideMark/>
          </w:tcPr>
          <w:p w14:paraId="1565CF07"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-0.03</w:t>
            </w:r>
          </w:p>
        </w:tc>
        <w:tc>
          <w:tcPr>
            <w:tcW w:w="0" w:type="auto"/>
            <w:tcBorders>
              <w:bottom w:val="single" w:sz="4" w:space="0" w:color="auto"/>
            </w:tcBorders>
            <w:shd w:val="clear" w:color="auto" w:fill="auto"/>
            <w:vAlign w:val="center"/>
            <w:hideMark/>
          </w:tcPr>
          <w:p w14:paraId="7DC40047"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0.11</w:t>
            </w:r>
          </w:p>
        </w:tc>
        <w:tc>
          <w:tcPr>
            <w:tcW w:w="0" w:type="auto"/>
            <w:tcBorders>
              <w:bottom w:val="single" w:sz="4" w:space="0" w:color="auto"/>
            </w:tcBorders>
            <w:shd w:val="clear" w:color="auto" w:fill="auto"/>
            <w:vAlign w:val="center"/>
            <w:hideMark/>
          </w:tcPr>
          <w:p w14:paraId="634BA199"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0.814</w:t>
            </w:r>
          </w:p>
        </w:tc>
        <w:tc>
          <w:tcPr>
            <w:tcW w:w="0" w:type="auto"/>
            <w:tcBorders>
              <w:bottom w:val="single" w:sz="4" w:space="0" w:color="auto"/>
              <w:right w:val="single" w:sz="4" w:space="0" w:color="auto"/>
            </w:tcBorders>
            <w:shd w:val="clear" w:color="auto" w:fill="auto"/>
            <w:vAlign w:val="center"/>
            <w:hideMark/>
          </w:tcPr>
          <w:p w14:paraId="67834385"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-0.06</w:t>
            </w:r>
          </w:p>
        </w:tc>
        <w:tc>
          <w:tcPr>
            <w:tcW w:w="0" w:type="auto"/>
            <w:tcBorders>
              <w:left w:val="single" w:sz="4" w:space="0" w:color="auto"/>
              <w:bottom w:val="single" w:sz="4" w:space="0" w:color="auto"/>
            </w:tcBorders>
            <w:shd w:val="clear" w:color="auto" w:fill="auto"/>
            <w:vAlign w:val="center"/>
            <w:hideMark/>
          </w:tcPr>
          <w:p w14:paraId="31C23676"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vAlign w:val="center"/>
            <w:hideMark/>
          </w:tcPr>
          <w:p w14:paraId="02B00AFD"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-0.30</w:t>
            </w:r>
          </w:p>
        </w:tc>
        <w:tc>
          <w:tcPr>
            <w:tcW w:w="0" w:type="auto"/>
            <w:tcBorders>
              <w:bottom w:val="single" w:sz="4" w:space="0" w:color="auto"/>
            </w:tcBorders>
            <w:shd w:val="clear" w:color="auto" w:fill="auto"/>
            <w:noWrap/>
            <w:vAlign w:val="center"/>
            <w:hideMark/>
          </w:tcPr>
          <w:p w14:paraId="36A22F47"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0.10</w:t>
            </w:r>
          </w:p>
        </w:tc>
        <w:tc>
          <w:tcPr>
            <w:tcW w:w="0" w:type="auto"/>
            <w:tcBorders>
              <w:bottom w:val="single" w:sz="4" w:space="0" w:color="auto"/>
            </w:tcBorders>
            <w:shd w:val="clear" w:color="auto" w:fill="auto"/>
            <w:vAlign w:val="center"/>
            <w:hideMark/>
          </w:tcPr>
          <w:p w14:paraId="06FC8673"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0.006</w:t>
            </w:r>
          </w:p>
        </w:tc>
        <w:tc>
          <w:tcPr>
            <w:tcW w:w="0" w:type="auto"/>
            <w:tcBorders>
              <w:bottom w:val="single" w:sz="4" w:space="0" w:color="auto"/>
            </w:tcBorders>
            <w:shd w:val="clear" w:color="auto" w:fill="auto"/>
            <w:vAlign w:val="center"/>
            <w:hideMark/>
          </w:tcPr>
          <w:p w14:paraId="20BE911E"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-0.60</w:t>
            </w:r>
          </w:p>
        </w:tc>
      </w:tr>
      <w:tr w:rsidR="000C4388" w:rsidRPr="009F6406" w14:paraId="3CFB54C7" w14:textId="77777777" w:rsidTr="000C4388">
        <w:trPr>
          <w:trHeight w:val="288"/>
        </w:trPr>
        <w:tc>
          <w:tcPr>
            <w:tcW w:w="0" w:type="auto"/>
            <w:tcBorders>
              <w:top w:val="single" w:sz="4" w:space="0" w:color="auto"/>
            </w:tcBorders>
            <w:shd w:val="clear" w:color="auto" w:fill="auto"/>
            <w:noWrap/>
            <w:vAlign w:val="center"/>
          </w:tcPr>
          <w:p w14:paraId="1586FFA0"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i/>
                <w:iCs/>
                <w:color w:val="000000"/>
                <w:sz w:val="14"/>
                <w:szCs w:val="14"/>
              </w:rPr>
              <w:t>RANDOM EFFECTS</w:t>
            </w:r>
          </w:p>
        </w:tc>
        <w:tc>
          <w:tcPr>
            <w:tcW w:w="0" w:type="auto"/>
            <w:tcBorders>
              <w:top w:val="single" w:sz="4" w:space="0" w:color="auto"/>
            </w:tcBorders>
            <w:shd w:val="clear" w:color="auto" w:fill="auto"/>
          </w:tcPr>
          <w:p w14:paraId="77095505"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tcPr>
          <w:p w14:paraId="3C0F8DFD"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tcPr>
          <w:p w14:paraId="3BC6EF6A"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tcPr>
          <w:p w14:paraId="59DB7A71"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right w:val="single" w:sz="4" w:space="0" w:color="auto"/>
            </w:tcBorders>
            <w:shd w:val="clear" w:color="auto" w:fill="auto"/>
          </w:tcPr>
          <w:p w14:paraId="53F51F16"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left w:val="single" w:sz="4" w:space="0" w:color="auto"/>
            </w:tcBorders>
            <w:shd w:val="clear" w:color="auto" w:fill="auto"/>
            <w:noWrap/>
          </w:tcPr>
          <w:p w14:paraId="7DB66741"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noWrap/>
          </w:tcPr>
          <w:p w14:paraId="59A427C4"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tcPr>
          <w:p w14:paraId="09966D7D"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tcPr>
          <w:p w14:paraId="6AF2FB5F"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right w:val="single" w:sz="4" w:space="0" w:color="auto"/>
            </w:tcBorders>
            <w:shd w:val="clear" w:color="auto" w:fill="auto"/>
          </w:tcPr>
          <w:p w14:paraId="06A256BD"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left w:val="single" w:sz="4" w:space="0" w:color="auto"/>
            </w:tcBorders>
            <w:shd w:val="clear" w:color="auto" w:fill="auto"/>
          </w:tcPr>
          <w:p w14:paraId="1CE64171"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tcPr>
          <w:p w14:paraId="4869490B"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noWrap/>
          </w:tcPr>
          <w:p w14:paraId="0A23FF4B"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tcPr>
          <w:p w14:paraId="2205A0FC"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top w:val="single" w:sz="4" w:space="0" w:color="auto"/>
            </w:tcBorders>
            <w:shd w:val="clear" w:color="auto" w:fill="auto"/>
          </w:tcPr>
          <w:p w14:paraId="4CFDBAFD" w14:textId="77777777" w:rsidR="000C4388" w:rsidRPr="009F6406" w:rsidRDefault="000C4388" w:rsidP="007F38E7">
            <w:pPr>
              <w:spacing w:after="0"/>
              <w:jc w:val="center"/>
              <w:rPr>
                <w:rFonts w:eastAsia="Times New Roman" w:cs="Times New Roman"/>
                <w:color w:val="000000"/>
                <w:sz w:val="14"/>
                <w:szCs w:val="14"/>
              </w:rPr>
            </w:pPr>
          </w:p>
        </w:tc>
      </w:tr>
      <w:tr w:rsidR="000C4388" w:rsidRPr="009F6406" w14:paraId="29D3F4EB" w14:textId="77777777" w:rsidTr="000C4388">
        <w:trPr>
          <w:trHeight w:val="288"/>
        </w:trPr>
        <w:tc>
          <w:tcPr>
            <w:tcW w:w="0" w:type="auto"/>
            <w:shd w:val="clear" w:color="auto" w:fill="auto"/>
            <w:noWrap/>
            <w:vAlign w:val="center"/>
          </w:tcPr>
          <w:p w14:paraId="10F01A1B"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color w:val="000000"/>
                <w:sz w:val="14"/>
                <w:szCs w:val="14"/>
              </w:rPr>
              <w:t>Unexplained Child-level Variance</w:t>
            </w:r>
          </w:p>
        </w:tc>
        <w:tc>
          <w:tcPr>
            <w:tcW w:w="0" w:type="auto"/>
            <w:shd w:val="clear" w:color="auto" w:fill="auto"/>
          </w:tcPr>
          <w:p w14:paraId="6626400B"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139.91</w:t>
            </w:r>
          </w:p>
        </w:tc>
        <w:tc>
          <w:tcPr>
            <w:tcW w:w="0" w:type="auto"/>
            <w:shd w:val="clear" w:color="auto" w:fill="auto"/>
          </w:tcPr>
          <w:p w14:paraId="6473D5B6"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138.46</w:t>
            </w:r>
          </w:p>
        </w:tc>
        <w:tc>
          <w:tcPr>
            <w:tcW w:w="0" w:type="auto"/>
            <w:shd w:val="clear" w:color="auto" w:fill="auto"/>
          </w:tcPr>
          <w:p w14:paraId="4ADAA0A7"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4051F1F9"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right w:val="single" w:sz="4" w:space="0" w:color="auto"/>
            </w:tcBorders>
            <w:shd w:val="clear" w:color="auto" w:fill="auto"/>
          </w:tcPr>
          <w:p w14:paraId="22BCA5FD"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tcBorders>
            <w:shd w:val="clear" w:color="auto" w:fill="auto"/>
            <w:noWrap/>
          </w:tcPr>
          <w:p w14:paraId="3A38AE28"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136.54</w:t>
            </w:r>
          </w:p>
        </w:tc>
        <w:tc>
          <w:tcPr>
            <w:tcW w:w="0" w:type="auto"/>
            <w:shd w:val="clear" w:color="auto" w:fill="auto"/>
            <w:noWrap/>
          </w:tcPr>
          <w:p w14:paraId="2B7E06CE"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86.29</w:t>
            </w:r>
          </w:p>
        </w:tc>
        <w:tc>
          <w:tcPr>
            <w:tcW w:w="0" w:type="auto"/>
            <w:shd w:val="clear" w:color="auto" w:fill="auto"/>
          </w:tcPr>
          <w:p w14:paraId="1CD7D13F"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1E833182"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right w:val="single" w:sz="4" w:space="0" w:color="auto"/>
            </w:tcBorders>
            <w:shd w:val="clear" w:color="auto" w:fill="auto"/>
          </w:tcPr>
          <w:p w14:paraId="2A0F16FA"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tcBorders>
            <w:shd w:val="clear" w:color="auto" w:fill="auto"/>
          </w:tcPr>
          <w:p w14:paraId="1FF14AFD"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146.15</w:t>
            </w:r>
          </w:p>
        </w:tc>
        <w:tc>
          <w:tcPr>
            <w:tcW w:w="0" w:type="auto"/>
            <w:shd w:val="clear" w:color="auto" w:fill="auto"/>
          </w:tcPr>
          <w:p w14:paraId="06D6A168"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85.87</w:t>
            </w:r>
          </w:p>
        </w:tc>
        <w:tc>
          <w:tcPr>
            <w:tcW w:w="0" w:type="auto"/>
            <w:shd w:val="clear" w:color="auto" w:fill="auto"/>
            <w:noWrap/>
          </w:tcPr>
          <w:p w14:paraId="72FACFEC"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1B0772F8"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07D24CAB" w14:textId="77777777" w:rsidR="000C4388" w:rsidRPr="009F6406" w:rsidRDefault="000C4388" w:rsidP="007F38E7">
            <w:pPr>
              <w:spacing w:after="0"/>
              <w:jc w:val="center"/>
              <w:rPr>
                <w:rFonts w:eastAsia="Times New Roman" w:cs="Times New Roman"/>
                <w:color w:val="000000"/>
                <w:sz w:val="14"/>
                <w:szCs w:val="14"/>
              </w:rPr>
            </w:pPr>
          </w:p>
        </w:tc>
      </w:tr>
      <w:tr w:rsidR="000C4388" w:rsidRPr="009F6406" w14:paraId="56F8098F" w14:textId="77777777" w:rsidTr="000C4388">
        <w:trPr>
          <w:trHeight w:val="288"/>
        </w:trPr>
        <w:tc>
          <w:tcPr>
            <w:tcW w:w="0" w:type="auto"/>
            <w:shd w:val="clear" w:color="auto" w:fill="auto"/>
            <w:noWrap/>
            <w:vAlign w:val="center"/>
          </w:tcPr>
          <w:p w14:paraId="4367A912"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color w:val="000000"/>
                <w:sz w:val="14"/>
                <w:szCs w:val="14"/>
              </w:rPr>
              <w:t>Unexplained Teacher-level Variance</w:t>
            </w:r>
          </w:p>
        </w:tc>
        <w:tc>
          <w:tcPr>
            <w:tcW w:w="0" w:type="auto"/>
            <w:shd w:val="clear" w:color="auto" w:fill="auto"/>
          </w:tcPr>
          <w:p w14:paraId="7ACDFF3D"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28.59</w:t>
            </w:r>
          </w:p>
        </w:tc>
        <w:tc>
          <w:tcPr>
            <w:tcW w:w="0" w:type="auto"/>
            <w:shd w:val="clear" w:color="auto" w:fill="auto"/>
          </w:tcPr>
          <w:p w14:paraId="4BC5AFFC"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22.39</w:t>
            </w:r>
          </w:p>
        </w:tc>
        <w:tc>
          <w:tcPr>
            <w:tcW w:w="0" w:type="auto"/>
            <w:shd w:val="clear" w:color="auto" w:fill="auto"/>
          </w:tcPr>
          <w:p w14:paraId="79FD34E1"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01E28FE2"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right w:val="single" w:sz="4" w:space="0" w:color="auto"/>
            </w:tcBorders>
            <w:shd w:val="clear" w:color="auto" w:fill="auto"/>
          </w:tcPr>
          <w:p w14:paraId="6BB67331"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tcBorders>
            <w:shd w:val="clear" w:color="auto" w:fill="auto"/>
            <w:noWrap/>
          </w:tcPr>
          <w:p w14:paraId="516E1171"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19.73</w:t>
            </w:r>
          </w:p>
        </w:tc>
        <w:tc>
          <w:tcPr>
            <w:tcW w:w="0" w:type="auto"/>
            <w:shd w:val="clear" w:color="auto" w:fill="auto"/>
            <w:noWrap/>
          </w:tcPr>
          <w:p w14:paraId="06A00986"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6.36</w:t>
            </w:r>
          </w:p>
        </w:tc>
        <w:tc>
          <w:tcPr>
            <w:tcW w:w="0" w:type="auto"/>
            <w:shd w:val="clear" w:color="auto" w:fill="auto"/>
          </w:tcPr>
          <w:p w14:paraId="449A1B9E"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6722503E"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right w:val="single" w:sz="4" w:space="0" w:color="auto"/>
            </w:tcBorders>
            <w:shd w:val="clear" w:color="auto" w:fill="auto"/>
          </w:tcPr>
          <w:p w14:paraId="2A6D3E2E"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tcBorders>
            <w:shd w:val="clear" w:color="auto" w:fill="auto"/>
          </w:tcPr>
          <w:p w14:paraId="3BF73484"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22.52</w:t>
            </w:r>
          </w:p>
        </w:tc>
        <w:tc>
          <w:tcPr>
            <w:tcW w:w="0" w:type="auto"/>
            <w:shd w:val="clear" w:color="auto" w:fill="auto"/>
          </w:tcPr>
          <w:p w14:paraId="15A68293"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5.35</w:t>
            </w:r>
          </w:p>
        </w:tc>
        <w:tc>
          <w:tcPr>
            <w:tcW w:w="0" w:type="auto"/>
            <w:shd w:val="clear" w:color="auto" w:fill="auto"/>
            <w:noWrap/>
          </w:tcPr>
          <w:p w14:paraId="2FEBF3FB"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09FBAEF7"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1773F7D9" w14:textId="77777777" w:rsidR="000C4388" w:rsidRPr="009F6406" w:rsidRDefault="000C4388" w:rsidP="007F38E7">
            <w:pPr>
              <w:spacing w:after="0"/>
              <w:jc w:val="center"/>
              <w:rPr>
                <w:rFonts w:eastAsia="Times New Roman" w:cs="Times New Roman"/>
                <w:color w:val="000000"/>
                <w:sz w:val="14"/>
                <w:szCs w:val="14"/>
              </w:rPr>
            </w:pPr>
          </w:p>
        </w:tc>
      </w:tr>
      <w:tr w:rsidR="000C4388" w:rsidRPr="009F6406" w14:paraId="3F4D06D2" w14:textId="77777777" w:rsidTr="000C4388">
        <w:trPr>
          <w:trHeight w:val="288"/>
        </w:trPr>
        <w:tc>
          <w:tcPr>
            <w:tcW w:w="0" w:type="auto"/>
            <w:shd w:val="clear" w:color="auto" w:fill="auto"/>
            <w:noWrap/>
            <w:vAlign w:val="center"/>
          </w:tcPr>
          <w:p w14:paraId="0493A8F7"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color w:val="000000"/>
                <w:sz w:val="14"/>
                <w:szCs w:val="14"/>
              </w:rPr>
              <w:t>Intra-Class Correlation (ICC)</w:t>
            </w:r>
          </w:p>
        </w:tc>
        <w:tc>
          <w:tcPr>
            <w:tcW w:w="0" w:type="auto"/>
            <w:shd w:val="clear" w:color="auto" w:fill="auto"/>
          </w:tcPr>
          <w:p w14:paraId="2FC5C26E"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0.17</w:t>
            </w:r>
          </w:p>
        </w:tc>
        <w:tc>
          <w:tcPr>
            <w:tcW w:w="0" w:type="auto"/>
            <w:shd w:val="clear" w:color="auto" w:fill="auto"/>
          </w:tcPr>
          <w:p w14:paraId="50C0C05D"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0DA097CA"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64EBD85A"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right w:val="single" w:sz="4" w:space="0" w:color="auto"/>
            </w:tcBorders>
            <w:shd w:val="clear" w:color="auto" w:fill="auto"/>
          </w:tcPr>
          <w:p w14:paraId="46D7E8D6"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tcBorders>
            <w:shd w:val="clear" w:color="auto" w:fill="auto"/>
            <w:noWrap/>
          </w:tcPr>
          <w:p w14:paraId="640C220C"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0.13</w:t>
            </w:r>
          </w:p>
        </w:tc>
        <w:tc>
          <w:tcPr>
            <w:tcW w:w="0" w:type="auto"/>
            <w:shd w:val="clear" w:color="auto" w:fill="auto"/>
            <w:noWrap/>
          </w:tcPr>
          <w:p w14:paraId="40830B10"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7E4C4372"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4EC45610"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right w:val="single" w:sz="4" w:space="0" w:color="auto"/>
            </w:tcBorders>
            <w:shd w:val="clear" w:color="auto" w:fill="auto"/>
          </w:tcPr>
          <w:p w14:paraId="5D268225"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tcBorders>
            <w:shd w:val="clear" w:color="auto" w:fill="auto"/>
          </w:tcPr>
          <w:p w14:paraId="295BB995"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0.13</w:t>
            </w:r>
          </w:p>
        </w:tc>
        <w:tc>
          <w:tcPr>
            <w:tcW w:w="0" w:type="auto"/>
            <w:shd w:val="clear" w:color="auto" w:fill="auto"/>
          </w:tcPr>
          <w:p w14:paraId="3EEB516F"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noWrap/>
          </w:tcPr>
          <w:p w14:paraId="649FF407"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67618F2D"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24BE9B00" w14:textId="77777777" w:rsidR="000C4388" w:rsidRPr="009F6406" w:rsidRDefault="000C4388" w:rsidP="007F38E7">
            <w:pPr>
              <w:spacing w:after="0"/>
              <w:jc w:val="center"/>
              <w:rPr>
                <w:rFonts w:eastAsia="Times New Roman" w:cs="Times New Roman"/>
                <w:color w:val="000000"/>
                <w:sz w:val="14"/>
                <w:szCs w:val="14"/>
              </w:rPr>
            </w:pPr>
          </w:p>
        </w:tc>
      </w:tr>
      <w:tr w:rsidR="000C4388" w:rsidRPr="009F6406" w14:paraId="476FA32A" w14:textId="77777777" w:rsidTr="000C4388">
        <w:trPr>
          <w:trHeight w:val="288"/>
        </w:trPr>
        <w:tc>
          <w:tcPr>
            <w:tcW w:w="0" w:type="auto"/>
            <w:shd w:val="clear" w:color="auto" w:fill="auto"/>
            <w:noWrap/>
            <w:vAlign w:val="center"/>
          </w:tcPr>
          <w:p w14:paraId="090B8C7F"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color w:val="000000"/>
                <w:sz w:val="14"/>
                <w:szCs w:val="14"/>
              </w:rPr>
              <w:t>% of Child-level Variance explained</w:t>
            </w:r>
          </w:p>
        </w:tc>
        <w:tc>
          <w:tcPr>
            <w:tcW w:w="0" w:type="auto"/>
            <w:shd w:val="clear" w:color="auto" w:fill="auto"/>
          </w:tcPr>
          <w:p w14:paraId="1B198E53"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3E75C3BE"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1%</w:t>
            </w:r>
          </w:p>
        </w:tc>
        <w:tc>
          <w:tcPr>
            <w:tcW w:w="0" w:type="auto"/>
            <w:shd w:val="clear" w:color="auto" w:fill="auto"/>
          </w:tcPr>
          <w:p w14:paraId="46E335B3"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15900087"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right w:val="single" w:sz="4" w:space="0" w:color="auto"/>
            </w:tcBorders>
            <w:shd w:val="clear" w:color="auto" w:fill="auto"/>
          </w:tcPr>
          <w:p w14:paraId="5070EF1E"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tcBorders>
            <w:shd w:val="clear" w:color="auto" w:fill="auto"/>
            <w:noWrap/>
          </w:tcPr>
          <w:p w14:paraId="179234F5"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noWrap/>
          </w:tcPr>
          <w:p w14:paraId="5F06536C"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37%</w:t>
            </w:r>
          </w:p>
        </w:tc>
        <w:tc>
          <w:tcPr>
            <w:tcW w:w="0" w:type="auto"/>
            <w:shd w:val="clear" w:color="auto" w:fill="auto"/>
          </w:tcPr>
          <w:p w14:paraId="10BB4DD3"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7CA5473A"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right w:val="single" w:sz="4" w:space="0" w:color="auto"/>
            </w:tcBorders>
            <w:shd w:val="clear" w:color="auto" w:fill="auto"/>
          </w:tcPr>
          <w:p w14:paraId="6BAA8962"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tcBorders>
            <w:shd w:val="clear" w:color="auto" w:fill="auto"/>
          </w:tcPr>
          <w:p w14:paraId="086564A0"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34D1F085"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41%</w:t>
            </w:r>
          </w:p>
        </w:tc>
        <w:tc>
          <w:tcPr>
            <w:tcW w:w="0" w:type="auto"/>
            <w:shd w:val="clear" w:color="auto" w:fill="auto"/>
            <w:noWrap/>
          </w:tcPr>
          <w:p w14:paraId="7504E01A"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571631B7"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097E2575" w14:textId="77777777" w:rsidR="000C4388" w:rsidRPr="009F6406" w:rsidRDefault="000C4388" w:rsidP="007F38E7">
            <w:pPr>
              <w:spacing w:after="0"/>
              <w:jc w:val="center"/>
              <w:rPr>
                <w:rFonts w:eastAsia="Times New Roman" w:cs="Times New Roman"/>
                <w:color w:val="000000"/>
                <w:sz w:val="14"/>
                <w:szCs w:val="14"/>
              </w:rPr>
            </w:pPr>
          </w:p>
        </w:tc>
      </w:tr>
      <w:tr w:rsidR="000C4388" w:rsidRPr="009F6406" w14:paraId="5427F059" w14:textId="77777777" w:rsidTr="000C4388">
        <w:trPr>
          <w:trHeight w:val="288"/>
        </w:trPr>
        <w:tc>
          <w:tcPr>
            <w:tcW w:w="0" w:type="auto"/>
            <w:shd w:val="clear" w:color="auto" w:fill="auto"/>
            <w:noWrap/>
            <w:vAlign w:val="center"/>
          </w:tcPr>
          <w:p w14:paraId="20D35BCD" w14:textId="77777777" w:rsidR="000C4388" w:rsidRPr="009F6406" w:rsidRDefault="000C4388" w:rsidP="007F38E7">
            <w:pPr>
              <w:spacing w:after="0"/>
              <w:rPr>
                <w:rFonts w:eastAsia="Times New Roman" w:cs="Times New Roman"/>
                <w:color w:val="000000"/>
                <w:sz w:val="14"/>
                <w:szCs w:val="14"/>
              </w:rPr>
            </w:pPr>
            <w:r w:rsidRPr="009F6406">
              <w:rPr>
                <w:rFonts w:eastAsia="Times New Roman" w:cs="Times New Roman"/>
                <w:color w:val="000000"/>
                <w:sz w:val="14"/>
                <w:szCs w:val="14"/>
              </w:rPr>
              <w:t>% of Teacher-level Variance explained</w:t>
            </w:r>
          </w:p>
        </w:tc>
        <w:tc>
          <w:tcPr>
            <w:tcW w:w="0" w:type="auto"/>
            <w:shd w:val="clear" w:color="auto" w:fill="auto"/>
          </w:tcPr>
          <w:p w14:paraId="67757D45"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2153A9F1"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22%</w:t>
            </w:r>
          </w:p>
        </w:tc>
        <w:tc>
          <w:tcPr>
            <w:tcW w:w="0" w:type="auto"/>
            <w:shd w:val="clear" w:color="auto" w:fill="auto"/>
          </w:tcPr>
          <w:p w14:paraId="21AB4F48"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440D30A2"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right w:val="single" w:sz="4" w:space="0" w:color="auto"/>
            </w:tcBorders>
            <w:shd w:val="clear" w:color="auto" w:fill="auto"/>
          </w:tcPr>
          <w:p w14:paraId="490F8886"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tcBorders>
            <w:shd w:val="clear" w:color="auto" w:fill="auto"/>
            <w:noWrap/>
          </w:tcPr>
          <w:p w14:paraId="73F55611"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noWrap/>
          </w:tcPr>
          <w:p w14:paraId="25F3BEC4"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68%</w:t>
            </w:r>
          </w:p>
        </w:tc>
        <w:tc>
          <w:tcPr>
            <w:tcW w:w="0" w:type="auto"/>
            <w:shd w:val="clear" w:color="auto" w:fill="auto"/>
          </w:tcPr>
          <w:p w14:paraId="12EA30F5"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3D64F2FB"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right w:val="single" w:sz="4" w:space="0" w:color="auto"/>
            </w:tcBorders>
            <w:shd w:val="clear" w:color="auto" w:fill="auto"/>
          </w:tcPr>
          <w:p w14:paraId="64CA6810"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tcBorders>
            <w:shd w:val="clear" w:color="auto" w:fill="auto"/>
          </w:tcPr>
          <w:p w14:paraId="440728B2"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61B10A4E" w14:textId="77777777" w:rsidR="000C4388" w:rsidRPr="009F6406" w:rsidRDefault="000C4388" w:rsidP="007F38E7">
            <w:pPr>
              <w:spacing w:after="0"/>
              <w:jc w:val="center"/>
              <w:rPr>
                <w:rFonts w:eastAsia="Times New Roman" w:cs="Times New Roman"/>
                <w:color w:val="000000"/>
                <w:sz w:val="14"/>
                <w:szCs w:val="14"/>
              </w:rPr>
            </w:pPr>
            <w:r w:rsidRPr="009F6406">
              <w:rPr>
                <w:rFonts w:eastAsia="Times New Roman" w:cs="Times New Roman"/>
                <w:color w:val="000000"/>
                <w:sz w:val="14"/>
                <w:szCs w:val="14"/>
              </w:rPr>
              <w:t>76%</w:t>
            </w:r>
          </w:p>
        </w:tc>
        <w:tc>
          <w:tcPr>
            <w:tcW w:w="0" w:type="auto"/>
            <w:shd w:val="clear" w:color="auto" w:fill="auto"/>
            <w:noWrap/>
          </w:tcPr>
          <w:p w14:paraId="5FE543C7"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79660347" w14:textId="77777777" w:rsidR="000C4388" w:rsidRPr="009F6406" w:rsidRDefault="000C4388" w:rsidP="007F38E7">
            <w:pPr>
              <w:spacing w:after="0"/>
              <w:jc w:val="center"/>
              <w:rPr>
                <w:rFonts w:eastAsia="Times New Roman" w:cs="Times New Roman"/>
                <w:color w:val="000000"/>
                <w:sz w:val="14"/>
                <w:szCs w:val="14"/>
              </w:rPr>
            </w:pPr>
          </w:p>
        </w:tc>
        <w:tc>
          <w:tcPr>
            <w:tcW w:w="0" w:type="auto"/>
            <w:shd w:val="clear" w:color="auto" w:fill="auto"/>
          </w:tcPr>
          <w:p w14:paraId="5998C0C3" w14:textId="77777777" w:rsidR="000C4388" w:rsidRPr="009F6406" w:rsidRDefault="000C4388" w:rsidP="007F38E7">
            <w:pPr>
              <w:spacing w:after="0"/>
              <w:jc w:val="center"/>
              <w:rPr>
                <w:rFonts w:eastAsia="Times New Roman" w:cs="Times New Roman"/>
                <w:color w:val="000000"/>
                <w:sz w:val="14"/>
                <w:szCs w:val="14"/>
              </w:rPr>
            </w:pPr>
          </w:p>
        </w:tc>
      </w:tr>
      <w:tr w:rsidR="000C4388" w:rsidRPr="009F6406" w14:paraId="4DB7080C" w14:textId="77777777" w:rsidTr="00DF5B91">
        <w:trPr>
          <w:trHeight w:val="288"/>
        </w:trPr>
        <w:tc>
          <w:tcPr>
            <w:tcW w:w="0" w:type="auto"/>
            <w:tcBorders>
              <w:bottom w:val="single" w:sz="4" w:space="0" w:color="auto"/>
            </w:tcBorders>
            <w:shd w:val="clear" w:color="auto" w:fill="auto"/>
            <w:noWrap/>
            <w:vAlign w:val="center"/>
          </w:tcPr>
          <w:p w14:paraId="1B3C7BAC" w14:textId="77777777" w:rsidR="000C4388" w:rsidRPr="009F6406" w:rsidRDefault="000C4388" w:rsidP="007F38E7">
            <w:pPr>
              <w:spacing w:after="0"/>
              <w:rPr>
                <w:rFonts w:eastAsia="Times New Roman" w:cs="Times New Roman"/>
                <w:color w:val="000000"/>
                <w:sz w:val="14"/>
                <w:szCs w:val="14"/>
              </w:rPr>
            </w:pPr>
          </w:p>
        </w:tc>
        <w:tc>
          <w:tcPr>
            <w:tcW w:w="0" w:type="auto"/>
            <w:tcBorders>
              <w:bottom w:val="single" w:sz="4" w:space="0" w:color="auto"/>
            </w:tcBorders>
            <w:shd w:val="clear" w:color="auto" w:fill="auto"/>
          </w:tcPr>
          <w:p w14:paraId="7A613A31"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tcPr>
          <w:p w14:paraId="7F02594A"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tcPr>
          <w:p w14:paraId="182876E1"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tcPr>
          <w:p w14:paraId="6365471D"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right w:val="single" w:sz="4" w:space="0" w:color="auto"/>
            </w:tcBorders>
            <w:shd w:val="clear" w:color="auto" w:fill="auto"/>
          </w:tcPr>
          <w:p w14:paraId="3F661846"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bottom w:val="single" w:sz="4" w:space="0" w:color="auto"/>
            </w:tcBorders>
            <w:shd w:val="clear" w:color="auto" w:fill="auto"/>
            <w:noWrap/>
          </w:tcPr>
          <w:p w14:paraId="4ABE0F1E"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noWrap/>
          </w:tcPr>
          <w:p w14:paraId="7856DBFE"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tcPr>
          <w:p w14:paraId="3742A745"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tcPr>
          <w:p w14:paraId="1317CF9F"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right w:val="single" w:sz="4" w:space="0" w:color="auto"/>
            </w:tcBorders>
            <w:shd w:val="clear" w:color="auto" w:fill="auto"/>
          </w:tcPr>
          <w:p w14:paraId="1384BA2A"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left w:val="single" w:sz="4" w:space="0" w:color="auto"/>
              <w:bottom w:val="single" w:sz="4" w:space="0" w:color="auto"/>
            </w:tcBorders>
            <w:shd w:val="clear" w:color="auto" w:fill="auto"/>
          </w:tcPr>
          <w:p w14:paraId="65E6A7F6"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tcPr>
          <w:p w14:paraId="5CC665E0"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noWrap/>
          </w:tcPr>
          <w:p w14:paraId="423F3697"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tcPr>
          <w:p w14:paraId="0E1E0E22" w14:textId="77777777" w:rsidR="000C4388" w:rsidRPr="009F6406" w:rsidRDefault="000C4388" w:rsidP="007F38E7">
            <w:pPr>
              <w:spacing w:after="0"/>
              <w:jc w:val="center"/>
              <w:rPr>
                <w:rFonts w:eastAsia="Times New Roman" w:cs="Times New Roman"/>
                <w:color w:val="000000"/>
                <w:sz w:val="14"/>
                <w:szCs w:val="14"/>
              </w:rPr>
            </w:pPr>
          </w:p>
        </w:tc>
        <w:tc>
          <w:tcPr>
            <w:tcW w:w="0" w:type="auto"/>
            <w:tcBorders>
              <w:bottom w:val="single" w:sz="4" w:space="0" w:color="auto"/>
            </w:tcBorders>
            <w:shd w:val="clear" w:color="auto" w:fill="auto"/>
          </w:tcPr>
          <w:p w14:paraId="3210E892" w14:textId="77777777" w:rsidR="000C4388" w:rsidRPr="009F6406" w:rsidRDefault="000C4388" w:rsidP="007F38E7">
            <w:pPr>
              <w:spacing w:after="0"/>
              <w:jc w:val="center"/>
              <w:rPr>
                <w:rFonts w:eastAsia="Times New Roman" w:cs="Times New Roman"/>
                <w:color w:val="000000"/>
                <w:sz w:val="14"/>
                <w:szCs w:val="14"/>
              </w:rPr>
            </w:pPr>
          </w:p>
        </w:tc>
      </w:tr>
      <w:tr w:rsidR="000C4388" w:rsidRPr="009F6406" w14:paraId="3B7F76FE" w14:textId="77777777" w:rsidTr="00DF5B91">
        <w:trPr>
          <w:trHeight w:val="288"/>
        </w:trPr>
        <w:tc>
          <w:tcPr>
            <w:tcW w:w="0" w:type="auto"/>
            <w:gridSpan w:val="16"/>
            <w:tcBorders>
              <w:top w:val="single" w:sz="4" w:space="0" w:color="auto"/>
              <w:bottom w:val="single" w:sz="4" w:space="0" w:color="auto"/>
            </w:tcBorders>
            <w:shd w:val="clear" w:color="auto" w:fill="auto"/>
            <w:noWrap/>
            <w:vAlign w:val="center"/>
          </w:tcPr>
          <w:p w14:paraId="01BC9A7E" w14:textId="7E3C62F2" w:rsidR="000C4388" w:rsidRPr="009F6406" w:rsidRDefault="000C4388" w:rsidP="001A323E">
            <w:pPr>
              <w:spacing w:after="0"/>
              <w:rPr>
                <w:rFonts w:eastAsia="Times New Roman" w:cs="Times New Roman"/>
                <w:color w:val="000000"/>
                <w:sz w:val="14"/>
                <w:szCs w:val="14"/>
              </w:rPr>
            </w:pPr>
            <w:r w:rsidRPr="009F6406">
              <w:rPr>
                <w:sz w:val="14"/>
                <w:szCs w:val="14"/>
              </w:rPr>
              <w:t xml:space="preserve">Notes: “Model 0”: No predictors of math knowledge included; “Model 1”: all predictors of math knowledge included; B: </w:t>
            </w:r>
            <w:r w:rsidR="00392CDF" w:rsidRPr="009F6406">
              <w:rPr>
                <w:sz w:val="14"/>
                <w:szCs w:val="14"/>
              </w:rPr>
              <w:t>Unstandardized</w:t>
            </w:r>
            <w:r w:rsidRPr="009F6406">
              <w:rPr>
                <w:sz w:val="14"/>
                <w:szCs w:val="14"/>
              </w:rPr>
              <w:t xml:space="preserve"> regression estimate; SE: Standard Error; p: probability that the difference or association is due to chance alone; ES: Effect Size (Elliot &amp; Sammons, 2004)</w:t>
            </w:r>
            <w:r w:rsidR="007E67BC" w:rsidRPr="009F6406">
              <w:rPr>
                <w:sz w:val="16"/>
                <w:szCs w:val="16"/>
              </w:rPr>
              <w:t xml:space="preserve"> </w:t>
            </w:r>
            <w:r w:rsidR="001A323E" w:rsidRPr="009F6406">
              <w:rPr>
                <w:sz w:val="16"/>
                <w:szCs w:val="16"/>
              </w:rPr>
              <w:t>represents</w:t>
            </w:r>
            <w:r w:rsidR="007E67BC" w:rsidRPr="009F6406">
              <w:rPr>
                <w:sz w:val="16"/>
                <w:szCs w:val="16"/>
              </w:rPr>
              <w:t xml:space="preserve"> the difference in the estimated means for the groups expressed as a fraction of the pupil level standard deviation after including appropriate control variables</w:t>
            </w:r>
          </w:p>
        </w:tc>
      </w:tr>
    </w:tbl>
    <w:p w14:paraId="2404AFFD" w14:textId="77777777" w:rsidR="000C4388" w:rsidRPr="009F6406" w:rsidRDefault="000C4388" w:rsidP="000C4388"/>
    <w:p w14:paraId="62E052DA" w14:textId="467A4A9A" w:rsidR="008C7BCC" w:rsidRPr="009F6406" w:rsidRDefault="00FA56D0" w:rsidP="000C4388">
      <w:r w:rsidRPr="009F6406">
        <w:t>Table 3</w:t>
      </w:r>
      <w:r w:rsidR="000C4388" w:rsidRPr="009F6406">
        <w:t xml:space="preserve">: Pupil mathematics knowledge and skills </w:t>
      </w:r>
      <w:r w:rsidR="004532C8" w:rsidRPr="009F6406">
        <w:t xml:space="preserve">in experimental and delayed treatment groups </w:t>
      </w:r>
      <w:r w:rsidR="000C4388" w:rsidRPr="009F6406">
        <w:t>– multilevel General Linear Model results</w:t>
      </w:r>
    </w:p>
    <w:p w14:paraId="52D75C25" w14:textId="77777777" w:rsidR="008C7BCC" w:rsidRPr="009F6406" w:rsidRDefault="008C7BCC" w:rsidP="008C7BCC">
      <w:r w:rsidRPr="009F6406">
        <w:br w:type="page"/>
      </w:r>
    </w:p>
    <w:p w14:paraId="568D0C14" w14:textId="77777777" w:rsidR="00E655FA" w:rsidRPr="009F6406" w:rsidRDefault="00E655FA" w:rsidP="008C7BCC"/>
    <w:tbl>
      <w:tblPr>
        <w:tblW w:w="14038" w:type="dxa"/>
        <w:tblInd w:w="-601" w:type="dxa"/>
        <w:tblLayout w:type="fixed"/>
        <w:tblLook w:val="04A0" w:firstRow="1" w:lastRow="0" w:firstColumn="1" w:lastColumn="0" w:noHBand="0" w:noVBand="1"/>
      </w:tblPr>
      <w:tblGrid>
        <w:gridCol w:w="3152"/>
        <w:gridCol w:w="822"/>
        <w:gridCol w:w="709"/>
        <w:gridCol w:w="567"/>
        <w:gridCol w:w="709"/>
        <w:gridCol w:w="567"/>
        <w:gridCol w:w="992"/>
        <w:gridCol w:w="567"/>
        <w:gridCol w:w="850"/>
        <w:gridCol w:w="851"/>
        <w:gridCol w:w="567"/>
        <w:gridCol w:w="850"/>
        <w:gridCol w:w="709"/>
        <w:gridCol w:w="851"/>
        <w:gridCol w:w="708"/>
        <w:gridCol w:w="567"/>
      </w:tblGrid>
      <w:tr w:rsidR="008C7BCC" w:rsidRPr="009F6406" w14:paraId="2BC0791D" w14:textId="77777777" w:rsidTr="008C7BCC">
        <w:trPr>
          <w:trHeight w:val="288"/>
        </w:trPr>
        <w:tc>
          <w:tcPr>
            <w:tcW w:w="3152" w:type="dxa"/>
            <w:tcBorders>
              <w:top w:val="single" w:sz="4" w:space="0" w:color="auto"/>
            </w:tcBorders>
            <w:shd w:val="clear" w:color="auto" w:fill="auto"/>
            <w:noWrap/>
            <w:vAlign w:val="bottom"/>
            <w:hideMark/>
          </w:tcPr>
          <w:p w14:paraId="2AF6E750" w14:textId="77777777" w:rsidR="008C7BCC" w:rsidRPr="009F6406" w:rsidRDefault="008C7BCC" w:rsidP="008C7BCC">
            <w:pPr>
              <w:spacing w:after="0"/>
              <w:rPr>
                <w:rFonts w:eastAsia="Times New Roman" w:cs="Times New Roman"/>
                <w:b/>
                <w:bCs/>
                <w:color w:val="000000"/>
                <w:sz w:val="14"/>
                <w:szCs w:val="14"/>
                <w:u w:val="single"/>
              </w:rPr>
            </w:pPr>
          </w:p>
        </w:tc>
        <w:tc>
          <w:tcPr>
            <w:tcW w:w="3374" w:type="dxa"/>
            <w:gridSpan w:val="5"/>
            <w:tcBorders>
              <w:top w:val="single" w:sz="4" w:space="0" w:color="auto"/>
              <w:right w:val="single" w:sz="4" w:space="0" w:color="auto"/>
            </w:tcBorders>
            <w:shd w:val="clear" w:color="auto" w:fill="auto"/>
            <w:noWrap/>
            <w:vAlign w:val="bottom"/>
            <w:hideMark/>
          </w:tcPr>
          <w:p w14:paraId="5D14A2CE" w14:textId="77777777" w:rsidR="008C7BCC" w:rsidRPr="009F6406" w:rsidRDefault="002F2ABC" w:rsidP="008C7BCC">
            <w:pPr>
              <w:spacing w:after="0"/>
              <w:jc w:val="center"/>
              <w:rPr>
                <w:rFonts w:eastAsia="Times New Roman" w:cs="Times New Roman"/>
                <w:color w:val="000000"/>
                <w:sz w:val="14"/>
                <w:szCs w:val="14"/>
              </w:rPr>
            </w:pPr>
            <w:r w:rsidRPr="009F6406">
              <w:rPr>
                <w:rFonts w:eastAsia="Times New Roman" w:cs="Times New Roman"/>
                <w:b/>
                <w:bCs/>
                <w:color w:val="000000"/>
                <w:sz w:val="14"/>
                <w:szCs w:val="14"/>
              </w:rPr>
              <w:t>TERM 1</w:t>
            </w:r>
          </w:p>
        </w:tc>
        <w:tc>
          <w:tcPr>
            <w:tcW w:w="3827" w:type="dxa"/>
            <w:gridSpan w:val="5"/>
            <w:tcBorders>
              <w:top w:val="single" w:sz="4" w:space="0" w:color="auto"/>
              <w:left w:val="single" w:sz="4" w:space="0" w:color="auto"/>
              <w:right w:val="single" w:sz="4" w:space="0" w:color="auto"/>
            </w:tcBorders>
            <w:shd w:val="clear" w:color="auto" w:fill="auto"/>
            <w:noWrap/>
            <w:vAlign w:val="bottom"/>
            <w:hideMark/>
          </w:tcPr>
          <w:p w14:paraId="7BB6A242" w14:textId="77777777" w:rsidR="008C7BCC" w:rsidRPr="009F6406" w:rsidRDefault="002F2ABC" w:rsidP="008C7BCC">
            <w:pPr>
              <w:spacing w:after="0"/>
              <w:jc w:val="center"/>
              <w:rPr>
                <w:rFonts w:eastAsia="Times New Roman" w:cs="Times New Roman"/>
                <w:color w:val="000000"/>
                <w:sz w:val="14"/>
                <w:szCs w:val="14"/>
              </w:rPr>
            </w:pPr>
            <w:r w:rsidRPr="009F6406">
              <w:rPr>
                <w:rFonts w:eastAsia="Times New Roman" w:cs="Times New Roman"/>
                <w:b/>
                <w:bCs/>
                <w:color w:val="000000"/>
                <w:sz w:val="14"/>
                <w:szCs w:val="14"/>
              </w:rPr>
              <w:t>TERM 2</w:t>
            </w:r>
          </w:p>
        </w:tc>
        <w:tc>
          <w:tcPr>
            <w:tcW w:w="3685" w:type="dxa"/>
            <w:gridSpan w:val="5"/>
            <w:tcBorders>
              <w:top w:val="single" w:sz="4" w:space="0" w:color="auto"/>
              <w:left w:val="single" w:sz="4" w:space="0" w:color="auto"/>
            </w:tcBorders>
            <w:shd w:val="clear" w:color="auto" w:fill="auto"/>
            <w:noWrap/>
            <w:vAlign w:val="bottom"/>
            <w:hideMark/>
          </w:tcPr>
          <w:p w14:paraId="287BAD9F" w14:textId="77777777" w:rsidR="008C7BCC" w:rsidRPr="009F6406" w:rsidRDefault="002F2ABC" w:rsidP="008C7BCC">
            <w:pPr>
              <w:spacing w:after="0"/>
              <w:jc w:val="center"/>
              <w:rPr>
                <w:rFonts w:eastAsia="Times New Roman" w:cs="Times New Roman"/>
                <w:color w:val="000000"/>
                <w:sz w:val="14"/>
                <w:szCs w:val="14"/>
              </w:rPr>
            </w:pPr>
            <w:r w:rsidRPr="009F6406">
              <w:rPr>
                <w:rFonts w:eastAsia="Times New Roman" w:cs="Times New Roman"/>
                <w:b/>
                <w:bCs/>
                <w:color w:val="000000"/>
                <w:sz w:val="14"/>
                <w:szCs w:val="14"/>
              </w:rPr>
              <w:t>TERM 3</w:t>
            </w:r>
          </w:p>
        </w:tc>
      </w:tr>
      <w:tr w:rsidR="008C7BCC" w:rsidRPr="009F6406" w14:paraId="373BD7B0" w14:textId="77777777" w:rsidTr="008C7BCC">
        <w:trPr>
          <w:trHeight w:val="288"/>
        </w:trPr>
        <w:tc>
          <w:tcPr>
            <w:tcW w:w="3152" w:type="dxa"/>
            <w:shd w:val="clear" w:color="auto" w:fill="auto"/>
            <w:noWrap/>
            <w:vAlign w:val="bottom"/>
            <w:hideMark/>
          </w:tcPr>
          <w:p w14:paraId="11F32AE6"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color w:val="000000"/>
                <w:sz w:val="14"/>
                <w:szCs w:val="14"/>
              </w:rPr>
              <w:t> </w:t>
            </w:r>
          </w:p>
        </w:tc>
        <w:tc>
          <w:tcPr>
            <w:tcW w:w="822" w:type="dxa"/>
            <w:shd w:val="clear" w:color="auto" w:fill="auto"/>
            <w:noWrap/>
            <w:vAlign w:val="center"/>
            <w:hideMark/>
          </w:tcPr>
          <w:p w14:paraId="38C17978"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0</w:t>
            </w:r>
          </w:p>
        </w:tc>
        <w:tc>
          <w:tcPr>
            <w:tcW w:w="2552" w:type="dxa"/>
            <w:gridSpan w:val="4"/>
            <w:tcBorders>
              <w:right w:val="single" w:sz="4" w:space="0" w:color="auto"/>
            </w:tcBorders>
            <w:shd w:val="clear" w:color="auto" w:fill="auto"/>
            <w:noWrap/>
            <w:vAlign w:val="center"/>
            <w:hideMark/>
          </w:tcPr>
          <w:p w14:paraId="715DC81B"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1</w:t>
            </w:r>
          </w:p>
        </w:tc>
        <w:tc>
          <w:tcPr>
            <w:tcW w:w="992" w:type="dxa"/>
            <w:tcBorders>
              <w:left w:val="single" w:sz="4" w:space="0" w:color="auto"/>
            </w:tcBorders>
            <w:shd w:val="clear" w:color="auto" w:fill="auto"/>
            <w:noWrap/>
            <w:vAlign w:val="center"/>
            <w:hideMark/>
          </w:tcPr>
          <w:p w14:paraId="35D2BA02"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0</w:t>
            </w:r>
          </w:p>
        </w:tc>
        <w:tc>
          <w:tcPr>
            <w:tcW w:w="2835" w:type="dxa"/>
            <w:gridSpan w:val="4"/>
            <w:tcBorders>
              <w:right w:val="single" w:sz="4" w:space="0" w:color="auto"/>
            </w:tcBorders>
            <w:shd w:val="clear" w:color="auto" w:fill="auto"/>
            <w:noWrap/>
            <w:vAlign w:val="center"/>
            <w:hideMark/>
          </w:tcPr>
          <w:p w14:paraId="70369E7D"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1</w:t>
            </w:r>
          </w:p>
        </w:tc>
        <w:tc>
          <w:tcPr>
            <w:tcW w:w="850" w:type="dxa"/>
            <w:tcBorders>
              <w:left w:val="single" w:sz="4" w:space="0" w:color="auto"/>
            </w:tcBorders>
            <w:shd w:val="clear" w:color="auto" w:fill="auto"/>
            <w:noWrap/>
            <w:vAlign w:val="center"/>
            <w:hideMark/>
          </w:tcPr>
          <w:p w14:paraId="7A6B115A"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0</w:t>
            </w:r>
          </w:p>
        </w:tc>
        <w:tc>
          <w:tcPr>
            <w:tcW w:w="2835" w:type="dxa"/>
            <w:gridSpan w:val="4"/>
            <w:shd w:val="clear" w:color="auto" w:fill="auto"/>
            <w:noWrap/>
            <w:vAlign w:val="center"/>
            <w:hideMark/>
          </w:tcPr>
          <w:p w14:paraId="788591EB"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Model 1</w:t>
            </w:r>
          </w:p>
        </w:tc>
      </w:tr>
      <w:tr w:rsidR="008C7BCC" w:rsidRPr="009F6406" w14:paraId="785458F3" w14:textId="77777777" w:rsidTr="008C7BCC">
        <w:trPr>
          <w:trHeight w:val="304"/>
        </w:trPr>
        <w:tc>
          <w:tcPr>
            <w:tcW w:w="3152" w:type="dxa"/>
            <w:tcBorders>
              <w:bottom w:val="single" w:sz="4" w:space="0" w:color="auto"/>
            </w:tcBorders>
            <w:shd w:val="clear" w:color="auto" w:fill="auto"/>
            <w:noWrap/>
            <w:vAlign w:val="bottom"/>
            <w:hideMark/>
          </w:tcPr>
          <w:p w14:paraId="0DCE4366"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color w:val="000000"/>
                <w:sz w:val="14"/>
                <w:szCs w:val="14"/>
              </w:rPr>
              <w:t> </w:t>
            </w:r>
            <w:r w:rsidRPr="009F6406">
              <w:rPr>
                <w:rFonts w:eastAsia="Times New Roman" w:cs="Times New Roman"/>
                <w:i/>
                <w:iCs/>
                <w:color w:val="000000"/>
                <w:sz w:val="14"/>
                <w:szCs w:val="14"/>
              </w:rPr>
              <w:t>FIXED EFFECTS</w:t>
            </w:r>
          </w:p>
        </w:tc>
        <w:tc>
          <w:tcPr>
            <w:tcW w:w="822" w:type="dxa"/>
            <w:tcBorders>
              <w:bottom w:val="single" w:sz="4" w:space="0" w:color="auto"/>
            </w:tcBorders>
            <w:shd w:val="clear" w:color="auto" w:fill="auto"/>
            <w:noWrap/>
            <w:vAlign w:val="center"/>
            <w:hideMark/>
          </w:tcPr>
          <w:p w14:paraId="3CFC45F8"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709" w:type="dxa"/>
            <w:tcBorders>
              <w:bottom w:val="single" w:sz="4" w:space="0" w:color="auto"/>
            </w:tcBorders>
            <w:shd w:val="clear" w:color="auto" w:fill="auto"/>
            <w:vAlign w:val="center"/>
            <w:hideMark/>
          </w:tcPr>
          <w:p w14:paraId="3515117D"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567" w:type="dxa"/>
            <w:tcBorders>
              <w:bottom w:val="single" w:sz="4" w:space="0" w:color="auto"/>
            </w:tcBorders>
            <w:shd w:val="clear" w:color="auto" w:fill="auto"/>
            <w:vAlign w:val="center"/>
            <w:hideMark/>
          </w:tcPr>
          <w:p w14:paraId="044CAC73"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SE</w:t>
            </w:r>
          </w:p>
        </w:tc>
        <w:tc>
          <w:tcPr>
            <w:tcW w:w="709" w:type="dxa"/>
            <w:tcBorders>
              <w:bottom w:val="single" w:sz="4" w:space="0" w:color="auto"/>
            </w:tcBorders>
            <w:shd w:val="clear" w:color="auto" w:fill="auto"/>
            <w:vAlign w:val="center"/>
            <w:hideMark/>
          </w:tcPr>
          <w:p w14:paraId="0C80688F"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p</w:t>
            </w:r>
          </w:p>
        </w:tc>
        <w:tc>
          <w:tcPr>
            <w:tcW w:w="567" w:type="dxa"/>
            <w:tcBorders>
              <w:bottom w:val="single" w:sz="4" w:space="0" w:color="auto"/>
              <w:right w:val="single" w:sz="4" w:space="0" w:color="auto"/>
            </w:tcBorders>
            <w:shd w:val="clear" w:color="auto" w:fill="auto"/>
            <w:vAlign w:val="center"/>
            <w:hideMark/>
          </w:tcPr>
          <w:p w14:paraId="3537F2F1"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ES</w:t>
            </w:r>
          </w:p>
        </w:tc>
        <w:tc>
          <w:tcPr>
            <w:tcW w:w="992" w:type="dxa"/>
            <w:tcBorders>
              <w:left w:val="single" w:sz="4" w:space="0" w:color="auto"/>
              <w:bottom w:val="single" w:sz="4" w:space="0" w:color="auto"/>
            </w:tcBorders>
            <w:shd w:val="clear" w:color="auto" w:fill="auto"/>
            <w:noWrap/>
            <w:vAlign w:val="center"/>
            <w:hideMark/>
          </w:tcPr>
          <w:p w14:paraId="3E6FDBD8"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567" w:type="dxa"/>
            <w:tcBorders>
              <w:bottom w:val="single" w:sz="4" w:space="0" w:color="auto"/>
            </w:tcBorders>
            <w:shd w:val="clear" w:color="auto" w:fill="auto"/>
            <w:vAlign w:val="center"/>
            <w:hideMark/>
          </w:tcPr>
          <w:p w14:paraId="6451D491"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850" w:type="dxa"/>
            <w:tcBorders>
              <w:bottom w:val="single" w:sz="4" w:space="0" w:color="auto"/>
            </w:tcBorders>
            <w:shd w:val="clear" w:color="auto" w:fill="auto"/>
            <w:vAlign w:val="center"/>
            <w:hideMark/>
          </w:tcPr>
          <w:p w14:paraId="3254BC7B"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SE</w:t>
            </w:r>
          </w:p>
        </w:tc>
        <w:tc>
          <w:tcPr>
            <w:tcW w:w="851" w:type="dxa"/>
            <w:tcBorders>
              <w:bottom w:val="single" w:sz="4" w:space="0" w:color="auto"/>
            </w:tcBorders>
            <w:shd w:val="clear" w:color="auto" w:fill="auto"/>
            <w:vAlign w:val="center"/>
            <w:hideMark/>
          </w:tcPr>
          <w:p w14:paraId="77CF938C"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p</w:t>
            </w:r>
          </w:p>
        </w:tc>
        <w:tc>
          <w:tcPr>
            <w:tcW w:w="567" w:type="dxa"/>
            <w:tcBorders>
              <w:bottom w:val="single" w:sz="4" w:space="0" w:color="auto"/>
              <w:right w:val="single" w:sz="4" w:space="0" w:color="auto"/>
            </w:tcBorders>
            <w:shd w:val="clear" w:color="auto" w:fill="auto"/>
            <w:vAlign w:val="center"/>
            <w:hideMark/>
          </w:tcPr>
          <w:p w14:paraId="715C4C08"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ES</w:t>
            </w:r>
          </w:p>
        </w:tc>
        <w:tc>
          <w:tcPr>
            <w:tcW w:w="850" w:type="dxa"/>
            <w:tcBorders>
              <w:left w:val="single" w:sz="4" w:space="0" w:color="auto"/>
              <w:bottom w:val="single" w:sz="4" w:space="0" w:color="auto"/>
            </w:tcBorders>
            <w:shd w:val="clear" w:color="auto" w:fill="auto"/>
            <w:noWrap/>
            <w:vAlign w:val="center"/>
            <w:hideMark/>
          </w:tcPr>
          <w:p w14:paraId="7CDDB794"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709" w:type="dxa"/>
            <w:tcBorders>
              <w:bottom w:val="single" w:sz="4" w:space="0" w:color="auto"/>
            </w:tcBorders>
            <w:shd w:val="clear" w:color="auto" w:fill="auto"/>
            <w:vAlign w:val="center"/>
            <w:hideMark/>
          </w:tcPr>
          <w:p w14:paraId="60D89F86"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B</w:t>
            </w:r>
          </w:p>
        </w:tc>
        <w:tc>
          <w:tcPr>
            <w:tcW w:w="851" w:type="dxa"/>
            <w:tcBorders>
              <w:bottom w:val="single" w:sz="4" w:space="0" w:color="auto"/>
            </w:tcBorders>
            <w:shd w:val="clear" w:color="auto" w:fill="auto"/>
            <w:vAlign w:val="center"/>
            <w:hideMark/>
          </w:tcPr>
          <w:p w14:paraId="716CD422"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SE</w:t>
            </w:r>
          </w:p>
        </w:tc>
        <w:tc>
          <w:tcPr>
            <w:tcW w:w="708" w:type="dxa"/>
            <w:tcBorders>
              <w:bottom w:val="single" w:sz="4" w:space="0" w:color="auto"/>
            </w:tcBorders>
            <w:shd w:val="clear" w:color="auto" w:fill="auto"/>
            <w:vAlign w:val="center"/>
            <w:hideMark/>
          </w:tcPr>
          <w:p w14:paraId="7713113D"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p</w:t>
            </w:r>
          </w:p>
        </w:tc>
        <w:tc>
          <w:tcPr>
            <w:tcW w:w="567" w:type="dxa"/>
            <w:tcBorders>
              <w:bottom w:val="single" w:sz="4" w:space="0" w:color="auto"/>
            </w:tcBorders>
            <w:shd w:val="clear" w:color="auto" w:fill="auto"/>
            <w:vAlign w:val="center"/>
            <w:hideMark/>
          </w:tcPr>
          <w:p w14:paraId="318938CA" w14:textId="77777777" w:rsidR="008C7BCC" w:rsidRPr="009F6406" w:rsidRDefault="008C7BCC" w:rsidP="008C7BCC">
            <w:pPr>
              <w:spacing w:after="0"/>
              <w:jc w:val="center"/>
              <w:rPr>
                <w:rFonts w:eastAsia="Times New Roman" w:cs="Times New Roman"/>
                <w:b/>
                <w:bCs/>
                <w:color w:val="000000"/>
                <w:sz w:val="14"/>
                <w:szCs w:val="14"/>
              </w:rPr>
            </w:pPr>
            <w:r w:rsidRPr="009F6406">
              <w:rPr>
                <w:rFonts w:eastAsia="Times New Roman" w:cs="Times New Roman"/>
                <w:b/>
                <w:bCs/>
                <w:color w:val="000000"/>
                <w:sz w:val="14"/>
                <w:szCs w:val="14"/>
              </w:rPr>
              <w:t>ES</w:t>
            </w:r>
          </w:p>
        </w:tc>
      </w:tr>
      <w:tr w:rsidR="008C7BCC" w:rsidRPr="009F6406" w14:paraId="4DAE8932" w14:textId="77777777" w:rsidTr="008C7BCC">
        <w:trPr>
          <w:trHeight w:val="288"/>
        </w:trPr>
        <w:tc>
          <w:tcPr>
            <w:tcW w:w="3152" w:type="dxa"/>
            <w:tcBorders>
              <w:top w:val="single" w:sz="4" w:space="0" w:color="auto"/>
            </w:tcBorders>
            <w:shd w:val="clear" w:color="auto" w:fill="auto"/>
            <w:noWrap/>
            <w:vAlign w:val="center"/>
            <w:hideMark/>
          </w:tcPr>
          <w:p w14:paraId="56E54BA0" w14:textId="1C3963E9" w:rsidR="008C7BCC" w:rsidRPr="009F6406" w:rsidRDefault="008C7BCC" w:rsidP="008C7BCC">
            <w:pPr>
              <w:spacing w:after="0"/>
              <w:rPr>
                <w:rFonts w:eastAsia="Times New Roman" w:cs="Times New Roman"/>
                <w:b/>
                <w:bCs/>
                <w:color w:val="000000"/>
                <w:sz w:val="14"/>
                <w:szCs w:val="14"/>
              </w:rPr>
            </w:pPr>
            <w:r w:rsidRPr="009F6406">
              <w:rPr>
                <w:rFonts w:eastAsia="Times New Roman" w:cs="Times New Roman"/>
                <w:b/>
                <w:bCs/>
                <w:color w:val="000000"/>
                <w:sz w:val="14"/>
                <w:szCs w:val="14"/>
              </w:rPr>
              <w:t xml:space="preserve">Average attitude towards </w:t>
            </w:r>
            <w:r w:rsidR="00392CDF" w:rsidRPr="009F6406">
              <w:rPr>
                <w:rFonts w:eastAsia="Times New Roman" w:cs="Times New Roman"/>
                <w:b/>
                <w:bCs/>
                <w:color w:val="000000"/>
                <w:sz w:val="14"/>
                <w:szCs w:val="14"/>
              </w:rPr>
              <w:t>mathematics</w:t>
            </w:r>
            <w:r w:rsidRPr="009F6406">
              <w:rPr>
                <w:rFonts w:eastAsia="Times New Roman" w:cs="Times New Roman"/>
                <w:b/>
                <w:bCs/>
                <w:color w:val="000000"/>
                <w:sz w:val="14"/>
                <w:szCs w:val="14"/>
              </w:rPr>
              <w:t>:</w:t>
            </w:r>
          </w:p>
        </w:tc>
        <w:tc>
          <w:tcPr>
            <w:tcW w:w="822" w:type="dxa"/>
            <w:tcBorders>
              <w:top w:val="single" w:sz="4" w:space="0" w:color="auto"/>
            </w:tcBorders>
            <w:shd w:val="clear" w:color="auto" w:fill="auto"/>
            <w:noWrap/>
            <w:vAlign w:val="center"/>
          </w:tcPr>
          <w:p w14:paraId="359321F3"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11.29</w:t>
            </w:r>
          </w:p>
        </w:tc>
        <w:tc>
          <w:tcPr>
            <w:tcW w:w="709" w:type="dxa"/>
            <w:tcBorders>
              <w:top w:val="single" w:sz="4" w:space="0" w:color="auto"/>
            </w:tcBorders>
            <w:shd w:val="clear" w:color="auto" w:fill="auto"/>
            <w:noWrap/>
            <w:vAlign w:val="center"/>
          </w:tcPr>
          <w:p w14:paraId="688A4589"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9.14</w:t>
            </w:r>
          </w:p>
        </w:tc>
        <w:tc>
          <w:tcPr>
            <w:tcW w:w="567" w:type="dxa"/>
            <w:tcBorders>
              <w:top w:val="single" w:sz="4" w:space="0" w:color="auto"/>
            </w:tcBorders>
            <w:shd w:val="clear" w:color="auto" w:fill="auto"/>
            <w:noWrap/>
            <w:vAlign w:val="center"/>
          </w:tcPr>
          <w:p w14:paraId="1B9A85F1" w14:textId="77777777" w:rsidR="008C7BCC" w:rsidRPr="009F6406" w:rsidRDefault="008C7BCC" w:rsidP="008C7BCC">
            <w:pPr>
              <w:spacing w:after="0"/>
              <w:jc w:val="center"/>
              <w:rPr>
                <w:rFonts w:cs="Times New Roman"/>
                <w:color w:val="000000"/>
                <w:sz w:val="14"/>
                <w:szCs w:val="14"/>
              </w:rPr>
            </w:pPr>
          </w:p>
        </w:tc>
        <w:tc>
          <w:tcPr>
            <w:tcW w:w="709" w:type="dxa"/>
            <w:tcBorders>
              <w:top w:val="single" w:sz="4" w:space="0" w:color="auto"/>
            </w:tcBorders>
            <w:shd w:val="clear" w:color="auto" w:fill="auto"/>
            <w:noWrap/>
            <w:vAlign w:val="center"/>
          </w:tcPr>
          <w:p w14:paraId="12113AFB" w14:textId="77777777" w:rsidR="008C7BCC" w:rsidRPr="009F6406" w:rsidRDefault="008C7BCC" w:rsidP="008C7BCC">
            <w:pPr>
              <w:spacing w:after="0"/>
              <w:jc w:val="center"/>
              <w:rPr>
                <w:rFonts w:cs="Times New Roman"/>
                <w:color w:val="000000"/>
                <w:sz w:val="14"/>
                <w:szCs w:val="14"/>
              </w:rPr>
            </w:pPr>
          </w:p>
        </w:tc>
        <w:tc>
          <w:tcPr>
            <w:tcW w:w="567" w:type="dxa"/>
            <w:tcBorders>
              <w:top w:val="single" w:sz="4" w:space="0" w:color="auto"/>
              <w:right w:val="single" w:sz="4" w:space="0" w:color="auto"/>
            </w:tcBorders>
            <w:shd w:val="clear" w:color="auto" w:fill="auto"/>
            <w:noWrap/>
            <w:vAlign w:val="center"/>
          </w:tcPr>
          <w:p w14:paraId="3A106D26" w14:textId="77777777" w:rsidR="008C7BCC" w:rsidRPr="009F6406" w:rsidRDefault="008C7BCC" w:rsidP="008C7BCC">
            <w:pPr>
              <w:spacing w:after="0"/>
              <w:jc w:val="center"/>
              <w:rPr>
                <w:rFonts w:cs="Times New Roman"/>
                <w:color w:val="000000"/>
                <w:sz w:val="14"/>
                <w:szCs w:val="14"/>
              </w:rPr>
            </w:pPr>
          </w:p>
        </w:tc>
        <w:tc>
          <w:tcPr>
            <w:tcW w:w="992" w:type="dxa"/>
            <w:tcBorders>
              <w:top w:val="single" w:sz="4" w:space="0" w:color="auto"/>
              <w:left w:val="single" w:sz="4" w:space="0" w:color="auto"/>
            </w:tcBorders>
            <w:shd w:val="clear" w:color="auto" w:fill="auto"/>
            <w:noWrap/>
            <w:vAlign w:val="center"/>
          </w:tcPr>
          <w:p w14:paraId="23382CF6"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10.91</w:t>
            </w:r>
          </w:p>
        </w:tc>
        <w:tc>
          <w:tcPr>
            <w:tcW w:w="567" w:type="dxa"/>
            <w:tcBorders>
              <w:top w:val="single" w:sz="4" w:space="0" w:color="auto"/>
            </w:tcBorders>
            <w:shd w:val="clear" w:color="auto" w:fill="auto"/>
            <w:noWrap/>
            <w:vAlign w:val="center"/>
          </w:tcPr>
          <w:p w14:paraId="3D21B142"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1.53</w:t>
            </w:r>
          </w:p>
        </w:tc>
        <w:tc>
          <w:tcPr>
            <w:tcW w:w="850" w:type="dxa"/>
            <w:tcBorders>
              <w:top w:val="single" w:sz="4" w:space="0" w:color="auto"/>
            </w:tcBorders>
            <w:shd w:val="clear" w:color="auto" w:fill="auto"/>
            <w:noWrap/>
            <w:vAlign w:val="center"/>
          </w:tcPr>
          <w:p w14:paraId="509A0D4A" w14:textId="77777777" w:rsidR="008C7BCC" w:rsidRPr="009F6406" w:rsidRDefault="008C7BCC" w:rsidP="008C7BCC">
            <w:pPr>
              <w:spacing w:after="0"/>
              <w:jc w:val="center"/>
              <w:rPr>
                <w:rFonts w:cs="Times New Roman"/>
                <w:color w:val="000000"/>
                <w:sz w:val="14"/>
                <w:szCs w:val="14"/>
              </w:rPr>
            </w:pPr>
          </w:p>
        </w:tc>
        <w:tc>
          <w:tcPr>
            <w:tcW w:w="851" w:type="dxa"/>
            <w:tcBorders>
              <w:top w:val="single" w:sz="4" w:space="0" w:color="auto"/>
            </w:tcBorders>
            <w:shd w:val="clear" w:color="auto" w:fill="auto"/>
            <w:noWrap/>
            <w:vAlign w:val="center"/>
          </w:tcPr>
          <w:p w14:paraId="40FCA155" w14:textId="77777777" w:rsidR="008C7BCC" w:rsidRPr="009F6406" w:rsidRDefault="008C7BCC" w:rsidP="008C7BCC">
            <w:pPr>
              <w:spacing w:after="0"/>
              <w:jc w:val="center"/>
              <w:rPr>
                <w:rFonts w:cs="Times New Roman"/>
                <w:color w:val="000000"/>
                <w:sz w:val="14"/>
                <w:szCs w:val="14"/>
              </w:rPr>
            </w:pPr>
          </w:p>
        </w:tc>
        <w:tc>
          <w:tcPr>
            <w:tcW w:w="567" w:type="dxa"/>
            <w:tcBorders>
              <w:top w:val="single" w:sz="4" w:space="0" w:color="auto"/>
              <w:right w:val="single" w:sz="4" w:space="0" w:color="auto"/>
            </w:tcBorders>
            <w:shd w:val="clear" w:color="auto" w:fill="auto"/>
            <w:noWrap/>
            <w:vAlign w:val="center"/>
          </w:tcPr>
          <w:p w14:paraId="36C5FE5D" w14:textId="77777777" w:rsidR="008C7BCC" w:rsidRPr="009F6406" w:rsidRDefault="008C7BCC" w:rsidP="008C7BCC">
            <w:pPr>
              <w:spacing w:after="0"/>
              <w:jc w:val="center"/>
              <w:rPr>
                <w:rFonts w:cs="Times New Roman"/>
                <w:color w:val="000000"/>
                <w:sz w:val="14"/>
                <w:szCs w:val="14"/>
              </w:rPr>
            </w:pPr>
          </w:p>
        </w:tc>
        <w:tc>
          <w:tcPr>
            <w:tcW w:w="850" w:type="dxa"/>
            <w:tcBorders>
              <w:top w:val="single" w:sz="4" w:space="0" w:color="auto"/>
              <w:left w:val="single" w:sz="4" w:space="0" w:color="auto"/>
            </w:tcBorders>
            <w:shd w:val="clear" w:color="auto" w:fill="auto"/>
            <w:noWrap/>
            <w:vAlign w:val="center"/>
          </w:tcPr>
          <w:p w14:paraId="64BC105F"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10.73</w:t>
            </w:r>
          </w:p>
        </w:tc>
        <w:tc>
          <w:tcPr>
            <w:tcW w:w="709" w:type="dxa"/>
            <w:tcBorders>
              <w:top w:val="single" w:sz="4" w:space="0" w:color="auto"/>
            </w:tcBorders>
            <w:shd w:val="clear" w:color="auto" w:fill="auto"/>
            <w:noWrap/>
            <w:vAlign w:val="center"/>
          </w:tcPr>
          <w:p w14:paraId="1DCCFD82" w14:textId="77777777" w:rsidR="008C7BCC" w:rsidRPr="009F6406" w:rsidRDefault="008C7BCC" w:rsidP="008C7BCC">
            <w:pPr>
              <w:spacing w:after="0"/>
              <w:jc w:val="center"/>
              <w:rPr>
                <w:rFonts w:eastAsia="Times New Roman" w:cs="Times New Roman"/>
                <w:color w:val="000000"/>
                <w:sz w:val="14"/>
                <w:szCs w:val="14"/>
              </w:rPr>
            </w:pPr>
            <w:r w:rsidRPr="009F6406">
              <w:rPr>
                <w:rFonts w:eastAsia="Times New Roman" w:cs="Times New Roman"/>
                <w:color w:val="000000"/>
                <w:sz w:val="14"/>
                <w:szCs w:val="14"/>
              </w:rPr>
              <w:t>1.67</w:t>
            </w:r>
          </w:p>
        </w:tc>
        <w:tc>
          <w:tcPr>
            <w:tcW w:w="851" w:type="dxa"/>
            <w:tcBorders>
              <w:top w:val="single" w:sz="4" w:space="0" w:color="auto"/>
            </w:tcBorders>
            <w:shd w:val="clear" w:color="auto" w:fill="auto"/>
            <w:noWrap/>
            <w:vAlign w:val="center"/>
          </w:tcPr>
          <w:p w14:paraId="5C261467" w14:textId="77777777" w:rsidR="008C7BCC" w:rsidRPr="009F6406" w:rsidRDefault="008C7BCC" w:rsidP="008C7BCC">
            <w:pPr>
              <w:spacing w:after="0"/>
              <w:jc w:val="center"/>
              <w:rPr>
                <w:rFonts w:eastAsia="Times New Roman" w:cs="Times New Roman"/>
                <w:color w:val="000000"/>
                <w:sz w:val="14"/>
                <w:szCs w:val="14"/>
              </w:rPr>
            </w:pPr>
          </w:p>
        </w:tc>
        <w:tc>
          <w:tcPr>
            <w:tcW w:w="708" w:type="dxa"/>
            <w:tcBorders>
              <w:top w:val="single" w:sz="4" w:space="0" w:color="auto"/>
            </w:tcBorders>
            <w:shd w:val="clear" w:color="auto" w:fill="auto"/>
            <w:noWrap/>
            <w:vAlign w:val="center"/>
          </w:tcPr>
          <w:p w14:paraId="3BE9ABC1" w14:textId="77777777" w:rsidR="008C7BCC" w:rsidRPr="009F6406" w:rsidRDefault="008C7BCC" w:rsidP="008C7BCC">
            <w:pPr>
              <w:spacing w:after="0"/>
              <w:jc w:val="center"/>
              <w:rPr>
                <w:rFonts w:eastAsia="Times New Roman" w:cs="Times New Roman"/>
                <w:color w:val="000000"/>
                <w:sz w:val="14"/>
                <w:szCs w:val="14"/>
              </w:rPr>
            </w:pPr>
          </w:p>
        </w:tc>
        <w:tc>
          <w:tcPr>
            <w:tcW w:w="567" w:type="dxa"/>
            <w:tcBorders>
              <w:top w:val="single" w:sz="4" w:space="0" w:color="auto"/>
            </w:tcBorders>
            <w:shd w:val="clear" w:color="auto" w:fill="auto"/>
            <w:noWrap/>
            <w:vAlign w:val="center"/>
          </w:tcPr>
          <w:p w14:paraId="0E6EDA04" w14:textId="77777777" w:rsidR="008C7BCC" w:rsidRPr="009F6406" w:rsidRDefault="008C7BCC" w:rsidP="008C7BCC">
            <w:pPr>
              <w:spacing w:after="0"/>
              <w:jc w:val="center"/>
              <w:rPr>
                <w:rFonts w:eastAsia="Times New Roman" w:cs="Times New Roman"/>
                <w:color w:val="000000"/>
                <w:sz w:val="14"/>
                <w:szCs w:val="14"/>
              </w:rPr>
            </w:pPr>
          </w:p>
        </w:tc>
      </w:tr>
      <w:tr w:rsidR="008C7BCC" w:rsidRPr="009F6406" w14:paraId="75CF4842" w14:textId="77777777" w:rsidTr="008C7BCC">
        <w:trPr>
          <w:trHeight w:val="288"/>
        </w:trPr>
        <w:tc>
          <w:tcPr>
            <w:tcW w:w="3152" w:type="dxa"/>
            <w:shd w:val="clear" w:color="auto" w:fill="auto"/>
            <w:vAlign w:val="center"/>
            <w:hideMark/>
          </w:tcPr>
          <w:p w14:paraId="3BD2106A"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b/>
                <w:color w:val="000000"/>
                <w:sz w:val="14"/>
                <w:szCs w:val="14"/>
              </w:rPr>
              <w:t>Experimental Group:</w:t>
            </w:r>
            <w:r w:rsidRPr="009F6406">
              <w:rPr>
                <w:rFonts w:eastAsia="Times New Roman" w:cs="Times New Roman"/>
                <w:color w:val="000000"/>
                <w:sz w:val="14"/>
                <w:szCs w:val="14"/>
              </w:rPr>
              <w:t xml:space="preserve"> Teacher started using </w:t>
            </w:r>
            <w:r w:rsidRPr="009F6406">
              <w:rPr>
                <w:rFonts w:eastAsia="Times New Roman" w:cs="Times New Roman"/>
                <w:i/>
                <w:color w:val="000000"/>
                <w:sz w:val="14"/>
                <w:szCs w:val="14"/>
              </w:rPr>
              <w:t>Inspire Maths</w:t>
            </w:r>
            <w:r w:rsidRPr="009F6406">
              <w:rPr>
                <w:rFonts w:eastAsia="Times New Roman" w:cs="Times New Roman"/>
                <w:color w:val="000000"/>
                <w:sz w:val="14"/>
                <w:szCs w:val="14"/>
              </w:rPr>
              <w:t xml:space="preserve"> in September? (vs. January)</w:t>
            </w:r>
          </w:p>
        </w:tc>
        <w:tc>
          <w:tcPr>
            <w:tcW w:w="822" w:type="dxa"/>
            <w:shd w:val="clear" w:color="auto" w:fill="auto"/>
            <w:vAlign w:val="center"/>
          </w:tcPr>
          <w:p w14:paraId="04CC96C4"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37C09207"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-1.38</w:t>
            </w:r>
          </w:p>
        </w:tc>
        <w:tc>
          <w:tcPr>
            <w:tcW w:w="567" w:type="dxa"/>
            <w:shd w:val="clear" w:color="auto" w:fill="auto"/>
            <w:vAlign w:val="center"/>
          </w:tcPr>
          <w:p w14:paraId="71AEF28D"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0.53</w:t>
            </w:r>
          </w:p>
        </w:tc>
        <w:tc>
          <w:tcPr>
            <w:tcW w:w="709" w:type="dxa"/>
            <w:shd w:val="clear" w:color="auto" w:fill="auto"/>
            <w:vAlign w:val="center"/>
          </w:tcPr>
          <w:p w14:paraId="5F9C0D85"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0.009</w:t>
            </w:r>
          </w:p>
        </w:tc>
        <w:tc>
          <w:tcPr>
            <w:tcW w:w="567" w:type="dxa"/>
            <w:tcBorders>
              <w:right w:val="single" w:sz="4" w:space="0" w:color="auto"/>
            </w:tcBorders>
            <w:shd w:val="clear" w:color="auto" w:fill="auto"/>
            <w:vAlign w:val="center"/>
          </w:tcPr>
          <w:p w14:paraId="00BFA2BA"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-0.36</w:t>
            </w:r>
          </w:p>
        </w:tc>
        <w:tc>
          <w:tcPr>
            <w:tcW w:w="992" w:type="dxa"/>
            <w:tcBorders>
              <w:left w:val="single" w:sz="4" w:space="0" w:color="auto"/>
            </w:tcBorders>
            <w:shd w:val="clear" w:color="auto" w:fill="auto"/>
            <w:noWrap/>
            <w:vAlign w:val="center"/>
          </w:tcPr>
          <w:p w14:paraId="52D27344" w14:textId="77777777" w:rsidR="008C7BCC" w:rsidRPr="009F6406" w:rsidRDefault="008C7BCC" w:rsidP="008C7BCC">
            <w:pPr>
              <w:spacing w:after="0"/>
              <w:jc w:val="center"/>
              <w:rPr>
                <w:rFonts w:cs="Times New Roman"/>
                <w:color w:val="000000"/>
                <w:sz w:val="14"/>
                <w:szCs w:val="14"/>
              </w:rPr>
            </w:pPr>
          </w:p>
        </w:tc>
        <w:tc>
          <w:tcPr>
            <w:tcW w:w="567" w:type="dxa"/>
            <w:shd w:val="clear" w:color="auto" w:fill="auto"/>
            <w:vAlign w:val="center"/>
          </w:tcPr>
          <w:p w14:paraId="6E9CCC4C"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0.67</w:t>
            </w:r>
          </w:p>
        </w:tc>
        <w:tc>
          <w:tcPr>
            <w:tcW w:w="850" w:type="dxa"/>
            <w:shd w:val="clear" w:color="auto" w:fill="auto"/>
            <w:vAlign w:val="center"/>
          </w:tcPr>
          <w:p w14:paraId="105667B0"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0.65</w:t>
            </w:r>
          </w:p>
        </w:tc>
        <w:tc>
          <w:tcPr>
            <w:tcW w:w="851" w:type="dxa"/>
            <w:shd w:val="clear" w:color="auto" w:fill="auto"/>
            <w:vAlign w:val="center"/>
          </w:tcPr>
          <w:p w14:paraId="5DD489F3"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0.311</w:t>
            </w:r>
          </w:p>
        </w:tc>
        <w:tc>
          <w:tcPr>
            <w:tcW w:w="567" w:type="dxa"/>
            <w:tcBorders>
              <w:right w:val="single" w:sz="4" w:space="0" w:color="auto"/>
            </w:tcBorders>
            <w:shd w:val="clear" w:color="auto" w:fill="auto"/>
            <w:vAlign w:val="center"/>
          </w:tcPr>
          <w:p w14:paraId="3DBD2644"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0.18</w:t>
            </w:r>
          </w:p>
        </w:tc>
        <w:tc>
          <w:tcPr>
            <w:tcW w:w="850" w:type="dxa"/>
            <w:tcBorders>
              <w:left w:val="single" w:sz="4" w:space="0" w:color="auto"/>
            </w:tcBorders>
            <w:shd w:val="clear" w:color="auto" w:fill="auto"/>
            <w:vAlign w:val="center"/>
          </w:tcPr>
          <w:p w14:paraId="1C71C344"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535CC2E5"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0.17</w:t>
            </w:r>
          </w:p>
        </w:tc>
        <w:tc>
          <w:tcPr>
            <w:tcW w:w="851" w:type="dxa"/>
            <w:shd w:val="clear" w:color="auto" w:fill="auto"/>
            <w:noWrap/>
            <w:vAlign w:val="center"/>
          </w:tcPr>
          <w:p w14:paraId="28ADB810"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0.58</w:t>
            </w:r>
          </w:p>
        </w:tc>
        <w:tc>
          <w:tcPr>
            <w:tcW w:w="708" w:type="dxa"/>
            <w:shd w:val="clear" w:color="auto" w:fill="auto"/>
            <w:vAlign w:val="center"/>
          </w:tcPr>
          <w:p w14:paraId="2B7B14BB"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0.777</w:t>
            </w:r>
          </w:p>
        </w:tc>
        <w:tc>
          <w:tcPr>
            <w:tcW w:w="567" w:type="dxa"/>
            <w:shd w:val="clear" w:color="auto" w:fill="auto"/>
            <w:vAlign w:val="center"/>
          </w:tcPr>
          <w:p w14:paraId="2BD71863"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0.05</w:t>
            </w:r>
          </w:p>
        </w:tc>
      </w:tr>
      <w:tr w:rsidR="008C7BCC" w:rsidRPr="009F6406" w14:paraId="550DBEC2" w14:textId="77777777" w:rsidTr="008C7BCC">
        <w:trPr>
          <w:trHeight w:val="288"/>
        </w:trPr>
        <w:tc>
          <w:tcPr>
            <w:tcW w:w="3152" w:type="dxa"/>
            <w:shd w:val="clear" w:color="auto" w:fill="auto"/>
            <w:noWrap/>
            <w:vAlign w:val="center"/>
            <w:hideMark/>
          </w:tcPr>
          <w:p w14:paraId="2C13F1F5" w14:textId="7A3DAFD3" w:rsidR="008C7BCC" w:rsidRPr="009F6406" w:rsidRDefault="008C7BCC" w:rsidP="008C7BCC">
            <w:pPr>
              <w:spacing w:after="0"/>
              <w:rPr>
                <w:rFonts w:eastAsia="Times New Roman" w:cs="Times New Roman"/>
                <w:color w:val="000000"/>
                <w:sz w:val="14"/>
                <w:szCs w:val="14"/>
              </w:rPr>
            </w:pPr>
            <w:r w:rsidRPr="009F6406">
              <w:rPr>
                <w:rFonts w:eastAsia="Times New Roman" w:cs="Times New Roman"/>
                <w:b/>
                <w:color w:val="000000"/>
                <w:sz w:val="14"/>
                <w:szCs w:val="14"/>
              </w:rPr>
              <w:t>Pupil:</w:t>
            </w:r>
            <w:r w:rsidRPr="009F6406">
              <w:rPr>
                <w:rFonts w:eastAsia="Times New Roman" w:cs="Times New Roman"/>
                <w:color w:val="000000"/>
                <w:sz w:val="14"/>
                <w:szCs w:val="14"/>
              </w:rPr>
              <w:t xml:space="preserve"> Attitude towards </w:t>
            </w:r>
            <w:r w:rsidR="00392CDF" w:rsidRPr="009F6406">
              <w:rPr>
                <w:rFonts w:eastAsia="Times New Roman" w:cs="Times New Roman"/>
                <w:color w:val="000000"/>
                <w:sz w:val="14"/>
                <w:szCs w:val="14"/>
              </w:rPr>
              <w:t>mathematics</w:t>
            </w:r>
            <w:r w:rsidRPr="009F6406">
              <w:rPr>
                <w:rFonts w:eastAsia="Times New Roman" w:cs="Times New Roman"/>
                <w:color w:val="000000"/>
                <w:sz w:val="14"/>
                <w:szCs w:val="14"/>
              </w:rPr>
              <w:t xml:space="preserve"> at the beginning of this term</w:t>
            </w:r>
          </w:p>
        </w:tc>
        <w:tc>
          <w:tcPr>
            <w:tcW w:w="822" w:type="dxa"/>
            <w:shd w:val="clear" w:color="auto" w:fill="auto"/>
            <w:vAlign w:val="center"/>
          </w:tcPr>
          <w:p w14:paraId="1435FFBA" w14:textId="77777777" w:rsidR="008C7BCC" w:rsidRPr="009F6406" w:rsidRDefault="008C7BCC" w:rsidP="008C7BCC">
            <w:pPr>
              <w:spacing w:after="0"/>
              <w:jc w:val="center"/>
              <w:rPr>
                <w:rFonts w:eastAsia="Times New Roman" w:cs="Times New Roman"/>
                <w:color w:val="000000"/>
                <w:sz w:val="14"/>
                <w:szCs w:val="14"/>
              </w:rPr>
            </w:pPr>
          </w:p>
        </w:tc>
        <w:tc>
          <w:tcPr>
            <w:tcW w:w="709" w:type="dxa"/>
            <w:shd w:val="clear" w:color="auto" w:fill="auto"/>
            <w:vAlign w:val="center"/>
          </w:tcPr>
          <w:p w14:paraId="76A02D20" w14:textId="77777777" w:rsidR="008C7BCC" w:rsidRPr="009F6406" w:rsidRDefault="008C7BCC" w:rsidP="008C7BCC">
            <w:pPr>
              <w:spacing w:after="0"/>
              <w:jc w:val="center"/>
              <w:rPr>
                <w:rFonts w:eastAsia="Times New Roman" w:cs="Times New Roman"/>
                <w:color w:val="000000"/>
                <w:sz w:val="14"/>
                <w:szCs w:val="14"/>
              </w:rPr>
            </w:pPr>
          </w:p>
        </w:tc>
        <w:tc>
          <w:tcPr>
            <w:tcW w:w="567" w:type="dxa"/>
            <w:shd w:val="clear" w:color="auto" w:fill="auto"/>
            <w:vAlign w:val="center"/>
          </w:tcPr>
          <w:p w14:paraId="79F02B6B" w14:textId="77777777" w:rsidR="008C7BCC" w:rsidRPr="009F6406" w:rsidRDefault="008C7BCC" w:rsidP="008C7BCC">
            <w:pPr>
              <w:spacing w:after="0"/>
              <w:jc w:val="center"/>
              <w:rPr>
                <w:rFonts w:eastAsia="Times New Roman" w:cs="Times New Roman"/>
                <w:color w:val="000000"/>
                <w:sz w:val="14"/>
                <w:szCs w:val="14"/>
              </w:rPr>
            </w:pPr>
          </w:p>
        </w:tc>
        <w:tc>
          <w:tcPr>
            <w:tcW w:w="709" w:type="dxa"/>
            <w:shd w:val="clear" w:color="auto" w:fill="auto"/>
            <w:vAlign w:val="center"/>
          </w:tcPr>
          <w:p w14:paraId="0DBE9F63" w14:textId="77777777" w:rsidR="008C7BCC" w:rsidRPr="009F6406" w:rsidRDefault="008C7BCC" w:rsidP="008C7BCC">
            <w:pPr>
              <w:spacing w:after="0"/>
              <w:jc w:val="center"/>
              <w:rPr>
                <w:rFonts w:eastAsia="Times New Roman" w:cs="Times New Roman"/>
                <w:color w:val="000000"/>
                <w:sz w:val="14"/>
                <w:szCs w:val="14"/>
              </w:rPr>
            </w:pPr>
          </w:p>
        </w:tc>
        <w:tc>
          <w:tcPr>
            <w:tcW w:w="567" w:type="dxa"/>
            <w:tcBorders>
              <w:right w:val="single" w:sz="4" w:space="0" w:color="auto"/>
            </w:tcBorders>
            <w:shd w:val="clear" w:color="auto" w:fill="auto"/>
            <w:vAlign w:val="center"/>
          </w:tcPr>
          <w:p w14:paraId="64F541A6" w14:textId="77777777" w:rsidR="008C7BCC" w:rsidRPr="009F6406" w:rsidRDefault="008C7BCC" w:rsidP="008C7BCC">
            <w:pPr>
              <w:spacing w:after="0"/>
              <w:jc w:val="center"/>
              <w:rPr>
                <w:rFonts w:eastAsia="Times New Roman" w:cs="Times New Roman"/>
                <w:color w:val="000000"/>
                <w:sz w:val="14"/>
                <w:szCs w:val="14"/>
              </w:rPr>
            </w:pPr>
          </w:p>
        </w:tc>
        <w:tc>
          <w:tcPr>
            <w:tcW w:w="992" w:type="dxa"/>
            <w:tcBorders>
              <w:left w:val="single" w:sz="4" w:space="0" w:color="auto"/>
            </w:tcBorders>
            <w:shd w:val="clear" w:color="auto" w:fill="auto"/>
            <w:noWrap/>
            <w:vAlign w:val="center"/>
          </w:tcPr>
          <w:p w14:paraId="2FE46F59" w14:textId="77777777" w:rsidR="008C7BCC" w:rsidRPr="009F6406" w:rsidRDefault="008C7BCC" w:rsidP="008C7BCC">
            <w:pPr>
              <w:spacing w:after="0"/>
              <w:jc w:val="center"/>
              <w:rPr>
                <w:rFonts w:eastAsia="Times New Roman" w:cs="Times New Roman"/>
                <w:color w:val="000000"/>
                <w:sz w:val="14"/>
                <w:szCs w:val="14"/>
              </w:rPr>
            </w:pPr>
          </w:p>
        </w:tc>
        <w:tc>
          <w:tcPr>
            <w:tcW w:w="567" w:type="dxa"/>
            <w:shd w:val="clear" w:color="auto" w:fill="auto"/>
            <w:noWrap/>
            <w:vAlign w:val="center"/>
          </w:tcPr>
          <w:p w14:paraId="69906E57"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0.23</w:t>
            </w:r>
          </w:p>
        </w:tc>
        <w:tc>
          <w:tcPr>
            <w:tcW w:w="850" w:type="dxa"/>
            <w:shd w:val="clear" w:color="auto" w:fill="auto"/>
            <w:vAlign w:val="center"/>
          </w:tcPr>
          <w:p w14:paraId="64E5E49B"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0.05</w:t>
            </w:r>
          </w:p>
        </w:tc>
        <w:tc>
          <w:tcPr>
            <w:tcW w:w="851" w:type="dxa"/>
            <w:shd w:val="clear" w:color="auto" w:fill="auto"/>
            <w:vAlign w:val="center"/>
          </w:tcPr>
          <w:p w14:paraId="628008D1"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&lt;0.001</w:t>
            </w:r>
          </w:p>
        </w:tc>
        <w:tc>
          <w:tcPr>
            <w:tcW w:w="567" w:type="dxa"/>
            <w:tcBorders>
              <w:right w:val="single" w:sz="4" w:space="0" w:color="auto"/>
            </w:tcBorders>
            <w:shd w:val="clear" w:color="auto" w:fill="auto"/>
            <w:vAlign w:val="center"/>
          </w:tcPr>
          <w:p w14:paraId="64DF1317"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0.48</w:t>
            </w:r>
          </w:p>
        </w:tc>
        <w:tc>
          <w:tcPr>
            <w:tcW w:w="850" w:type="dxa"/>
            <w:tcBorders>
              <w:left w:val="single" w:sz="4" w:space="0" w:color="auto"/>
            </w:tcBorders>
            <w:shd w:val="clear" w:color="auto" w:fill="auto"/>
            <w:vAlign w:val="center"/>
          </w:tcPr>
          <w:p w14:paraId="5CEC390A"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6D550CBF"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0.36</w:t>
            </w:r>
          </w:p>
        </w:tc>
        <w:tc>
          <w:tcPr>
            <w:tcW w:w="851" w:type="dxa"/>
            <w:shd w:val="clear" w:color="auto" w:fill="auto"/>
            <w:noWrap/>
            <w:vAlign w:val="center"/>
          </w:tcPr>
          <w:p w14:paraId="72D6EC9A"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0.04</w:t>
            </w:r>
          </w:p>
        </w:tc>
        <w:tc>
          <w:tcPr>
            <w:tcW w:w="708" w:type="dxa"/>
            <w:shd w:val="clear" w:color="auto" w:fill="auto"/>
            <w:vAlign w:val="center"/>
          </w:tcPr>
          <w:p w14:paraId="3A3FBB78"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&lt;0.001</w:t>
            </w:r>
          </w:p>
        </w:tc>
        <w:tc>
          <w:tcPr>
            <w:tcW w:w="567" w:type="dxa"/>
            <w:shd w:val="clear" w:color="auto" w:fill="auto"/>
            <w:vAlign w:val="center"/>
          </w:tcPr>
          <w:p w14:paraId="3A07B73F"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0.89</w:t>
            </w:r>
          </w:p>
        </w:tc>
      </w:tr>
      <w:tr w:rsidR="008C7BCC" w:rsidRPr="009F6406" w14:paraId="71E90A8D" w14:textId="77777777" w:rsidTr="008C7BCC">
        <w:trPr>
          <w:trHeight w:val="143"/>
        </w:trPr>
        <w:tc>
          <w:tcPr>
            <w:tcW w:w="3152" w:type="dxa"/>
            <w:shd w:val="clear" w:color="auto" w:fill="auto"/>
            <w:noWrap/>
            <w:vAlign w:val="center"/>
          </w:tcPr>
          <w:p w14:paraId="0B5BEE46"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b/>
                <w:color w:val="000000"/>
                <w:sz w:val="14"/>
                <w:szCs w:val="14"/>
              </w:rPr>
              <w:t>Pupil:</w:t>
            </w:r>
            <w:r w:rsidRPr="009F6406">
              <w:rPr>
                <w:rFonts w:eastAsia="Times New Roman" w:cs="Times New Roman"/>
                <w:color w:val="000000"/>
                <w:sz w:val="14"/>
                <w:szCs w:val="14"/>
              </w:rPr>
              <w:t xml:space="preserve"> Female?</w:t>
            </w:r>
          </w:p>
        </w:tc>
        <w:tc>
          <w:tcPr>
            <w:tcW w:w="822" w:type="dxa"/>
            <w:shd w:val="clear" w:color="auto" w:fill="auto"/>
            <w:vAlign w:val="center"/>
          </w:tcPr>
          <w:p w14:paraId="60D0A614" w14:textId="77777777" w:rsidR="008C7BCC" w:rsidRPr="009F6406" w:rsidRDefault="008C7BCC" w:rsidP="008C7BCC">
            <w:pPr>
              <w:spacing w:after="0"/>
              <w:jc w:val="center"/>
              <w:rPr>
                <w:rFonts w:eastAsia="Times New Roman" w:cs="Times New Roman"/>
                <w:color w:val="000000"/>
                <w:sz w:val="14"/>
                <w:szCs w:val="14"/>
              </w:rPr>
            </w:pPr>
          </w:p>
        </w:tc>
        <w:tc>
          <w:tcPr>
            <w:tcW w:w="709" w:type="dxa"/>
            <w:shd w:val="clear" w:color="auto" w:fill="auto"/>
            <w:vAlign w:val="center"/>
          </w:tcPr>
          <w:p w14:paraId="3F804560"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0.97</w:t>
            </w:r>
          </w:p>
        </w:tc>
        <w:tc>
          <w:tcPr>
            <w:tcW w:w="567" w:type="dxa"/>
            <w:shd w:val="clear" w:color="auto" w:fill="auto"/>
            <w:vAlign w:val="center"/>
          </w:tcPr>
          <w:p w14:paraId="36F2543C"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0.35</w:t>
            </w:r>
          </w:p>
        </w:tc>
        <w:tc>
          <w:tcPr>
            <w:tcW w:w="709" w:type="dxa"/>
            <w:shd w:val="clear" w:color="auto" w:fill="auto"/>
            <w:vAlign w:val="center"/>
          </w:tcPr>
          <w:p w14:paraId="09964BE8"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0.006</w:t>
            </w:r>
          </w:p>
        </w:tc>
        <w:tc>
          <w:tcPr>
            <w:tcW w:w="567" w:type="dxa"/>
            <w:tcBorders>
              <w:right w:val="single" w:sz="4" w:space="0" w:color="auto"/>
            </w:tcBorders>
            <w:shd w:val="clear" w:color="auto" w:fill="auto"/>
            <w:vAlign w:val="center"/>
          </w:tcPr>
          <w:p w14:paraId="65EAA90B"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0.26</w:t>
            </w:r>
          </w:p>
        </w:tc>
        <w:tc>
          <w:tcPr>
            <w:tcW w:w="992" w:type="dxa"/>
            <w:tcBorders>
              <w:left w:val="single" w:sz="4" w:space="0" w:color="auto"/>
            </w:tcBorders>
            <w:shd w:val="clear" w:color="auto" w:fill="auto"/>
            <w:noWrap/>
            <w:vAlign w:val="center"/>
          </w:tcPr>
          <w:p w14:paraId="7663F9D0" w14:textId="77777777" w:rsidR="008C7BCC" w:rsidRPr="009F6406" w:rsidRDefault="008C7BCC" w:rsidP="008C7BCC">
            <w:pPr>
              <w:spacing w:after="0"/>
              <w:jc w:val="center"/>
              <w:rPr>
                <w:rFonts w:cs="Times New Roman"/>
                <w:color w:val="000000"/>
                <w:sz w:val="14"/>
                <w:szCs w:val="14"/>
              </w:rPr>
            </w:pPr>
          </w:p>
        </w:tc>
        <w:tc>
          <w:tcPr>
            <w:tcW w:w="567" w:type="dxa"/>
            <w:shd w:val="clear" w:color="auto" w:fill="auto"/>
            <w:noWrap/>
            <w:vAlign w:val="center"/>
          </w:tcPr>
          <w:p w14:paraId="74739333"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0.54</w:t>
            </w:r>
          </w:p>
        </w:tc>
        <w:tc>
          <w:tcPr>
            <w:tcW w:w="850" w:type="dxa"/>
            <w:shd w:val="clear" w:color="auto" w:fill="auto"/>
            <w:vAlign w:val="center"/>
          </w:tcPr>
          <w:p w14:paraId="10E30870"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0.36</w:t>
            </w:r>
          </w:p>
        </w:tc>
        <w:tc>
          <w:tcPr>
            <w:tcW w:w="851" w:type="dxa"/>
            <w:shd w:val="clear" w:color="auto" w:fill="auto"/>
            <w:vAlign w:val="center"/>
          </w:tcPr>
          <w:p w14:paraId="70C75C5E"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0.137</w:t>
            </w:r>
          </w:p>
        </w:tc>
        <w:tc>
          <w:tcPr>
            <w:tcW w:w="567" w:type="dxa"/>
            <w:tcBorders>
              <w:right w:val="single" w:sz="4" w:space="0" w:color="auto"/>
            </w:tcBorders>
            <w:shd w:val="clear" w:color="auto" w:fill="auto"/>
            <w:vAlign w:val="center"/>
          </w:tcPr>
          <w:p w14:paraId="2B2F7E62"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0.14</w:t>
            </w:r>
          </w:p>
        </w:tc>
        <w:tc>
          <w:tcPr>
            <w:tcW w:w="850" w:type="dxa"/>
            <w:tcBorders>
              <w:left w:val="single" w:sz="4" w:space="0" w:color="auto"/>
            </w:tcBorders>
            <w:shd w:val="clear" w:color="auto" w:fill="auto"/>
            <w:vAlign w:val="center"/>
          </w:tcPr>
          <w:p w14:paraId="58102F5F"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7FF62B12"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0.99</w:t>
            </w:r>
          </w:p>
        </w:tc>
        <w:tc>
          <w:tcPr>
            <w:tcW w:w="851" w:type="dxa"/>
            <w:shd w:val="clear" w:color="auto" w:fill="auto"/>
            <w:noWrap/>
            <w:vAlign w:val="center"/>
          </w:tcPr>
          <w:p w14:paraId="21DF5065"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0.31</w:t>
            </w:r>
          </w:p>
        </w:tc>
        <w:tc>
          <w:tcPr>
            <w:tcW w:w="708" w:type="dxa"/>
            <w:shd w:val="clear" w:color="auto" w:fill="auto"/>
            <w:vAlign w:val="center"/>
          </w:tcPr>
          <w:p w14:paraId="0F1BFA1A"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0.001</w:t>
            </w:r>
          </w:p>
        </w:tc>
        <w:tc>
          <w:tcPr>
            <w:tcW w:w="567" w:type="dxa"/>
            <w:shd w:val="clear" w:color="auto" w:fill="auto"/>
            <w:vAlign w:val="center"/>
          </w:tcPr>
          <w:p w14:paraId="3F566EE5"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0.31</w:t>
            </w:r>
          </w:p>
        </w:tc>
      </w:tr>
      <w:tr w:rsidR="008C7BCC" w:rsidRPr="009F6406" w14:paraId="7657C3B3" w14:textId="77777777" w:rsidTr="008C7BCC">
        <w:trPr>
          <w:trHeight w:val="47"/>
        </w:trPr>
        <w:tc>
          <w:tcPr>
            <w:tcW w:w="3152" w:type="dxa"/>
            <w:shd w:val="clear" w:color="auto" w:fill="auto"/>
            <w:noWrap/>
            <w:vAlign w:val="center"/>
          </w:tcPr>
          <w:p w14:paraId="1446A861"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b/>
                <w:color w:val="000000"/>
                <w:sz w:val="14"/>
                <w:szCs w:val="14"/>
              </w:rPr>
              <w:t xml:space="preserve">Pupil: </w:t>
            </w:r>
            <w:r w:rsidRPr="009F6406">
              <w:rPr>
                <w:rFonts w:eastAsia="Times New Roman" w:cs="Times New Roman"/>
                <w:color w:val="000000"/>
                <w:sz w:val="14"/>
                <w:szCs w:val="14"/>
              </w:rPr>
              <w:t>Age (at testing; days)</w:t>
            </w:r>
          </w:p>
        </w:tc>
        <w:tc>
          <w:tcPr>
            <w:tcW w:w="822" w:type="dxa"/>
            <w:shd w:val="clear" w:color="auto" w:fill="auto"/>
            <w:vAlign w:val="center"/>
          </w:tcPr>
          <w:p w14:paraId="75B64D1A" w14:textId="77777777" w:rsidR="008C7BCC" w:rsidRPr="009F6406" w:rsidRDefault="008C7BCC" w:rsidP="008C7BCC">
            <w:pPr>
              <w:spacing w:after="0"/>
              <w:jc w:val="center"/>
              <w:rPr>
                <w:rFonts w:eastAsia="Times New Roman" w:cs="Times New Roman"/>
                <w:color w:val="000000"/>
                <w:sz w:val="14"/>
                <w:szCs w:val="14"/>
              </w:rPr>
            </w:pPr>
          </w:p>
        </w:tc>
        <w:tc>
          <w:tcPr>
            <w:tcW w:w="709" w:type="dxa"/>
            <w:shd w:val="clear" w:color="auto" w:fill="auto"/>
            <w:vAlign w:val="center"/>
          </w:tcPr>
          <w:p w14:paraId="6DB8E3AA"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w:t>
            </w:r>
          </w:p>
        </w:tc>
        <w:tc>
          <w:tcPr>
            <w:tcW w:w="567" w:type="dxa"/>
            <w:shd w:val="clear" w:color="auto" w:fill="auto"/>
            <w:vAlign w:val="center"/>
          </w:tcPr>
          <w:p w14:paraId="6902EF76"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0.09</w:t>
            </w:r>
          </w:p>
        </w:tc>
        <w:tc>
          <w:tcPr>
            <w:tcW w:w="709" w:type="dxa"/>
            <w:shd w:val="clear" w:color="auto" w:fill="auto"/>
            <w:vAlign w:val="center"/>
          </w:tcPr>
          <w:p w14:paraId="30A961B4"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0.287</w:t>
            </w:r>
          </w:p>
        </w:tc>
        <w:tc>
          <w:tcPr>
            <w:tcW w:w="567" w:type="dxa"/>
            <w:tcBorders>
              <w:right w:val="single" w:sz="4" w:space="0" w:color="auto"/>
            </w:tcBorders>
            <w:shd w:val="clear" w:color="auto" w:fill="auto"/>
            <w:vAlign w:val="center"/>
          </w:tcPr>
          <w:p w14:paraId="6D15F614"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0.10</w:t>
            </w:r>
          </w:p>
        </w:tc>
        <w:tc>
          <w:tcPr>
            <w:tcW w:w="992" w:type="dxa"/>
            <w:tcBorders>
              <w:left w:val="single" w:sz="4" w:space="0" w:color="auto"/>
            </w:tcBorders>
            <w:shd w:val="clear" w:color="auto" w:fill="auto"/>
            <w:noWrap/>
            <w:vAlign w:val="center"/>
          </w:tcPr>
          <w:p w14:paraId="7E8E463D" w14:textId="77777777" w:rsidR="008C7BCC" w:rsidRPr="009F6406" w:rsidRDefault="008C7BCC" w:rsidP="008C7BCC">
            <w:pPr>
              <w:spacing w:after="0"/>
              <w:jc w:val="center"/>
              <w:rPr>
                <w:rFonts w:cs="Times New Roman"/>
                <w:color w:val="000000"/>
                <w:sz w:val="14"/>
                <w:szCs w:val="14"/>
              </w:rPr>
            </w:pPr>
          </w:p>
        </w:tc>
        <w:tc>
          <w:tcPr>
            <w:tcW w:w="567" w:type="dxa"/>
            <w:shd w:val="clear" w:color="auto" w:fill="auto"/>
            <w:noWrap/>
            <w:vAlign w:val="center"/>
          </w:tcPr>
          <w:p w14:paraId="33297E6F"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w:t>
            </w:r>
          </w:p>
        </w:tc>
        <w:tc>
          <w:tcPr>
            <w:tcW w:w="850" w:type="dxa"/>
            <w:shd w:val="clear" w:color="auto" w:fill="auto"/>
            <w:vAlign w:val="center"/>
          </w:tcPr>
          <w:p w14:paraId="59E42DEE"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w:t>
            </w:r>
          </w:p>
        </w:tc>
        <w:tc>
          <w:tcPr>
            <w:tcW w:w="851" w:type="dxa"/>
            <w:shd w:val="clear" w:color="auto" w:fill="auto"/>
            <w:vAlign w:val="center"/>
          </w:tcPr>
          <w:p w14:paraId="21C2F9DA"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0.066</w:t>
            </w:r>
          </w:p>
        </w:tc>
        <w:tc>
          <w:tcPr>
            <w:tcW w:w="567" w:type="dxa"/>
            <w:tcBorders>
              <w:right w:val="single" w:sz="4" w:space="0" w:color="auto"/>
            </w:tcBorders>
            <w:shd w:val="clear" w:color="auto" w:fill="auto"/>
            <w:vAlign w:val="center"/>
          </w:tcPr>
          <w:p w14:paraId="4FF7D35F"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w:t>
            </w:r>
          </w:p>
        </w:tc>
        <w:tc>
          <w:tcPr>
            <w:tcW w:w="850" w:type="dxa"/>
            <w:tcBorders>
              <w:left w:val="single" w:sz="4" w:space="0" w:color="auto"/>
            </w:tcBorders>
            <w:shd w:val="clear" w:color="auto" w:fill="auto"/>
            <w:vAlign w:val="center"/>
          </w:tcPr>
          <w:p w14:paraId="7174BFAC"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26EA135C"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w:t>
            </w:r>
          </w:p>
        </w:tc>
        <w:tc>
          <w:tcPr>
            <w:tcW w:w="851" w:type="dxa"/>
            <w:shd w:val="clear" w:color="auto" w:fill="auto"/>
            <w:noWrap/>
            <w:vAlign w:val="center"/>
          </w:tcPr>
          <w:p w14:paraId="7CF57D38"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w:t>
            </w:r>
          </w:p>
        </w:tc>
        <w:tc>
          <w:tcPr>
            <w:tcW w:w="708" w:type="dxa"/>
            <w:shd w:val="clear" w:color="auto" w:fill="auto"/>
            <w:vAlign w:val="center"/>
          </w:tcPr>
          <w:p w14:paraId="70D1D483"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0.430</w:t>
            </w:r>
          </w:p>
        </w:tc>
        <w:tc>
          <w:tcPr>
            <w:tcW w:w="567" w:type="dxa"/>
            <w:shd w:val="clear" w:color="auto" w:fill="auto"/>
            <w:vAlign w:val="center"/>
          </w:tcPr>
          <w:p w14:paraId="3CD29981"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0.07</w:t>
            </w:r>
          </w:p>
        </w:tc>
      </w:tr>
      <w:tr w:rsidR="008C7BCC" w:rsidRPr="009F6406" w14:paraId="09B58043" w14:textId="77777777" w:rsidTr="008C7BCC">
        <w:trPr>
          <w:trHeight w:val="288"/>
        </w:trPr>
        <w:tc>
          <w:tcPr>
            <w:tcW w:w="3152" w:type="dxa"/>
            <w:shd w:val="clear" w:color="auto" w:fill="auto"/>
            <w:noWrap/>
            <w:vAlign w:val="center"/>
          </w:tcPr>
          <w:p w14:paraId="1FFBA211"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b/>
                <w:color w:val="000000"/>
                <w:sz w:val="14"/>
                <w:szCs w:val="14"/>
              </w:rPr>
              <w:t>Teacher:</w:t>
            </w:r>
            <w:r w:rsidRPr="009F6406">
              <w:rPr>
                <w:rFonts w:eastAsia="Times New Roman" w:cs="Times New Roman"/>
                <w:color w:val="000000"/>
                <w:sz w:val="14"/>
                <w:szCs w:val="14"/>
              </w:rPr>
              <w:t xml:space="preserve"> Years of experience</w:t>
            </w:r>
          </w:p>
        </w:tc>
        <w:tc>
          <w:tcPr>
            <w:tcW w:w="822" w:type="dxa"/>
            <w:shd w:val="clear" w:color="auto" w:fill="auto"/>
            <w:vAlign w:val="center"/>
          </w:tcPr>
          <w:p w14:paraId="1385195B" w14:textId="77777777" w:rsidR="008C7BCC" w:rsidRPr="009F6406" w:rsidRDefault="008C7BCC" w:rsidP="008C7BCC">
            <w:pPr>
              <w:spacing w:after="0"/>
              <w:jc w:val="center"/>
              <w:rPr>
                <w:rFonts w:eastAsia="Times New Roman" w:cs="Times New Roman"/>
                <w:color w:val="000000"/>
                <w:sz w:val="14"/>
                <w:szCs w:val="14"/>
              </w:rPr>
            </w:pPr>
          </w:p>
        </w:tc>
        <w:tc>
          <w:tcPr>
            <w:tcW w:w="709" w:type="dxa"/>
            <w:shd w:val="clear" w:color="auto" w:fill="auto"/>
            <w:vAlign w:val="center"/>
          </w:tcPr>
          <w:p w14:paraId="742A6DDB"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-0.05</w:t>
            </w:r>
          </w:p>
        </w:tc>
        <w:tc>
          <w:tcPr>
            <w:tcW w:w="567" w:type="dxa"/>
            <w:shd w:val="clear" w:color="auto" w:fill="auto"/>
            <w:vAlign w:val="center"/>
          </w:tcPr>
          <w:p w14:paraId="1AC5546F"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0.03</w:t>
            </w:r>
          </w:p>
        </w:tc>
        <w:tc>
          <w:tcPr>
            <w:tcW w:w="709" w:type="dxa"/>
            <w:shd w:val="clear" w:color="auto" w:fill="auto"/>
            <w:vAlign w:val="center"/>
          </w:tcPr>
          <w:p w14:paraId="1F44F321"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0.046</w:t>
            </w:r>
          </w:p>
        </w:tc>
        <w:tc>
          <w:tcPr>
            <w:tcW w:w="567" w:type="dxa"/>
            <w:tcBorders>
              <w:right w:val="single" w:sz="4" w:space="0" w:color="auto"/>
            </w:tcBorders>
            <w:shd w:val="clear" w:color="auto" w:fill="auto"/>
            <w:vAlign w:val="center"/>
          </w:tcPr>
          <w:p w14:paraId="332FF36F"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-0.18</w:t>
            </w:r>
          </w:p>
        </w:tc>
        <w:tc>
          <w:tcPr>
            <w:tcW w:w="992" w:type="dxa"/>
            <w:tcBorders>
              <w:left w:val="single" w:sz="4" w:space="0" w:color="auto"/>
            </w:tcBorders>
            <w:shd w:val="clear" w:color="auto" w:fill="auto"/>
            <w:noWrap/>
            <w:vAlign w:val="center"/>
          </w:tcPr>
          <w:p w14:paraId="519AB6E0" w14:textId="77777777" w:rsidR="008C7BCC" w:rsidRPr="009F6406" w:rsidRDefault="008C7BCC" w:rsidP="008C7BCC">
            <w:pPr>
              <w:spacing w:after="0"/>
              <w:jc w:val="center"/>
              <w:rPr>
                <w:rFonts w:cs="Times New Roman"/>
                <w:color w:val="000000"/>
                <w:sz w:val="14"/>
                <w:szCs w:val="14"/>
              </w:rPr>
            </w:pPr>
          </w:p>
        </w:tc>
        <w:tc>
          <w:tcPr>
            <w:tcW w:w="567" w:type="dxa"/>
            <w:shd w:val="clear" w:color="auto" w:fill="auto"/>
            <w:noWrap/>
            <w:vAlign w:val="center"/>
          </w:tcPr>
          <w:p w14:paraId="37668924"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w:t>
            </w:r>
          </w:p>
        </w:tc>
        <w:tc>
          <w:tcPr>
            <w:tcW w:w="850" w:type="dxa"/>
            <w:shd w:val="clear" w:color="auto" w:fill="auto"/>
            <w:vAlign w:val="center"/>
          </w:tcPr>
          <w:p w14:paraId="73A7F4C7"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0.03</w:t>
            </w:r>
          </w:p>
        </w:tc>
        <w:tc>
          <w:tcPr>
            <w:tcW w:w="851" w:type="dxa"/>
            <w:shd w:val="clear" w:color="auto" w:fill="auto"/>
            <w:vAlign w:val="center"/>
          </w:tcPr>
          <w:p w14:paraId="0D667A2C"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0.976</w:t>
            </w:r>
          </w:p>
        </w:tc>
        <w:tc>
          <w:tcPr>
            <w:tcW w:w="567" w:type="dxa"/>
            <w:tcBorders>
              <w:right w:val="single" w:sz="4" w:space="0" w:color="auto"/>
            </w:tcBorders>
            <w:shd w:val="clear" w:color="auto" w:fill="auto"/>
            <w:vAlign w:val="center"/>
          </w:tcPr>
          <w:p w14:paraId="2F699179"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w:t>
            </w:r>
          </w:p>
        </w:tc>
        <w:tc>
          <w:tcPr>
            <w:tcW w:w="850" w:type="dxa"/>
            <w:tcBorders>
              <w:left w:val="single" w:sz="4" w:space="0" w:color="auto"/>
            </w:tcBorders>
            <w:shd w:val="clear" w:color="auto" w:fill="auto"/>
            <w:vAlign w:val="center"/>
          </w:tcPr>
          <w:p w14:paraId="7FFE9E3A"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66091E04"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0.08</w:t>
            </w:r>
          </w:p>
        </w:tc>
        <w:tc>
          <w:tcPr>
            <w:tcW w:w="851" w:type="dxa"/>
            <w:shd w:val="clear" w:color="auto" w:fill="auto"/>
            <w:noWrap/>
            <w:vAlign w:val="center"/>
          </w:tcPr>
          <w:p w14:paraId="06D15E8A"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0.03</w:t>
            </w:r>
          </w:p>
        </w:tc>
        <w:tc>
          <w:tcPr>
            <w:tcW w:w="708" w:type="dxa"/>
            <w:shd w:val="clear" w:color="auto" w:fill="auto"/>
            <w:vAlign w:val="center"/>
          </w:tcPr>
          <w:p w14:paraId="29249ADE"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0.023</w:t>
            </w:r>
          </w:p>
        </w:tc>
        <w:tc>
          <w:tcPr>
            <w:tcW w:w="567" w:type="dxa"/>
            <w:shd w:val="clear" w:color="auto" w:fill="auto"/>
            <w:vAlign w:val="center"/>
          </w:tcPr>
          <w:p w14:paraId="7C55FC1B"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0.33</w:t>
            </w:r>
          </w:p>
        </w:tc>
      </w:tr>
      <w:tr w:rsidR="008C7BCC" w:rsidRPr="009F6406" w14:paraId="0CC41BC1" w14:textId="77777777" w:rsidTr="008C7BCC">
        <w:trPr>
          <w:trHeight w:val="288"/>
        </w:trPr>
        <w:tc>
          <w:tcPr>
            <w:tcW w:w="3152" w:type="dxa"/>
            <w:shd w:val="clear" w:color="auto" w:fill="auto"/>
            <w:noWrap/>
            <w:vAlign w:val="center"/>
          </w:tcPr>
          <w:p w14:paraId="130645E9"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b/>
                <w:color w:val="000000"/>
                <w:sz w:val="14"/>
                <w:szCs w:val="14"/>
              </w:rPr>
              <w:t>Teacher:</w:t>
            </w:r>
            <w:r w:rsidRPr="009F6406">
              <w:rPr>
                <w:rFonts w:eastAsia="Times New Roman" w:cs="Times New Roman"/>
                <w:color w:val="000000"/>
                <w:sz w:val="14"/>
                <w:szCs w:val="14"/>
              </w:rPr>
              <w:t xml:space="preserve"> Proportion of experience teaching Year 1</w:t>
            </w:r>
          </w:p>
        </w:tc>
        <w:tc>
          <w:tcPr>
            <w:tcW w:w="822" w:type="dxa"/>
            <w:shd w:val="clear" w:color="auto" w:fill="auto"/>
            <w:vAlign w:val="center"/>
          </w:tcPr>
          <w:p w14:paraId="72B4BEA1" w14:textId="77777777" w:rsidR="008C7BCC" w:rsidRPr="009F6406" w:rsidRDefault="008C7BCC" w:rsidP="008C7BCC">
            <w:pPr>
              <w:spacing w:after="0"/>
              <w:jc w:val="center"/>
              <w:rPr>
                <w:rFonts w:eastAsia="Times New Roman" w:cs="Times New Roman"/>
                <w:color w:val="000000"/>
                <w:sz w:val="14"/>
                <w:szCs w:val="14"/>
              </w:rPr>
            </w:pPr>
          </w:p>
        </w:tc>
        <w:tc>
          <w:tcPr>
            <w:tcW w:w="709" w:type="dxa"/>
            <w:shd w:val="clear" w:color="auto" w:fill="auto"/>
            <w:vAlign w:val="center"/>
          </w:tcPr>
          <w:p w14:paraId="1B020F2A"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-0.08</w:t>
            </w:r>
          </w:p>
        </w:tc>
        <w:tc>
          <w:tcPr>
            <w:tcW w:w="567" w:type="dxa"/>
            <w:shd w:val="clear" w:color="auto" w:fill="auto"/>
            <w:vAlign w:val="center"/>
          </w:tcPr>
          <w:p w14:paraId="390C8EA8"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w:t>
            </w:r>
          </w:p>
        </w:tc>
        <w:tc>
          <w:tcPr>
            <w:tcW w:w="709" w:type="dxa"/>
            <w:shd w:val="clear" w:color="auto" w:fill="auto"/>
            <w:vAlign w:val="center"/>
          </w:tcPr>
          <w:p w14:paraId="31C9990D"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0.366</w:t>
            </w:r>
          </w:p>
        </w:tc>
        <w:tc>
          <w:tcPr>
            <w:tcW w:w="567" w:type="dxa"/>
            <w:tcBorders>
              <w:right w:val="single" w:sz="4" w:space="0" w:color="auto"/>
            </w:tcBorders>
            <w:shd w:val="clear" w:color="auto" w:fill="auto"/>
            <w:vAlign w:val="center"/>
          </w:tcPr>
          <w:p w14:paraId="1E014F48"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-0.09</w:t>
            </w:r>
          </w:p>
        </w:tc>
        <w:tc>
          <w:tcPr>
            <w:tcW w:w="992" w:type="dxa"/>
            <w:tcBorders>
              <w:left w:val="single" w:sz="4" w:space="0" w:color="auto"/>
            </w:tcBorders>
            <w:shd w:val="clear" w:color="auto" w:fill="auto"/>
            <w:noWrap/>
            <w:vAlign w:val="center"/>
          </w:tcPr>
          <w:p w14:paraId="334B428A" w14:textId="77777777" w:rsidR="008C7BCC" w:rsidRPr="009F6406" w:rsidRDefault="008C7BCC" w:rsidP="008C7BCC">
            <w:pPr>
              <w:spacing w:after="0"/>
              <w:jc w:val="center"/>
              <w:rPr>
                <w:rFonts w:cs="Times New Roman"/>
                <w:color w:val="000000"/>
                <w:sz w:val="14"/>
                <w:szCs w:val="14"/>
              </w:rPr>
            </w:pPr>
          </w:p>
        </w:tc>
        <w:tc>
          <w:tcPr>
            <w:tcW w:w="567" w:type="dxa"/>
            <w:shd w:val="clear" w:color="auto" w:fill="auto"/>
            <w:noWrap/>
            <w:vAlign w:val="center"/>
          </w:tcPr>
          <w:p w14:paraId="6944899D"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-0.26</w:t>
            </w:r>
          </w:p>
        </w:tc>
        <w:tc>
          <w:tcPr>
            <w:tcW w:w="850" w:type="dxa"/>
            <w:shd w:val="clear" w:color="auto" w:fill="auto"/>
            <w:vAlign w:val="center"/>
          </w:tcPr>
          <w:p w14:paraId="056031F1"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0.09</w:t>
            </w:r>
          </w:p>
        </w:tc>
        <w:tc>
          <w:tcPr>
            <w:tcW w:w="851" w:type="dxa"/>
            <w:shd w:val="clear" w:color="auto" w:fill="auto"/>
            <w:vAlign w:val="center"/>
          </w:tcPr>
          <w:p w14:paraId="56689F39"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0.009</w:t>
            </w:r>
          </w:p>
        </w:tc>
        <w:tc>
          <w:tcPr>
            <w:tcW w:w="567" w:type="dxa"/>
            <w:tcBorders>
              <w:right w:val="single" w:sz="4" w:space="0" w:color="auto"/>
            </w:tcBorders>
            <w:shd w:val="clear" w:color="auto" w:fill="auto"/>
            <w:vAlign w:val="center"/>
          </w:tcPr>
          <w:p w14:paraId="06B14226"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-0.29</w:t>
            </w:r>
          </w:p>
        </w:tc>
        <w:tc>
          <w:tcPr>
            <w:tcW w:w="850" w:type="dxa"/>
            <w:tcBorders>
              <w:left w:val="single" w:sz="4" w:space="0" w:color="auto"/>
            </w:tcBorders>
            <w:shd w:val="clear" w:color="auto" w:fill="auto"/>
            <w:vAlign w:val="center"/>
          </w:tcPr>
          <w:p w14:paraId="5943699F"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0A37CCFC"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-0.25</w:t>
            </w:r>
          </w:p>
        </w:tc>
        <w:tc>
          <w:tcPr>
            <w:tcW w:w="851" w:type="dxa"/>
            <w:shd w:val="clear" w:color="auto" w:fill="auto"/>
            <w:noWrap/>
            <w:vAlign w:val="center"/>
          </w:tcPr>
          <w:p w14:paraId="19BF9952"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0.11</w:t>
            </w:r>
          </w:p>
        </w:tc>
        <w:tc>
          <w:tcPr>
            <w:tcW w:w="708" w:type="dxa"/>
            <w:shd w:val="clear" w:color="auto" w:fill="auto"/>
            <w:vAlign w:val="center"/>
          </w:tcPr>
          <w:p w14:paraId="666993FC"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0.036</w:t>
            </w:r>
          </w:p>
        </w:tc>
        <w:tc>
          <w:tcPr>
            <w:tcW w:w="567" w:type="dxa"/>
            <w:shd w:val="clear" w:color="auto" w:fill="auto"/>
            <w:vAlign w:val="center"/>
          </w:tcPr>
          <w:p w14:paraId="7B5F2966"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-0.32</w:t>
            </w:r>
          </w:p>
        </w:tc>
      </w:tr>
      <w:tr w:rsidR="008C7BCC" w:rsidRPr="009F6406" w14:paraId="2DCBFEB7" w14:textId="77777777" w:rsidTr="008C7BCC">
        <w:trPr>
          <w:trHeight w:val="288"/>
        </w:trPr>
        <w:tc>
          <w:tcPr>
            <w:tcW w:w="3152" w:type="dxa"/>
            <w:shd w:val="clear" w:color="auto" w:fill="auto"/>
            <w:noWrap/>
            <w:vAlign w:val="center"/>
          </w:tcPr>
          <w:p w14:paraId="5A696B97"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b/>
                <w:color w:val="000000"/>
                <w:sz w:val="14"/>
                <w:szCs w:val="14"/>
              </w:rPr>
              <w:t>Control measure:</w:t>
            </w:r>
            <w:r w:rsidRPr="009F6406">
              <w:rPr>
                <w:rFonts w:eastAsia="Times New Roman" w:cs="Times New Roman"/>
                <w:color w:val="000000"/>
                <w:sz w:val="14"/>
                <w:szCs w:val="14"/>
              </w:rPr>
              <w:t xml:space="preserve"> Days since the first class received pupil tests, this testing point</w:t>
            </w:r>
          </w:p>
        </w:tc>
        <w:tc>
          <w:tcPr>
            <w:tcW w:w="822" w:type="dxa"/>
            <w:shd w:val="clear" w:color="auto" w:fill="auto"/>
            <w:vAlign w:val="center"/>
          </w:tcPr>
          <w:p w14:paraId="19516DB4"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63EA50CE"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-0.07</w:t>
            </w:r>
          </w:p>
        </w:tc>
        <w:tc>
          <w:tcPr>
            <w:tcW w:w="567" w:type="dxa"/>
            <w:shd w:val="clear" w:color="auto" w:fill="auto"/>
            <w:vAlign w:val="center"/>
          </w:tcPr>
          <w:p w14:paraId="2F2AD471"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0.03</w:t>
            </w:r>
          </w:p>
        </w:tc>
        <w:tc>
          <w:tcPr>
            <w:tcW w:w="709" w:type="dxa"/>
            <w:shd w:val="clear" w:color="auto" w:fill="auto"/>
            <w:vAlign w:val="center"/>
          </w:tcPr>
          <w:p w14:paraId="1924B238"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0.015</w:t>
            </w:r>
          </w:p>
        </w:tc>
        <w:tc>
          <w:tcPr>
            <w:tcW w:w="567" w:type="dxa"/>
            <w:tcBorders>
              <w:right w:val="single" w:sz="4" w:space="0" w:color="auto"/>
            </w:tcBorders>
            <w:shd w:val="clear" w:color="auto" w:fill="auto"/>
            <w:vAlign w:val="center"/>
          </w:tcPr>
          <w:p w14:paraId="2FD5C68B"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-0.35</w:t>
            </w:r>
          </w:p>
        </w:tc>
        <w:tc>
          <w:tcPr>
            <w:tcW w:w="992" w:type="dxa"/>
            <w:tcBorders>
              <w:left w:val="single" w:sz="4" w:space="0" w:color="auto"/>
            </w:tcBorders>
            <w:shd w:val="clear" w:color="auto" w:fill="auto"/>
            <w:noWrap/>
            <w:vAlign w:val="center"/>
          </w:tcPr>
          <w:p w14:paraId="372E7ED0" w14:textId="77777777" w:rsidR="008C7BCC" w:rsidRPr="009F6406" w:rsidRDefault="008C7BCC" w:rsidP="008C7BCC">
            <w:pPr>
              <w:spacing w:after="0"/>
              <w:jc w:val="center"/>
              <w:rPr>
                <w:rFonts w:cs="Times New Roman"/>
                <w:color w:val="000000"/>
                <w:sz w:val="14"/>
                <w:szCs w:val="14"/>
              </w:rPr>
            </w:pPr>
          </w:p>
        </w:tc>
        <w:tc>
          <w:tcPr>
            <w:tcW w:w="567" w:type="dxa"/>
            <w:shd w:val="clear" w:color="auto" w:fill="auto"/>
            <w:noWrap/>
            <w:vAlign w:val="center"/>
          </w:tcPr>
          <w:p w14:paraId="0DC3D3DF"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-0.04</w:t>
            </w:r>
          </w:p>
        </w:tc>
        <w:tc>
          <w:tcPr>
            <w:tcW w:w="850" w:type="dxa"/>
            <w:shd w:val="clear" w:color="auto" w:fill="auto"/>
            <w:vAlign w:val="center"/>
          </w:tcPr>
          <w:p w14:paraId="2CA3D17A"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0.03</w:t>
            </w:r>
          </w:p>
        </w:tc>
        <w:tc>
          <w:tcPr>
            <w:tcW w:w="851" w:type="dxa"/>
            <w:shd w:val="clear" w:color="auto" w:fill="auto"/>
            <w:vAlign w:val="center"/>
          </w:tcPr>
          <w:p w14:paraId="23A80964"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0.126</w:t>
            </w:r>
          </w:p>
        </w:tc>
        <w:tc>
          <w:tcPr>
            <w:tcW w:w="567" w:type="dxa"/>
            <w:tcBorders>
              <w:right w:val="single" w:sz="4" w:space="0" w:color="auto"/>
            </w:tcBorders>
            <w:shd w:val="clear" w:color="auto" w:fill="auto"/>
            <w:vAlign w:val="center"/>
          </w:tcPr>
          <w:p w14:paraId="007D1387"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-0.20</w:t>
            </w:r>
          </w:p>
        </w:tc>
        <w:tc>
          <w:tcPr>
            <w:tcW w:w="850" w:type="dxa"/>
            <w:tcBorders>
              <w:left w:val="single" w:sz="4" w:space="0" w:color="auto"/>
            </w:tcBorders>
            <w:shd w:val="clear" w:color="auto" w:fill="auto"/>
            <w:vAlign w:val="center"/>
          </w:tcPr>
          <w:p w14:paraId="5962DF7C"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41246FCA"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0.06</w:t>
            </w:r>
          </w:p>
        </w:tc>
        <w:tc>
          <w:tcPr>
            <w:tcW w:w="851" w:type="dxa"/>
            <w:shd w:val="clear" w:color="auto" w:fill="auto"/>
            <w:noWrap/>
            <w:vAlign w:val="center"/>
          </w:tcPr>
          <w:p w14:paraId="2DE17239"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w:t>
            </w:r>
          </w:p>
        </w:tc>
        <w:tc>
          <w:tcPr>
            <w:tcW w:w="708" w:type="dxa"/>
            <w:shd w:val="clear" w:color="auto" w:fill="auto"/>
            <w:vAlign w:val="center"/>
          </w:tcPr>
          <w:p w14:paraId="3CE7C661"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0.017</w:t>
            </w:r>
          </w:p>
        </w:tc>
        <w:tc>
          <w:tcPr>
            <w:tcW w:w="567" w:type="dxa"/>
            <w:shd w:val="clear" w:color="auto" w:fill="auto"/>
            <w:vAlign w:val="center"/>
          </w:tcPr>
          <w:p w14:paraId="22B250A1"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0.40</w:t>
            </w:r>
          </w:p>
        </w:tc>
      </w:tr>
      <w:tr w:rsidR="008C7BCC" w:rsidRPr="009F6406" w14:paraId="07292076" w14:textId="77777777" w:rsidTr="008C7BCC">
        <w:trPr>
          <w:trHeight w:val="288"/>
        </w:trPr>
        <w:tc>
          <w:tcPr>
            <w:tcW w:w="3152" w:type="dxa"/>
            <w:tcBorders>
              <w:bottom w:val="single" w:sz="4" w:space="0" w:color="auto"/>
            </w:tcBorders>
            <w:shd w:val="clear" w:color="auto" w:fill="auto"/>
            <w:noWrap/>
            <w:vAlign w:val="center"/>
            <w:hideMark/>
          </w:tcPr>
          <w:p w14:paraId="05F77E3D"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b/>
                <w:color w:val="000000"/>
                <w:sz w:val="14"/>
                <w:szCs w:val="14"/>
              </w:rPr>
              <w:t>Control measure:</w:t>
            </w:r>
            <w:r w:rsidRPr="009F6406">
              <w:rPr>
                <w:rFonts w:eastAsia="Times New Roman" w:cs="Times New Roman"/>
                <w:color w:val="000000"/>
                <w:sz w:val="14"/>
                <w:szCs w:val="14"/>
              </w:rPr>
              <w:t xml:space="preserve"> Days since the first class received pupil tests, last testing point</w:t>
            </w:r>
          </w:p>
        </w:tc>
        <w:tc>
          <w:tcPr>
            <w:tcW w:w="822" w:type="dxa"/>
            <w:tcBorders>
              <w:bottom w:val="single" w:sz="4" w:space="0" w:color="auto"/>
            </w:tcBorders>
            <w:shd w:val="clear" w:color="auto" w:fill="auto"/>
            <w:vAlign w:val="center"/>
          </w:tcPr>
          <w:p w14:paraId="02B28FC7" w14:textId="77777777" w:rsidR="008C7BCC" w:rsidRPr="009F6406" w:rsidRDefault="008C7BCC" w:rsidP="008C7BCC">
            <w:pPr>
              <w:spacing w:after="0"/>
              <w:jc w:val="center"/>
              <w:rPr>
                <w:rFonts w:eastAsia="Times New Roman" w:cs="Times New Roman"/>
                <w:color w:val="000000"/>
                <w:sz w:val="14"/>
                <w:szCs w:val="14"/>
              </w:rPr>
            </w:pPr>
          </w:p>
        </w:tc>
        <w:tc>
          <w:tcPr>
            <w:tcW w:w="709" w:type="dxa"/>
            <w:tcBorders>
              <w:bottom w:val="single" w:sz="4" w:space="0" w:color="auto"/>
            </w:tcBorders>
            <w:shd w:val="clear" w:color="auto" w:fill="auto"/>
            <w:vAlign w:val="center"/>
          </w:tcPr>
          <w:p w14:paraId="17427FD1" w14:textId="77777777" w:rsidR="008C7BCC" w:rsidRPr="009F6406" w:rsidRDefault="008C7BCC" w:rsidP="008C7BCC">
            <w:pPr>
              <w:spacing w:after="0"/>
              <w:jc w:val="center"/>
              <w:rPr>
                <w:rFonts w:eastAsia="Times New Roman" w:cs="Times New Roman"/>
                <w:color w:val="000000"/>
                <w:sz w:val="14"/>
                <w:szCs w:val="14"/>
              </w:rPr>
            </w:pPr>
          </w:p>
        </w:tc>
        <w:tc>
          <w:tcPr>
            <w:tcW w:w="567" w:type="dxa"/>
            <w:tcBorders>
              <w:bottom w:val="single" w:sz="4" w:space="0" w:color="auto"/>
            </w:tcBorders>
            <w:shd w:val="clear" w:color="auto" w:fill="auto"/>
            <w:vAlign w:val="center"/>
          </w:tcPr>
          <w:p w14:paraId="6D2E2315" w14:textId="77777777" w:rsidR="008C7BCC" w:rsidRPr="009F6406" w:rsidRDefault="008C7BCC" w:rsidP="008C7BCC">
            <w:pPr>
              <w:spacing w:after="0"/>
              <w:jc w:val="center"/>
              <w:rPr>
                <w:rFonts w:eastAsia="Times New Roman" w:cs="Times New Roman"/>
                <w:color w:val="000000"/>
                <w:sz w:val="14"/>
                <w:szCs w:val="14"/>
              </w:rPr>
            </w:pPr>
          </w:p>
        </w:tc>
        <w:tc>
          <w:tcPr>
            <w:tcW w:w="709" w:type="dxa"/>
            <w:tcBorders>
              <w:bottom w:val="single" w:sz="4" w:space="0" w:color="auto"/>
            </w:tcBorders>
            <w:shd w:val="clear" w:color="auto" w:fill="auto"/>
            <w:vAlign w:val="center"/>
          </w:tcPr>
          <w:p w14:paraId="1E04C947" w14:textId="77777777" w:rsidR="008C7BCC" w:rsidRPr="009F6406" w:rsidRDefault="008C7BCC" w:rsidP="008C7BCC">
            <w:pPr>
              <w:spacing w:after="0"/>
              <w:jc w:val="center"/>
              <w:rPr>
                <w:rFonts w:eastAsia="Times New Roman" w:cs="Times New Roman"/>
                <w:color w:val="000000"/>
                <w:sz w:val="14"/>
                <w:szCs w:val="14"/>
              </w:rPr>
            </w:pPr>
          </w:p>
        </w:tc>
        <w:tc>
          <w:tcPr>
            <w:tcW w:w="567" w:type="dxa"/>
            <w:tcBorders>
              <w:bottom w:val="single" w:sz="4" w:space="0" w:color="auto"/>
              <w:right w:val="single" w:sz="4" w:space="0" w:color="auto"/>
            </w:tcBorders>
            <w:shd w:val="clear" w:color="auto" w:fill="auto"/>
            <w:vAlign w:val="center"/>
          </w:tcPr>
          <w:p w14:paraId="38AA6AF5" w14:textId="77777777" w:rsidR="008C7BCC" w:rsidRPr="009F6406" w:rsidRDefault="008C7BCC" w:rsidP="008C7BCC">
            <w:pPr>
              <w:spacing w:after="0"/>
              <w:jc w:val="center"/>
              <w:rPr>
                <w:rFonts w:eastAsia="Times New Roman" w:cs="Times New Roman"/>
                <w:color w:val="000000"/>
                <w:sz w:val="14"/>
                <w:szCs w:val="14"/>
              </w:rPr>
            </w:pPr>
          </w:p>
        </w:tc>
        <w:tc>
          <w:tcPr>
            <w:tcW w:w="992" w:type="dxa"/>
            <w:tcBorders>
              <w:left w:val="single" w:sz="4" w:space="0" w:color="auto"/>
              <w:bottom w:val="single" w:sz="4" w:space="0" w:color="auto"/>
            </w:tcBorders>
            <w:shd w:val="clear" w:color="auto" w:fill="auto"/>
            <w:noWrap/>
            <w:vAlign w:val="center"/>
          </w:tcPr>
          <w:p w14:paraId="7CD5FB63" w14:textId="77777777" w:rsidR="008C7BCC" w:rsidRPr="009F6406" w:rsidRDefault="008C7BCC" w:rsidP="008C7BCC">
            <w:pPr>
              <w:spacing w:after="0"/>
              <w:jc w:val="center"/>
              <w:rPr>
                <w:rFonts w:eastAsia="Times New Roman" w:cs="Times New Roman"/>
                <w:color w:val="000000"/>
                <w:sz w:val="14"/>
                <w:szCs w:val="14"/>
              </w:rPr>
            </w:pPr>
          </w:p>
        </w:tc>
        <w:tc>
          <w:tcPr>
            <w:tcW w:w="567" w:type="dxa"/>
            <w:tcBorders>
              <w:bottom w:val="single" w:sz="4" w:space="0" w:color="auto"/>
            </w:tcBorders>
            <w:shd w:val="clear" w:color="auto" w:fill="auto"/>
            <w:noWrap/>
            <w:vAlign w:val="center"/>
          </w:tcPr>
          <w:p w14:paraId="381A029F"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0.01</w:t>
            </w:r>
          </w:p>
        </w:tc>
        <w:tc>
          <w:tcPr>
            <w:tcW w:w="850" w:type="dxa"/>
            <w:tcBorders>
              <w:bottom w:val="single" w:sz="4" w:space="0" w:color="auto"/>
            </w:tcBorders>
            <w:shd w:val="clear" w:color="auto" w:fill="auto"/>
            <w:vAlign w:val="center"/>
          </w:tcPr>
          <w:p w14:paraId="58E358C4"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0.03</w:t>
            </w:r>
          </w:p>
        </w:tc>
        <w:tc>
          <w:tcPr>
            <w:tcW w:w="851" w:type="dxa"/>
            <w:tcBorders>
              <w:bottom w:val="single" w:sz="4" w:space="0" w:color="auto"/>
            </w:tcBorders>
            <w:shd w:val="clear" w:color="auto" w:fill="auto"/>
            <w:vAlign w:val="center"/>
          </w:tcPr>
          <w:p w14:paraId="24D12A3A"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0.825</w:t>
            </w:r>
          </w:p>
        </w:tc>
        <w:tc>
          <w:tcPr>
            <w:tcW w:w="567" w:type="dxa"/>
            <w:tcBorders>
              <w:bottom w:val="single" w:sz="4" w:space="0" w:color="auto"/>
              <w:right w:val="single" w:sz="4" w:space="0" w:color="auto"/>
            </w:tcBorders>
            <w:shd w:val="clear" w:color="auto" w:fill="auto"/>
            <w:vAlign w:val="center"/>
          </w:tcPr>
          <w:p w14:paraId="074DB071"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0.05</w:t>
            </w:r>
          </w:p>
        </w:tc>
        <w:tc>
          <w:tcPr>
            <w:tcW w:w="850" w:type="dxa"/>
            <w:tcBorders>
              <w:left w:val="single" w:sz="4" w:space="0" w:color="auto"/>
              <w:bottom w:val="single" w:sz="4" w:space="0" w:color="auto"/>
            </w:tcBorders>
            <w:shd w:val="clear" w:color="auto" w:fill="auto"/>
            <w:vAlign w:val="center"/>
          </w:tcPr>
          <w:p w14:paraId="4A768976" w14:textId="77777777" w:rsidR="008C7BCC" w:rsidRPr="009F6406" w:rsidRDefault="008C7BCC" w:rsidP="008C7BCC">
            <w:pPr>
              <w:spacing w:after="0"/>
              <w:jc w:val="center"/>
              <w:rPr>
                <w:rFonts w:cs="Times New Roman"/>
                <w:color w:val="000000"/>
                <w:sz w:val="14"/>
                <w:szCs w:val="14"/>
              </w:rPr>
            </w:pPr>
          </w:p>
        </w:tc>
        <w:tc>
          <w:tcPr>
            <w:tcW w:w="709" w:type="dxa"/>
            <w:tcBorders>
              <w:bottom w:val="single" w:sz="4" w:space="0" w:color="auto"/>
            </w:tcBorders>
            <w:shd w:val="clear" w:color="auto" w:fill="auto"/>
            <w:vAlign w:val="center"/>
          </w:tcPr>
          <w:p w14:paraId="4084465D"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-0.02</w:t>
            </w:r>
          </w:p>
        </w:tc>
        <w:tc>
          <w:tcPr>
            <w:tcW w:w="851" w:type="dxa"/>
            <w:tcBorders>
              <w:bottom w:val="single" w:sz="4" w:space="0" w:color="auto"/>
            </w:tcBorders>
            <w:shd w:val="clear" w:color="auto" w:fill="auto"/>
            <w:noWrap/>
            <w:vAlign w:val="center"/>
          </w:tcPr>
          <w:p w14:paraId="2D8C371A"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0.03</w:t>
            </w:r>
          </w:p>
        </w:tc>
        <w:tc>
          <w:tcPr>
            <w:tcW w:w="708" w:type="dxa"/>
            <w:tcBorders>
              <w:bottom w:val="single" w:sz="4" w:space="0" w:color="auto"/>
            </w:tcBorders>
            <w:shd w:val="clear" w:color="auto" w:fill="auto"/>
            <w:vAlign w:val="center"/>
          </w:tcPr>
          <w:p w14:paraId="772AA7B3"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0.557</w:t>
            </w:r>
          </w:p>
        </w:tc>
        <w:tc>
          <w:tcPr>
            <w:tcW w:w="567" w:type="dxa"/>
            <w:tcBorders>
              <w:bottom w:val="single" w:sz="4" w:space="0" w:color="auto"/>
            </w:tcBorders>
            <w:shd w:val="clear" w:color="auto" w:fill="auto"/>
            <w:vAlign w:val="center"/>
          </w:tcPr>
          <w:p w14:paraId="3A707444"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-0.11</w:t>
            </w:r>
          </w:p>
        </w:tc>
      </w:tr>
      <w:tr w:rsidR="008C7BCC" w:rsidRPr="009F6406" w14:paraId="19DF0A68" w14:textId="77777777" w:rsidTr="008C7BCC">
        <w:trPr>
          <w:trHeight w:val="288"/>
        </w:trPr>
        <w:tc>
          <w:tcPr>
            <w:tcW w:w="3152" w:type="dxa"/>
            <w:tcBorders>
              <w:top w:val="single" w:sz="4" w:space="0" w:color="auto"/>
            </w:tcBorders>
            <w:shd w:val="clear" w:color="auto" w:fill="auto"/>
            <w:noWrap/>
            <w:vAlign w:val="center"/>
          </w:tcPr>
          <w:p w14:paraId="4FCEF47B"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i/>
                <w:iCs/>
                <w:color w:val="000000"/>
                <w:sz w:val="14"/>
                <w:szCs w:val="14"/>
              </w:rPr>
              <w:t>RANDOM EFFECTS</w:t>
            </w:r>
          </w:p>
        </w:tc>
        <w:tc>
          <w:tcPr>
            <w:tcW w:w="822" w:type="dxa"/>
            <w:tcBorders>
              <w:top w:val="single" w:sz="4" w:space="0" w:color="auto"/>
            </w:tcBorders>
            <w:shd w:val="clear" w:color="auto" w:fill="auto"/>
            <w:vAlign w:val="center"/>
          </w:tcPr>
          <w:p w14:paraId="5185F391" w14:textId="77777777" w:rsidR="008C7BCC" w:rsidRPr="009F6406" w:rsidRDefault="008C7BCC" w:rsidP="008C7BCC">
            <w:pPr>
              <w:spacing w:after="0"/>
              <w:jc w:val="center"/>
              <w:rPr>
                <w:rFonts w:eastAsia="Times New Roman" w:cs="Times New Roman"/>
                <w:color w:val="000000"/>
                <w:sz w:val="14"/>
                <w:szCs w:val="14"/>
              </w:rPr>
            </w:pPr>
          </w:p>
        </w:tc>
        <w:tc>
          <w:tcPr>
            <w:tcW w:w="709" w:type="dxa"/>
            <w:tcBorders>
              <w:top w:val="single" w:sz="4" w:space="0" w:color="auto"/>
            </w:tcBorders>
            <w:shd w:val="clear" w:color="auto" w:fill="auto"/>
            <w:vAlign w:val="center"/>
          </w:tcPr>
          <w:p w14:paraId="1ADDD633" w14:textId="77777777" w:rsidR="008C7BCC" w:rsidRPr="009F6406" w:rsidRDefault="008C7BCC" w:rsidP="008C7BCC">
            <w:pPr>
              <w:spacing w:after="0"/>
              <w:jc w:val="center"/>
              <w:rPr>
                <w:rFonts w:eastAsia="Times New Roman" w:cs="Times New Roman"/>
                <w:color w:val="000000"/>
                <w:sz w:val="14"/>
                <w:szCs w:val="14"/>
              </w:rPr>
            </w:pPr>
          </w:p>
        </w:tc>
        <w:tc>
          <w:tcPr>
            <w:tcW w:w="567" w:type="dxa"/>
            <w:tcBorders>
              <w:top w:val="single" w:sz="4" w:space="0" w:color="auto"/>
            </w:tcBorders>
            <w:shd w:val="clear" w:color="auto" w:fill="auto"/>
            <w:vAlign w:val="center"/>
          </w:tcPr>
          <w:p w14:paraId="4B6F11CF" w14:textId="77777777" w:rsidR="008C7BCC" w:rsidRPr="009F6406" w:rsidRDefault="008C7BCC" w:rsidP="008C7BCC">
            <w:pPr>
              <w:spacing w:after="0"/>
              <w:jc w:val="center"/>
              <w:rPr>
                <w:rFonts w:eastAsia="Times New Roman" w:cs="Times New Roman"/>
                <w:color w:val="000000"/>
                <w:sz w:val="14"/>
                <w:szCs w:val="14"/>
              </w:rPr>
            </w:pPr>
          </w:p>
        </w:tc>
        <w:tc>
          <w:tcPr>
            <w:tcW w:w="709" w:type="dxa"/>
            <w:tcBorders>
              <w:top w:val="single" w:sz="4" w:space="0" w:color="auto"/>
            </w:tcBorders>
            <w:shd w:val="clear" w:color="auto" w:fill="auto"/>
            <w:vAlign w:val="center"/>
          </w:tcPr>
          <w:p w14:paraId="7F0AFD46" w14:textId="77777777" w:rsidR="008C7BCC" w:rsidRPr="009F6406" w:rsidRDefault="008C7BCC" w:rsidP="008C7BCC">
            <w:pPr>
              <w:spacing w:after="0"/>
              <w:jc w:val="center"/>
              <w:rPr>
                <w:rFonts w:eastAsia="Times New Roman" w:cs="Times New Roman"/>
                <w:color w:val="000000"/>
                <w:sz w:val="14"/>
                <w:szCs w:val="14"/>
              </w:rPr>
            </w:pPr>
          </w:p>
        </w:tc>
        <w:tc>
          <w:tcPr>
            <w:tcW w:w="567" w:type="dxa"/>
            <w:tcBorders>
              <w:top w:val="single" w:sz="4" w:space="0" w:color="auto"/>
              <w:right w:val="single" w:sz="4" w:space="0" w:color="auto"/>
            </w:tcBorders>
            <w:shd w:val="clear" w:color="auto" w:fill="auto"/>
            <w:vAlign w:val="center"/>
          </w:tcPr>
          <w:p w14:paraId="63A366C8" w14:textId="77777777" w:rsidR="008C7BCC" w:rsidRPr="009F6406" w:rsidRDefault="008C7BCC" w:rsidP="008C7BCC">
            <w:pPr>
              <w:spacing w:after="0"/>
              <w:jc w:val="center"/>
              <w:rPr>
                <w:rFonts w:eastAsia="Times New Roman" w:cs="Times New Roman"/>
                <w:color w:val="000000"/>
                <w:sz w:val="14"/>
                <w:szCs w:val="14"/>
              </w:rPr>
            </w:pPr>
          </w:p>
        </w:tc>
        <w:tc>
          <w:tcPr>
            <w:tcW w:w="992" w:type="dxa"/>
            <w:tcBorders>
              <w:top w:val="single" w:sz="4" w:space="0" w:color="auto"/>
              <w:left w:val="single" w:sz="4" w:space="0" w:color="auto"/>
            </w:tcBorders>
            <w:shd w:val="clear" w:color="auto" w:fill="auto"/>
            <w:noWrap/>
            <w:vAlign w:val="center"/>
          </w:tcPr>
          <w:p w14:paraId="0EAAE658" w14:textId="77777777" w:rsidR="008C7BCC" w:rsidRPr="009F6406" w:rsidRDefault="008C7BCC" w:rsidP="008C7BCC">
            <w:pPr>
              <w:spacing w:after="0"/>
              <w:jc w:val="center"/>
              <w:rPr>
                <w:rFonts w:eastAsia="Times New Roman" w:cs="Times New Roman"/>
                <w:color w:val="000000"/>
                <w:sz w:val="14"/>
                <w:szCs w:val="14"/>
              </w:rPr>
            </w:pPr>
          </w:p>
        </w:tc>
        <w:tc>
          <w:tcPr>
            <w:tcW w:w="567" w:type="dxa"/>
            <w:tcBorders>
              <w:top w:val="single" w:sz="4" w:space="0" w:color="auto"/>
            </w:tcBorders>
            <w:shd w:val="clear" w:color="auto" w:fill="auto"/>
            <w:noWrap/>
            <w:vAlign w:val="center"/>
          </w:tcPr>
          <w:p w14:paraId="4D536FB8" w14:textId="77777777" w:rsidR="008C7BCC" w:rsidRPr="009F6406" w:rsidRDefault="008C7BCC" w:rsidP="008C7BCC">
            <w:pPr>
              <w:spacing w:after="0"/>
              <w:jc w:val="center"/>
              <w:rPr>
                <w:rFonts w:eastAsia="Times New Roman" w:cs="Times New Roman"/>
                <w:color w:val="000000"/>
                <w:sz w:val="14"/>
                <w:szCs w:val="14"/>
              </w:rPr>
            </w:pPr>
          </w:p>
        </w:tc>
        <w:tc>
          <w:tcPr>
            <w:tcW w:w="850" w:type="dxa"/>
            <w:tcBorders>
              <w:top w:val="single" w:sz="4" w:space="0" w:color="auto"/>
            </w:tcBorders>
            <w:shd w:val="clear" w:color="auto" w:fill="auto"/>
            <w:vAlign w:val="center"/>
          </w:tcPr>
          <w:p w14:paraId="14F1D710" w14:textId="77777777" w:rsidR="008C7BCC" w:rsidRPr="009F6406" w:rsidRDefault="008C7BCC" w:rsidP="008C7BCC">
            <w:pPr>
              <w:spacing w:after="0"/>
              <w:jc w:val="center"/>
              <w:rPr>
                <w:rFonts w:eastAsia="Times New Roman" w:cs="Times New Roman"/>
                <w:color w:val="000000"/>
                <w:sz w:val="14"/>
                <w:szCs w:val="14"/>
              </w:rPr>
            </w:pPr>
          </w:p>
        </w:tc>
        <w:tc>
          <w:tcPr>
            <w:tcW w:w="851" w:type="dxa"/>
            <w:tcBorders>
              <w:top w:val="single" w:sz="4" w:space="0" w:color="auto"/>
            </w:tcBorders>
            <w:shd w:val="clear" w:color="auto" w:fill="auto"/>
            <w:vAlign w:val="center"/>
          </w:tcPr>
          <w:p w14:paraId="1CD445E6" w14:textId="77777777" w:rsidR="008C7BCC" w:rsidRPr="009F6406" w:rsidRDefault="008C7BCC" w:rsidP="008C7BCC">
            <w:pPr>
              <w:spacing w:after="0"/>
              <w:jc w:val="center"/>
              <w:rPr>
                <w:rFonts w:eastAsia="Times New Roman" w:cs="Times New Roman"/>
                <w:color w:val="000000"/>
                <w:sz w:val="14"/>
                <w:szCs w:val="14"/>
              </w:rPr>
            </w:pPr>
          </w:p>
        </w:tc>
        <w:tc>
          <w:tcPr>
            <w:tcW w:w="567" w:type="dxa"/>
            <w:tcBorders>
              <w:top w:val="single" w:sz="4" w:space="0" w:color="auto"/>
              <w:right w:val="single" w:sz="4" w:space="0" w:color="auto"/>
            </w:tcBorders>
            <w:shd w:val="clear" w:color="auto" w:fill="auto"/>
            <w:vAlign w:val="center"/>
          </w:tcPr>
          <w:p w14:paraId="168A4E2A" w14:textId="77777777" w:rsidR="008C7BCC" w:rsidRPr="009F6406" w:rsidRDefault="008C7BCC" w:rsidP="008C7BCC">
            <w:pPr>
              <w:spacing w:after="0"/>
              <w:jc w:val="center"/>
              <w:rPr>
                <w:rFonts w:eastAsia="Times New Roman" w:cs="Times New Roman"/>
                <w:color w:val="000000"/>
                <w:sz w:val="14"/>
                <w:szCs w:val="14"/>
              </w:rPr>
            </w:pPr>
          </w:p>
        </w:tc>
        <w:tc>
          <w:tcPr>
            <w:tcW w:w="850" w:type="dxa"/>
            <w:tcBorders>
              <w:top w:val="single" w:sz="4" w:space="0" w:color="auto"/>
              <w:left w:val="single" w:sz="4" w:space="0" w:color="auto"/>
            </w:tcBorders>
            <w:shd w:val="clear" w:color="auto" w:fill="auto"/>
            <w:vAlign w:val="center"/>
          </w:tcPr>
          <w:p w14:paraId="52E57148" w14:textId="77777777" w:rsidR="008C7BCC" w:rsidRPr="009F6406" w:rsidRDefault="008C7BCC" w:rsidP="008C7BCC">
            <w:pPr>
              <w:spacing w:after="0"/>
              <w:jc w:val="center"/>
              <w:rPr>
                <w:rFonts w:eastAsia="Times New Roman" w:cs="Times New Roman"/>
                <w:color w:val="000000"/>
                <w:sz w:val="14"/>
                <w:szCs w:val="14"/>
              </w:rPr>
            </w:pPr>
          </w:p>
        </w:tc>
        <w:tc>
          <w:tcPr>
            <w:tcW w:w="709" w:type="dxa"/>
            <w:tcBorders>
              <w:top w:val="single" w:sz="4" w:space="0" w:color="auto"/>
            </w:tcBorders>
            <w:shd w:val="clear" w:color="auto" w:fill="auto"/>
            <w:vAlign w:val="center"/>
          </w:tcPr>
          <w:p w14:paraId="4737B0B2" w14:textId="77777777" w:rsidR="008C7BCC" w:rsidRPr="009F6406" w:rsidRDefault="008C7BCC" w:rsidP="008C7BCC">
            <w:pPr>
              <w:spacing w:after="0"/>
              <w:jc w:val="center"/>
              <w:rPr>
                <w:rFonts w:eastAsia="Times New Roman" w:cs="Times New Roman"/>
                <w:color w:val="000000"/>
                <w:sz w:val="14"/>
                <w:szCs w:val="14"/>
              </w:rPr>
            </w:pPr>
          </w:p>
        </w:tc>
        <w:tc>
          <w:tcPr>
            <w:tcW w:w="851" w:type="dxa"/>
            <w:tcBorders>
              <w:top w:val="single" w:sz="4" w:space="0" w:color="auto"/>
            </w:tcBorders>
            <w:shd w:val="clear" w:color="auto" w:fill="auto"/>
            <w:noWrap/>
            <w:vAlign w:val="center"/>
          </w:tcPr>
          <w:p w14:paraId="3E8278D4" w14:textId="77777777" w:rsidR="008C7BCC" w:rsidRPr="009F6406" w:rsidRDefault="008C7BCC" w:rsidP="008C7BCC">
            <w:pPr>
              <w:spacing w:after="0"/>
              <w:jc w:val="center"/>
              <w:rPr>
                <w:rFonts w:eastAsia="Times New Roman" w:cs="Times New Roman"/>
                <w:color w:val="000000"/>
                <w:sz w:val="14"/>
                <w:szCs w:val="14"/>
              </w:rPr>
            </w:pPr>
          </w:p>
        </w:tc>
        <w:tc>
          <w:tcPr>
            <w:tcW w:w="708" w:type="dxa"/>
            <w:tcBorders>
              <w:top w:val="single" w:sz="4" w:space="0" w:color="auto"/>
            </w:tcBorders>
            <w:shd w:val="clear" w:color="auto" w:fill="auto"/>
            <w:vAlign w:val="center"/>
          </w:tcPr>
          <w:p w14:paraId="2E622087" w14:textId="77777777" w:rsidR="008C7BCC" w:rsidRPr="009F6406" w:rsidRDefault="008C7BCC" w:rsidP="008C7BCC">
            <w:pPr>
              <w:spacing w:after="0"/>
              <w:jc w:val="center"/>
              <w:rPr>
                <w:rFonts w:eastAsia="Times New Roman" w:cs="Times New Roman"/>
                <w:color w:val="000000"/>
                <w:sz w:val="14"/>
                <w:szCs w:val="14"/>
              </w:rPr>
            </w:pPr>
          </w:p>
        </w:tc>
        <w:tc>
          <w:tcPr>
            <w:tcW w:w="567" w:type="dxa"/>
            <w:tcBorders>
              <w:top w:val="single" w:sz="4" w:space="0" w:color="auto"/>
            </w:tcBorders>
            <w:shd w:val="clear" w:color="auto" w:fill="auto"/>
            <w:vAlign w:val="center"/>
          </w:tcPr>
          <w:p w14:paraId="0586A7C6" w14:textId="77777777" w:rsidR="008C7BCC" w:rsidRPr="009F6406" w:rsidRDefault="008C7BCC" w:rsidP="008C7BCC">
            <w:pPr>
              <w:spacing w:after="0"/>
              <w:jc w:val="center"/>
              <w:rPr>
                <w:rFonts w:eastAsia="Times New Roman" w:cs="Times New Roman"/>
                <w:color w:val="000000"/>
                <w:sz w:val="14"/>
                <w:szCs w:val="14"/>
              </w:rPr>
            </w:pPr>
          </w:p>
        </w:tc>
      </w:tr>
      <w:tr w:rsidR="008C7BCC" w:rsidRPr="009F6406" w14:paraId="23C4898C" w14:textId="77777777" w:rsidTr="008C7BCC">
        <w:trPr>
          <w:trHeight w:val="288"/>
        </w:trPr>
        <w:tc>
          <w:tcPr>
            <w:tcW w:w="3152" w:type="dxa"/>
            <w:shd w:val="clear" w:color="auto" w:fill="auto"/>
            <w:noWrap/>
            <w:vAlign w:val="center"/>
          </w:tcPr>
          <w:p w14:paraId="1C9F0975"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color w:val="000000"/>
                <w:sz w:val="14"/>
                <w:szCs w:val="14"/>
              </w:rPr>
              <w:t>Unexplained Child-level Variance</w:t>
            </w:r>
          </w:p>
        </w:tc>
        <w:tc>
          <w:tcPr>
            <w:tcW w:w="822" w:type="dxa"/>
            <w:shd w:val="clear" w:color="auto" w:fill="auto"/>
            <w:vAlign w:val="center"/>
          </w:tcPr>
          <w:p w14:paraId="1C3A8088"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15.08</w:t>
            </w:r>
          </w:p>
        </w:tc>
        <w:tc>
          <w:tcPr>
            <w:tcW w:w="709" w:type="dxa"/>
            <w:shd w:val="clear" w:color="auto" w:fill="auto"/>
            <w:vAlign w:val="center"/>
          </w:tcPr>
          <w:p w14:paraId="0B61AFA3"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14.42</w:t>
            </w:r>
          </w:p>
        </w:tc>
        <w:tc>
          <w:tcPr>
            <w:tcW w:w="567" w:type="dxa"/>
            <w:shd w:val="clear" w:color="auto" w:fill="auto"/>
            <w:vAlign w:val="center"/>
          </w:tcPr>
          <w:p w14:paraId="3D9BA59B"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172CF74A" w14:textId="77777777" w:rsidR="008C7BCC" w:rsidRPr="009F6406" w:rsidRDefault="008C7BCC" w:rsidP="008C7BCC">
            <w:pPr>
              <w:spacing w:after="0"/>
              <w:jc w:val="center"/>
              <w:rPr>
                <w:rFonts w:cs="Times New Roman"/>
                <w:color w:val="000000"/>
                <w:sz w:val="14"/>
                <w:szCs w:val="14"/>
              </w:rPr>
            </w:pPr>
          </w:p>
        </w:tc>
        <w:tc>
          <w:tcPr>
            <w:tcW w:w="567" w:type="dxa"/>
            <w:tcBorders>
              <w:right w:val="single" w:sz="4" w:space="0" w:color="auto"/>
            </w:tcBorders>
            <w:shd w:val="clear" w:color="auto" w:fill="auto"/>
            <w:vAlign w:val="center"/>
          </w:tcPr>
          <w:p w14:paraId="33178C67" w14:textId="77777777" w:rsidR="008C7BCC" w:rsidRPr="009F6406" w:rsidRDefault="008C7BCC" w:rsidP="008C7BCC">
            <w:pPr>
              <w:spacing w:after="0"/>
              <w:jc w:val="center"/>
              <w:rPr>
                <w:rFonts w:cs="Times New Roman"/>
                <w:color w:val="000000"/>
                <w:sz w:val="14"/>
                <w:szCs w:val="14"/>
              </w:rPr>
            </w:pPr>
          </w:p>
        </w:tc>
        <w:tc>
          <w:tcPr>
            <w:tcW w:w="992" w:type="dxa"/>
            <w:tcBorders>
              <w:left w:val="single" w:sz="4" w:space="0" w:color="auto"/>
            </w:tcBorders>
            <w:shd w:val="clear" w:color="auto" w:fill="auto"/>
            <w:noWrap/>
            <w:vAlign w:val="center"/>
          </w:tcPr>
          <w:p w14:paraId="29721FF0"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15.49</w:t>
            </w:r>
          </w:p>
        </w:tc>
        <w:tc>
          <w:tcPr>
            <w:tcW w:w="567" w:type="dxa"/>
            <w:shd w:val="clear" w:color="auto" w:fill="auto"/>
            <w:noWrap/>
            <w:vAlign w:val="center"/>
          </w:tcPr>
          <w:p w14:paraId="1A400FD5"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14.07</w:t>
            </w:r>
          </w:p>
        </w:tc>
        <w:tc>
          <w:tcPr>
            <w:tcW w:w="850" w:type="dxa"/>
            <w:shd w:val="clear" w:color="auto" w:fill="auto"/>
            <w:vAlign w:val="center"/>
          </w:tcPr>
          <w:p w14:paraId="26AC2975" w14:textId="77777777" w:rsidR="008C7BCC" w:rsidRPr="009F6406" w:rsidRDefault="008C7BCC" w:rsidP="008C7BCC">
            <w:pPr>
              <w:spacing w:after="0"/>
              <w:jc w:val="center"/>
              <w:rPr>
                <w:rFonts w:cs="Times New Roman"/>
                <w:color w:val="000000"/>
                <w:sz w:val="14"/>
                <w:szCs w:val="14"/>
              </w:rPr>
            </w:pPr>
          </w:p>
        </w:tc>
        <w:tc>
          <w:tcPr>
            <w:tcW w:w="851" w:type="dxa"/>
            <w:shd w:val="clear" w:color="auto" w:fill="auto"/>
            <w:vAlign w:val="center"/>
          </w:tcPr>
          <w:p w14:paraId="35BF477E" w14:textId="77777777" w:rsidR="008C7BCC" w:rsidRPr="009F6406" w:rsidRDefault="008C7BCC" w:rsidP="008C7BCC">
            <w:pPr>
              <w:spacing w:after="0"/>
              <w:jc w:val="center"/>
              <w:rPr>
                <w:rFonts w:cs="Times New Roman"/>
                <w:color w:val="000000"/>
                <w:sz w:val="14"/>
                <w:szCs w:val="14"/>
              </w:rPr>
            </w:pPr>
          </w:p>
        </w:tc>
        <w:tc>
          <w:tcPr>
            <w:tcW w:w="567" w:type="dxa"/>
            <w:tcBorders>
              <w:right w:val="single" w:sz="4" w:space="0" w:color="auto"/>
            </w:tcBorders>
            <w:shd w:val="clear" w:color="auto" w:fill="auto"/>
            <w:vAlign w:val="center"/>
          </w:tcPr>
          <w:p w14:paraId="06268C63" w14:textId="77777777" w:rsidR="008C7BCC" w:rsidRPr="009F6406" w:rsidRDefault="008C7BCC" w:rsidP="008C7BCC">
            <w:pPr>
              <w:spacing w:after="0"/>
              <w:jc w:val="center"/>
              <w:rPr>
                <w:rFonts w:cs="Times New Roman"/>
                <w:color w:val="000000"/>
                <w:sz w:val="14"/>
                <w:szCs w:val="14"/>
              </w:rPr>
            </w:pPr>
          </w:p>
        </w:tc>
        <w:tc>
          <w:tcPr>
            <w:tcW w:w="850" w:type="dxa"/>
            <w:tcBorders>
              <w:left w:val="single" w:sz="4" w:space="0" w:color="auto"/>
            </w:tcBorders>
            <w:shd w:val="clear" w:color="auto" w:fill="auto"/>
            <w:vAlign w:val="center"/>
          </w:tcPr>
          <w:p w14:paraId="0FE45CC1"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13.16</w:t>
            </w:r>
          </w:p>
        </w:tc>
        <w:tc>
          <w:tcPr>
            <w:tcW w:w="709" w:type="dxa"/>
            <w:shd w:val="clear" w:color="auto" w:fill="auto"/>
            <w:vAlign w:val="center"/>
          </w:tcPr>
          <w:p w14:paraId="46C700B9"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10.53</w:t>
            </w:r>
          </w:p>
        </w:tc>
        <w:tc>
          <w:tcPr>
            <w:tcW w:w="851" w:type="dxa"/>
            <w:shd w:val="clear" w:color="auto" w:fill="auto"/>
            <w:noWrap/>
            <w:vAlign w:val="center"/>
          </w:tcPr>
          <w:p w14:paraId="5B73A447" w14:textId="77777777" w:rsidR="008C7BCC" w:rsidRPr="009F6406" w:rsidRDefault="008C7BCC" w:rsidP="008C7BCC">
            <w:pPr>
              <w:spacing w:after="0"/>
              <w:jc w:val="center"/>
              <w:rPr>
                <w:rFonts w:eastAsia="Times New Roman" w:cs="Times New Roman"/>
                <w:color w:val="000000"/>
                <w:sz w:val="14"/>
                <w:szCs w:val="14"/>
              </w:rPr>
            </w:pPr>
          </w:p>
        </w:tc>
        <w:tc>
          <w:tcPr>
            <w:tcW w:w="708" w:type="dxa"/>
            <w:shd w:val="clear" w:color="auto" w:fill="auto"/>
            <w:vAlign w:val="center"/>
          </w:tcPr>
          <w:p w14:paraId="7E722748" w14:textId="77777777" w:rsidR="008C7BCC" w:rsidRPr="009F6406" w:rsidRDefault="008C7BCC" w:rsidP="008C7BCC">
            <w:pPr>
              <w:spacing w:after="0"/>
              <w:jc w:val="center"/>
              <w:rPr>
                <w:rFonts w:eastAsia="Times New Roman" w:cs="Times New Roman"/>
                <w:color w:val="000000"/>
                <w:sz w:val="14"/>
                <w:szCs w:val="14"/>
              </w:rPr>
            </w:pPr>
          </w:p>
        </w:tc>
        <w:tc>
          <w:tcPr>
            <w:tcW w:w="567" w:type="dxa"/>
            <w:shd w:val="clear" w:color="auto" w:fill="auto"/>
            <w:vAlign w:val="center"/>
          </w:tcPr>
          <w:p w14:paraId="7C5A0025" w14:textId="77777777" w:rsidR="008C7BCC" w:rsidRPr="009F6406" w:rsidRDefault="008C7BCC" w:rsidP="008C7BCC">
            <w:pPr>
              <w:spacing w:after="0"/>
              <w:jc w:val="center"/>
              <w:rPr>
                <w:rFonts w:eastAsia="Times New Roman" w:cs="Times New Roman"/>
                <w:color w:val="000000"/>
                <w:sz w:val="14"/>
                <w:szCs w:val="14"/>
              </w:rPr>
            </w:pPr>
          </w:p>
        </w:tc>
      </w:tr>
      <w:tr w:rsidR="008C7BCC" w:rsidRPr="009F6406" w14:paraId="64FFB4E7" w14:textId="77777777" w:rsidTr="008C7BCC">
        <w:trPr>
          <w:trHeight w:val="288"/>
        </w:trPr>
        <w:tc>
          <w:tcPr>
            <w:tcW w:w="3152" w:type="dxa"/>
            <w:shd w:val="clear" w:color="auto" w:fill="auto"/>
            <w:noWrap/>
            <w:vAlign w:val="center"/>
          </w:tcPr>
          <w:p w14:paraId="45DD8E4F"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color w:val="000000"/>
                <w:sz w:val="14"/>
                <w:szCs w:val="14"/>
              </w:rPr>
              <w:t>Unexplained Teacher-level Variance</w:t>
            </w:r>
          </w:p>
        </w:tc>
        <w:tc>
          <w:tcPr>
            <w:tcW w:w="822" w:type="dxa"/>
            <w:shd w:val="clear" w:color="auto" w:fill="auto"/>
            <w:vAlign w:val="center"/>
          </w:tcPr>
          <w:p w14:paraId="5FA94D5B"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0.23</w:t>
            </w:r>
          </w:p>
        </w:tc>
        <w:tc>
          <w:tcPr>
            <w:tcW w:w="709" w:type="dxa"/>
            <w:shd w:val="clear" w:color="auto" w:fill="auto"/>
            <w:vAlign w:val="center"/>
          </w:tcPr>
          <w:p w14:paraId="7D098208"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0.00</w:t>
            </w:r>
          </w:p>
        </w:tc>
        <w:tc>
          <w:tcPr>
            <w:tcW w:w="567" w:type="dxa"/>
            <w:shd w:val="clear" w:color="auto" w:fill="auto"/>
            <w:vAlign w:val="center"/>
          </w:tcPr>
          <w:p w14:paraId="70CE7546"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3B75EEBF" w14:textId="77777777" w:rsidR="008C7BCC" w:rsidRPr="009F6406" w:rsidRDefault="008C7BCC" w:rsidP="008C7BCC">
            <w:pPr>
              <w:spacing w:after="0"/>
              <w:jc w:val="center"/>
              <w:rPr>
                <w:rFonts w:cs="Times New Roman"/>
                <w:color w:val="000000"/>
                <w:sz w:val="14"/>
                <w:szCs w:val="14"/>
              </w:rPr>
            </w:pPr>
          </w:p>
        </w:tc>
        <w:tc>
          <w:tcPr>
            <w:tcW w:w="567" w:type="dxa"/>
            <w:tcBorders>
              <w:right w:val="single" w:sz="4" w:space="0" w:color="auto"/>
            </w:tcBorders>
            <w:shd w:val="clear" w:color="auto" w:fill="auto"/>
            <w:vAlign w:val="center"/>
          </w:tcPr>
          <w:p w14:paraId="3654FA04" w14:textId="77777777" w:rsidR="008C7BCC" w:rsidRPr="009F6406" w:rsidRDefault="008C7BCC" w:rsidP="008C7BCC">
            <w:pPr>
              <w:spacing w:after="0"/>
              <w:jc w:val="center"/>
              <w:rPr>
                <w:rFonts w:cs="Times New Roman"/>
                <w:color w:val="000000"/>
                <w:sz w:val="14"/>
                <w:szCs w:val="14"/>
              </w:rPr>
            </w:pPr>
          </w:p>
        </w:tc>
        <w:tc>
          <w:tcPr>
            <w:tcW w:w="992" w:type="dxa"/>
            <w:tcBorders>
              <w:left w:val="single" w:sz="4" w:space="0" w:color="auto"/>
            </w:tcBorders>
            <w:shd w:val="clear" w:color="auto" w:fill="auto"/>
            <w:noWrap/>
            <w:vAlign w:val="center"/>
          </w:tcPr>
          <w:p w14:paraId="7508431E"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0.65</w:t>
            </w:r>
          </w:p>
        </w:tc>
        <w:tc>
          <w:tcPr>
            <w:tcW w:w="567" w:type="dxa"/>
            <w:shd w:val="clear" w:color="auto" w:fill="auto"/>
            <w:noWrap/>
            <w:vAlign w:val="center"/>
          </w:tcPr>
          <w:p w14:paraId="5903C3AB"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0.01</w:t>
            </w:r>
          </w:p>
        </w:tc>
        <w:tc>
          <w:tcPr>
            <w:tcW w:w="850" w:type="dxa"/>
            <w:shd w:val="clear" w:color="auto" w:fill="auto"/>
            <w:vAlign w:val="center"/>
          </w:tcPr>
          <w:p w14:paraId="00765503" w14:textId="77777777" w:rsidR="008C7BCC" w:rsidRPr="009F6406" w:rsidRDefault="008C7BCC" w:rsidP="008C7BCC">
            <w:pPr>
              <w:spacing w:after="0"/>
              <w:jc w:val="center"/>
              <w:rPr>
                <w:rFonts w:cs="Times New Roman"/>
                <w:color w:val="000000"/>
                <w:sz w:val="14"/>
                <w:szCs w:val="14"/>
              </w:rPr>
            </w:pPr>
          </w:p>
        </w:tc>
        <w:tc>
          <w:tcPr>
            <w:tcW w:w="851" w:type="dxa"/>
            <w:shd w:val="clear" w:color="auto" w:fill="auto"/>
            <w:vAlign w:val="center"/>
          </w:tcPr>
          <w:p w14:paraId="56A7F80E" w14:textId="77777777" w:rsidR="008C7BCC" w:rsidRPr="009F6406" w:rsidRDefault="008C7BCC" w:rsidP="008C7BCC">
            <w:pPr>
              <w:spacing w:after="0"/>
              <w:jc w:val="center"/>
              <w:rPr>
                <w:rFonts w:cs="Times New Roman"/>
                <w:color w:val="000000"/>
                <w:sz w:val="14"/>
                <w:szCs w:val="14"/>
              </w:rPr>
            </w:pPr>
          </w:p>
        </w:tc>
        <w:tc>
          <w:tcPr>
            <w:tcW w:w="567" w:type="dxa"/>
            <w:tcBorders>
              <w:right w:val="single" w:sz="4" w:space="0" w:color="auto"/>
            </w:tcBorders>
            <w:shd w:val="clear" w:color="auto" w:fill="auto"/>
            <w:vAlign w:val="center"/>
          </w:tcPr>
          <w:p w14:paraId="04E41220" w14:textId="77777777" w:rsidR="008C7BCC" w:rsidRPr="009F6406" w:rsidRDefault="008C7BCC" w:rsidP="008C7BCC">
            <w:pPr>
              <w:spacing w:after="0"/>
              <w:jc w:val="center"/>
              <w:rPr>
                <w:rFonts w:cs="Times New Roman"/>
                <w:color w:val="000000"/>
                <w:sz w:val="14"/>
                <w:szCs w:val="14"/>
              </w:rPr>
            </w:pPr>
          </w:p>
        </w:tc>
        <w:tc>
          <w:tcPr>
            <w:tcW w:w="850" w:type="dxa"/>
            <w:tcBorders>
              <w:left w:val="single" w:sz="4" w:space="0" w:color="auto"/>
            </w:tcBorders>
            <w:shd w:val="clear" w:color="auto" w:fill="auto"/>
            <w:vAlign w:val="center"/>
          </w:tcPr>
          <w:p w14:paraId="3C97F6D2"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1.63</w:t>
            </w:r>
          </w:p>
        </w:tc>
        <w:tc>
          <w:tcPr>
            <w:tcW w:w="709" w:type="dxa"/>
            <w:shd w:val="clear" w:color="auto" w:fill="auto"/>
            <w:vAlign w:val="center"/>
          </w:tcPr>
          <w:p w14:paraId="2CE49BAD"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0.49</w:t>
            </w:r>
          </w:p>
        </w:tc>
        <w:tc>
          <w:tcPr>
            <w:tcW w:w="851" w:type="dxa"/>
            <w:shd w:val="clear" w:color="auto" w:fill="auto"/>
            <w:noWrap/>
            <w:vAlign w:val="center"/>
          </w:tcPr>
          <w:p w14:paraId="5934F6F7" w14:textId="77777777" w:rsidR="008C7BCC" w:rsidRPr="009F6406" w:rsidRDefault="008C7BCC" w:rsidP="008C7BCC">
            <w:pPr>
              <w:spacing w:after="0"/>
              <w:jc w:val="center"/>
              <w:rPr>
                <w:rFonts w:eastAsia="Times New Roman" w:cs="Times New Roman"/>
                <w:color w:val="000000"/>
                <w:sz w:val="14"/>
                <w:szCs w:val="14"/>
              </w:rPr>
            </w:pPr>
          </w:p>
        </w:tc>
        <w:tc>
          <w:tcPr>
            <w:tcW w:w="708" w:type="dxa"/>
            <w:shd w:val="clear" w:color="auto" w:fill="auto"/>
            <w:vAlign w:val="center"/>
          </w:tcPr>
          <w:p w14:paraId="5FF347A2" w14:textId="77777777" w:rsidR="008C7BCC" w:rsidRPr="009F6406" w:rsidRDefault="008C7BCC" w:rsidP="008C7BCC">
            <w:pPr>
              <w:spacing w:after="0"/>
              <w:jc w:val="center"/>
              <w:rPr>
                <w:rFonts w:eastAsia="Times New Roman" w:cs="Times New Roman"/>
                <w:color w:val="000000"/>
                <w:sz w:val="14"/>
                <w:szCs w:val="14"/>
              </w:rPr>
            </w:pPr>
          </w:p>
        </w:tc>
        <w:tc>
          <w:tcPr>
            <w:tcW w:w="567" w:type="dxa"/>
            <w:shd w:val="clear" w:color="auto" w:fill="auto"/>
            <w:vAlign w:val="center"/>
          </w:tcPr>
          <w:p w14:paraId="130FECE4" w14:textId="77777777" w:rsidR="008C7BCC" w:rsidRPr="009F6406" w:rsidRDefault="008C7BCC" w:rsidP="008C7BCC">
            <w:pPr>
              <w:spacing w:after="0"/>
              <w:jc w:val="center"/>
              <w:rPr>
                <w:rFonts w:eastAsia="Times New Roman" w:cs="Times New Roman"/>
                <w:color w:val="000000"/>
                <w:sz w:val="14"/>
                <w:szCs w:val="14"/>
              </w:rPr>
            </w:pPr>
          </w:p>
        </w:tc>
      </w:tr>
      <w:tr w:rsidR="008C7BCC" w:rsidRPr="009F6406" w14:paraId="4F24C750" w14:textId="77777777" w:rsidTr="008C7BCC">
        <w:trPr>
          <w:trHeight w:val="288"/>
        </w:trPr>
        <w:tc>
          <w:tcPr>
            <w:tcW w:w="3152" w:type="dxa"/>
            <w:shd w:val="clear" w:color="auto" w:fill="auto"/>
            <w:noWrap/>
            <w:vAlign w:val="center"/>
          </w:tcPr>
          <w:p w14:paraId="40CBE619"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color w:val="000000"/>
                <w:sz w:val="14"/>
                <w:szCs w:val="14"/>
              </w:rPr>
              <w:t>Intra-Class Correlation (ICC)</w:t>
            </w:r>
          </w:p>
        </w:tc>
        <w:tc>
          <w:tcPr>
            <w:tcW w:w="822" w:type="dxa"/>
            <w:shd w:val="clear" w:color="auto" w:fill="auto"/>
            <w:vAlign w:val="center"/>
          </w:tcPr>
          <w:p w14:paraId="6947214D"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0.01</w:t>
            </w:r>
          </w:p>
        </w:tc>
        <w:tc>
          <w:tcPr>
            <w:tcW w:w="709" w:type="dxa"/>
            <w:shd w:val="clear" w:color="auto" w:fill="auto"/>
            <w:vAlign w:val="center"/>
          </w:tcPr>
          <w:p w14:paraId="68D5671A" w14:textId="77777777" w:rsidR="008C7BCC" w:rsidRPr="009F6406" w:rsidRDefault="008C7BCC" w:rsidP="008C7BCC">
            <w:pPr>
              <w:spacing w:after="0"/>
              <w:jc w:val="center"/>
              <w:rPr>
                <w:rFonts w:cs="Times New Roman"/>
                <w:color w:val="000000"/>
                <w:sz w:val="14"/>
                <w:szCs w:val="14"/>
              </w:rPr>
            </w:pPr>
          </w:p>
        </w:tc>
        <w:tc>
          <w:tcPr>
            <w:tcW w:w="567" w:type="dxa"/>
            <w:shd w:val="clear" w:color="auto" w:fill="auto"/>
            <w:vAlign w:val="center"/>
          </w:tcPr>
          <w:p w14:paraId="5DE1525F"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2821DF01" w14:textId="77777777" w:rsidR="008C7BCC" w:rsidRPr="009F6406" w:rsidRDefault="008C7BCC" w:rsidP="008C7BCC">
            <w:pPr>
              <w:spacing w:after="0"/>
              <w:jc w:val="center"/>
              <w:rPr>
                <w:rFonts w:cs="Times New Roman"/>
                <w:color w:val="000000"/>
                <w:sz w:val="14"/>
                <w:szCs w:val="14"/>
              </w:rPr>
            </w:pPr>
          </w:p>
        </w:tc>
        <w:tc>
          <w:tcPr>
            <w:tcW w:w="567" w:type="dxa"/>
            <w:tcBorders>
              <w:right w:val="single" w:sz="4" w:space="0" w:color="auto"/>
            </w:tcBorders>
            <w:shd w:val="clear" w:color="auto" w:fill="auto"/>
            <w:vAlign w:val="center"/>
          </w:tcPr>
          <w:p w14:paraId="3674F0B2" w14:textId="77777777" w:rsidR="008C7BCC" w:rsidRPr="009F6406" w:rsidRDefault="008C7BCC" w:rsidP="008C7BCC">
            <w:pPr>
              <w:spacing w:after="0"/>
              <w:jc w:val="center"/>
              <w:rPr>
                <w:rFonts w:cs="Times New Roman"/>
                <w:color w:val="000000"/>
                <w:sz w:val="14"/>
                <w:szCs w:val="14"/>
              </w:rPr>
            </w:pPr>
          </w:p>
        </w:tc>
        <w:tc>
          <w:tcPr>
            <w:tcW w:w="992" w:type="dxa"/>
            <w:tcBorders>
              <w:left w:val="single" w:sz="4" w:space="0" w:color="auto"/>
            </w:tcBorders>
            <w:shd w:val="clear" w:color="auto" w:fill="auto"/>
            <w:noWrap/>
            <w:vAlign w:val="center"/>
          </w:tcPr>
          <w:p w14:paraId="3F42B382"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0.04</w:t>
            </w:r>
          </w:p>
        </w:tc>
        <w:tc>
          <w:tcPr>
            <w:tcW w:w="567" w:type="dxa"/>
            <w:shd w:val="clear" w:color="auto" w:fill="auto"/>
            <w:noWrap/>
            <w:vAlign w:val="center"/>
          </w:tcPr>
          <w:p w14:paraId="7CED49B4" w14:textId="77777777" w:rsidR="008C7BCC" w:rsidRPr="009F6406" w:rsidRDefault="008C7BCC" w:rsidP="008C7BCC">
            <w:pPr>
              <w:spacing w:after="0"/>
              <w:jc w:val="center"/>
              <w:rPr>
                <w:rFonts w:cs="Times New Roman"/>
                <w:color w:val="000000"/>
                <w:sz w:val="14"/>
                <w:szCs w:val="14"/>
              </w:rPr>
            </w:pPr>
          </w:p>
        </w:tc>
        <w:tc>
          <w:tcPr>
            <w:tcW w:w="850" w:type="dxa"/>
            <w:shd w:val="clear" w:color="auto" w:fill="auto"/>
            <w:vAlign w:val="center"/>
          </w:tcPr>
          <w:p w14:paraId="36318989" w14:textId="77777777" w:rsidR="008C7BCC" w:rsidRPr="009F6406" w:rsidRDefault="008C7BCC" w:rsidP="008C7BCC">
            <w:pPr>
              <w:spacing w:after="0"/>
              <w:jc w:val="center"/>
              <w:rPr>
                <w:rFonts w:cs="Times New Roman"/>
                <w:color w:val="000000"/>
                <w:sz w:val="14"/>
                <w:szCs w:val="14"/>
              </w:rPr>
            </w:pPr>
          </w:p>
        </w:tc>
        <w:tc>
          <w:tcPr>
            <w:tcW w:w="851" w:type="dxa"/>
            <w:shd w:val="clear" w:color="auto" w:fill="auto"/>
            <w:vAlign w:val="center"/>
          </w:tcPr>
          <w:p w14:paraId="25760C16" w14:textId="77777777" w:rsidR="008C7BCC" w:rsidRPr="009F6406" w:rsidRDefault="008C7BCC" w:rsidP="008C7BCC">
            <w:pPr>
              <w:spacing w:after="0"/>
              <w:jc w:val="center"/>
              <w:rPr>
                <w:rFonts w:cs="Times New Roman"/>
                <w:color w:val="000000"/>
                <w:sz w:val="14"/>
                <w:szCs w:val="14"/>
              </w:rPr>
            </w:pPr>
          </w:p>
        </w:tc>
        <w:tc>
          <w:tcPr>
            <w:tcW w:w="567" w:type="dxa"/>
            <w:tcBorders>
              <w:right w:val="single" w:sz="4" w:space="0" w:color="auto"/>
            </w:tcBorders>
            <w:shd w:val="clear" w:color="auto" w:fill="auto"/>
            <w:vAlign w:val="center"/>
          </w:tcPr>
          <w:p w14:paraId="3CBA6E20" w14:textId="77777777" w:rsidR="008C7BCC" w:rsidRPr="009F6406" w:rsidRDefault="008C7BCC" w:rsidP="008C7BCC">
            <w:pPr>
              <w:spacing w:after="0"/>
              <w:jc w:val="center"/>
              <w:rPr>
                <w:rFonts w:cs="Times New Roman"/>
                <w:color w:val="000000"/>
                <w:sz w:val="14"/>
                <w:szCs w:val="14"/>
              </w:rPr>
            </w:pPr>
          </w:p>
        </w:tc>
        <w:tc>
          <w:tcPr>
            <w:tcW w:w="850" w:type="dxa"/>
            <w:tcBorders>
              <w:left w:val="single" w:sz="4" w:space="0" w:color="auto"/>
            </w:tcBorders>
            <w:shd w:val="clear" w:color="auto" w:fill="auto"/>
            <w:vAlign w:val="center"/>
          </w:tcPr>
          <w:p w14:paraId="571F9C10"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0.11</w:t>
            </w:r>
          </w:p>
        </w:tc>
        <w:tc>
          <w:tcPr>
            <w:tcW w:w="709" w:type="dxa"/>
            <w:shd w:val="clear" w:color="auto" w:fill="auto"/>
            <w:vAlign w:val="center"/>
          </w:tcPr>
          <w:p w14:paraId="72B2F4DD" w14:textId="77777777" w:rsidR="008C7BCC" w:rsidRPr="009F6406" w:rsidRDefault="008C7BCC" w:rsidP="008C7BCC">
            <w:pPr>
              <w:spacing w:after="0"/>
              <w:jc w:val="center"/>
              <w:rPr>
                <w:rFonts w:cs="Times New Roman"/>
                <w:color w:val="000000"/>
                <w:sz w:val="14"/>
                <w:szCs w:val="14"/>
              </w:rPr>
            </w:pPr>
          </w:p>
        </w:tc>
        <w:tc>
          <w:tcPr>
            <w:tcW w:w="851" w:type="dxa"/>
            <w:shd w:val="clear" w:color="auto" w:fill="auto"/>
            <w:noWrap/>
            <w:vAlign w:val="center"/>
          </w:tcPr>
          <w:p w14:paraId="5668C76F" w14:textId="77777777" w:rsidR="008C7BCC" w:rsidRPr="009F6406" w:rsidRDefault="008C7BCC" w:rsidP="008C7BCC">
            <w:pPr>
              <w:spacing w:after="0"/>
              <w:jc w:val="center"/>
              <w:rPr>
                <w:rFonts w:eastAsia="Times New Roman" w:cs="Times New Roman"/>
                <w:color w:val="000000"/>
                <w:sz w:val="14"/>
                <w:szCs w:val="14"/>
              </w:rPr>
            </w:pPr>
          </w:p>
        </w:tc>
        <w:tc>
          <w:tcPr>
            <w:tcW w:w="708" w:type="dxa"/>
            <w:shd w:val="clear" w:color="auto" w:fill="auto"/>
            <w:vAlign w:val="center"/>
          </w:tcPr>
          <w:p w14:paraId="0CB7BEA0" w14:textId="77777777" w:rsidR="008C7BCC" w:rsidRPr="009F6406" w:rsidRDefault="008C7BCC" w:rsidP="008C7BCC">
            <w:pPr>
              <w:spacing w:after="0"/>
              <w:jc w:val="center"/>
              <w:rPr>
                <w:rFonts w:eastAsia="Times New Roman" w:cs="Times New Roman"/>
                <w:color w:val="000000"/>
                <w:sz w:val="14"/>
                <w:szCs w:val="14"/>
              </w:rPr>
            </w:pPr>
          </w:p>
        </w:tc>
        <w:tc>
          <w:tcPr>
            <w:tcW w:w="567" w:type="dxa"/>
            <w:shd w:val="clear" w:color="auto" w:fill="auto"/>
            <w:vAlign w:val="center"/>
          </w:tcPr>
          <w:p w14:paraId="0018B6AD" w14:textId="77777777" w:rsidR="008C7BCC" w:rsidRPr="009F6406" w:rsidRDefault="008C7BCC" w:rsidP="008C7BCC">
            <w:pPr>
              <w:spacing w:after="0"/>
              <w:jc w:val="center"/>
              <w:rPr>
                <w:rFonts w:eastAsia="Times New Roman" w:cs="Times New Roman"/>
                <w:color w:val="000000"/>
                <w:sz w:val="14"/>
                <w:szCs w:val="14"/>
              </w:rPr>
            </w:pPr>
          </w:p>
        </w:tc>
      </w:tr>
      <w:tr w:rsidR="008C7BCC" w:rsidRPr="009F6406" w14:paraId="6EDE08B3" w14:textId="77777777" w:rsidTr="008C7BCC">
        <w:trPr>
          <w:trHeight w:val="288"/>
        </w:trPr>
        <w:tc>
          <w:tcPr>
            <w:tcW w:w="3152" w:type="dxa"/>
            <w:shd w:val="clear" w:color="auto" w:fill="auto"/>
            <w:noWrap/>
            <w:vAlign w:val="center"/>
          </w:tcPr>
          <w:p w14:paraId="50FF384E"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color w:val="000000"/>
                <w:sz w:val="14"/>
                <w:szCs w:val="14"/>
              </w:rPr>
              <w:t>% of Child-level Variance explained</w:t>
            </w:r>
          </w:p>
        </w:tc>
        <w:tc>
          <w:tcPr>
            <w:tcW w:w="822" w:type="dxa"/>
            <w:shd w:val="clear" w:color="auto" w:fill="auto"/>
            <w:vAlign w:val="center"/>
          </w:tcPr>
          <w:p w14:paraId="6A1FF38E"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66CF8C04"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4%</w:t>
            </w:r>
          </w:p>
        </w:tc>
        <w:tc>
          <w:tcPr>
            <w:tcW w:w="567" w:type="dxa"/>
            <w:shd w:val="clear" w:color="auto" w:fill="auto"/>
            <w:vAlign w:val="center"/>
          </w:tcPr>
          <w:p w14:paraId="433B51D7"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55BF7D85" w14:textId="77777777" w:rsidR="008C7BCC" w:rsidRPr="009F6406" w:rsidRDefault="008C7BCC" w:rsidP="008C7BCC">
            <w:pPr>
              <w:spacing w:after="0"/>
              <w:jc w:val="center"/>
              <w:rPr>
                <w:rFonts w:cs="Times New Roman"/>
                <w:color w:val="000000"/>
                <w:sz w:val="14"/>
                <w:szCs w:val="14"/>
              </w:rPr>
            </w:pPr>
          </w:p>
        </w:tc>
        <w:tc>
          <w:tcPr>
            <w:tcW w:w="567" w:type="dxa"/>
            <w:tcBorders>
              <w:right w:val="single" w:sz="4" w:space="0" w:color="auto"/>
            </w:tcBorders>
            <w:shd w:val="clear" w:color="auto" w:fill="auto"/>
            <w:vAlign w:val="center"/>
          </w:tcPr>
          <w:p w14:paraId="2E3F3E0B" w14:textId="77777777" w:rsidR="008C7BCC" w:rsidRPr="009F6406" w:rsidRDefault="008C7BCC" w:rsidP="008C7BCC">
            <w:pPr>
              <w:spacing w:after="0"/>
              <w:jc w:val="center"/>
              <w:rPr>
                <w:rFonts w:cs="Times New Roman"/>
                <w:color w:val="000000"/>
                <w:sz w:val="14"/>
                <w:szCs w:val="14"/>
              </w:rPr>
            </w:pPr>
          </w:p>
        </w:tc>
        <w:tc>
          <w:tcPr>
            <w:tcW w:w="992" w:type="dxa"/>
            <w:tcBorders>
              <w:left w:val="single" w:sz="4" w:space="0" w:color="auto"/>
            </w:tcBorders>
            <w:shd w:val="clear" w:color="auto" w:fill="auto"/>
            <w:noWrap/>
            <w:vAlign w:val="center"/>
          </w:tcPr>
          <w:p w14:paraId="4B3C06F5" w14:textId="77777777" w:rsidR="008C7BCC" w:rsidRPr="009F6406" w:rsidRDefault="008C7BCC" w:rsidP="008C7BCC">
            <w:pPr>
              <w:spacing w:after="0"/>
              <w:jc w:val="center"/>
              <w:rPr>
                <w:rFonts w:cs="Times New Roman"/>
                <w:color w:val="000000"/>
                <w:sz w:val="14"/>
                <w:szCs w:val="14"/>
              </w:rPr>
            </w:pPr>
          </w:p>
        </w:tc>
        <w:tc>
          <w:tcPr>
            <w:tcW w:w="567" w:type="dxa"/>
            <w:shd w:val="clear" w:color="auto" w:fill="auto"/>
            <w:noWrap/>
            <w:vAlign w:val="center"/>
          </w:tcPr>
          <w:p w14:paraId="58E3D279"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9%</w:t>
            </w:r>
          </w:p>
        </w:tc>
        <w:tc>
          <w:tcPr>
            <w:tcW w:w="850" w:type="dxa"/>
            <w:shd w:val="clear" w:color="auto" w:fill="auto"/>
            <w:vAlign w:val="center"/>
          </w:tcPr>
          <w:p w14:paraId="370E5442" w14:textId="77777777" w:rsidR="008C7BCC" w:rsidRPr="009F6406" w:rsidRDefault="008C7BCC" w:rsidP="008C7BCC">
            <w:pPr>
              <w:spacing w:after="0"/>
              <w:jc w:val="center"/>
              <w:rPr>
                <w:rFonts w:cs="Times New Roman"/>
                <w:color w:val="000000"/>
                <w:sz w:val="14"/>
                <w:szCs w:val="14"/>
              </w:rPr>
            </w:pPr>
          </w:p>
        </w:tc>
        <w:tc>
          <w:tcPr>
            <w:tcW w:w="851" w:type="dxa"/>
            <w:shd w:val="clear" w:color="auto" w:fill="auto"/>
            <w:vAlign w:val="center"/>
          </w:tcPr>
          <w:p w14:paraId="3BC33BD2" w14:textId="77777777" w:rsidR="008C7BCC" w:rsidRPr="009F6406" w:rsidRDefault="008C7BCC" w:rsidP="008C7BCC">
            <w:pPr>
              <w:spacing w:after="0"/>
              <w:jc w:val="center"/>
              <w:rPr>
                <w:rFonts w:cs="Times New Roman"/>
                <w:color w:val="000000"/>
                <w:sz w:val="14"/>
                <w:szCs w:val="14"/>
              </w:rPr>
            </w:pPr>
          </w:p>
        </w:tc>
        <w:tc>
          <w:tcPr>
            <w:tcW w:w="567" w:type="dxa"/>
            <w:tcBorders>
              <w:right w:val="single" w:sz="4" w:space="0" w:color="auto"/>
            </w:tcBorders>
            <w:shd w:val="clear" w:color="auto" w:fill="auto"/>
            <w:vAlign w:val="center"/>
          </w:tcPr>
          <w:p w14:paraId="4BDACAF1" w14:textId="77777777" w:rsidR="008C7BCC" w:rsidRPr="009F6406" w:rsidRDefault="008C7BCC" w:rsidP="008C7BCC">
            <w:pPr>
              <w:spacing w:after="0"/>
              <w:jc w:val="center"/>
              <w:rPr>
                <w:rFonts w:cs="Times New Roman"/>
                <w:color w:val="000000"/>
                <w:sz w:val="14"/>
                <w:szCs w:val="14"/>
              </w:rPr>
            </w:pPr>
          </w:p>
        </w:tc>
        <w:tc>
          <w:tcPr>
            <w:tcW w:w="850" w:type="dxa"/>
            <w:tcBorders>
              <w:left w:val="single" w:sz="4" w:space="0" w:color="auto"/>
            </w:tcBorders>
            <w:shd w:val="clear" w:color="auto" w:fill="auto"/>
            <w:vAlign w:val="center"/>
          </w:tcPr>
          <w:p w14:paraId="23A86FB8" w14:textId="77777777" w:rsidR="008C7BCC" w:rsidRPr="009F6406" w:rsidRDefault="008C7BCC" w:rsidP="008C7BCC">
            <w:pPr>
              <w:spacing w:after="0"/>
              <w:jc w:val="center"/>
              <w:rPr>
                <w:rFonts w:cs="Times New Roman"/>
                <w:color w:val="000000"/>
                <w:sz w:val="14"/>
                <w:szCs w:val="14"/>
              </w:rPr>
            </w:pPr>
          </w:p>
        </w:tc>
        <w:tc>
          <w:tcPr>
            <w:tcW w:w="709" w:type="dxa"/>
            <w:shd w:val="clear" w:color="auto" w:fill="auto"/>
            <w:vAlign w:val="center"/>
          </w:tcPr>
          <w:p w14:paraId="0FD2BC77"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20%</w:t>
            </w:r>
          </w:p>
        </w:tc>
        <w:tc>
          <w:tcPr>
            <w:tcW w:w="851" w:type="dxa"/>
            <w:shd w:val="clear" w:color="auto" w:fill="auto"/>
            <w:noWrap/>
            <w:vAlign w:val="center"/>
          </w:tcPr>
          <w:p w14:paraId="2294D3CF" w14:textId="77777777" w:rsidR="008C7BCC" w:rsidRPr="009F6406" w:rsidRDefault="008C7BCC" w:rsidP="008C7BCC">
            <w:pPr>
              <w:spacing w:after="0"/>
              <w:jc w:val="center"/>
              <w:rPr>
                <w:rFonts w:eastAsia="Times New Roman" w:cs="Times New Roman"/>
                <w:color w:val="000000"/>
                <w:sz w:val="14"/>
                <w:szCs w:val="14"/>
              </w:rPr>
            </w:pPr>
          </w:p>
        </w:tc>
        <w:tc>
          <w:tcPr>
            <w:tcW w:w="708" w:type="dxa"/>
            <w:shd w:val="clear" w:color="auto" w:fill="auto"/>
            <w:vAlign w:val="center"/>
          </w:tcPr>
          <w:p w14:paraId="428E76FA" w14:textId="77777777" w:rsidR="008C7BCC" w:rsidRPr="009F6406" w:rsidRDefault="008C7BCC" w:rsidP="008C7BCC">
            <w:pPr>
              <w:spacing w:after="0"/>
              <w:jc w:val="center"/>
              <w:rPr>
                <w:rFonts w:eastAsia="Times New Roman" w:cs="Times New Roman"/>
                <w:color w:val="000000"/>
                <w:sz w:val="14"/>
                <w:szCs w:val="14"/>
              </w:rPr>
            </w:pPr>
          </w:p>
        </w:tc>
        <w:tc>
          <w:tcPr>
            <w:tcW w:w="567" w:type="dxa"/>
            <w:shd w:val="clear" w:color="auto" w:fill="auto"/>
            <w:vAlign w:val="center"/>
          </w:tcPr>
          <w:p w14:paraId="6E77394C" w14:textId="77777777" w:rsidR="008C7BCC" w:rsidRPr="009F6406" w:rsidRDefault="008C7BCC" w:rsidP="008C7BCC">
            <w:pPr>
              <w:spacing w:after="0"/>
              <w:jc w:val="center"/>
              <w:rPr>
                <w:rFonts w:eastAsia="Times New Roman" w:cs="Times New Roman"/>
                <w:color w:val="000000"/>
                <w:sz w:val="14"/>
                <w:szCs w:val="14"/>
              </w:rPr>
            </w:pPr>
          </w:p>
        </w:tc>
      </w:tr>
      <w:tr w:rsidR="008C7BCC" w:rsidRPr="009F6406" w14:paraId="57619165" w14:textId="77777777" w:rsidTr="00D71EE2">
        <w:trPr>
          <w:trHeight w:val="288"/>
        </w:trPr>
        <w:tc>
          <w:tcPr>
            <w:tcW w:w="3152" w:type="dxa"/>
            <w:tcBorders>
              <w:bottom w:val="single" w:sz="4" w:space="0" w:color="auto"/>
            </w:tcBorders>
            <w:shd w:val="clear" w:color="auto" w:fill="auto"/>
            <w:noWrap/>
            <w:vAlign w:val="center"/>
          </w:tcPr>
          <w:p w14:paraId="5700B10A" w14:textId="77777777" w:rsidR="008C7BCC" w:rsidRPr="009F6406" w:rsidRDefault="008C7BCC" w:rsidP="008C7BCC">
            <w:pPr>
              <w:spacing w:after="0"/>
              <w:rPr>
                <w:rFonts w:eastAsia="Times New Roman" w:cs="Times New Roman"/>
                <w:color w:val="000000"/>
                <w:sz w:val="14"/>
                <w:szCs w:val="14"/>
              </w:rPr>
            </w:pPr>
            <w:r w:rsidRPr="009F6406">
              <w:rPr>
                <w:rFonts w:eastAsia="Times New Roman" w:cs="Times New Roman"/>
                <w:color w:val="000000"/>
                <w:sz w:val="14"/>
                <w:szCs w:val="14"/>
              </w:rPr>
              <w:t>% of Teacher-level Variance explained</w:t>
            </w:r>
          </w:p>
        </w:tc>
        <w:tc>
          <w:tcPr>
            <w:tcW w:w="822" w:type="dxa"/>
            <w:tcBorders>
              <w:bottom w:val="single" w:sz="4" w:space="0" w:color="auto"/>
            </w:tcBorders>
            <w:shd w:val="clear" w:color="auto" w:fill="auto"/>
            <w:vAlign w:val="center"/>
          </w:tcPr>
          <w:p w14:paraId="5094A9C5" w14:textId="77777777" w:rsidR="008C7BCC" w:rsidRPr="009F6406" w:rsidRDefault="008C7BCC" w:rsidP="008C7BCC">
            <w:pPr>
              <w:spacing w:after="0"/>
              <w:jc w:val="center"/>
              <w:rPr>
                <w:rFonts w:cs="Times New Roman"/>
                <w:color w:val="000000"/>
                <w:sz w:val="14"/>
                <w:szCs w:val="14"/>
              </w:rPr>
            </w:pPr>
          </w:p>
        </w:tc>
        <w:tc>
          <w:tcPr>
            <w:tcW w:w="709" w:type="dxa"/>
            <w:tcBorders>
              <w:bottom w:val="single" w:sz="4" w:space="0" w:color="auto"/>
            </w:tcBorders>
            <w:shd w:val="clear" w:color="auto" w:fill="auto"/>
            <w:vAlign w:val="center"/>
          </w:tcPr>
          <w:p w14:paraId="7241BBF0"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w:t>
            </w:r>
          </w:p>
        </w:tc>
        <w:tc>
          <w:tcPr>
            <w:tcW w:w="567" w:type="dxa"/>
            <w:tcBorders>
              <w:bottom w:val="single" w:sz="4" w:space="0" w:color="auto"/>
            </w:tcBorders>
            <w:shd w:val="clear" w:color="auto" w:fill="auto"/>
            <w:vAlign w:val="center"/>
          </w:tcPr>
          <w:p w14:paraId="5ED3CA11" w14:textId="77777777" w:rsidR="008C7BCC" w:rsidRPr="009F6406" w:rsidRDefault="008C7BCC" w:rsidP="008C7BCC">
            <w:pPr>
              <w:spacing w:after="0"/>
              <w:jc w:val="center"/>
              <w:rPr>
                <w:rFonts w:cs="Times New Roman"/>
                <w:color w:val="000000"/>
                <w:sz w:val="14"/>
                <w:szCs w:val="14"/>
              </w:rPr>
            </w:pPr>
          </w:p>
        </w:tc>
        <w:tc>
          <w:tcPr>
            <w:tcW w:w="709" w:type="dxa"/>
            <w:tcBorders>
              <w:bottom w:val="single" w:sz="4" w:space="0" w:color="auto"/>
            </w:tcBorders>
            <w:shd w:val="clear" w:color="auto" w:fill="auto"/>
            <w:vAlign w:val="center"/>
          </w:tcPr>
          <w:p w14:paraId="7DFBCCF5" w14:textId="77777777" w:rsidR="008C7BCC" w:rsidRPr="009F6406" w:rsidRDefault="008C7BCC" w:rsidP="008C7BCC">
            <w:pPr>
              <w:spacing w:after="0"/>
              <w:jc w:val="center"/>
              <w:rPr>
                <w:rFonts w:cs="Times New Roman"/>
                <w:color w:val="000000"/>
                <w:sz w:val="14"/>
                <w:szCs w:val="14"/>
              </w:rPr>
            </w:pPr>
          </w:p>
        </w:tc>
        <w:tc>
          <w:tcPr>
            <w:tcW w:w="567" w:type="dxa"/>
            <w:tcBorders>
              <w:bottom w:val="single" w:sz="4" w:space="0" w:color="auto"/>
              <w:right w:val="single" w:sz="4" w:space="0" w:color="auto"/>
            </w:tcBorders>
            <w:shd w:val="clear" w:color="auto" w:fill="auto"/>
            <w:vAlign w:val="center"/>
          </w:tcPr>
          <w:p w14:paraId="3FF2CA97" w14:textId="77777777" w:rsidR="008C7BCC" w:rsidRPr="009F6406" w:rsidRDefault="008C7BCC" w:rsidP="008C7BCC">
            <w:pPr>
              <w:spacing w:after="0"/>
              <w:jc w:val="center"/>
              <w:rPr>
                <w:rFonts w:cs="Times New Roman"/>
                <w:color w:val="000000"/>
                <w:sz w:val="14"/>
                <w:szCs w:val="14"/>
              </w:rPr>
            </w:pPr>
          </w:p>
        </w:tc>
        <w:tc>
          <w:tcPr>
            <w:tcW w:w="992" w:type="dxa"/>
            <w:tcBorders>
              <w:left w:val="single" w:sz="4" w:space="0" w:color="auto"/>
              <w:bottom w:val="single" w:sz="4" w:space="0" w:color="auto"/>
            </w:tcBorders>
            <w:shd w:val="clear" w:color="auto" w:fill="auto"/>
            <w:noWrap/>
            <w:vAlign w:val="center"/>
          </w:tcPr>
          <w:p w14:paraId="6052D8CC" w14:textId="77777777" w:rsidR="008C7BCC" w:rsidRPr="009F6406" w:rsidRDefault="008C7BCC" w:rsidP="008C7BCC">
            <w:pPr>
              <w:spacing w:after="0"/>
              <w:jc w:val="center"/>
              <w:rPr>
                <w:rFonts w:cs="Times New Roman"/>
                <w:color w:val="000000"/>
                <w:sz w:val="14"/>
                <w:szCs w:val="14"/>
              </w:rPr>
            </w:pPr>
          </w:p>
        </w:tc>
        <w:tc>
          <w:tcPr>
            <w:tcW w:w="567" w:type="dxa"/>
            <w:tcBorders>
              <w:bottom w:val="single" w:sz="4" w:space="0" w:color="auto"/>
            </w:tcBorders>
            <w:shd w:val="clear" w:color="auto" w:fill="auto"/>
            <w:noWrap/>
            <w:vAlign w:val="center"/>
          </w:tcPr>
          <w:p w14:paraId="6553F10F"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99%</w:t>
            </w:r>
          </w:p>
        </w:tc>
        <w:tc>
          <w:tcPr>
            <w:tcW w:w="850" w:type="dxa"/>
            <w:tcBorders>
              <w:bottom w:val="single" w:sz="4" w:space="0" w:color="auto"/>
            </w:tcBorders>
            <w:shd w:val="clear" w:color="auto" w:fill="auto"/>
            <w:vAlign w:val="center"/>
          </w:tcPr>
          <w:p w14:paraId="6053BC51" w14:textId="77777777" w:rsidR="008C7BCC" w:rsidRPr="009F6406" w:rsidRDefault="008C7BCC" w:rsidP="008C7BCC">
            <w:pPr>
              <w:spacing w:after="0"/>
              <w:jc w:val="center"/>
              <w:rPr>
                <w:rFonts w:cs="Times New Roman"/>
                <w:color w:val="000000"/>
                <w:sz w:val="14"/>
                <w:szCs w:val="14"/>
              </w:rPr>
            </w:pPr>
          </w:p>
        </w:tc>
        <w:tc>
          <w:tcPr>
            <w:tcW w:w="851" w:type="dxa"/>
            <w:tcBorders>
              <w:bottom w:val="single" w:sz="4" w:space="0" w:color="auto"/>
            </w:tcBorders>
            <w:shd w:val="clear" w:color="auto" w:fill="auto"/>
            <w:vAlign w:val="center"/>
          </w:tcPr>
          <w:p w14:paraId="076C5089" w14:textId="77777777" w:rsidR="008C7BCC" w:rsidRPr="009F6406" w:rsidRDefault="008C7BCC" w:rsidP="008C7BCC">
            <w:pPr>
              <w:spacing w:after="0"/>
              <w:jc w:val="center"/>
              <w:rPr>
                <w:rFonts w:cs="Times New Roman"/>
                <w:color w:val="000000"/>
                <w:sz w:val="14"/>
                <w:szCs w:val="14"/>
              </w:rPr>
            </w:pPr>
          </w:p>
        </w:tc>
        <w:tc>
          <w:tcPr>
            <w:tcW w:w="567" w:type="dxa"/>
            <w:tcBorders>
              <w:bottom w:val="single" w:sz="4" w:space="0" w:color="auto"/>
              <w:right w:val="single" w:sz="4" w:space="0" w:color="auto"/>
            </w:tcBorders>
            <w:shd w:val="clear" w:color="auto" w:fill="auto"/>
            <w:vAlign w:val="center"/>
          </w:tcPr>
          <w:p w14:paraId="615A5AD4" w14:textId="77777777" w:rsidR="008C7BCC" w:rsidRPr="009F6406" w:rsidRDefault="008C7BCC" w:rsidP="008C7BCC">
            <w:pPr>
              <w:spacing w:after="0"/>
              <w:jc w:val="center"/>
              <w:rPr>
                <w:rFonts w:cs="Times New Roman"/>
                <w:color w:val="000000"/>
                <w:sz w:val="14"/>
                <w:szCs w:val="14"/>
              </w:rPr>
            </w:pPr>
          </w:p>
        </w:tc>
        <w:tc>
          <w:tcPr>
            <w:tcW w:w="850" w:type="dxa"/>
            <w:tcBorders>
              <w:left w:val="single" w:sz="4" w:space="0" w:color="auto"/>
              <w:bottom w:val="single" w:sz="4" w:space="0" w:color="auto"/>
            </w:tcBorders>
            <w:shd w:val="clear" w:color="auto" w:fill="auto"/>
            <w:vAlign w:val="center"/>
          </w:tcPr>
          <w:p w14:paraId="625B66A8" w14:textId="77777777" w:rsidR="008C7BCC" w:rsidRPr="009F6406" w:rsidRDefault="008C7BCC" w:rsidP="008C7BCC">
            <w:pPr>
              <w:spacing w:after="0"/>
              <w:jc w:val="center"/>
              <w:rPr>
                <w:rFonts w:cs="Times New Roman"/>
                <w:color w:val="000000"/>
                <w:sz w:val="14"/>
                <w:szCs w:val="14"/>
              </w:rPr>
            </w:pPr>
          </w:p>
        </w:tc>
        <w:tc>
          <w:tcPr>
            <w:tcW w:w="709" w:type="dxa"/>
            <w:tcBorders>
              <w:bottom w:val="single" w:sz="4" w:space="0" w:color="auto"/>
            </w:tcBorders>
            <w:shd w:val="clear" w:color="auto" w:fill="auto"/>
            <w:vAlign w:val="center"/>
          </w:tcPr>
          <w:p w14:paraId="677E2D98" w14:textId="77777777" w:rsidR="008C7BCC" w:rsidRPr="009F6406" w:rsidRDefault="008C7BCC" w:rsidP="008C7BCC">
            <w:pPr>
              <w:spacing w:after="0"/>
              <w:jc w:val="center"/>
              <w:rPr>
                <w:rFonts w:cs="Times New Roman"/>
                <w:color w:val="000000"/>
                <w:sz w:val="14"/>
                <w:szCs w:val="14"/>
              </w:rPr>
            </w:pPr>
            <w:r w:rsidRPr="009F6406">
              <w:rPr>
                <w:rFonts w:cs="Times New Roman"/>
                <w:color w:val="000000"/>
                <w:sz w:val="14"/>
                <w:szCs w:val="14"/>
              </w:rPr>
              <w:t>70%</w:t>
            </w:r>
          </w:p>
        </w:tc>
        <w:tc>
          <w:tcPr>
            <w:tcW w:w="851" w:type="dxa"/>
            <w:tcBorders>
              <w:bottom w:val="single" w:sz="4" w:space="0" w:color="auto"/>
            </w:tcBorders>
            <w:shd w:val="clear" w:color="auto" w:fill="auto"/>
            <w:noWrap/>
            <w:vAlign w:val="center"/>
          </w:tcPr>
          <w:p w14:paraId="6EA81601" w14:textId="77777777" w:rsidR="008C7BCC" w:rsidRPr="009F6406" w:rsidRDefault="008C7BCC" w:rsidP="008C7BCC">
            <w:pPr>
              <w:spacing w:after="0"/>
              <w:jc w:val="center"/>
              <w:rPr>
                <w:rFonts w:eastAsia="Times New Roman" w:cs="Times New Roman"/>
                <w:color w:val="000000"/>
                <w:sz w:val="14"/>
                <w:szCs w:val="14"/>
              </w:rPr>
            </w:pPr>
          </w:p>
        </w:tc>
        <w:tc>
          <w:tcPr>
            <w:tcW w:w="708" w:type="dxa"/>
            <w:tcBorders>
              <w:bottom w:val="single" w:sz="4" w:space="0" w:color="auto"/>
            </w:tcBorders>
            <w:shd w:val="clear" w:color="auto" w:fill="auto"/>
            <w:vAlign w:val="center"/>
          </w:tcPr>
          <w:p w14:paraId="416112E2" w14:textId="77777777" w:rsidR="008C7BCC" w:rsidRPr="009F6406" w:rsidRDefault="008C7BCC" w:rsidP="008C7BCC">
            <w:pPr>
              <w:spacing w:after="0"/>
              <w:jc w:val="center"/>
              <w:rPr>
                <w:rFonts w:eastAsia="Times New Roman" w:cs="Times New Roman"/>
                <w:color w:val="000000"/>
                <w:sz w:val="14"/>
                <w:szCs w:val="14"/>
              </w:rPr>
            </w:pPr>
          </w:p>
        </w:tc>
        <w:tc>
          <w:tcPr>
            <w:tcW w:w="567" w:type="dxa"/>
            <w:shd w:val="clear" w:color="auto" w:fill="auto"/>
            <w:vAlign w:val="center"/>
          </w:tcPr>
          <w:p w14:paraId="441E3EF2" w14:textId="77777777" w:rsidR="008C7BCC" w:rsidRPr="009F6406" w:rsidRDefault="008C7BCC" w:rsidP="008C7BCC">
            <w:pPr>
              <w:spacing w:after="0"/>
              <w:jc w:val="center"/>
              <w:rPr>
                <w:rFonts w:eastAsia="Times New Roman" w:cs="Times New Roman"/>
                <w:color w:val="000000"/>
                <w:sz w:val="14"/>
                <w:szCs w:val="14"/>
              </w:rPr>
            </w:pPr>
          </w:p>
        </w:tc>
      </w:tr>
      <w:tr w:rsidR="00D71EE2" w:rsidRPr="009F6406" w14:paraId="2F0E74B1" w14:textId="77777777" w:rsidTr="00D71EE2">
        <w:trPr>
          <w:trHeight w:val="687"/>
        </w:trPr>
        <w:tc>
          <w:tcPr>
            <w:tcW w:w="14038" w:type="dxa"/>
            <w:gridSpan w:val="16"/>
            <w:tcBorders>
              <w:top w:val="single" w:sz="4" w:space="0" w:color="auto"/>
              <w:bottom w:val="single" w:sz="4" w:space="0" w:color="auto"/>
            </w:tcBorders>
            <w:shd w:val="clear" w:color="auto" w:fill="auto"/>
            <w:noWrap/>
            <w:vAlign w:val="center"/>
          </w:tcPr>
          <w:p w14:paraId="5513B478" w14:textId="05305B77" w:rsidR="00D71EE2" w:rsidRPr="009F6406" w:rsidRDefault="00392CDF" w:rsidP="008C7BCC">
            <w:pPr>
              <w:rPr>
                <w:sz w:val="16"/>
                <w:szCs w:val="16"/>
              </w:rPr>
            </w:pPr>
            <w:r w:rsidRPr="009F6406">
              <w:rPr>
                <w:sz w:val="16"/>
                <w:szCs w:val="16"/>
              </w:rPr>
              <w:t>Notes: “Model 0”: No predictors of attitude towards mathematics included; “Model 1”: all predictors of attitude towards mathematics included; B: Unstandardized regression estimate; SE: Standard Error; p: probability that the difference or association is due to chance alone; ES: Effect Size (Elliot &amp; Sammons, 2004) represents the difference in the estimated means for the groups expressed as a fraction of the pupil level standard deviation after including appropriate control variables</w:t>
            </w:r>
          </w:p>
          <w:p w14:paraId="6FFF4532" w14:textId="77777777" w:rsidR="00D71EE2" w:rsidRPr="009F6406" w:rsidRDefault="00D71EE2" w:rsidP="008C7BCC">
            <w:pPr>
              <w:spacing w:after="0"/>
              <w:jc w:val="center"/>
              <w:rPr>
                <w:rFonts w:eastAsia="Times New Roman" w:cs="Times New Roman"/>
                <w:color w:val="000000"/>
                <w:sz w:val="14"/>
                <w:szCs w:val="14"/>
              </w:rPr>
            </w:pPr>
          </w:p>
        </w:tc>
      </w:tr>
    </w:tbl>
    <w:p w14:paraId="589F88EF" w14:textId="77777777" w:rsidR="009E5756" w:rsidRPr="009F6406" w:rsidRDefault="009E5756" w:rsidP="008C7BCC"/>
    <w:p w14:paraId="662C49E1" w14:textId="2821DBFC" w:rsidR="0053223B" w:rsidRPr="009F6406" w:rsidRDefault="00FA56D0">
      <w:pPr>
        <w:spacing w:before="0" w:after="200" w:line="276" w:lineRule="auto"/>
        <w:rPr>
          <w:lang w:val="en-GB"/>
        </w:rPr>
      </w:pPr>
      <w:r w:rsidRPr="009F6406">
        <w:t>Table 4</w:t>
      </w:r>
      <w:r w:rsidR="008C7BCC" w:rsidRPr="009F6406">
        <w:t xml:space="preserve">: Pupil attitudes towards mathematics </w:t>
      </w:r>
      <w:r w:rsidR="004532C8" w:rsidRPr="009F6406">
        <w:t xml:space="preserve">in experimental and delayed treatment groups </w:t>
      </w:r>
      <w:r w:rsidR="008C7BCC" w:rsidRPr="009F6406">
        <w:t>– multilevel General Linear Model results</w:t>
      </w:r>
    </w:p>
    <w:p w14:paraId="5A61DDAE" w14:textId="0195AD76" w:rsidR="00BA11EF" w:rsidRPr="009F6406" w:rsidRDefault="00BA11EF">
      <w:pPr>
        <w:spacing w:before="0" w:after="200" w:line="276" w:lineRule="auto"/>
        <w:rPr>
          <w:lang w:val="en-GB"/>
        </w:rPr>
      </w:pPr>
    </w:p>
    <w:p w14:paraId="22C33D02" w14:textId="77777777" w:rsidR="0053223B" w:rsidRPr="009F6406" w:rsidRDefault="0053223B">
      <w:pPr>
        <w:spacing w:before="0" w:after="200" w:line="276" w:lineRule="auto"/>
      </w:pPr>
      <w:r w:rsidRPr="009F6406">
        <w:br w:type="page"/>
      </w:r>
    </w:p>
    <w:tbl>
      <w:tblPr>
        <w:tblW w:w="13760" w:type="dxa"/>
        <w:tblInd w:w="93" w:type="dxa"/>
        <w:tblLook w:val="04A0" w:firstRow="1" w:lastRow="0" w:firstColumn="1" w:lastColumn="0" w:noHBand="0" w:noVBand="1"/>
      </w:tblPr>
      <w:tblGrid>
        <w:gridCol w:w="789"/>
        <w:gridCol w:w="2920"/>
        <w:gridCol w:w="560"/>
        <w:gridCol w:w="567"/>
        <w:gridCol w:w="560"/>
        <w:gridCol w:w="560"/>
        <w:gridCol w:w="567"/>
        <w:gridCol w:w="560"/>
        <w:gridCol w:w="560"/>
        <w:gridCol w:w="567"/>
        <w:gridCol w:w="560"/>
        <w:gridCol w:w="560"/>
        <w:gridCol w:w="567"/>
        <w:gridCol w:w="560"/>
        <w:gridCol w:w="560"/>
        <w:gridCol w:w="567"/>
        <w:gridCol w:w="567"/>
        <w:gridCol w:w="560"/>
        <w:gridCol w:w="567"/>
        <w:gridCol w:w="567"/>
      </w:tblGrid>
      <w:tr w:rsidR="0053223B" w:rsidRPr="009F6406" w14:paraId="4B1A8392" w14:textId="77777777" w:rsidTr="0053223B">
        <w:trPr>
          <w:trHeight w:val="300"/>
        </w:trPr>
        <w:tc>
          <w:tcPr>
            <w:tcW w:w="760" w:type="dxa"/>
            <w:tcBorders>
              <w:top w:val="single" w:sz="4" w:space="0" w:color="auto"/>
              <w:left w:val="single" w:sz="4" w:space="0" w:color="auto"/>
              <w:bottom w:val="single" w:sz="4" w:space="0" w:color="auto"/>
              <w:right w:val="nil"/>
            </w:tcBorders>
            <w:shd w:val="clear" w:color="auto" w:fill="auto"/>
            <w:noWrap/>
            <w:vAlign w:val="bottom"/>
            <w:hideMark/>
          </w:tcPr>
          <w:p w14:paraId="7ED020E3" w14:textId="77777777" w:rsidR="0053223B" w:rsidRPr="009F6406" w:rsidRDefault="0053223B" w:rsidP="0053223B">
            <w:pPr>
              <w:spacing w:before="0" w:after="0"/>
              <w:rPr>
                <w:rFonts w:ascii="Calibri" w:eastAsia="Times New Roman" w:hAnsi="Calibri" w:cs="Times New Roman"/>
                <w:color w:val="000000"/>
                <w:sz w:val="22"/>
                <w:lang w:val="en-GB" w:eastAsia="zh-CN"/>
              </w:rPr>
            </w:pPr>
            <w:r w:rsidRPr="009F6406">
              <w:rPr>
                <w:rFonts w:ascii="Calibri" w:eastAsia="Times New Roman" w:hAnsi="Calibri" w:cs="Times New Roman"/>
                <w:color w:val="000000"/>
                <w:sz w:val="22"/>
                <w:lang w:val="en-GB" w:eastAsia="zh-CN"/>
              </w:rPr>
              <w:lastRenderedPageBreak/>
              <w:t> </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14:paraId="118AAC3D" w14:textId="77777777" w:rsidR="0053223B" w:rsidRPr="009F6406" w:rsidRDefault="0053223B" w:rsidP="0053223B">
            <w:pPr>
              <w:spacing w:before="0" w:after="0"/>
              <w:rPr>
                <w:rFonts w:ascii="Calibri" w:eastAsia="Times New Roman" w:hAnsi="Calibri" w:cs="Times New Roman"/>
                <w:color w:val="000000"/>
                <w:sz w:val="16"/>
                <w:szCs w:val="16"/>
                <w:lang w:val="en-GB" w:eastAsia="zh-CN"/>
              </w:rPr>
            </w:pPr>
            <w:r w:rsidRPr="009F6406">
              <w:rPr>
                <w:rFonts w:ascii="Calibri" w:eastAsia="Times New Roman" w:hAnsi="Calibri" w:cs="Times New Roman"/>
                <w:color w:val="000000"/>
                <w:sz w:val="16"/>
                <w:szCs w:val="16"/>
                <w:lang w:eastAsia="zh-CN"/>
              </w:rPr>
              <w:t> </w:t>
            </w:r>
          </w:p>
        </w:tc>
        <w:tc>
          <w:tcPr>
            <w:tcW w:w="3360" w:type="dxa"/>
            <w:gridSpan w:val="6"/>
            <w:tcBorders>
              <w:top w:val="single" w:sz="4" w:space="0" w:color="auto"/>
              <w:left w:val="nil"/>
              <w:bottom w:val="nil"/>
              <w:right w:val="single" w:sz="4" w:space="0" w:color="000000"/>
            </w:tcBorders>
            <w:shd w:val="clear" w:color="auto" w:fill="auto"/>
            <w:vAlign w:val="center"/>
            <w:hideMark/>
          </w:tcPr>
          <w:p w14:paraId="0FFE58BC" w14:textId="77777777" w:rsidR="0053223B" w:rsidRPr="009F6406" w:rsidRDefault="0053223B" w:rsidP="0053223B">
            <w:pPr>
              <w:spacing w:before="0" w:after="0"/>
              <w:jc w:val="center"/>
              <w:rPr>
                <w:rFonts w:ascii="Arial Bold" w:eastAsia="Times New Roman" w:hAnsi="Arial Bold" w:cs="Arial Bold"/>
                <w:b/>
                <w:bCs/>
                <w:color w:val="000000"/>
                <w:sz w:val="16"/>
                <w:szCs w:val="16"/>
                <w:lang w:val="en-GB" w:eastAsia="zh-CN"/>
              </w:rPr>
            </w:pPr>
            <w:r w:rsidRPr="009F6406">
              <w:rPr>
                <w:rFonts w:ascii="Arial Bold" w:eastAsia="Times New Roman" w:hAnsi="Arial Bold" w:cs="Arial Bold"/>
                <w:b/>
                <w:bCs/>
                <w:color w:val="000000"/>
                <w:sz w:val="16"/>
                <w:szCs w:val="16"/>
                <w:lang w:eastAsia="zh-CN"/>
              </w:rPr>
              <w:t>TERM 1</w:t>
            </w:r>
          </w:p>
        </w:tc>
        <w:tc>
          <w:tcPr>
            <w:tcW w:w="3360" w:type="dxa"/>
            <w:gridSpan w:val="6"/>
            <w:tcBorders>
              <w:top w:val="single" w:sz="4" w:space="0" w:color="auto"/>
              <w:left w:val="nil"/>
              <w:bottom w:val="nil"/>
              <w:right w:val="single" w:sz="4" w:space="0" w:color="000000"/>
            </w:tcBorders>
            <w:shd w:val="clear" w:color="auto" w:fill="auto"/>
            <w:vAlign w:val="center"/>
            <w:hideMark/>
          </w:tcPr>
          <w:p w14:paraId="2B9EDD18" w14:textId="77777777" w:rsidR="0053223B" w:rsidRPr="009F6406" w:rsidRDefault="0053223B" w:rsidP="0053223B">
            <w:pPr>
              <w:spacing w:before="0" w:after="0"/>
              <w:jc w:val="center"/>
              <w:rPr>
                <w:rFonts w:ascii="Arial Bold" w:eastAsia="Times New Roman" w:hAnsi="Arial Bold" w:cs="Arial Bold"/>
                <w:b/>
                <w:bCs/>
                <w:color w:val="000000"/>
                <w:sz w:val="16"/>
                <w:szCs w:val="16"/>
                <w:lang w:val="en-GB" w:eastAsia="zh-CN"/>
              </w:rPr>
            </w:pPr>
            <w:r w:rsidRPr="009F6406">
              <w:rPr>
                <w:rFonts w:ascii="Arial Bold" w:eastAsia="Times New Roman" w:hAnsi="Arial Bold" w:cs="Arial Bold"/>
                <w:b/>
                <w:bCs/>
                <w:color w:val="000000"/>
                <w:sz w:val="16"/>
                <w:szCs w:val="16"/>
                <w:lang w:eastAsia="zh-CN"/>
              </w:rPr>
              <w:t>TERM 2</w:t>
            </w:r>
          </w:p>
        </w:tc>
        <w:tc>
          <w:tcPr>
            <w:tcW w:w="3360" w:type="dxa"/>
            <w:gridSpan w:val="6"/>
            <w:tcBorders>
              <w:top w:val="single" w:sz="4" w:space="0" w:color="auto"/>
              <w:left w:val="nil"/>
              <w:bottom w:val="nil"/>
              <w:right w:val="single" w:sz="4" w:space="0" w:color="000000"/>
            </w:tcBorders>
            <w:shd w:val="clear" w:color="auto" w:fill="auto"/>
            <w:vAlign w:val="center"/>
            <w:hideMark/>
          </w:tcPr>
          <w:p w14:paraId="0894AF6C" w14:textId="77777777" w:rsidR="0053223B" w:rsidRPr="009F6406" w:rsidRDefault="0053223B" w:rsidP="0053223B">
            <w:pPr>
              <w:spacing w:before="0" w:after="0"/>
              <w:jc w:val="center"/>
              <w:rPr>
                <w:rFonts w:ascii="Arial Bold" w:eastAsia="Times New Roman" w:hAnsi="Arial Bold" w:cs="Arial Bold"/>
                <w:b/>
                <w:bCs/>
                <w:color w:val="000000"/>
                <w:sz w:val="16"/>
                <w:szCs w:val="16"/>
                <w:lang w:val="en-GB" w:eastAsia="zh-CN"/>
              </w:rPr>
            </w:pPr>
            <w:r w:rsidRPr="009F6406">
              <w:rPr>
                <w:rFonts w:ascii="Arial Bold" w:eastAsia="Times New Roman" w:hAnsi="Arial Bold" w:cs="Arial Bold"/>
                <w:b/>
                <w:bCs/>
                <w:color w:val="000000"/>
                <w:sz w:val="16"/>
                <w:szCs w:val="16"/>
                <w:lang w:eastAsia="zh-CN"/>
              </w:rPr>
              <w:t>TERM 2</w:t>
            </w:r>
          </w:p>
        </w:tc>
      </w:tr>
      <w:tr w:rsidR="0053223B" w:rsidRPr="009F6406" w14:paraId="15879F01"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533660DD" w14:textId="77777777" w:rsidR="0053223B" w:rsidRPr="009F6406" w:rsidRDefault="0053223B" w:rsidP="0053223B">
            <w:pPr>
              <w:spacing w:before="0" w:after="0"/>
              <w:rPr>
                <w:rFonts w:ascii="Calibri" w:eastAsia="Times New Roman" w:hAnsi="Calibri" w:cs="Times New Roman"/>
                <w:color w:val="000000"/>
                <w:sz w:val="22"/>
                <w:lang w:val="en-GB" w:eastAsia="zh-CN"/>
              </w:rPr>
            </w:pPr>
            <w:r w:rsidRPr="009F6406">
              <w:rPr>
                <w:rFonts w:ascii="Calibri" w:eastAsia="Times New Roman" w:hAnsi="Calibri" w:cs="Times New Roman"/>
                <w:color w:val="000000"/>
                <w:sz w:val="22"/>
                <w:lang w:val="en-GB" w:eastAsia="zh-CN"/>
              </w:rPr>
              <w:t> </w:t>
            </w:r>
          </w:p>
        </w:tc>
        <w:tc>
          <w:tcPr>
            <w:tcW w:w="2920" w:type="dxa"/>
            <w:tcBorders>
              <w:top w:val="nil"/>
              <w:left w:val="nil"/>
              <w:bottom w:val="nil"/>
              <w:right w:val="single" w:sz="4" w:space="0" w:color="auto"/>
            </w:tcBorders>
            <w:shd w:val="clear" w:color="auto" w:fill="auto"/>
            <w:noWrap/>
            <w:vAlign w:val="center"/>
            <w:hideMark/>
          </w:tcPr>
          <w:p w14:paraId="682EDC8B" w14:textId="77777777" w:rsidR="0053223B" w:rsidRPr="009F6406" w:rsidRDefault="0053223B" w:rsidP="0053223B">
            <w:pPr>
              <w:spacing w:before="0" w:after="0"/>
              <w:rPr>
                <w:rFonts w:ascii="Calibri" w:eastAsia="Times New Roman" w:hAnsi="Calibri" w:cs="Times New Roman"/>
                <w:color w:val="000000"/>
                <w:sz w:val="16"/>
                <w:szCs w:val="16"/>
                <w:lang w:val="en-GB" w:eastAsia="zh-CN"/>
              </w:rPr>
            </w:pPr>
            <w:r w:rsidRPr="009F6406">
              <w:rPr>
                <w:rFonts w:ascii="Calibri" w:eastAsia="Times New Roman" w:hAnsi="Calibri" w:cs="Times New Roman"/>
                <w:color w:val="000000"/>
                <w:sz w:val="16"/>
                <w:szCs w:val="16"/>
                <w:lang w:eastAsia="zh-CN"/>
              </w:rPr>
              <w:t> </w:t>
            </w:r>
          </w:p>
        </w:tc>
        <w:tc>
          <w:tcPr>
            <w:tcW w:w="1680" w:type="dxa"/>
            <w:gridSpan w:val="3"/>
            <w:tcBorders>
              <w:top w:val="single" w:sz="4" w:space="0" w:color="auto"/>
              <w:left w:val="nil"/>
              <w:bottom w:val="nil"/>
              <w:right w:val="single" w:sz="4" w:space="0" w:color="000000"/>
            </w:tcBorders>
            <w:shd w:val="clear" w:color="auto" w:fill="auto"/>
            <w:vAlign w:val="center"/>
            <w:hideMark/>
          </w:tcPr>
          <w:p w14:paraId="68CFADAA" w14:textId="77777777" w:rsidR="0053223B" w:rsidRPr="009F6406" w:rsidRDefault="0053223B" w:rsidP="0053223B">
            <w:pPr>
              <w:spacing w:before="0" w:after="0"/>
              <w:jc w:val="center"/>
              <w:rPr>
                <w:rFonts w:ascii="Arial Bold" w:eastAsia="Times New Roman" w:hAnsi="Arial Bold" w:cs="Arial Bold"/>
                <w:b/>
                <w:bCs/>
                <w:color w:val="000000"/>
                <w:sz w:val="16"/>
                <w:szCs w:val="16"/>
                <w:lang w:val="en-GB" w:eastAsia="zh-CN"/>
              </w:rPr>
            </w:pPr>
            <w:r w:rsidRPr="009F6406">
              <w:rPr>
                <w:rFonts w:ascii="Arial Bold" w:eastAsia="Times New Roman" w:hAnsi="Arial Bold" w:cs="Arial Bold"/>
                <w:b/>
                <w:bCs/>
                <w:color w:val="000000"/>
                <w:sz w:val="16"/>
                <w:szCs w:val="16"/>
                <w:lang w:eastAsia="zh-CN"/>
              </w:rPr>
              <w:t>Experimental</w:t>
            </w:r>
          </w:p>
        </w:tc>
        <w:tc>
          <w:tcPr>
            <w:tcW w:w="1680" w:type="dxa"/>
            <w:gridSpan w:val="3"/>
            <w:tcBorders>
              <w:top w:val="single" w:sz="4" w:space="0" w:color="auto"/>
              <w:left w:val="nil"/>
              <w:bottom w:val="nil"/>
              <w:right w:val="single" w:sz="4" w:space="0" w:color="000000"/>
            </w:tcBorders>
            <w:shd w:val="clear" w:color="auto" w:fill="auto"/>
            <w:vAlign w:val="center"/>
            <w:hideMark/>
          </w:tcPr>
          <w:p w14:paraId="0246458D" w14:textId="77777777" w:rsidR="0053223B" w:rsidRPr="009F6406" w:rsidRDefault="0053223B" w:rsidP="0053223B">
            <w:pPr>
              <w:spacing w:before="0" w:after="0"/>
              <w:jc w:val="center"/>
              <w:rPr>
                <w:rFonts w:ascii="Arial Bold" w:eastAsia="Times New Roman" w:hAnsi="Arial Bold" w:cs="Arial Bold"/>
                <w:b/>
                <w:bCs/>
                <w:color w:val="000000"/>
                <w:sz w:val="16"/>
                <w:szCs w:val="16"/>
                <w:lang w:val="en-GB" w:eastAsia="zh-CN"/>
              </w:rPr>
            </w:pPr>
            <w:r w:rsidRPr="009F6406">
              <w:rPr>
                <w:rFonts w:ascii="Arial Bold" w:eastAsia="Times New Roman" w:hAnsi="Arial Bold" w:cs="Arial Bold"/>
                <w:b/>
                <w:bCs/>
                <w:color w:val="000000"/>
                <w:sz w:val="16"/>
                <w:szCs w:val="16"/>
                <w:lang w:eastAsia="zh-CN"/>
              </w:rPr>
              <w:t xml:space="preserve">Delayed treatment </w:t>
            </w:r>
          </w:p>
        </w:tc>
        <w:tc>
          <w:tcPr>
            <w:tcW w:w="1680" w:type="dxa"/>
            <w:gridSpan w:val="3"/>
            <w:tcBorders>
              <w:top w:val="single" w:sz="4" w:space="0" w:color="auto"/>
              <w:left w:val="nil"/>
              <w:bottom w:val="nil"/>
              <w:right w:val="single" w:sz="4" w:space="0" w:color="000000"/>
            </w:tcBorders>
            <w:shd w:val="clear" w:color="auto" w:fill="auto"/>
            <w:vAlign w:val="center"/>
            <w:hideMark/>
          </w:tcPr>
          <w:p w14:paraId="5CE6F030" w14:textId="77777777" w:rsidR="0053223B" w:rsidRPr="009F6406" w:rsidRDefault="0053223B" w:rsidP="0053223B">
            <w:pPr>
              <w:spacing w:before="0" w:after="0"/>
              <w:jc w:val="center"/>
              <w:rPr>
                <w:rFonts w:ascii="Arial Bold" w:eastAsia="Times New Roman" w:hAnsi="Arial Bold" w:cs="Arial Bold"/>
                <w:b/>
                <w:bCs/>
                <w:color w:val="000000"/>
                <w:sz w:val="16"/>
                <w:szCs w:val="16"/>
                <w:lang w:val="en-GB" w:eastAsia="zh-CN"/>
              </w:rPr>
            </w:pPr>
            <w:r w:rsidRPr="009F6406">
              <w:rPr>
                <w:rFonts w:ascii="Arial Bold" w:eastAsia="Times New Roman" w:hAnsi="Arial Bold" w:cs="Arial Bold"/>
                <w:b/>
                <w:bCs/>
                <w:color w:val="000000"/>
                <w:sz w:val="16"/>
                <w:szCs w:val="16"/>
                <w:lang w:eastAsia="zh-CN"/>
              </w:rPr>
              <w:t>Experimental</w:t>
            </w:r>
          </w:p>
        </w:tc>
        <w:tc>
          <w:tcPr>
            <w:tcW w:w="1680" w:type="dxa"/>
            <w:gridSpan w:val="3"/>
            <w:tcBorders>
              <w:top w:val="single" w:sz="4" w:space="0" w:color="auto"/>
              <w:left w:val="nil"/>
              <w:bottom w:val="nil"/>
              <w:right w:val="single" w:sz="4" w:space="0" w:color="000000"/>
            </w:tcBorders>
            <w:shd w:val="clear" w:color="auto" w:fill="auto"/>
            <w:vAlign w:val="center"/>
            <w:hideMark/>
          </w:tcPr>
          <w:p w14:paraId="22994399" w14:textId="77777777" w:rsidR="0053223B" w:rsidRPr="009F6406" w:rsidRDefault="0053223B" w:rsidP="0053223B">
            <w:pPr>
              <w:spacing w:before="0" w:after="0"/>
              <w:jc w:val="center"/>
              <w:rPr>
                <w:rFonts w:ascii="Arial Bold" w:eastAsia="Times New Roman" w:hAnsi="Arial Bold" w:cs="Arial Bold"/>
                <w:b/>
                <w:bCs/>
                <w:color w:val="000000"/>
                <w:sz w:val="16"/>
                <w:szCs w:val="16"/>
                <w:lang w:val="en-GB" w:eastAsia="zh-CN"/>
              </w:rPr>
            </w:pPr>
            <w:r w:rsidRPr="009F6406">
              <w:rPr>
                <w:rFonts w:ascii="Arial Bold" w:eastAsia="Times New Roman" w:hAnsi="Arial Bold" w:cs="Arial Bold"/>
                <w:b/>
                <w:bCs/>
                <w:color w:val="000000"/>
                <w:sz w:val="16"/>
                <w:szCs w:val="16"/>
                <w:lang w:eastAsia="zh-CN"/>
              </w:rPr>
              <w:t xml:space="preserve">Delayed treatment </w:t>
            </w:r>
          </w:p>
        </w:tc>
        <w:tc>
          <w:tcPr>
            <w:tcW w:w="1680" w:type="dxa"/>
            <w:gridSpan w:val="3"/>
            <w:tcBorders>
              <w:top w:val="single" w:sz="4" w:space="0" w:color="auto"/>
              <w:left w:val="nil"/>
              <w:bottom w:val="nil"/>
              <w:right w:val="single" w:sz="4" w:space="0" w:color="000000"/>
            </w:tcBorders>
            <w:shd w:val="clear" w:color="auto" w:fill="auto"/>
            <w:vAlign w:val="center"/>
            <w:hideMark/>
          </w:tcPr>
          <w:p w14:paraId="6CC30D1C" w14:textId="77777777" w:rsidR="0053223B" w:rsidRPr="009F6406" w:rsidRDefault="0053223B" w:rsidP="0053223B">
            <w:pPr>
              <w:spacing w:before="0" w:after="0"/>
              <w:jc w:val="center"/>
              <w:rPr>
                <w:rFonts w:ascii="Arial Bold" w:eastAsia="Times New Roman" w:hAnsi="Arial Bold" w:cs="Arial Bold"/>
                <w:b/>
                <w:bCs/>
                <w:color w:val="000000"/>
                <w:sz w:val="16"/>
                <w:szCs w:val="16"/>
                <w:lang w:val="en-GB" w:eastAsia="zh-CN"/>
              </w:rPr>
            </w:pPr>
            <w:r w:rsidRPr="009F6406">
              <w:rPr>
                <w:rFonts w:ascii="Arial Bold" w:eastAsia="Times New Roman" w:hAnsi="Arial Bold" w:cs="Arial Bold"/>
                <w:b/>
                <w:bCs/>
                <w:color w:val="000000"/>
                <w:sz w:val="16"/>
                <w:szCs w:val="16"/>
                <w:lang w:eastAsia="zh-CN"/>
              </w:rPr>
              <w:t>Experimental</w:t>
            </w:r>
          </w:p>
        </w:tc>
        <w:tc>
          <w:tcPr>
            <w:tcW w:w="1680" w:type="dxa"/>
            <w:gridSpan w:val="3"/>
            <w:tcBorders>
              <w:top w:val="single" w:sz="4" w:space="0" w:color="auto"/>
              <w:left w:val="nil"/>
              <w:bottom w:val="nil"/>
              <w:right w:val="single" w:sz="4" w:space="0" w:color="000000"/>
            </w:tcBorders>
            <w:shd w:val="clear" w:color="auto" w:fill="auto"/>
            <w:vAlign w:val="center"/>
            <w:hideMark/>
          </w:tcPr>
          <w:p w14:paraId="11DAE4C9" w14:textId="77777777" w:rsidR="0053223B" w:rsidRPr="009F6406" w:rsidRDefault="0053223B" w:rsidP="0053223B">
            <w:pPr>
              <w:spacing w:before="0" w:after="0"/>
              <w:jc w:val="center"/>
              <w:rPr>
                <w:rFonts w:ascii="Arial Bold" w:eastAsia="Times New Roman" w:hAnsi="Arial Bold" w:cs="Arial Bold"/>
                <w:b/>
                <w:bCs/>
                <w:color w:val="000000"/>
                <w:sz w:val="16"/>
                <w:szCs w:val="16"/>
                <w:lang w:val="en-GB" w:eastAsia="zh-CN"/>
              </w:rPr>
            </w:pPr>
            <w:r w:rsidRPr="009F6406">
              <w:rPr>
                <w:rFonts w:ascii="Arial Bold" w:eastAsia="Times New Roman" w:hAnsi="Arial Bold" w:cs="Arial Bold"/>
                <w:b/>
                <w:bCs/>
                <w:color w:val="000000"/>
                <w:sz w:val="16"/>
                <w:szCs w:val="16"/>
                <w:lang w:eastAsia="zh-CN"/>
              </w:rPr>
              <w:t xml:space="preserve">Delayed treatment </w:t>
            </w:r>
          </w:p>
        </w:tc>
      </w:tr>
      <w:tr w:rsidR="0053223B" w:rsidRPr="009F6406" w14:paraId="7C4EB2A0" w14:textId="77777777" w:rsidTr="003E2E5A">
        <w:trPr>
          <w:trHeight w:val="368"/>
        </w:trPr>
        <w:tc>
          <w:tcPr>
            <w:tcW w:w="760" w:type="dxa"/>
            <w:tcBorders>
              <w:top w:val="nil"/>
              <w:left w:val="single" w:sz="4" w:space="0" w:color="auto"/>
              <w:bottom w:val="single" w:sz="4" w:space="0" w:color="auto"/>
              <w:right w:val="nil"/>
            </w:tcBorders>
            <w:shd w:val="clear" w:color="auto" w:fill="auto"/>
            <w:noWrap/>
            <w:vAlign w:val="bottom"/>
            <w:hideMark/>
          </w:tcPr>
          <w:p w14:paraId="0EEBB4BF" w14:textId="77777777" w:rsidR="0053223B" w:rsidRPr="009F6406" w:rsidRDefault="0053223B" w:rsidP="0053223B">
            <w:pPr>
              <w:spacing w:before="0" w:after="0"/>
              <w:rPr>
                <w:rFonts w:ascii="Calibri" w:eastAsia="Times New Roman" w:hAnsi="Calibri" w:cs="Times New Roman"/>
                <w:color w:val="000000"/>
                <w:sz w:val="22"/>
                <w:lang w:val="en-GB" w:eastAsia="zh-CN"/>
              </w:rPr>
            </w:pPr>
            <w:r w:rsidRPr="009F6406">
              <w:rPr>
                <w:rFonts w:ascii="Calibri" w:eastAsia="Times New Roman" w:hAnsi="Calibri" w:cs="Times New Roman"/>
                <w:color w:val="000000"/>
                <w:sz w:val="22"/>
                <w:lang w:val="en-GB" w:eastAsia="zh-CN"/>
              </w:rPr>
              <w:t> </w:t>
            </w:r>
          </w:p>
        </w:tc>
        <w:tc>
          <w:tcPr>
            <w:tcW w:w="2920" w:type="dxa"/>
            <w:tcBorders>
              <w:top w:val="nil"/>
              <w:left w:val="nil"/>
              <w:bottom w:val="single" w:sz="4" w:space="0" w:color="auto"/>
              <w:right w:val="single" w:sz="4" w:space="0" w:color="auto"/>
            </w:tcBorders>
            <w:shd w:val="clear" w:color="auto" w:fill="auto"/>
            <w:noWrap/>
            <w:vAlign w:val="center"/>
            <w:hideMark/>
          </w:tcPr>
          <w:p w14:paraId="0381AC87" w14:textId="77777777" w:rsidR="0053223B" w:rsidRPr="009F6406" w:rsidRDefault="0053223B" w:rsidP="0053223B">
            <w:pPr>
              <w:spacing w:before="0" w:after="0"/>
              <w:rPr>
                <w:rFonts w:ascii="Calibri" w:eastAsia="Times New Roman" w:hAnsi="Calibri" w:cs="Times New Roman"/>
                <w:b/>
                <w:bCs/>
                <w:color w:val="000000"/>
                <w:sz w:val="16"/>
                <w:szCs w:val="16"/>
                <w:lang w:val="en-GB" w:eastAsia="zh-CN"/>
              </w:rPr>
            </w:pPr>
            <w:r w:rsidRPr="009F6406">
              <w:rPr>
                <w:rFonts w:ascii="Calibri" w:eastAsia="Times New Roman" w:hAnsi="Calibri" w:cs="Times New Roman"/>
                <w:b/>
                <w:bCs/>
                <w:color w:val="000000"/>
                <w:sz w:val="16"/>
                <w:szCs w:val="16"/>
                <w:lang w:eastAsia="zh-CN"/>
              </w:rPr>
              <w:t>Domain</w:t>
            </w:r>
          </w:p>
        </w:tc>
        <w:tc>
          <w:tcPr>
            <w:tcW w:w="560" w:type="dxa"/>
            <w:tcBorders>
              <w:top w:val="nil"/>
              <w:left w:val="nil"/>
              <w:bottom w:val="nil"/>
              <w:right w:val="nil"/>
            </w:tcBorders>
            <w:shd w:val="clear" w:color="auto" w:fill="auto"/>
            <w:vAlign w:val="bottom"/>
            <w:hideMark/>
          </w:tcPr>
          <w:p w14:paraId="20C45FCE" w14:textId="77777777" w:rsidR="0053223B" w:rsidRPr="009F6406" w:rsidRDefault="0053223B" w:rsidP="00A45450">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N</w:t>
            </w:r>
          </w:p>
        </w:tc>
        <w:tc>
          <w:tcPr>
            <w:tcW w:w="560" w:type="dxa"/>
            <w:tcBorders>
              <w:top w:val="nil"/>
              <w:left w:val="nil"/>
              <w:bottom w:val="nil"/>
              <w:right w:val="nil"/>
            </w:tcBorders>
            <w:shd w:val="clear" w:color="auto" w:fill="auto"/>
            <w:vAlign w:val="bottom"/>
            <w:hideMark/>
          </w:tcPr>
          <w:p w14:paraId="289C347C" w14:textId="77777777" w:rsidR="0053223B" w:rsidRPr="009F6406" w:rsidRDefault="0053223B" w:rsidP="004E5449">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M</w:t>
            </w:r>
          </w:p>
        </w:tc>
        <w:tc>
          <w:tcPr>
            <w:tcW w:w="560" w:type="dxa"/>
            <w:tcBorders>
              <w:top w:val="nil"/>
              <w:left w:val="nil"/>
              <w:bottom w:val="nil"/>
              <w:right w:val="single" w:sz="4" w:space="0" w:color="auto"/>
            </w:tcBorders>
            <w:shd w:val="clear" w:color="auto" w:fill="auto"/>
            <w:vAlign w:val="bottom"/>
            <w:hideMark/>
          </w:tcPr>
          <w:p w14:paraId="0B9639F0" w14:textId="77777777" w:rsidR="0053223B" w:rsidRPr="009F6406" w:rsidRDefault="0053223B" w:rsidP="004E5449">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SD</w:t>
            </w:r>
          </w:p>
        </w:tc>
        <w:tc>
          <w:tcPr>
            <w:tcW w:w="560" w:type="dxa"/>
            <w:tcBorders>
              <w:top w:val="nil"/>
              <w:left w:val="nil"/>
              <w:bottom w:val="nil"/>
              <w:right w:val="nil"/>
            </w:tcBorders>
            <w:shd w:val="clear" w:color="auto" w:fill="auto"/>
            <w:vAlign w:val="bottom"/>
            <w:hideMark/>
          </w:tcPr>
          <w:p w14:paraId="1D396B34" w14:textId="77777777" w:rsidR="0053223B" w:rsidRPr="009F6406" w:rsidRDefault="0053223B" w:rsidP="004E5449">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N</w:t>
            </w:r>
          </w:p>
        </w:tc>
        <w:tc>
          <w:tcPr>
            <w:tcW w:w="560" w:type="dxa"/>
            <w:tcBorders>
              <w:top w:val="nil"/>
              <w:left w:val="nil"/>
              <w:bottom w:val="nil"/>
              <w:right w:val="nil"/>
            </w:tcBorders>
            <w:shd w:val="clear" w:color="auto" w:fill="auto"/>
            <w:vAlign w:val="bottom"/>
            <w:hideMark/>
          </w:tcPr>
          <w:p w14:paraId="3ED27A84" w14:textId="77777777" w:rsidR="0053223B" w:rsidRPr="009F6406" w:rsidRDefault="0053223B" w:rsidP="004E5449">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M</w:t>
            </w:r>
          </w:p>
        </w:tc>
        <w:tc>
          <w:tcPr>
            <w:tcW w:w="560" w:type="dxa"/>
            <w:tcBorders>
              <w:top w:val="nil"/>
              <w:left w:val="nil"/>
              <w:bottom w:val="nil"/>
              <w:right w:val="single" w:sz="4" w:space="0" w:color="auto"/>
            </w:tcBorders>
            <w:shd w:val="clear" w:color="auto" w:fill="auto"/>
            <w:vAlign w:val="bottom"/>
            <w:hideMark/>
          </w:tcPr>
          <w:p w14:paraId="2BB2DE84" w14:textId="77777777" w:rsidR="0053223B" w:rsidRPr="009F6406" w:rsidRDefault="0053223B" w:rsidP="004E5449">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SD</w:t>
            </w:r>
          </w:p>
        </w:tc>
        <w:tc>
          <w:tcPr>
            <w:tcW w:w="560" w:type="dxa"/>
            <w:tcBorders>
              <w:top w:val="nil"/>
              <w:left w:val="nil"/>
              <w:bottom w:val="nil"/>
              <w:right w:val="nil"/>
            </w:tcBorders>
            <w:shd w:val="clear" w:color="auto" w:fill="auto"/>
            <w:vAlign w:val="bottom"/>
            <w:hideMark/>
          </w:tcPr>
          <w:p w14:paraId="080F2926" w14:textId="77777777" w:rsidR="0053223B" w:rsidRPr="009F6406" w:rsidRDefault="0053223B" w:rsidP="004E5449">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N</w:t>
            </w:r>
          </w:p>
        </w:tc>
        <w:tc>
          <w:tcPr>
            <w:tcW w:w="560" w:type="dxa"/>
            <w:tcBorders>
              <w:top w:val="nil"/>
              <w:left w:val="nil"/>
              <w:bottom w:val="nil"/>
              <w:right w:val="nil"/>
            </w:tcBorders>
            <w:shd w:val="clear" w:color="auto" w:fill="auto"/>
            <w:vAlign w:val="bottom"/>
            <w:hideMark/>
          </w:tcPr>
          <w:p w14:paraId="48AA5D50" w14:textId="77777777" w:rsidR="0053223B" w:rsidRPr="009F6406" w:rsidRDefault="0053223B" w:rsidP="00B731AE">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M</w:t>
            </w:r>
          </w:p>
        </w:tc>
        <w:tc>
          <w:tcPr>
            <w:tcW w:w="560" w:type="dxa"/>
            <w:tcBorders>
              <w:top w:val="nil"/>
              <w:left w:val="nil"/>
              <w:bottom w:val="nil"/>
              <w:right w:val="single" w:sz="4" w:space="0" w:color="auto"/>
            </w:tcBorders>
            <w:shd w:val="clear" w:color="auto" w:fill="auto"/>
            <w:vAlign w:val="bottom"/>
            <w:hideMark/>
          </w:tcPr>
          <w:p w14:paraId="4ACA9CFB" w14:textId="77777777" w:rsidR="0053223B" w:rsidRPr="009F6406" w:rsidRDefault="0053223B" w:rsidP="00FD2E5C">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SD</w:t>
            </w:r>
          </w:p>
        </w:tc>
        <w:tc>
          <w:tcPr>
            <w:tcW w:w="560" w:type="dxa"/>
            <w:tcBorders>
              <w:top w:val="nil"/>
              <w:left w:val="nil"/>
              <w:bottom w:val="nil"/>
              <w:right w:val="nil"/>
            </w:tcBorders>
            <w:shd w:val="clear" w:color="auto" w:fill="auto"/>
            <w:vAlign w:val="bottom"/>
            <w:hideMark/>
          </w:tcPr>
          <w:p w14:paraId="59F517A2" w14:textId="77777777" w:rsidR="0053223B" w:rsidRPr="009F6406" w:rsidRDefault="0053223B" w:rsidP="005A6664">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N</w:t>
            </w:r>
          </w:p>
        </w:tc>
        <w:tc>
          <w:tcPr>
            <w:tcW w:w="560" w:type="dxa"/>
            <w:tcBorders>
              <w:top w:val="nil"/>
              <w:left w:val="nil"/>
              <w:bottom w:val="nil"/>
              <w:right w:val="nil"/>
            </w:tcBorders>
            <w:shd w:val="clear" w:color="auto" w:fill="auto"/>
            <w:vAlign w:val="bottom"/>
            <w:hideMark/>
          </w:tcPr>
          <w:p w14:paraId="2A988283" w14:textId="77777777" w:rsidR="0053223B" w:rsidRPr="009F6406" w:rsidRDefault="0053223B" w:rsidP="005A6664">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M</w:t>
            </w:r>
          </w:p>
        </w:tc>
        <w:tc>
          <w:tcPr>
            <w:tcW w:w="560" w:type="dxa"/>
            <w:tcBorders>
              <w:top w:val="nil"/>
              <w:left w:val="nil"/>
              <w:bottom w:val="nil"/>
              <w:right w:val="single" w:sz="4" w:space="0" w:color="auto"/>
            </w:tcBorders>
            <w:shd w:val="clear" w:color="auto" w:fill="auto"/>
            <w:vAlign w:val="bottom"/>
            <w:hideMark/>
          </w:tcPr>
          <w:p w14:paraId="37D39B34" w14:textId="77777777" w:rsidR="0053223B" w:rsidRPr="009F6406" w:rsidRDefault="0053223B" w:rsidP="005A6664">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SD</w:t>
            </w:r>
          </w:p>
        </w:tc>
        <w:tc>
          <w:tcPr>
            <w:tcW w:w="560" w:type="dxa"/>
            <w:tcBorders>
              <w:top w:val="nil"/>
              <w:left w:val="nil"/>
              <w:bottom w:val="nil"/>
              <w:right w:val="nil"/>
            </w:tcBorders>
            <w:shd w:val="clear" w:color="auto" w:fill="auto"/>
            <w:vAlign w:val="bottom"/>
            <w:hideMark/>
          </w:tcPr>
          <w:p w14:paraId="4BF5FBE5" w14:textId="77777777" w:rsidR="0053223B" w:rsidRPr="009F6406" w:rsidRDefault="0053223B" w:rsidP="005A6664">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N</w:t>
            </w:r>
          </w:p>
        </w:tc>
        <w:tc>
          <w:tcPr>
            <w:tcW w:w="560" w:type="dxa"/>
            <w:tcBorders>
              <w:top w:val="nil"/>
              <w:left w:val="nil"/>
              <w:bottom w:val="nil"/>
              <w:right w:val="nil"/>
            </w:tcBorders>
            <w:shd w:val="clear" w:color="auto" w:fill="auto"/>
            <w:vAlign w:val="bottom"/>
            <w:hideMark/>
          </w:tcPr>
          <w:p w14:paraId="36CD7083" w14:textId="77777777" w:rsidR="0053223B" w:rsidRPr="009F6406" w:rsidRDefault="0053223B" w:rsidP="005A6664">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M</w:t>
            </w:r>
          </w:p>
        </w:tc>
        <w:tc>
          <w:tcPr>
            <w:tcW w:w="560" w:type="dxa"/>
            <w:tcBorders>
              <w:top w:val="nil"/>
              <w:left w:val="nil"/>
              <w:bottom w:val="nil"/>
              <w:right w:val="single" w:sz="4" w:space="0" w:color="auto"/>
            </w:tcBorders>
            <w:shd w:val="clear" w:color="auto" w:fill="auto"/>
            <w:vAlign w:val="bottom"/>
            <w:hideMark/>
          </w:tcPr>
          <w:p w14:paraId="02620FC9" w14:textId="77777777" w:rsidR="0053223B" w:rsidRPr="009F6406" w:rsidRDefault="0053223B" w:rsidP="005A6664">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SD</w:t>
            </w:r>
          </w:p>
        </w:tc>
        <w:tc>
          <w:tcPr>
            <w:tcW w:w="560" w:type="dxa"/>
            <w:tcBorders>
              <w:top w:val="nil"/>
              <w:left w:val="nil"/>
              <w:bottom w:val="nil"/>
              <w:right w:val="nil"/>
            </w:tcBorders>
            <w:shd w:val="clear" w:color="auto" w:fill="auto"/>
            <w:vAlign w:val="bottom"/>
            <w:hideMark/>
          </w:tcPr>
          <w:p w14:paraId="07043C5C" w14:textId="77777777" w:rsidR="0053223B" w:rsidRPr="009F6406" w:rsidRDefault="0053223B" w:rsidP="005A6664">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N</w:t>
            </w:r>
          </w:p>
        </w:tc>
        <w:tc>
          <w:tcPr>
            <w:tcW w:w="560" w:type="dxa"/>
            <w:tcBorders>
              <w:top w:val="nil"/>
              <w:left w:val="nil"/>
              <w:bottom w:val="nil"/>
              <w:right w:val="nil"/>
            </w:tcBorders>
            <w:shd w:val="clear" w:color="auto" w:fill="auto"/>
            <w:vAlign w:val="bottom"/>
            <w:hideMark/>
          </w:tcPr>
          <w:p w14:paraId="488C3A97" w14:textId="77777777" w:rsidR="0053223B" w:rsidRPr="009F6406" w:rsidRDefault="0053223B" w:rsidP="005A6664">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M</w:t>
            </w:r>
          </w:p>
        </w:tc>
        <w:tc>
          <w:tcPr>
            <w:tcW w:w="560" w:type="dxa"/>
            <w:tcBorders>
              <w:top w:val="nil"/>
              <w:left w:val="nil"/>
              <w:bottom w:val="nil"/>
              <w:right w:val="single" w:sz="4" w:space="0" w:color="auto"/>
            </w:tcBorders>
            <w:shd w:val="clear" w:color="auto" w:fill="auto"/>
            <w:vAlign w:val="bottom"/>
            <w:hideMark/>
          </w:tcPr>
          <w:p w14:paraId="46B080EC" w14:textId="77777777" w:rsidR="0053223B" w:rsidRPr="009F6406" w:rsidRDefault="0053223B" w:rsidP="005A6664">
            <w:pPr>
              <w:spacing w:before="0" w:after="0"/>
              <w:jc w:val="center"/>
              <w:rPr>
                <w:rFonts w:ascii="Arial" w:eastAsia="Times New Roman" w:hAnsi="Arial" w:cs="Arial"/>
                <w:color w:val="000000"/>
                <w:sz w:val="16"/>
                <w:szCs w:val="16"/>
                <w:lang w:val="en-GB" w:eastAsia="zh-CN"/>
              </w:rPr>
            </w:pPr>
            <w:r w:rsidRPr="009F6406">
              <w:rPr>
                <w:rFonts w:ascii="Arial" w:eastAsia="Times New Roman" w:hAnsi="Arial" w:cs="Arial"/>
                <w:color w:val="000000"/>
                <w:sz w:val="16"/>
                <w:szCs w:val="16"/>
                <w:lang w:eastAsia="zh-CN"/>
              </w:rPr>
              <w:t>SD</w:t>
            </w:r>
          </w:p>
        </w:tc>
      </w:tr>
      <w:tr w:rsidR="0053223B" w:rsidRPr="009F6406" w14:paraId="3089C566"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72279C9B"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QoT</w:t>
            </w:r>
          </w:p>
        </w:tc>
        <w:tc>
          <w:tcPr>
            <w:tcW w:w="2920" w:type="dxa"/>
            <w:tcBorders>
              <w:top w:val="nil"/>
              <w:left w:val="single" w:sz="4" w:space="0" w:color="auto"/>
              <w:bottom w:val="nil"/>
              <w:right w:val="nil"/>
            </w:tcBorders>
            <w:shd w:val="clear" w:color="auto" w:fill="auto"/>
            <w:noWrap/>
            <w:vAlign w:val="center"/>
            <w:hideMark/>
          </w:tcPr>
          <w:p w14:paraId="74AFE981"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Safe &amp; orderly classroom climate</w:t>
            </w:r>
          </w:p>
        </w:tc>
        <w:tc>
          <w:tcPr>
            <w:tcW w:w="560" w:type="dxa"/>
            <w:tcBorders>
              <w:top w:val="single" w:sz="4" w:space="0" w:color="auto"/>
              <w:left w:val="single" w:sz="4" w:space="0" w:color="auto"/>
              <w:bottom w:val="nil"/>
              <w:right w:val="nil"/>
            </w:tcBorders>
            <w:shd w:val="clear" w:color="auto" w:fill="auto"/>
            <w:noWrap/>
            <w:vAlign w:val="center"/>
            <w:hideMark/>
          </w:tcPr>
          <w:p w14:paraId="1B9DFC2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9</w:t>
            </w:r>
          </w:p>
        </w:tc>
        <w:tc>
          <w:tcPr>
            <w:tcW w:w="560" w:type="dxa"/>
            <w:tcBorders>
              <w:top w:val="single" w:sz="4" w:space="0" w:color="auto"/>
              <w:left w:val="nil"/>
              <w:bottom w:val="nil"/>
              <w:right w:val="nil"/>
            </w:tcBorders>
            <w:shd w:val="clear" w:color="auto" w:fill="auto"/>
            <w:noWrap/>
            <w:vAlign w:val="center"/>
            <w:hideMark/>
          </w:tcPr>
          <w:p w14:paraId="16DFAC4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13.78</w:t>
            </w:r>
          </w:p>
        </w:tc>
        <w:tc>
          <w:tcPr>
            <w:tcW w:w="560" w:type="dxa"/>
            <w:tcBorders>
              <w:top w:val="single" w:sz="4" w:space="0" w:color="auto"/>
              <w:left w:val="nil"/>
              <w:bottom w:val="nil"/>
              <w:right w:val="single" w:sz="4" w:space="0" w:color="auto"/>
            </w:tcBorders>
            <w:shd w:val="clear" w:color="auto" w:fill="auto"/>
            <w:noWrap/>
            <w:vAlign w:val="center"/>
            <w:hideMark/>
          </w:tcPr>
          <w:p w14:paraId="1DE1E60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3.42</w:t>
            </w:r>
          </w:p>
        </w:tc>
        <w:tc>
          <w:tcPr>
            <w:tcW w:w="560" w:type="dxa"/>
            <w:tcBorders>
              <w:top w:val="single" w:sz="4" w:space="0" w:color="auto"/>
              <w:left w:val="nil"/>
              <w:bottom w:val="nil"/>
              <w:right w:val="nil"/>
            </w:tcBorders>
            <w:shd w:val="clear" w:color="auto" w:fill="auto"/>
            <w:noWrap/>
            <w:vAlign w:val="center"/>
            <w:hideMark/>
          </w:tcPr>
          <w:p w14:paraId="7E42957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w:t>
            </w:r>
          </w:p>
        </w:tc>
        <w:tc>
          <w:tcPr>
            <w:tcW w:w="560" w:type="dxa"/>
            <w:tcBorders>
              <w:top w:val="single" w:sz="4" w:space="0" w:color="auto"/>
              <w:left w:val="nil"/>
              <w:bottom w:val="nil"/>
              <w:right w:val="nil"/>
            </w:tcBorders>
            <w:shd w:val="clear" w:color="auto" w:fill="auto"/>
            <w:noWrap/>
            <w:vAlign w:val="center"/>
            <w:hideMark/>
          </w:tcPr>
          <w:p w14:paraId="5B6E2C1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12.09</w:t>
            </w:r>
          </w:p>
        </w:tc>
        <w:tc>
          <w:tcPr>
            <w:tcW w:w="560" w:type="dxa"/>
            <w:tcBorders>
              <w:top w:val="single" w:sz="4" w:space="0" w:color="auto"/>
              <w:left w:val="nil"/>
              <w:bottom w:val="nil"/>
              <w:right w:val="single" w:sz="4" w:space="0" w:color="auto"/>
            </w:tcBorders>
            <w:shd w:val="clear" w:color="auto" w:fill="auto"/>
            <w:noWrap/>
            <w:vAlign w:val="center"/>
            <w:hideMark/>
          </w:tcPr>
          <w:p w14:paraId="2C9F1B7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2.64</w:t>
            </w:r>
          </w:p>
        </w:tc>
        <w:tc>
          <w:tcPr>
            <w:tcW w:w="560" w:type="dxa"/>
            <w:tcBorders>
              <w:top w:val="single" w:sz="4" w:space="0" w:color="auto"/>
              <w:left w:val="nil"/>
              <w:bottom w:val="nil"/>
              <w:right w:val="nil"/>
            </w:tcBorders>
            <w:shd w:val="clear" w:color="auto" w:fill="auto"/>
            <w:noWrap/>
            <w:vAlign w:val="center"/>
            <w:hideMark/>
          </w:tcPr>
          <w:p w14:paraId="6EEE8B2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8</w:t>
            </w:r>
          </w:p>
        </w:tc>
        <w:tc>
          <w:tcPr>
            <w:tcW w:w="560" w:type="dxa"/>
            <w:tcBorders>
              <w:top w:val="single" w:sz="4" w:space="0" w:color="auto"/>
              <w:left w:val="nil"/>
              <w:bottom w:val="nil"/>
              <w:right w:val="nil"/>
            </w:tcBorders>
            <w:shd w:val="clear" w:color="auto" w:fill="auto"/>
            <w:noWrap/>
            <w:vAlign w:val="center"/>
            <w:hideMark/>
          </w:tcPr>
          <w:p w14:paraId="505C99C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13.63</w:t>
            </w:r>
          </w:p>
        </w:tc>
        <w:tc>
          <w:tcPr>
            <w:tcW w:w="560" w:type="dxa"/>
            <w:tcBorders>
              <w:top w:val="single" w:sz="4" w:space="0" w:color="auto"/>
              <w:left w:val="nil"/>
              <w:bottom w:val="nil"/>
              <w:right w:val="single" w:sz="4" w:space="0" w:color="auto"/>
            </w:tcBorders>
            <w:shd w:val="clear" w:color="auto" w:fill="auto"/>
            <w:noWrap/>
            <w:vAlign w:val="center"/>
            <w:hideMark/>
          </w:tcPr>
          <w:p w14:paraId="0B85307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2.39</w:t>
            </w:r>
          </w:p>
        </w:tc>
        <w:tc>
          <w:tcPr>
            <w:tcW w:w="560" w:type="dxa"/>
            <w:tcBorders>
              <w:top w:val="single" w:sz="4" w:space="0" w:color="auto"/>
              <w:left w:val="nil"/>
              <w:bottom w:val="nil"/>
              <w:right w:val="nil"/>
            </w:tcBorders>
            <w:shd w:val="clear" w:color="auto" w:fill="auto"/>
            <w:noWrap/>
            <w:vAlign w:val="center"/>
            <w:hideMark/>
          </w:tcPr>
          <w:p w14:paraId="0FA0A9F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w:t>
            </w:r>
          </w:p>
        </w:tc>
        <w:tc>
          <w:tcPr>
            <w:tcW w:w="560" w:type="dxa"/>
            <w:tcBorders>
              <w:top w:val="single" w:sz="4" w:space="0" w:color="auto"/>
              <w:left w:val="nil"/>
              <w:bottom w:val="nil"/>
              <w:right w:val="nil"/>
            </w:tcBorders>
            <w:shd w:val="clear" w:color="auto" w:fill="auto"/>
            <w:noWrap/>
            <w:vAlign w:val="center"/>
            <w:hideMark/>
          </w:tcPr>
          <w:p w14:paraId="21A4F15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13.27</w:t>
            </w:r>
          </w:p>
        </w:tc>
        <w:tc>
          <w:tcPr>
            <w:tcW w:w="560" w:type="dxa"/>
            <w:tcBorders>
              <w:top w:val="single" w:sz="4" w:space="0" w:color="auto"/>
              <w:left w:val="nil"/>
              <w:bottom w:val="nil"/>
              <w:right w:val="single" w:sz="4" w:space="0" w:color="auto"/>
            </w:tcBorders>
            <w:shd w:val="clear" w:color="auto" w:fill="auto"/>
            <w:noWrap/>
            <w:vAlign w:val="center"/>
            <w:hideMark/>
          </w:tcPr>
          <w:p w14:paraId="4FCBB8E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2.80</w:t>
            </w:r>
          </w:p>
        </w:tc>
        <w:tc>
          <w:tcPr>
            <w:tcW w:w="560" w:type="dxa"/>
            <w:tcBorders>
              <w:top w:val="single" w:sz="4" w:space="0" w:color="auto"/>
              <w:left w:val="nil"/>
              <w:bottom w:val="nil"/>
              <w:right w:val="nil"/>
            </w:tcBorders>
            <w:shd w:val="clear" w:color="auto" w:fill="auto"/>
            <w:noWrap/>
            <w:vAlign w:val="center"/>
            <w:hideMark/>
          </w:tcPr>
          <w:p w14:paraId="55813A0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9</w:t>
            </w:r>
          </w:p>
        </w:tc>
        <w:tc>
          <w:tcPr>
            <w:tcW w:w="560" w:type="dxa"/>
            <w:tcBorders>
              <w:top w:val="single" w:sz="4" w:space="0" w:color="auto"/>
              <w:left w:val="nil"/>
              <w:bottom w:val="nil"/>
              <w:right w:val="nil"/>
            </w:tcBorders>
            <w:shd w:val="clear" w:color="auto" w:fill="auto"/>
            <w:noWrap/>
            <w:vAlign w:val="center"/>
            <w:hideMark/>
          </w:tcPr>
          <w:p w14:paraId="599BFCA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14.11</w:t>
            </w:r>
          </w:p>
        </w:tc>
        <w:tc>
          <w:tcPr>
            <w:tcW w:w="560" w:type="dxa"/>
            <w:tcBorders>
              <w:top w:val="single" w:sz="4" w:space="0" w:color="auto"/>
              <w:left w:val="nil"/>
              <w:bottom w:val="nil"/>
              <w:right w:val="single" w:sz="4" w:space="0" w:color="auto"/>
            </w:tcBorders>
            <w:shd w:val="clear" w:color="auto" w:fill="auto"/>
            <w:noWrap/>
            <w:vAlign w:val="center"/>
            <w:hideMark/>
          </w:tcPr>
          <w:p w14:paraId="503871E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2.42</w:t>
            </w:r>
          </w:p>
        </w:tc>
        <w:tc>
          <w:tcPr>
            <w:tcW w:w="560" w:type="dxa"/>
            <w:tcBorders>
              <w:top w:val="single" w:sz="4" w:space="0" w:color="auto"/>
              <w:left w:val="nil"/>
              <w:bottom w:val="nil"/>
              <w:right w:val="nil"/>
            </w:tcBorders>
            <w:shd w:val="clear" w:color="auto" w:fill="auto"/>
            <w:noWrap/>
            <w:vAlign w:val="center"/>
            <w:hideMark/>
          </w:tcPr>
          <w:p w14:paraId="20767F9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w:t>
            </w:r>
          </w:p>
        </w:tc>
        <w:tc>
          <w:tcPr>
            <w:tcW w:w="560" w:type="dxa"/>
            <w:tcBorders>
              <w:top w:val="single" w:sz="4" w:space="0" w:color="auto"/>
              <w:left w:val="nil"/>
              <w:bottom w:val="nil"/>
              <w:right w:val="nil"/>
            </w:tcBorders>
            <w:shd w:val="clear" w:color="auto" w:fill="auto"/>
            <w:noWrap/>
            <w:vAlign w:val="center"/>
            <w:hideMark/>
          </w:tcPr>
          <w:p w14:paraId="7D09811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14.09</w:t>
            </w:r>
          </w:p>
        </w:tc>
        <w:tc>
          <w:tcPr>
            <w:tcW w:w="560" w:type="dxa"/>
            <w:tcBorders>
              <w:top w:val="single" w:sz="4" w:space="0" w:color="auto"/>
              <w:left w:val="nil"/>
              <w:bottom w:val="nil"/>
              <w:right w:val="single" w:sz="4" w:space="0" w:color="auto"/>
            </w:tcBorders>
            <w:shd w:val="clear" w:color="auto" w:fill="auto"/>
            <w:noWrap/>
            <w:vAlign w:val="center"/>
            <w:hideMark/>
          </w:tcPr>
          <w:p w14:paraId="70A978B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2.66</w:t>
            </w:r>
          </w:p>
        </w:tc>
      </w:tr>
      <w:tr w:rsidR="0053223B" w:rsidRPr="009F6406" w14:paraId="2FFE9FF7"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3066B2B2"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6EE22BEE"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Stimulating learning climate</w:t>
            </w:r>
          </w:p>
        </w:tc>
        <w:tc>
          <w:tcPr>
            <w:tcW w:w="560" w:type="dxa"/>
            <w:tcBorders>
              <w:top w:val="nil"/>
              <w:left w:val="single" w:sz="4" w:space="0" w:color="auto"/>
              <w:bottom w:val="nil"/>
              <w:right w:val="nil"/>
            </w:tcBorders>
            <w:shd w:val="clear" w:color="auto" w:fill="auto"/>
            <w:noWrap/>
            <w:vAlign w:val="bottom"/>
            <w:hideMark/>
          </w:tcPr>
          <w:p w14:paraId="75BC3E6C"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51B3A3E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12.22</w:t>
            </w:r>
          </w:p>
        </w:tc>
        <w:tc>
          <w:tcPr>
            <w:tcW w:w="560" w:type="dxa"/>
            <w:tcBorders>
              <w:top w:val="nil"/>
              <w:left w:val="nil"/>
              <w:bottom w:val="nil"/>
              <w:right w:val="single" w:sz="4" w:space="0" w:color="auto"/>
            </w:tcBorders>
            <w:shd w:val="clear" w:color="auto" w:fill="auto"/>
            <w:noWrap/>
            <w:vAlign w:val="center"/>
            <w:hideMark/>
          </w:tcPr>
          <w:p w14:paraId="73A3B9B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2.04</w:t>
            </w:r>
          </w:p>
        </w:tc>
        <w:tc>
          <w:tcPr>
            <w:tcW w:w="560" w:type="dxa"/>
            <w:tcBorders>
              <w:top w:val="nil"/>
              <w:left w:val="nil"/>
              <w:bottom w:val="nil"/>
              <w:right w:val="nil"/>
            </w:tcBorders>
            <w:shd w:val="clear" w:color="auto" w:fill="auto"/>
            <w:noWrap/>
            <w:vAlign w:val="bottom"/>
            <w:hideMark/>
          </w:tcPr>
          <w:p w14:paraId="6B17C74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A44613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8.82</w:t>
            </w:r>
          </w:p>
        </w:tc>
        <w:tc>
          <w:tcPr>
            <w:tcW w:w="560" w:type="dxa"/>
            <w:tcBorders>
              <w:top w:val="nil"/>
              <w:left w:val="nil"/>
              <w:bottom w:val="nil"/>
              <w:right w:val="single" w:sz="4" w:space="0" w:color="auto"/>
            </w:tcBorders>
            <w:shd w:val="clear" w:color="auto" w:fill="auto"/>
            <w:noWrap/>
            <w:vAlign w:val="center"/>
            <w:hideMark/>
          </w:tcPr>
          <w:p w14:paraId="7C52F31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2.39</w:t>
            </w:r>
          </w:p>
        </w:tc>
        <w:tc>
          <w:tcPr>
            <w:tcW w:w="560" w:type="dxa"/>
            <w:tcBorders>
              <w:top w:val="nil"/>
              <w:left w:val="nil"/>
              <w:bottom w:val="nil"/>
              <w:right w:val="nil"/>
            </w:tcBorders>
            <w:shd w:val="clear" w:color="auto" w:fill="auto"/>
            <w:noWrap/>
            <w:vAlign w:val="bottom"/>
            <w:hideMark/>
          </w:tcPr>
          <w:p w14:paraId="1543BCD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62AFC8D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12.38</w:t>
            </w:r>
          </w:p>
        </w:tc>
        <w:tc>
          <w:tcPr>
            <w:tcW w:w="560" w:type="dxa"/>
            <w:tcBorders>
              <w:top w:val="nil"/>
              <w:left w:val="nil"/>
              <w:bottom w:val="nil"/>
              <w:right w:val="single" w:sz="4" w:space="0" w:color="auto"/>
            </w:tcBorders>
            <w:shd w:val="clear" w:color="auto" w:fill="auto"/>
            <w:noWrap/>
            <w:vAlign w:val="center"/>
            <w:hideMark/>
          </w:tcPr>
          <w:p w14:paraId="0CB89FF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1.85</w:t>
            </w:r>
          </w:p>
        </w:tc>
        <w:tc>
          <w:tcPr>
            <w:tcW w:w="560" w:type="dxa"/>
            <w:tcBorders>
              <w:top w:val="nil"/>
              <w:left w:val="nil"/>
              <w:bottom w:val="nil"/>
              <w:right w:val="nil"/>
            </w:tcBorders>
            <w:shd w:val="clear" w:color="auto" w:fill="auto"/>
            <w:noWrap/>
            <w:vAlign w:val="bottom"/>
            <w:hideMark/>
          </w:tcPr>
          <w:p w14:paraId="21DCD777"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042ADD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11.00</w:t>
            </w:r>
          </w:p>
        </w:tc>
        <w:tc>
          <w:tcPr>
            <w:tcW w:w="560" w:type="dxa"/>
            <w:tcBorders>
              <w:top w:val="nil"/>
              <w:left w:val="nil"/>
              <w:bottom w:val="nil"/>
              <w:right w:val="single" w:sz="4" w:space="0" w:color="auto"/>
            </w:tcBorders>
            <w:shd w:val="clear" w:color="auto" w:fill="auto"/>
            <w:noWrap/>
            <w:vAlign w:val="center"/>
            <w:hideMark/>
          </w:tcPr>
          <w:p w14:paraId="091336F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1.67</w:t>
            </w:r>
          </w:p>
        </w:tc>
        <w:tc>
          <w:tcPr>
            <w:tcW w:w="560" w:type="dxa"/>
            <w:tcBorders>
              <w:top w:val="nil"/>
              <w:left w:val="nil"/>
              <w:bottom w:val="nil"/>
              <w:right w:val="nil"/>
            </w:tcBorders>
            <w:shd w:val="clear" w:color="auto" w:fill="auto"/>
            <w:noWrap/>
            <w:vAlign w:val="bottom"/>
            <w:hideMark/>
          </w:tcPr>
          <w:p w14:paraId="41308E3A"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ECD218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13.22</w:t>
            </w:r>
          </w:p>
        </w:tc>
        <w:tc>
          <w:tcPr>
            <w:tcW w:w="560" w:type="dxa"/>
            <w:tcBorders>
              <w:top w:val="nil"/>
              <w:left w:val="nil"/>
              <w:bottom w:val="nil"/>
              <w:right w:val="single" w:sz="4" w:space="0" w:color="auto"/>
            </w:tcBorders>
            <w:shd w:val="clear" w:color="auto" w:fill="auto"/>
            <w:noWrap/>
            <w:vAlign w:val="center"/>
            <w:hideMark/>
          </w:tcPr>
          <w:p w14:paraId="1E8B5B4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2.86</w:t>
            </w:r>
          </w:p>
        </w:tc>
        <w:tc>
          <w:tcPr>
            <w:tcW w:w="560" w:type="dxa"/>
            <w:tcBorders>
              <w:top w:val="nil"/>
              <w:left w:val="nil"/>
              <w:bottom w:val="nil"/>
              <w:right w:val="nil"/>
            </w:tcBorders>
            <w:shd w:val="clear" w:color="auto" w:fill="auto"/>
            <w:noWrap/>
            <w:vAlign w:val="bottom"/>
            <w:hideMark/>
          </w:tcPr>
          <w:p w14:paraId="6339B7F0"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85269C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11.73</w:t>
            </w:r>
          </w:p>
        </w:tc>
        <w:tc>
          <w:tcPr>
            <w:tcW w:w="560" w:type="dxa"/>
            <w:tcBorders>
              <w:top w:val="nil"/>
              <w:left w:val="nil"/>
              <w:bottom w:val="nil"/>
              <w:right w:val="single" w:sz="4" w:space="0" w:color="auto"/>
            </w:tcBorders>
            <w:shd w:val="clear" w:color="auto" w:fill="auto"/>
            <w:noWrap/>
            <w:vAlign w:val="center"/>
            <w:hideMark/>
          </w:tcPr>
          <w:p w14:paraId="4CB0A6D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1.62</w:t>
            </w:r>
          </w:p>
        </w:tc>
      </w:tr>
      <w:tr w:rsidR="0053223B" w:rsidRPr="009F6406" w14:paraId="1A7E9E34"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564B903C"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2BE92EE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Clear objectives</w:t>
            </w:r>
          </w:p>
        </w:tc>
        <w:tc>
          <w:tcPr>
            <w:tcW w:w="560" w:type="dxa"/>
            <w:tcBorders>
              <w:top w:val="nil"/>
              <w:left w:val="single" w:sz="4" w:space="0" w:color="auto"/>
              <w:bottom w:val="nil"/>
              <w:right w:val="nil"/>
            </w:tcBorders>
            <w:shd w:val="clear" w:color="auto" w:fill="auto"/>
            <w:noWrap/>
            <w:vAlign w:val="bottom"/>
            <w:hideMark/>
          </w:tcPr>
          <w:p w14:paraId="2BB93D5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C73223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6.67</w:t>
            </w:r>
          </w:p>
        </w:tc>
        <w:tc>
          <w:tcPr>
            <w:tcW w:w="560" w:type="dxa"/>
            <w:tcBorders>
              <w:top w:val="nil"/>
              <w:left w:val="nil"/>
              <w:bottom w:val="nil"/>
              <w:right w:val="single" w:sz="4" w:space="0" w:color="auto"/>
            </w:tcBorders>
            <w:shd w:val="clear" w:color="auto" w:fill="auto"/>
            <w:noWrap/>
            <w:vAlign w:val="center"/>
            <w:hideMark/>
          </w:tcPr>
          <w:p w14:paraId="67F5BD7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2.00</w:t>
            </w:r>
          </w:p>
        </w:tc>
        <w:tc>
          <w:tcPr>
            <w:tcW w:w="560" w:type="dxa"/>
            <w:tcBorders>
              <w:top w:val="nil"/>
              <w:left w:val="nil"/>
              <w:bottom w:val="nil"/>
              <w:right w:val="nil"/>
            </w:tcBorders>
            <w:shd w:val="clear" w:color="auto" w:fill="auto"/>
            <w:noWrap/>
            <w:vAlign w:val="bottom"/>
            <w:hideMark/>
          </w:tcPr>
          <w:p w14:paraId="5971DAA3"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FDD94B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5.27</w:t>
            </w:r>
          </w:p>
        </w:tc>
        <w:tc>
          <w:tcPr>
            <w:tcW w:w="560" w:type="dxa"/>
            <w:tcBorders>
              <w:top w:val="nil"/>
              <w:left w:val="nil"/>
              <w:bottom w:val="nil"/>
              <w:right w:val="single" w:sz="4" w:space="0" w:color="auto"/>
            </w:tcBorders>
            <w:shd w:val="clear" w:color="auto" w:fill="auto"/>
            <w:noWrap/>
            <w:vAlign w:val="center"/>
            <w:hideMark/>
          </w:tcPr>
          <w:p w14:paraId="729E900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1.22</w:t>
            </w:r>
          </w:p>
        </w:tc>
        <w:tc>
          <w:tcPr>
            <w:tcW w:w="560" w:type="dxa"/>
            <w:tcBorders>
              <w:top w:val="nil"/>
              <w:left w:val="nil"/>
              <w:bottom w:val="nil"/>
              <w:right w:val="nil"/>
            </w:tcBorders>
            <w:shd w:val="clear" w:color="auto" w:fill="auto"/>
            <w:noWrap/>
            <w:vAlign w:val="bottom"/>
            <w:hideMark/>
          </w:tcPr>
          <w:p w14:paraId="4808909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BA003A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6.00</w:t>
            </w:r>
          </w:p>
        </w:tc>
        <w:tc>
          <w:tcPr>
            <w:tcW w:w="560" w:type="dxa"/>
            <w:tcBorders>
              <w:top w:val="nil"/>
              <w:left w:val="nil"/>
              <w:bottom w:val="nil"/>
              <w:right w:val="single" w:sz="4" w:space="0" w:color="auto"/>
            </w:tcBorders>
            <w:shd w:val="clear" w:color="auto" w:fill="auto"/>
            <w:noWrap/>
            <w:vAlign w:val="center"/>
            <w:hideMark/>
          </w:tcPr>
          <w:p w14:paraId="14B87E0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1.20</w:t>
            </w:r>
          </w:p>
        </w:tc>
        <w:tc>
          <w:tcPr>
            <w:tcW w:w="560" w:type="dxa"/>
            <w:tcBorders>
              <w:top w:val="nil"/>
              <w:left w:val="nil"/>
              <w:bottom w:val="nil"/>
              <w:right w:val="nil"/>
            </w:tcBorders>
            <w:shd w:val="clear" w:color="auto" w:fill="auto"/>
            <w:noWrap/>
            <w:vAlign w:val="bottom"/>
            <w:hideMark/>
          </w:tcPr>
          <w:p w14:paraId="04C8798A"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9EB5B2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5.91</w:t>
            </w:r>
          </w:p>
        </w:tc>
        <w:tc>
          <w:tcPr>
            <w:tcW w:w="560" w:type="dxa"/>
            <w:tcBorders>
              <w:top w:val="nil"/>
              <w:left w:val="nil"/>
              <w:bottom w:val="nil"/>
              <w:right w:val="single" w:sz="4" w:space="0" w:color="auto"/>
            </w:tcBorders>
            <w:shd w:val="clear" w:color="auto" w:fill="auto"/>
            <w:noWrap/>
            <w:vAlign w:val="center"/>
            <w:hideMark/>
          </w:tcPr>
          <w:p w14:paraId="7515C87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1.30</w:t>
            </w:r>
          </w:p>
        </w:tc>
        <w:tc>
          <w:tcPr>
            <w:tcW w:w="560" w:type="dxa"/>
            <w:tcBorders>
              <w:top w:val="nil"/>
              <w:left w:val="nil"/>
              <w:bottom w:val="nil"/>
              <w:right w:val="nil"/>
            </w:tcBorders>
            <w:shd w:val="clear" w:color="auto" w:fill="auto"/>
            <w:noWrap/>
            <w:vAlign w:val="bottom"/>
            <w:hideMark/>
          </w:tcPr>
          <w:p w14:paraId="5FB7F4B0"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2F32E90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7.00</w:t>
            </w:r>
          </w:p>
        </w:tc>
        <w:tc>
          <w:tcPr>
            <w:tcW w:w="560" w:type="dxa"/>
            <w:tcBorders>
              <w:top w:val="nil"/>
              <w:left w:val="nil"/>
              <w:bottom w:val="nil"/>
              <w:right w:val="single" w:sz="4" w:space="0" w:color="auto"/>
            </w:tcBorders>
            <w:shd w:val="clear" w:color="auto" w:fill="auto"/>
            <w:noWrap/>
            <w:vAlign w:val="center"/>
            <w:hideMark/>
          </w:tcPr>
          <w:p w14:paraId="4F22199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1.00</w:t>
            </w:r>
          </w:p>
        </w:tc>
        <w:tc>
          <w:tcPr>
            <w:tcW w:w="560" w:type="dxa"/>
            <w:tcBorders>
              <w:top w:val="nil"/>
              <w:left w:val="nil"/>
              <w:bottom w:val="nil"/>
              <w:right w:val="nil"/>
            </w:tcBorders>
            <w:shd w:val="clear" w:color="auto" w:fill="auto"/>
            <w:noWrap/>
            <w:vAlign w:val="bottom"/>
            <w:hideMark/>
          </w:tcPr>
          <w:p w14:paraId="6A3BA4B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D2B06E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6.18</w:t>
            </w:r>
          </w:p>
        </w:tc>
        <w:tc>
          <w:tcPr>
            <w:tcW w:w="560" w:type="dxa"/>
            <w:tcBorders>
              <w:top w:val="nil"/>
              <w:left w:val="nil"/>
              <w:bottom w:val="nil"/>
              <w:right w:val="single" w:sz="4" w:space="0" w:color="auto"/>
            </w:tcBorders>
            <w:shd w:val="clear" w:color="auto" w:fill="auto"/>
            <w:noWrap/>
            <w:vAlign w:val="center"/>
            <w:hideMark/>
          </w:tcPr>
          <w:p w14:paraId="46B4A08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0.98</w:t>
            </w:r>
          </w:p>
        </w:tc>
      </w:tr>
      <w:tr w:rsidR="0053223B" w:rsidRPr="009F6406" w14:paraId="1A8BE03C"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0687F7DA"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293C1A33"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Clear instruction</w:t>
            </w:r>
          </w:p>
        </w:tc>
        <w:tc>
          <w:tcPr>
            <w:tcW w:w="560" w:type="dxa"/>
            <w:tcBorders>
              <w:top w:val="nil"/>
              <w:left w:val="single" w:sz="4" w:space="0" w:color="auto"/>
              <w:bottom w:val="nil"/>
              <w:right w:val="nil"/>
            </w:tcBorders>
            <w:shd w:val="clear" w:color="auto" w:fill="auto"/>
            <w:noWrap/>
            <w:vAlign w:val="bottom"/>
            <w:hideMark/>
          </w:tcPr>
          <w:p w14:paraId="01C5CC41"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C39962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10.22</w:t>
            </w:r>
          </w:p>
        </w:tc>
        <w:tc>
          <w:tcPr>
            <w:tcW w:w="560" w:type="dxa"/>
            <w:tcBorders>
              <w:top w:val="nil"/>
              <w:left w:val="nil"/>
              <w:bottom w:val="nil"/>
              <w:right w:val="single" w:sz="4" w:space="0" w:color="auto"/>
            </w:tcBorders>
            <w:shd w:val="clear" w:color="auto" w:fill="auto"/>
            <w:noWrap/>
            <w:vAlign w:val="center"/>
            <w:hideMark/>
          </w:tcPr>
          <w:p w14:paraId="68424D6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1.01</w:t>
            </w:r>
          </w:p>
        </w:tc>
        <w:tc>
          <w:tcPr>
            <w:tcW w:w="560" w:type="dxa"/>
            <w:tcBorders>
              <w:top w:val="nil"/>
              <w:left w:val="nil"/>
              <w:bottom w:val="nil"/>
              <w:right w:val="nil"/>
            </w:tcBorders>
            <w:shd w:val="clear" w:color="auto" w:fill="auto"/>
            <w:noWrap/>
            <w:vAlign w:val="bottom"/>
            <w:hideMark/>
          </w:tcPr>
          <w:p w14:paraId="529F72B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A0055E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8.27</w:t>
            </w:r>
          </w:p>
        </w:tc>
        <w:tc>
          <w:tcPr>
            <w:tcW w:w="560" w:type="dxa"/>
            <w:tcBorders>
              <w:top w:val="nil"/>
              <w:left w:val="nil"/>
              <w:bottom w:val="nil"/>
              <w:right w:val="single" w:sz="4" w:space="0" w:color="auto"/>
            </w:tcBorders>
            <w:shd w:val="clear" w:color="auto" w:fill="auto"/>
            <w:noWrap/>
            <w:vAlign w:val="center"/>
            <w:hideMark/>
          </w:tcPr>
          <w:p w14:paraId="09EB879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1.09</w:t>
            </w:r>
          </w:p>
        </w:tc>
        <w:tc>
          <w:tcPr>
            <w:tcW w:w="560" w:type="dxa"/>
            <w:tcBorders>
              <w:top w:val="nil"/>
              <w:left w:val="nil"/>
              <w:bottom w:val="nil"/>
              <w:right w:val="nil"/>
            </w:tcBorders>
            <w:shd w:val="clear" w:color="auto" w:fill="auto"/>
            <w:noWrap/>
            <w:vAlign w:val="bottom"/>
            <w:hideMark/>
          </w:tcPr>
          <w:p w14:paraId="2BBC453A"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0B8987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9.63</w:t>
            </w:r>
          </w:p>
        </w:tc>
        <w:tc>
          <w:tcPr>
            <w:tcW w:w="560" w:type="dxa"/>
            <w:tcBorders>
              <w:top w:val="nil"/>
              <w:left w:val="nil"/>
              <w:bottom w:val="nil"/>
              <w:right w:val="single" w:sz="4" w:space="0" w:color="auto"/>
            </w:tcBorders>
            <w:shd w:val="clear" w:color="auto" w:fill="auto"/>
            <w:noWrap/>
            <w:vAlign w:val="center"/>
            <w:hideMark/>
          </w:tcPr>
          <w:p w14:paraId="74BDD14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1.69</w:t>
            </w:r>
          </w:p>
        </w:tc>
        <w:tc>
          <w:tcPr>
            <w:tcW w:w="560" w:type="dxa"/>
            <w:tcBorders>
              <w:top w:val="nil"/>
              <w:left w:val="nil"/>
              <w:bottom w:val="nil"/>
              <w:right w:val="nil"/>
            </w:tcBorders>
            <w:shd w:val="clear" w:color="auto" w:fill="auto"/>
            <w:noWrap/>
            <w:vAlign w:val="bottom"/>
            <w:hideMark/>
          </w:tcPr>
          <w:p w14:paraId="3111F4D9"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8EAE5E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9.00</w:t>
            </w:r>
          </w:p>
        </w:tc>
        <w:tc>
          <w:tcPr>
            <w:tcW w:w="560" w:type="dxa"/>
            <w:tcBorders>
              <w:top w:val="nil"/>
              <w:left w:val="nil"/>
              <w:bottom w:val="nil"/>
              <w:right w:val="single" w:sz="4" w:space="0" w:color="auto"/>
            </w:tcBorders>
            <w:shd w:val="clear" w:color="auto" w:fill="auto"/>
            <w:noWrap/>
            <w:vAlign w:val="center"/>
            <w:hideMark/>
          </w:tcPr>
          <w:p w14:paraId="068283D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1.18</w:t>
            </w:r>
          </w:p>
        </w:tc>
        <w:tc>
          <w:tcPr>
            <w:tcW w:w="560" w:type="dxa"/>
            <w:tcBorders>
              <w:top w:val="nil"/>
              <w:left w:val="nil"/>
              <w:bottom w:val="nil"/>
              <w:right w:val="nil"/>
            </w:tcBorders>
            <w:shd w:val="clear" w:color="auto" w:fill="auto"/>
            <w:noWrap/>
            <w:vAlign w:val="bottom"/>
            <w:hideMark/>
          </w:tcPr>
          <w:p w14:paraId="5807CBE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E265B1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10.67</w:t>
            </w:r>
          </w:p>
        </w:tc>
        <w:tc>
          <w:tcPr>
            <w:tcW w:w="560" w:type="dxa"/>
            <w:tcBorders>
              <w:top w:val="nil"/>
              <w:left w:val="nil"/>
              <w:bottom w:val="nil"/>
              <w:right w:val="single" w:sz="4" w:space="0" w:color="auto"/>
            </w:tcBorders>
            <w:shd w:val="clear" w:color="auto" w:fill="auto"/>
            <w:noWrap/>
            <w:vAlign w:val="center"/>
            <w:hideMark/>
          </w:tcPr>
          <w:p w14:paraId="6081A36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1.73</w:t>
            </w:r>
          </w:p>
        </w:tc>
        <w:tc>
          <w:tcPr>
            <w:tcW w:w="560" w:type="dxa"/>
            <w:tcBorders>
              <w:top w:val="nil"/>
              <w:left w:val="nil"/>
              <w:bottom w:val="nil"/>
              <w:right w:val="nil"/>
            </w:tcBorders>
            <w:shd w:val="clear" w:color="auto" w:fill="auto"/>
            <w:noWrap/>
            <w:vAlign w:val="bottom"/>
            <w:hideMark/>
          </w:tcPr>
          <w:p w14:paraId="6867622A"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612DCFB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9.36</w:t>
            </w:r>
          </w:p>
        </w:tc>
        <w:tc>
          <w:tcPr>
            <w:tcW w:w="560" w:type="dxa"/>
            <w:tcBorders>
              <w:top w:val="nil"/>
              <w:left w:val="nil"/>
              <w:bottom w:val="nil"/>
              <w:right w:val="single" w:sz="4" w:space="0" w:color="auto"/>
            </w:tcBorders>
            <w:shd w:val="clear" w:color="auto" w:fill="auto"/>
            <w:noWrap/>
            <w:vAlign w:val="center"/>
            <w:hideMark/>
          </w:tcPr>
          <w:p w14:paraId="3587170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2.11</w:t>
            </w:r>
          </w:p>
        </w:tc>
      </w:tr>
      <w:tr w:rsidR="0053223B" w:rsidRPr="009F6406" w14:paraId="55E829AE"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03260C1B"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65AB250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Activating pupils</w:t>
            </w:r>
          </w:p>
        </w:tc>
        <w:tc>
          <w:tcPr>
            <w:tcW w:w="560" w:type="dxa"/>
            <w:tcBorders>
              <w:top w:val="nil"/>
              <w:left w:val="single" w:sz="4" w:space="0" w:color="auto"/>
              <w:bottom w:val="nil"/>
              <w:right w:val="nil"/>
            </w:tcBorders>
            <w:shd w:val="clear" w:color="auto" w:fill="auto"/>
            <w:noWrap/>
            <w:vAlign w:val="bottom"/>
            <w:hideMark/>
          </w:tcPr>
          <w:p w14:paraId="71B84061"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48ABAF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6.67</w:t>
            </w:r>
          </w:p>
        </w:tc>
        <w:tc>
          <w:tcPr>
            <w:tcW w:w="560" w:type="dxa"/>
            <w:tcBorders>
              <w:top w:val="nil"/>
              <w:left w:val="nil"/>
              <w:bottom w:val="nil"/>
              <w:right w:val="single" w:sz="4" w:space="0" w:color="auto"/>
            </w:tcBorders>
            <w:shd w:val="clear" w:color="auto" w:fill="auto"/>
            <w:noWrap/>
            <w:vAlign w:val="center"/>
            <w:hideMark/>
          </w:tcPr>
          <w:p w14:paraId="1933FEA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0.83</w:t>
            </w:r>
          </w:p>
        </w:tc>
        <w:tc>
          <w:tcPr>
            <w:tcW w:w="560" w:type="dxa"/>
            <w:tcBorders>
              <w:top w:val="nil"/>
              <w:left w:val="nil"/>
              <w:bottom w:val="nil"/>
              <w:right w:val="nil"/>
            </w:tcBorders>
            <w:shd w:val="clear" w:color="auto" w:fill="auto"/>
            <w:noWrap/>
            <w:vAlign w:val="bottom"/>
            <w:hideMark/>
          </w:tcPr>
          <w:p w14:paraId="7ABE4EB2"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1DDFBA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4.91</w:t>
            </w:r>
          </w:p>
        </w:tc>
        <w:tc>
          <w:tcPr>
            <w:tcW w:w="560" w:type="dxa"/>
            <w:tcBorders>
              <w:top w:val="nil"/>
              <w:left w:val="nil"/>
              <w:bottom w:val="nil"/>
              <w:right w:val="single" w:sz="4" w:space="0" w:color="auto"/>
            </w:tcBorders>
            <w:shd w:val="clear" w:color="auto" w:fill="auto"/>
            <w:noWrap/>
            <w:vAlign w:val="center"/>
            <w:hideMark/>
          </w:tcPr>
          <w:p w14:paraId="6C0CDCC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0.50</w:t>
            </w:r>
          </w:p>
        </w:tc>
        <w:tc>
          <w:tcPr>
            <w:tcW w:w="560" w:type="dxa"/>
            <w:tcBorders>
              <w:top w:val="nil"/>
              <w:left w:val="nil"/>
              <w:bottom w:val="nil"/>
              <w:right w:val="nil"/>
            </w:tcBorders>
            <w:shd w:val="clear" w:color="auto" w:fill="auto"/>
            <w:noWrap/>
            <w:vAlign w:val="bottom"/>
            <w:hideMark/>
          </w:tcPr>
          <w:p w14:paraId="447FDD9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865F04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5.13</w:t>
            </w:r>
          </w:p>
        </w:tc>
        <w:tc>
          <w:tcPr>
            <w:tcW w:w="560" w:type="dxa"/>
            <w:tcBorders>
              <w:top w:val="nil"/>
              <w:left w:val="nil"/>
              <w:bottom w:val="nil"/>
              <w:right w:val="single" w:sz="4" w:space="0" w:color="auto"/>
            </w:tcBorders>
            <w:shd w:val="clear" w:color="auto" w:fill="auto"/>
            <w:noWrap/>
            <w:vAlign w:val="center"/>
            <w:hideMark/>
          </w:tcPr>
          <w:p w14:paraId="79C0CE7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1.36</w:t>
            </w:r>
          </w:p>
        </w:tc>
        <w:tc>
          <w:tcPr>
            <w:tcW w:w="560" w:type="dxa"/>
            <w:tcBorders>
              <w:top w:val="nil"/>
              <w:left w:val="nil"/>
              <w:bottom w:val="nil"/>
              <w:right w:val="nil"/>
            </w:tcBorders>
            <w:shd w:val="clear" w:color="auto" w:fill="auto"/>
            <w:noWrap/>
            <w:vAlign w:val="bottom"/>
            <w:hideMark/>
          </w:tcPr>
          <w:p w14:paraId="74BE1EF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CB70BA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4.91</w:t>
            </w:r>
          </w:p>
        </w:tc>
        <w:tc>
          <w:tcPr>
            <w:tcW w:w="560" w:type="dxa"/>
            <w:tcBorders>
              <w:top w:val="nil"/>
              <w:left w:val="nil"/>
              <w:bottom w:val="nil"/>
              <w:right w:val="single" w:sz="4" w:space="0" w:color="auto"/>
            </w:tcBorders>
            <w:shd w:val="clear" w:color="auto" w:fill="auto"/>
            <w:noWrap/>
            <w:vAlign w:val="center"/>
            <w:hideMark/>
          </w:tcPr>
          <w:p w14:paraId="5546CD6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1.14</w:t>
            </w:r>
          </w:p>
        </w:tc>
        <w:tc>
          <w:tcPr>
            <w:tcW w:w="560" w:type="dxa"/>
            <w:tcBorders>
              <w:top w:val="nil"/>
              <w:left w:val="nil"/>
              <w:bottom w:val="nil"/>
              <w:right w:val="nil"/>
            </w:tcBorders>
            <w:shd w:val="clear" w:color="auto" w:fill="auto"/>
            <w:noWrap/>
            <w:vAlign w:val="bottom"/>
            <w:hideMark/>
          </w:tcPr>
          <w:p w14:paraId="1841AF33"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2AEAEA6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7.00</w:t>
            </w:r>
          </w:p>
        </w:tc>
        <w:tc>
          <w:tcPr>
            <w:tcW w:w="560" w:type="dxa"/>
            <w:tcBorders>
              <w:top w:val="nil"/>
              <w:left w:val="nil"/>
              <w:bottom w:val="nil"/>
              <w:right w:val="single" w:sz="4" w:space="0" w:color="auto"/>
            </w:tcBorders>
            <w:shd w:val="clear" w:color="auto" w:fill="auto"/>
            <w:noWrap/>
            <w:vAlign w:val="center"/>
            <w:hideMark/>
          </w:tcPr>
          <w:p w14:paraId="112F581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1.22</w:t>
            </w:r>
          </w:p>
        </w:tc>
        <w:tc>
          <w:tcPr>
            <w:tcW w:w="560" w:type="dxa"/>
            <w:tcBorders>
              <w:top w:val="nil"/>
              <w:left w:val="nil"/>
              <w:bottom w:val="nil"/>
              <w:right w:val="nil"/>
            </w:tcBorders>
            <w:shd w:val="clear" w:color="auto" w:fill="auto"/>
            <w:noWrap/>
            <w:vAlign w:val="bottom"/>
            <w:hideMark/>
          </w:tcPr>
          <w:p w14:paraId="60527E8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57CD18F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6.36</w:t>
            </w:r>
          </w:p>
        </w:tc>
        <w:tc>
          <w:tcPr>
            <w:tcW w:w="560" w:type="dxa"/>
            <w:tcBorders>
              <w:top w:val="nil"/>
              <w:left w:val="nil"/>
              <w:bottom w:val="nil"/>
              <w:right w:val="single" w:sz="4" w:space="0" w:color="auto"/>
            </w:tcBorders>
            <w:shd w:val="clear" w:color="auto" w:fill="auto"/>
            <w:noWrap/>
            <w:vAlign w:val="center"/>
            <w:hideMark/>
          </w:tcPr>
          <w:p w14:paraId="7244D68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1.12</w:t>
            </w:r>
          </w:p>
        </w:tc>
      </w:tr>
      <w:tr w:rsidR="0053223B" w:rsidRPr="009F6406" w14:paraId="11F6F621"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4693CA1C"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2EBD5C1B"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Adaptation of teaching</w:t>
            </w:r>
          </w:p>
        </w:tc>
        <w:tc>
          <w:tcPr>
            <w:tcW w:w="560" w:type="dxa"/>
            <w:tcBorders>
              <w:top w:val="nil"/>
              <w:left w:val="single" w:sz="4" w:space="0" w:color="auto"/>
              <w:bottom w:val="nil"/>
              <w:right w:val="nil"/>
            </w:tcBorders>
            <w:shd w:val="clear" w:color="auto" w:fill="auto"/>
            <w:noWrap/>
            <w:vAlign w:val="bottom"/>
            <w:hideMark/>
          </w:tcPr>
          <w:p w14:paraId="318339AC"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248485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3.89</w:t>
            </w:r>
          </w:p>
        </w:tc>
        <w:tc>
          <w:tcPr>
            <w:tcW w:w="560" w:type="dxa"/>
            <w:tcBorders>
              <w:top w:val="nil"/>
              <w:left w:val="nil"/>
              <w:bottom w:val="nil"/>
              <w:right w:val="single" w:sz="4" w:space="0" w:color="auto"/>
            </w:tcBorders>
            <w:shd w:val="clear" w:color="auto" w:fill="auto"/>
            <w:noWrap/>
            <w:vAlign w:val="center"/>
            <w:hideMark/>
          </w:tcPr>
          <w:p w14:paraId="7A0CD93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0.83</w:t>
            </w:r>
          </w:p>
        </w:tc>
        <w:tc>
          <w:tcPr>
            <w:tcW w:w="560" w:type="dxa"/>
            <w:tcBorders>
              <w:top w:val="nil"/>
              <w:left w:val="nil"/>
              <w:bottom w:val="nil"/>
              <w:right w:val="nil"/>
            </w:tcBorders>
            <w:shd w:val="clear" w:color="auto" w:fill="auto"/>
            <w:noWrap/>
            <w:vAlign w:val="bottom"/>
            <w:hideMark/>
          </w:tcPr>
          <w:p w14:paraId="59F542F5"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1168B2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6.09</w:t>
            </w:r>
          </w:p>
        </w:tc>
        <w:tc>
          <w:tcPr>
            <w:tcW w:w="560" w:type="dxa"/>
            <w:tcBorders>
              <w:top w:val="nil"/>
              <w:left w:val="nil"/>
              <w:bottom w:val="nil"/>
              <w:right w:val="single" w:sz="4" w:space="0" w:color="auto"/>
            </w:tcBorders>
            <w:shd w:val="clear" w:color="auto" w:fill="auto"/>
            <w:noWrap/>
            <w:vAlign w:val="center"/>
            <w:hideMark/>
          </w:tcPr>
          <w:p w14:paraId="48E4D1A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1.17</w:t>
            </w:r>
          </w:p>
        </w:tc>
        <w:tc>
          <w:tcPr>
            <w:tcW w:w="560" w:type="dxa"/>
            <w:tcBorders>
              <w:top w:val="nil"/>
              <w:left w:val="nil"/>
              <w:bottom w:val="nil"/>
              <w:right w:val="nil"/>
            </w:tcBorders>
            <w:shd w:val="clear" w:color="auto" w:fill="auto"/>
            <w:noWrap/>
            <w:vAlign w:val="bottom"/>
            <w:hideMark/>
          </w:tcPr>
          <w:p w14:paraId="0D4AB009"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54FF2A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3.63</w:t>
            </w:r>
          </w:p>
        </w:tc>
        <w:tc>
          <w:tcPr>
            <w:tcW w:w="560" w:type="dxa"/>
            <w:tcBorders>
              <w:top w:val="nil"/>
              <w:left w:val="nil"/>
              <w:bottom w:val="nil"/>
              <w:right w:val="single" w:sz="4" w:space="0" w:color="auto"/>
            </w:tcBorders>
            <w:shd w:val="clear" w:color="auto" w:fill="auto"/>
            <w:noWrap/>
            <w:vAlign w:val="center"/>
            <w:hideMark/>
          </w:tcPr>
          <w:p w14:paraId="671BEE8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0.92</w:t>
            </w:r>
          </w:p>
        </w:tc>
        <w:tc>
          <w:tcPr>
            <w:tcW w:w="560" w:type="dxa"/>
            <w:tcBorders>
              <w:top w:val="nil"/>
              <w:left w:val="nil"/>
              <w:bottom w:val="nil"/>
              <w:right w:val="nil"/>
            </w:tcBorders>
            <w:shd w:val="clear" w:color="auto" w:fill="auto"/>
            <w:noWrap/>
            <w:vAlign w:val="bottom"/>
            <w:hideMark/>
          </w:tcPr>
          <w:p w14:paraId="359A2A9A"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66117F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3.73</w:t>
            </w:r>
          </w:p>
        </w:tc>
        <w:tc>
          <w:tcPr>
            <w:tcW w:w="560" w:type="dxa"/>
            <w:tcBorders>
              <w:top w:val="nil"/>
              <w:left w:val="nil"/>
              <w:bottom w:val="nil"/>
              <w:right w:val="single" w:sz="4" w:space="0" w:color="auto"/>
            </w:tcBorders>
            <w:shd w:val="clear" w:color="auto" w:fill="auto"/>
            <w:noWrap/>
            <w:vAlign w:val="center"/>
            <w:hideMark/>
          </w:tcPr>
          <w:p w14:paraId="05E0ECD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0.90</w:t>
            </w:r>
          </w:p>
        </w:tc>
        <w:tc>
          <w:tcPr>
            <w:tcW w:w="560" w:type="dxa"/>
            <w:tcBorders>
              <w:top w:val="nil"/>
              <w:left w:val="nil"/>
              <w:bottom w:val="nil"/>
              <w:right w:val="nil"/>
            </w:tcBorders>
            <w:shd w:val="clear" w:color="auto" w:fill="auto"/>
            <w:noWrap/>
            <w:vAlign w:val="bottom"/>
            <w:hideMark/>
          </w:tcPr>
          <w:p w14:paraId="20E9ED7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947920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4.00</w:t>
            </w:r>
          </w:p>
        </w:tc>
        <w:tc>
          <w:tcPr>
            <w:tcW w:w="560" w:type="dxa"/>
            <w:tcBorders>
              <w:top w:val="nil"/>
              <w:left w:val="nil"/>
              <w:bottom w:val="nil"/>
              <w:right w:val="single" w:sz="4" w:space="0" w:color="auto"/>
            </w:tcBorders>
            <w:shd w:val="clear" w:color="auto" w:fill="auto"/>
            <w:noWrap/>
            <w:vAlign w:val="center"/>
            <w:hideMark/>
          </w:tcPr>
          <w:p w14:paraId="59BAA97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0.87</w:t>
            </w:r>
          </w:p>
        </w:tc>
        <w:tc>
          <w:tcPr>
            <w:tcW w:w="560" w:type="dxa"/>
            <w:tcBorders>
              <w:top w:val="nil"/>
              <w:left w:val="nil"/>
              <w:bottom w:val="nil"/>
              <w:right w:val="nil"/>
            </w:tcBorders>
            <w:shd w:val="clear" w:color="auto" w:fill="auto"/>
            <w:noWrap/>
            <w:vAlign w:val="bottom"/>
            <w:hideMark/>
          </w:tcPr>
          <w:p w14:paraId="6903B1D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DCA51C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4.73</w:t>
            </w:r>
          </w:p>
        </w:tc>
        <w:tc>
          <w:tcPr>
            <w:tcW w:w="560" w:type="dxa"/>
            <w:tcBorders>
              <w:top w:val="nil"/>
              <w:left w:val="nil"/>
              <w:bottom w:val="nil"/>
              <w:right w:val="single" w:sz="4" w:space="0" w:color="auto"/>
            </w:tcBorders>
            <w:shd w:val="clear" w:color="auto" w:fill="auto"/>
            <w:noWrap/>
            <w:vAlign w:val="center"/>
            <w:hideMark/>
          </w:tcPr>
          <w:p w14:paraId="65AF525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1.35</w:t>
            </w:r>
          </w:p>
        </w:tc>
      </w:tr>
      <w:tr w:rsidR="0053223B" w:rsidRPr="009F6406" w14:paraId="3C63902E"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4A4D02A4"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076B1F5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Teaching learning strategies</w:t>
            </w:r>
          </w:p>
        </w:tc>
        <w:tc>
          <w:tcPr>
            <w:tcW w:w="560" w:type="dxa"/>
            <w:tcBorders>
              <w:top w:val="nil"/>
              <w:left w:val="single" w:sz="4" w:space="0" w:color="auto"/>
              <w:bottom w:val="nil"/>
              <w:right w:val="nil"/>
            </w:tcBorders>
            <w:shd w:val="clear" w:color="auto" w:fill="auto"/>
            <w:noWrap/>
            <w:vAlign w:val="bottom"/>
            <w:hideMark/>
          </w:tcPr>
          <w:p w14:paraId="339D9383"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F30D2B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6.78</w:t>
            </w:r>
          </w:p>
        </w:tc>
        <w:tc>
          <w:tcPr>
            <w:tcW w:w="560" w:type="dxa"/>
            <w:tcBorders>
              <w:top w:val="nil"/>
              <w:left w:val="nil"/>
              <w:bottom w:val="nil"/>
              <w:right w:val="single" w:sz="4" w:space="0" w:color="auto"/>
            </w:tcBorders>
            <w:shd w:val="clear" w:color="auto" w:fill="auto"/>
            <w:noWrap/>
            <w:vAlign w:val="center"/>
            <w:hideMark/>
          </w:tcPr>
          <w:p w14:paraId="4F0FC2C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0.98</w:t>
            </w:r>
          </w:p>
        </w:tc>
        <w:tc>
          <w:tcPr>
            <w:tcW w:w="560" w:type="dxa"/>
            <w:tcBorders>
              <w:top w:val="nil"/>
              <w:left w:val="nil"/>
              <w:bottom w:val="nil"/>
              <w:right w:val="nil"/>
            </w:tcBorders>
            <w:shd w:val="clear" w:color="auto" w:fill="auto"/>
            <w:noWrap/>
            <w:vAlign w:val="bottom"/>
            <w:hideMark/>
          </w:tcPr>
          <w:p w14:paraId="2AB0AE3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5717CD2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5.82</w:t>
            </w:r>
          </w:p>
        </w:tc>
        <w:tc>
          <w:tcPr>
            <w:tcW w:w="560" w:type="dxa"/>
            <w:tcBorders>
              <w:top w:val="nil"/>
              <w:left w:val="nil"/>
              <w:bottom w:val="nil"/>
              <w:right w:val="single" w:sz="4" w:space="0" w:color="auto"/>
            </w:tcBorders>
            <w:shd w:val="clear" w:color="auto" w:fill="auto"/>
            <w:noWrap/>
            <w:vAlign w:val="center"/>
            <w:hideMark/>
          </w:tcPr>
          <w:p w14:paraId="4726C10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2.05</w:t>
            </w:r>
          </w:p>
        </w:tc>
        <w:tc>
          <w:tcPr>
            <w:tcW w:w="560" w:type="dxa"/>
            <w:tcBorders>
              <w:top w:val="nil"/>
              <w:left w:val="nil"/>
              <w:bottom w:val="nil"/>
              <w:right w:val="nil"/>
            </w:tcBorders>
            <w:shd w:val="clear" w:color="auto" w:fill="auto"/>
            <w:noWrap/>
            <w:vAlign w:val="bottom"/>
            <w:hideMark/>
          </w:tcPr>
          <w:p w14:paraId="34C77A7D"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63B2E48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7.00</w:t>
            </w:r>
          </w:p>
        </w:tc>
        <w:tc>
          <w:tcPr>
            <w:tcW w:w="560" w:type="dxa"/>
            <w:tcBorders>
              <w:top w:val="nil"/>
              <w:left w:val="nil"/>
              <w:bottom w:val="nil"/>
              <w:right w:val="single" w:sz="4" w:space="0" w:color="auto"/>
            </w:tcBorders>
            <w:shd w:val="clear" w:color="auto" w:fill="auto"/>
            <w:noWrap/>
            <w:vAlign w:val="center"/>
            <w:hideMark/>
          </w:tcPr>
          <w:p w14:paraId="60F6D89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1.07</w:t>
            </w:r>
          </w:p>
        </w:tc>
        <w:tc>
          <w:tcPr>
            <w:tcW w:w="560" w:type="dxa"/>
            <w:tcBorders>
              <w:top w:val="nil"/>
              <w:left w:val="nil"/>
              <w:bottom w:val="nil"/>
              <w:right w:val="nil"/>
            </w:tcBorders>
            <w:shd w:val="clear" w:color="auto" w:fill="auto"/>
            <w:noWrap/>
            <w:vAlign w:val="bottom"/>
            <w:hideMark/>
          </w:tcPr>
          <w:p w14:paraId="78DF7A0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05A788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6.45</w:t>
            </w:r>
          </w:p>
        </w:tc>
        <w:tc>
          <w:tcPr>
            <w:tcW w:w="560" w:type="dxa"/>
            <w:tcBorders>
              <w:top w:val="nil"/>
              <w:left w:val="nil"/>
              <w:bottom w:val="nil"/>
              <w:right w:val="single" w:sz="4" w:space="0" w:color="auto"/>
            </w:tcBorders>
            <w:shd w:val="clear" w:color="auto" w:fill="auto"/>
            <w:noWrap/>
            <w:vAlign w:val="center"/>
            <w:hideMark/>
          </w:tcPr>
          <w:p w14:paraId="19CF90A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2.07</w:t>
            </w:r>
          </w:p>
        </w:tc>
        <w:tc>
          <w:tcPr>
            <w:tcW w:w="560" w:type="dxa"/>
            <w:tcBorders>
              <w:top w:val="nil"/>
              <w:left w:val="nil"/>
              <w:bottom w:val="nil"/>
              <w:right w:val="nil"/>
            </w:tcBorders>
            <w:shd w:val="clear" w:color="auto" w:fill="auto"/>
            <w:noWrap/>
            <w:vAlign w:val="bottom"/>
            <w:hideMark/>
          </w:tcPr>
          <w:p w14:paraId="4AEDA29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98497F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8.78</w:t>
            </w:r>
          </w:p>
        </w:tc>
        <w:tc>
          <w:tcPr>
            <w:tcW w:w="560" w:type="dxa"/>
            <w:tcBorders>
              <w:top w:val="nil"/>
              <w:left w:val="nil"/>
              <w:bottom w:val="nil"/>
              <w:right w:val="single" w:sz="4" w:space="0" w:color="auto"/>
            </w:tcBorders>
            <w:shd w:val="clear" w:color="auto" w:fill="auto"/>
            <w:noWrap/>
            <w:vAlign w:val="center"/>
            <w:hideMark/>
          </w:tcPr>
          <w:p w14:paraId="0EC5946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1.79</w:t>
            </w:r>
          </w:p>
        </w:tc>
        <w:tc>
          <w:tcPr>
            <w:tcW w:w="560" w:type="dxa"/>
            <w:tcBorders>
              <w:top w:val="nil"/>
              <w:left w:val="nil"/>
              <w:bottom w:val="nil"/>
              <w:right w:val="nil"/>
            </w:tcBorders>
            <w:shd w:val="clear" w:color="auto" w:fill="auto"/>
            <w:noWrap/>
            <w:vAlign w:val="bottom"/>
            <w:hideMark/>
          </w:tcPr>
          <w:p w14:paraId="4CDBE2F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2A9E7DD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7.55</w:t>
            </w:r>
          </w:p>
        </w:tc>
        <w:tc>
          <w:tcPr>
            <w:tcW w:w="560" w:type="dxa"/>
            <w:tcBorders>
              <w:top w:val="nil"/>
              <w:left w:val="nil"/>
              <w:bottom w:val="nil"/>
              <w:right w:val="single" w:sz="4" w:space="0" w:color="auto"/>
            </w:tcBorders>
            <w:shd w:val="clear" w:color="auto" w:fill="auto"/>
            <w:noWrap/>
            <w:vAlign w:val="center"/>
            <w:hideMark/>
          </w:tcPr>
          <w:p w14:paraId="1D4D5FD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1.57</w:t>
            </w:r>
          </w:p>
        </w:tc>
      </w:tr>
      <w:tr w:rsidR="0053223B" w:rsidRPr="009F6406" w14:paraId="2937F4AA"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529F07F5"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3A011447" w14:textId="6D957770"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 xml:space="preserve">Effective classroom </w:t>
            </w:r>
            <w:r w:rsidR="00392CDF" w:rsidRPr="009F6406">
              <w:rPr>
                <w:rFonts w:ascii="Calibri" w:eastAsia="Times New Roman" w:hAnsi="Calibri" w:cs="Times New Roman"/>
                <w:color w:val="000000"/>
                <w:sz w:val="14"/>
                <w:szCs w:val="14"/>
                <w:lang w:eastAsia="zh-CN"/>
              </w:rPr>
              <w:t>organization</w:t>
            </w:r>
          </w:p>
        </w:tc>
        <w:tc>
          <w:tcPr>
            <w:tcW w:w="560" w:type="dxa"/>
            <w:tcBorders>
              <w:top w:val="nil"/>
              <w:left w:val="single" w:sz="4" w:space="0" w:color="auto"/>
              <w:bottom w:val="nil"/>
              <w:right w:val="nil"/>
            </w:tcBorders>
            <w:shd w:val="clear" w:color="auto" w:fill="auto"/>
            <w:noWrap/>
            <w:vAlign w:val="bottom"/>
            <w:hideMark/>
          </w:tcPr>
          <w:p w14:paraId="5673AC3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2EA21A8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14.89</w:t>
            </w:r>
          </w:p>
        </w:tc>
        <w:tc>
          <w:tcPr>
            <w:tcW w:w="560" w:type="dxa"/>
            <w:tcBorders>
              <w:top w:val="nil"/>
              <w:left w:val="nil"/>
              <w:bottom w:val="nil"/>
              <w:right w:val="single" w:sz="4" w:space="0" w:color="auto"/>
            </w:tcBorders>
            <w:shd w:val="clear" w:color="auto" w:fill="auto"/>
            <w:noWrap/>
            <w:vAlign w:val="center"/>
            <w:hideMark/>
          </w:tcPr>
          <w:p w14:paraId="1BDFE25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1.85</w:t>
            </w:r>
          </w:p>
        </w:tc>
        <w:tc>
          <w:tcPr>
            <w:tcW w:w="560" w:type="dxa"/>
            <w:tcBorders>
              <w:top w:val="nil"/>
              <w:left w:val="nil"/>
              <w:bottom w:val="nil"/>
              <w:right w:val="nil"/>
            </w:tcBorders>
            <w:shd w:val="clear" w:color="auto" w:fill="auto"/>
            <w:noWrap/>
            <w:vAlign w:val="bottom"/>
            <w:hideMark/>
          </w:tcPr>
          <w:p w14:paraId="76FAF9C5"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54CF66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10.73</w:t>
            </w:r>
          </w:p>
        </w:tc>
        <w:tc>
          <w:tcPr>
            <w:tcW w:w="560" w:type="dxa"/>
            <w:tcBorders>
              <w:top w:val="nil"/>
              <w:left w:val="nil"/>
              <w:bottom w:val="nil"/>
              <w:right w:val="single" w:sz="4" w:space="0" w:color="auto"/>
            </w:tcBorders>
            <w:shd w:val="clear" w:color="auto" w:fill="auto"/>
            <w:noWrap/>
            <w:vAlign w:val="center"/>
            <w:hideMark/>
          </w:tcPr>
          <w:p w14:paraId="449670D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2.09</w:t>
            </w:r>
          </w:p>
        </w:tc>
        <w:tc>
          <w:tcPr>
            <w:tcW w:w="560" w:type="dxa"/>
            <w:tcBorders>
              <w:top w:val="nil"/>
              <w:left w:val="nil"/>
              <w:bottom w:val="nil"/>
              <w:right w:val="nil"/>
            </w:tcBorders>
            <w:shd w:val="clear" w:color="auto" w:fill="auto"/>
            <w:noWrap/>
            <w:vAlign w:val="bottom"/>
            <w:hideMark/>
          </w:tcPr>
          <w:p w14:paraId="5A72C4C3"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FF3479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14.50</w:t>
            </w:r>
          </w:p>
        </w:tc>
        <w:tc>
          <w:tcPr>
            <w:tcW w:w="560" w:type="dxa"/>
            <w:tcBorders>
              <w:top w:val="nil"/>
              <w:left w:val="nil"/>
              <w:bottom w:val="nil"/>
              <w:right w:val="single" w:sz="4" w:space="0" w:color="auto"/>
            </w:tcBorders>
            <w:shd w:val="clear" w:color="auto" w:fill="auto"/>
            <w:noWrap/>
            <w:vAlign w:val="center"/>
            <w:hideMark/>
          </w:tcPr>
          <w:p w14:paraId="330DD15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1.77</w:t>
            </w:r>
          </w:p>
        </w:tc>
        <w:tc>
          <w:tcPr>
            <w:tcW w:w="560" w:type="dxa"/>
            <w:tcBorders>
              <w:top w:val="nil"/>
              <w:left w:val="nil"/>
              <w:bottom w:val="nil"/>
              <w:right w:val="nil"/>
            </w:tcBorders>
            <w:shd w:val="clear" w:color="auto" w:fill="auto"/>
            <w:noWrap/>
            <w:vAlign w:val="bottom"/>
            <w:hideMark/>
          </w:tcPr>
          <w:p w14:paraId="3424782E"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6234F6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12.82</w:t>
            </w:r>
          </w:p>
        </w:tc>
        <w:tc>
          <w:tcPr>
            <w:tcW w:w="560" w:type="dxa"/>
            <w:tcBorders>
              <w:top w:val="nil"/>
              <w:left w:val="nil"/>
              <w:bottom w:val="nil"/>
              <w:right w:val="single" w:sz="4" w:space="0" w:color="auto"/>
            </w:tcBorders>
            <w:shd w:val="clear" w:color="auto" w:fill="auto"/>
            <w:noWrap/>
            <w:vAlign w:val="center"/>
            <w:hideMark/>
          </w:tcPr>
          <w:p w14:paraId="43AB1D2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2.04</w:t>
            </w:r>
          </w:p>
        </w:tc>
        <w:tc>
          <w:tcPr>
            <w:tcW w:w="560" w:type="dxa"/>
            <w:tcBorders>
              <w:top w:val="nil"/>
              <w:left w:val="nil"/>
              <w:bottom w:val="nil"/>
              <w:right w:val="nil"/>
            </w:tcBorders>
            <w:shd w:val="clear" w:color="auto" w:fill="auto"/>
            <w:noWrap/>
            <w:vAlign w:val="bottom"/>
            <w:hideMark/>
          </w:tcPr>
          <w:p w14:paraId="168B4F0C"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96430F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14.33</w:t>
            </w:r>
          </w:p>
        </w:tc>
        <w:tc>
          <w:tcPr>
            <w:tcW w:w="560" w:type="dxa"/>
            <w:tcBorders>
              <w:top w:val="nil"/>
              <w:left w:val="nil"/>
              <w:bottom w:val="nil"/>
              <w:right w:val="single" w:sz="4" w:space="0" w:color="auto"/>
            </w:tcBorders>
            <w:shd w:val="clear" w:color="auto" w:fill="auto"/>
            <w:noWrap/>
            <w:vAlign w:val="center"/>
            <w:hideMark/>
          </w:tcPr>
          <w:p w14:paraId="13B730A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3.57</w:t>
            </w:r>
          </w:p>
        </w:tc>
        <w:tc>
          <w:tcPr>
            <w:tcW w:w="560" w:type="dxa"/>
            <w:tcBorders>
              <w:top w:val="nil"/>
              <w:left w:val="nil"/>
              <w:bottom w:val="nil"/>
              <w:right w:val="nil"/>
            </w:tcBorders>
            <w:shd w:val="clear" w:color="auto" w:fill="auto"/>
            <w:noWrap/>
            <w:vAlign w:val="bottom"/>
            <w:hideMark/>
          </w:tcPr>
          <w:p w14:paraId="75D21DB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8CA749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13.91</w:t>
            </w:r>
          </w:p>
        </w:tc>
        <w:tc>
          <w:tcPr>
            <w:tcW w:w="560" w:type="dxa"/>
            <w:tcBorders>
              <w:top w:val="nil"/>
              <w:left w:val="nil"/>
              <w:bottom w:val="nil"/>
              <w:right w:val="single" w:sz="4" w:space="0" w:color="auto"/>
            </w:tcBorders>
            <w:shd w:val="clear" w:color="auto" w:fill="auto"/>
            <w:noWrap/>
            <w:vAlign w:val="center"/>
            <w:hideMark/>
          </w:tcPr>
          <w:p w14:paraId="29E74B1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2.39</w:t>
            </w:r>
          </w:p>
        </w:tc>
      </w:tr>
      <w:tr w:rsidR="0053223B" w:rsidRPr="009F6406" w14:paraId="393D5152" w14:textId="77777777" w:rsidTr="0053223B">
        <w:trPr>
          <w:trHeight w:val="300"/>
        </w:trPr>
        <w:tc>
          <w:tcPr>
            <w:tcW w:w="760" w:type="dxa"/>
            <w:tcBorders>
              <w:top w:val="nil"/>
              <w:left w:val="single" w:sz="4" w:space="0" w:color="auto"/>
              <w:bottom w:val="single" w:sz="4" w:space="0" w:color="auto"/>
              <w:right w:val="nil"/>
            </w:tcBorders>
            <w:shd w:val="clear" w:color="auto" w:fill="auto"/>
            <w:noWrap/>
            <w:vAlign w:val="bottom"/>
            <w:hideMark/>
          </w:tcPr>
          <w:p w14:paraId="62B1F2A6"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single" w:sz="4" w:space="0" w:color="auto"/>
              <w:right w:val="nil"/>
            </w:tcBorders>
            <w:shd w:val="clear" w:color="auto" w:fill="auto"/>
            <w:noWrap/>
            <w:vAlign w:val="center"/>
            <w:hideMark/>
          </w:tcPr>
          <w:p w14:paraId="5FB6C2CA"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Effective classroom layout</w:t>
            </w:r>
          </w:p>
        </w:tc>
        <w:tc>
          <w:tcPr>
            <w:tcW w:w="560" w:type="dxa"/>
            <w:tcBorders>
              <w:top w:val="nil"/>
              <w:left w:val="single" w:sz="4" w:space="0" w:color="auto"/>
              <w:bottom w:val="single" w:sz="4" w:space="0" w:color="auto"/>
              <w:right w:val="nil"/>
            </w:tcBorders>
            <w:shd w:val="clear" w:color="auto" w:fill="auto"/>
            <w:noWrap/>
            <w:vAlign w:val="bottom"/>
            <w:hideMark/>
          </w:tcPr>
          <w:p w14:paraId="015B9C39"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3284EC3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7.67</w:t>
            </w:r>
          </w:p>
        </w:tc>
        <w:tc>
          <w:tcPr>
            <w:tcW w:w="560" w:type="dxa"/>
            <w:tcBorders>
              <w:top w:val="nil"/>
              <w:left w:val="nil"/>
              <w:bottom w:val="single" w:sz="4" w:space="0" w:color="auto"/>
              <w:right w:val="single" w:sz="4" w:space="0" w:color="auto"/>
            </w:tcBorders>
            <w:shd w:val="clear" w:color="auto" w:fill="auto"/>
            <w:noWrap/>
            <w:vAlign w:val="center"/>
            <w:hideMark/>
          </w:tcPr>
          <w:p w14:paraId="30667B4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0.54</w:t>
            </w:r>
          </w:p>
        </w:tc>
        <w:tc>
          <w:tcPr>
            <w:tcW w:w="560" w:type="dxa"/>
            <w:tcBorders>
              <w:top w:val="nil"/>
              <w:left w:val="nil"/>
              <w:bottom w:val="single" w:sz="4" w:space="0" w:color="auto"/>
              <w:right w:val="nil"/>
            </w:tcBorders>
            <w:shd w:val="clear" w:color="auto" w:fill="auto"/>
            <w:noWrap/>
            <w:vAlign w:val="bottom"/>
            <w:hideMark/>
          </w:tcPr>
          <w:p w14:paraId="66935553"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3D3D382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5.91</w:t>
            </w:r>
          </w:p>
        </w:tc>
        <w:tc>
          <w:tcPr>
            <w:tcW w:w="560" w:type="dxa"/>
            <w:tcBorders>
              <w:top w:val="nil"/>
              <w:left w:val="nil"/>
              <w:bottom w:val="single" w:sz="4" w:space="0" w:color="auto"/>
              <w:right w:val="single" w:sz="4" w:space="0" w:color="auto"/>
            </w:tcBorders>
            <w:shd w:val="clear" w:color="auto" w:fill="auto"/>
            <w:noWrap/>
            <w:vAlign w:val="center"/>
            <w:hideMark/>
          </w:tcPr>
          <w:p w14:paraId="709F9D4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1.00</w:t>
            </w:r>
          </w:p>
        </w:tc>
        <w:tc>
          <w:tcPr>
            <w:tcW w:w="560" w:type="dxa"/>
            <w:tcBorders>
              <w:top w:val="nil"/>
              <w:left w:val="nil"/>
              <w:bottom w:val="single" w:sz="4" w:space="0" w:color="auto"/>
              <w:right w:val="nil"/>
            </w:tcBorders>
            <w:shd w:val="clear" w:color="auto" w:fill="auto"/>
            <w:noWrap/>
            <w:vAlign w:val="bottom"/>
            <w:hideMark/>
          </w:tcPr>
          <w:p w14:paraId="3661DC0D"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6343B32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7.50</w:t>
            </w:r>
          </w:p>
        </w:tc>
        <w:tc>
          <w:tcPr>
            <w:tcW w:w="560" w:type="dxa"/>
            <w:tcBorders>
              <w:top w:val="nil"/>
              <w:left w:val="nil"/>
              <w:bottom w:val="single" w:sz="4" w:space="0" w:color="auto"/>
              <w:right w:val="single" w:sz="4" w:space="0" w:color="auto"/>
            </w:tcBorders>
            <w:shd w:val="clear" w:color="auto" w:fill="auto"/>
            <w:noWrap/>
            <w:vAlign w:val="center"/>
            <w:hideMark/>
          </w:tcPr>
          <w:p w14:paraId="373D474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1.07</w:t>
            </w:r>
          </w:p>
        </w:tc>
        <w:tc>
          <w:tcPr>
            <w:tcW w:w="560" w:type="dxa"/>
            <w:tcBorders>
              <w:top w:val="nil"/>
              <w:left w:val="nil"/>
              <w:bottom w:val="single" w:sz="4" w:space="0" w:color="auto"/>
              <w:right w:val="nil"/>
            </w:tcBorders>
            <w:shd w:val="clear" w:color="auto" w:fill="auto"/>
            <w:noWrap/>
            <w:vAlign w:val="bottom"/>
            <w:hideMark/>
          </w:tcPr>
          <w:p w14:paraId="44E4FDC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1FE9C7D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7.09</w:t>
            </w:r>
          </w:p>
        </w:tc>
        <w:tc>
          <w:tcPr>
            <w:tcW w:w="560" w:type="dxa"/>
            <w:tcBorders>
              <w:top w:val="nil"/>
              <w:left w:val="nil"/>
              <w:bottom w:val="single" w:sz="4" w:space="0" w:color="auto"/>
              <w:right w:val="single" w:sz="4" w:space="0" w:color="auto"/>
            </w:tcBorders>
            <w:shd w:val="clear" w:color="auto" w:fill="auto"/>
            <w:noWrap/>
            <w:vAlign w:val="center"/>
            <w:hideMark/>
          </w:tcPr>
          <w:p w14:paraId="66A359B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0.83</w:t>
            </w:r>
          </w:p>
        </w:tc>
        <w:tc>
          <w:tcPr>
            <w:tcW w:w="560" w:type="dxa"/>
            <w:tcBorders>
              <w:top w:val="nil"/>
              <w:left w:val="nil"/>
              <w:bottom w:val="single" w:sz="4" w:space="0" w:color="auto"/>
              <w:right w:val="nil"/>
            </w:tcBorders>
            <w:shd w:val="clear" w:color="auto" w:fill="auto"/>
            <w:noWrap/>
            <w:vAlign w:val="bottom"/>
            <w:hideMark/>
          </w:tcPr>
          <w:p w14:paraId="23B4C10E"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685F032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7.22</w:t>
            </w:r>
          </w:p>
        </w:tc>
        <w:tc>
          <w:tcPr>
            <w:tcW w:w="560" w:type="dxa"/>
            <w:tcBorders>
              <w:top w:val="nil"/>
              <w:left w:val="nil"/>
              <w:bottom w:val="single" w:sz="4" w:space="0" w:color="auto"/>
              <w:right w:val="single" w:sz="4" w:space="0" w:color="auto"/>
            </w:tcBorders>
            <w:shd w:val="clear" w:color="auto" w:fill="auto"/>
            <w:noWrap/>
            <w:vAlign w:val="center"/>
            <w:hideMark/>
          </w:tcPr>
          <w:p w14:paraId="200A1EC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1.39</w:t>
            </w:r>
          </w:p>
        </w:tc>
        <w:tc>
          <w:tcPr>
            <w:tcW w:w="560" w:type="dxa"/>
            <w:tcBorders>
              <w:top w:val="nil"/>
              <w:left w:val="nil"/>
              <w:bottom w:val="single" w:sz="4" w:space="0" w:color="auto"/>
              <w:right w:val="nil"/>
            </w:tcBorders>
            <w:shd w:val="clear" w:color="auto" w:fill="auto"/>
            <w:noWrap/>
            <w:vAlign w:val="bottom"/>
            <w:hideMark/>
          </w:tcPr>
          <w:p w14:paraId="3F4AB58B"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302370C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7.36</w:t>
            </w:r>
          </w:p>
        </w:tc>
        <w:tc>
          <w:tcPr>
            <w:tcW w:w="560" w:type="dxa"/>
            <w:tcBorders>
              <w:top w:val="nil"/>
              <w:left w:val="nil"/>
              <w:bottom w:val="single" w:sz="4" w:space="0" w:color="auto"/>
              <w:right w:val="single" w:sz="4" w:space="0" w:color="auto"/>
            </w:tcBorders>
            <w:shd w:val="clear" w:color="auto" w:fill="auto"/>
            <w:noWrap/>
            <w:vAlign w:val="center"/>
            <w:hideMark/>
          </w:tcPr>
          <w:p w14:paraId="5AA9A57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1.03</w:t>
            </w:r>
          </w:p>
        </w:tc>
      </w:tr>
      <w:tr w:rsidR="0053223B" w:rsidRPr="009F6406" w14:paraId="42729A54"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00658C23"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ISTOF</w:t>
            </w:r>
          </w:p>
        </w:tc>
        <w:tc>
          <w:tcPr>
            <w:tcW w:w="2920" w:type="dxa"/>
            <w:tcBorders>
              <w:top w:val="nil"/>
              <w:left w:val="single" w:sz="4" w:space="0" w:color="auto"/>
              <w:bottom w:val="nil"/>
              <w:right w:val="nil"/>
            </w:tcBorders>
            <w:shd w:val="clear" w:color="auto" w:fill="auto"/>
            <w:noWrap/>
            <w:vAlign w:val="center"/>
            <w:hideMark/>
          </w:tcPr>
          <w:p w14:paraId="52BDC9EB"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Assessment and evaluation</w:t>
            </w:r>
          </w:p>
        </w:tc>
        <w:tc>
          <w:tcPr>
            <w:tcW w:w="560" w:type="dxa"/>
            <w:tcBorders>
              <w:top w:val="nil"/>
              <w:left w:val="single" w:sz="4" w:space="0" w:color="auto"/>
              <w:bottom w:val="nil"/>
              <w:right w:val="nil"/>
            </w:tcBorders>
            <w:shd w:val="clear" w:color="auto" w:fill="auto"/>
            <w:noWrap/>
            <w:vAlign w:val="bottom"/>
            <w:hideMark/>
          </w:tcPr>
          <w:p w14:paraId="55F826D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2BF718F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15.78</w:t>
            </w:r>
          </w:p>
        </w:tc>
        <w:tc>
          <w:tcPr>
            <w:tcW w:w="560" w:type="dxa"/>
            <w:tcBorders>
              <w:top w:val="nil"/>
              <w:left w:val="nil"/>
              <w:bottom w:val="nil"/>
              <w:right w:val="single" w:sz="4" w:space="0" w:color="auto"/>
            </w:tcBorders>
            <w:shd w:val="clear" w:color="auto" w:fill="auto"/>
            <w:noWrap/>
            <w:vAlign w:val="center"/>
            <w:hideMark/>
          </w:tcPr>
          <w:p w14:paraId="4185962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2.04</w:t>
            </w:r>
          </w:p>
        </w:tc>
        <w:tc>
          <w:tcPr>
            <w:tcW w:w="560" w:type="dxa"/>
            <w:tcBorders>
              <w:top w:val="nil"/>
              <w:left w:val="nil"/>
              <w:bottom w:val="nil"/>
              <w:right w:val="nil"/>
            </w:tcBorders>
            <w:shd w:val="clear" w:color="auto" w:fill="auto"/>
            <w:noWrap/>
            <w:vAlign w:val="bottom"/>
            <w:hideMark/>
          </w:tcPr>
          <w:p w14:paraId="3CDED2AD"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B4515A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12.18</w:t>
            </w:r>
          </w:p>
        </w:tc>
        <w:tc>
          <w:tcPr>
            <w:tcW w:w="560" w:type="dxa"/>
            <w:tcBorders>
              <w:top w:val="nil"/>
              <w:left w:val="nil"/>
              <w:bottom w:val="nil"/>
              <w:right w:val="single" w:sz="4" w:space="0" w:color="auto"/>
            </w:tcBorders>
            <w:shd w:val="clear" w:color="auto" w:fill="auto"/>
            <w:noWrap/>
            <w:vAlign w:val="center"/>
            <w:hideMark/>
          </w:tcPr>
          <w:p w14:paraId="345BB91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1.92</w:t>
            </w:r>
          </w:p>
        </w:tc>
        <w:tc>
          <w:tcPr>
            <w:tcW w:w="560" w:type="dxa"/>
            <w:tcBorders>
              <w:top w:val="nil"/>
              <w:left w:val="nil"/>
              <w:bottom w:val="nil"/>
              <w:right w:val="nil"/>
            </w:tcBorders>
            <w:shd w:val="clear" w:color="auto" w:fill="auto"/>
            <w:noWrap/>
            <w:vAlign w:val="bottom"/>
            <w:hideMark/>
          </w:tcPr>
          <w:p w14:paraId="3DD7E3D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E4CBC6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17.25</w:t>
            </w:r>
          </w:p>
        </w:tc>
        <w:tc>
          <w:tcPr>
            <w:tcW w:w="560" w:type="dxa"/>
            <w:tcBorders>
              <w:top w:val="nil"/>
              <w:left w:val="nil"/>
              <w:bottom w:val="nil"/>
              <w:right w:val="single" w:sz="4" w:space="0" w:color="auto"/>
            </w:tcBorders>
            <w:shd w:val="clear" w:color="auto" w:fill="auto"/>
            <w:noWrap/>
            <w:vAlign w:val="center"/>
            <w:hideMark/>
          </w:tcPr>
          <w:p w14:paraId="00E544B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1.49</w:t>
            </w:r>
          </w:p>
        </w:tc>
        <w:tc>
          <w:tcPr>
            <w:tcW w:w="560" w:type="dxa"/>
            <w:tcBorders>
              <w:top w:val="nil"/>
              <w:left w:val="nil"/>
              <w:bottom w:val="nil"/>
              <w:right w:val="nil"/>
            </w:tcBorders>
            <w:shd w:val="clear" w:color="auto" w:fill="auto"/>
            <w:noWrap/>
            <w:vAlign w:val="bottom"/>
            <w:hideMark/>
          </w:tcPr>
          <w:p w14:paraId="768AE7C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9EA33A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15.00</w:t>
            </w:r>
          </w:p>
        </w:tc>
        <w:tc>
          <w:tcPr>
            <w:tcW w:w="560" w:type="dxa"/>
            <w:tcBorders>
              <w:top w:val="nil"/>
              <w:left w:val="nil"/>
              <w:bottom w:val="nil"/>
              <w:right w:val="single" w:sz="4" w:space="0" w:color="auto"/>
            </w:tcBorders>
            <w:shd w:val="clear" w:color="auto" w:fill="auto"/>
            <w:noWrap/>
            <w:vAlign w:val="center"/>
            <w:hideMark/>
          </w:tcPr>
          <w:p w14:paraId="38CB7C3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1.48</w:t>
            </w:r>
          </w:p>
        </w:tc>
        <w:tc>
          <w:tcPr>
            <w:tcW w:w="560" w:type="dxa"/>
            <w:tcBorders>
              <w:top w:val="nil"/>
              <w:left w:val="nil"/>
              <w:bottom w:val="nil"/>
              <w:right w:val="nil"/>
            </w:tcBorders>
            <w:shd w:val="clear" w:color="auto" w:fill="auto"/>
            <w:noWrap/>
            <w:vAlign w:val="bottom"/>
            <w:hideMark/>
          </w:tcPr>
          <w:p w14:paraId="7169CDFB"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30FFB4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18.11</w:t>
            </w:r>
          </w:p>
        </w:tc>
        <w:tc>
          <w:tcPr>
            <w:tcW w:w="560" w:type="dxa"/>
            <w:tcBorders>
              <w:top w:val="nil"/>
              <w:left w:val="nil"/>
              <w:bottom w:val="nil"/>
              <w:right w:val="single" w:sz="4" w:space="0" w:color="auto"/>
            </w:tcBorders>
            <w:shd w:val="clear" w:color="auto" w:fill="auto"/>
            <w:noWrap/>
            <w:vAlign w:val="center"/>
            <w:hideMark/>
          </w:tcPr>
          <w:p w14:paraId="1727148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2.62</w:t>
            </w:r>
          </w:p>
        </w:tc>
        <w:tc>
          <w:tcPr>
            <w:tcW w:w="560" w:type="dxa"/>
            <w:tcBorders>
              <w:top w:val="nil"/>
              <w:left w:val="nil"/>
              <w:bottom w:val="nil"/>
              <w:right w:val="nil"/>
            </w:tcBorders>
            <w:shd w:val="clear" w:color="auto" w:fill="auto"/>
            <w:noWrap/>
            <w:vAlign w:val="bottom"/>
            <w:hideMark/>
          </w:tcPr>
          <w:p w14:paraId="514B5B0E"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52F11B0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15.91</w:t>
            </w:r>
          </w:p>
        </w:tc>
        <w:tc>
          <w:tcPr>
            <w:tcW w:w="560" w:type="dxa"/>
            <w:tcBorders>
              <w:top w:val="nil"/>
              <w:left w:val="nil"/>
              <w:bottom w:val="nil"/>
              <w:right w:val="single" w:sz="4" w:space="0" w:color="auto"/>
            </w:tcBorders>
            <w:shd w:val="clear" w:color="auto" w:fill="auto"/>
            <w:noWrap/>
            <w:vAlign w:val="center"/>
            <w:hideMark/>
          </w:tcPr>
          <w:p w14:paraId="06A6A77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3.27</w:t>
            </w:r>
          </w:p>
        </w:tc>
      </w:tr>
      <w:tr w:rsidR="0053223B" w:rsidRPr="009F6406" w14:paraId="1402602E"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41976128"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677710CC"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Differentiation and inclusion</w:t>
            </w:r>
          </w:p>
        </w:tc>
        <w:tc>
          <w:tcPr>
            <w:tcW w:w="560" w:type="dxa"/>
            <w:tcBorders>
              <w:top w:val="nil"/>
              <w:left w:val="single" w:sz="4" w:space="0" w:color="auto"/>
              <w:bottom w:val="nil"/>
              <w:right w:val="nil"/>
            </w:tcBorders>
            <w:shd w:val="clear" w:color="auto" w:fill="auto"/>
            <w:noWrap/>
            <w:vAlign w:val="bottom"/>
            <w:hideMark/>
          </w:tcPr>
          <w:p w14:paraId="5DCC5712"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3353C2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10.44</w:t>
            </w:r>
          </w:p>
        </w:tc>
        <w:tc>
          <w:tcPr>
            <w:tcW w:w="560" w:type="dxa"/>
            <w:tcBorders>
              <w:top w:val="nil"/>
              <w:left w:val="nil"/>
              <w:bottom w:val="nil"/>
              <w:right w:val="single" w:sz="4" w:space="0" w:color="auto"/>
            </w:tcBorders>
            <w:shd w:val="clear" w:color="auto" w:fill="auto"/>
            <w:noWrap/>
            <w:vAlign w:val="center"/>
            <w:hideMark/>
          </w:tcPr>
          <w:p w14:paraId="2C50C21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1.64</w:t>
            </w:r>
          </w:p>
        </w:tc>
        <w:tc>
          <w:tcPr>
            <w:tcW w:w="560" w:type="dxa"/>
            <w:tcBorders>
              <w:top w:val="nil"/>
              <w:left w:val="nil"/>
              <w:bottom w:val="nil"/>
              <w:right w:val="nil"/>
            </w:tcBorders>
            <w:shd w:val="clear" w:color="auto" w:fill="auto"/>
            <w:noWrap/>
            <w:vAlign w:val="bottom"/>
            <w:hideMark/>
          </w:tcPr>
          <w:p w14:paraId="3132A8C0"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F80A7A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10.91</w:t>
            </w:r>
          </w:p>
        </w:tc>
        <w:tc>
          <w:tcPr>
            <w:tcW w:w="560" w:type="dxa"/>
            <w:tcBorders>
              <w:top w:val="nil"/>
              <w:left w:val="nil"/>
              <w:bottom w:val="nil"/>
              <w:right w:val="single" w:sz="4" w:space="0" w:color="auto"/>
            </w:tcBorders>
            <w:shd w:val="clear" w:color="auto" w:fill="auto"/>
            <w:noWrap/>
            <w:vAlign w:val="center"/>
            <w:hideMark/>
          </w:tcPr>
          <w:p w14:paraId="05ACFD6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3.13</w:t>
            </w:r>
          </w:p>
        </w:tc>
        <w:tc>
          <w:tcPr>
            <w:tcW w:w="560" w:type="dxa"/>
            <w:tcBorders>
              <w:top w:val="nil"/>
              <w:left w:val="nil"/>
              <w:bottom w:val="nil"/>
              <w:right w:val="nil"/>
            </w:tcBorders>
            <w:shd w:val="clear" w:color="auto" w:fill="auto"/>
            <w:noWrap/>
            <w:vAlign w:val="bottom"/>
            <w:hideMark/>
          </w:tcPr>
          <w:p w14:paraId="5882076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F62A9A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11.13</w:t>
            </w:r>
          </w:p>
        </w:tc>
        <w:tc>
          <w:tcPr>
            <w:tcW w:w="560" w:type="dxa"/>
            <w:tcBorders>
              <w:top w:val="nil"/>
              <w:left w:val="nil"/>
              <w:bottom w:val="nil"/>
              <w:right w:val="single" w:sz="4" w:space="0" w:color="auto"/>
            </w:tcBorders>
            <w:shd w:val="clear" w:color="auto" w:fill="auto"/>
            <w:noWrap/>
            <w:vAlign w:val="center"/>
            <w:hideMark/>
          </w:tcPr>
          <w:p w14:paraId="5712233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1.25</w:t>
            </w:r>
          </w:p>
        </w:tc>
        <w:tc>
          <w:tcPr>
            <w:tcW w:w="560" w:type="dxa"/>
            <w:tcBorders>
              <w:top w:val="nil"/>
              <w:left w:val="nil"/>
              <w:bottom w:val="nil"/>
              <w:right w:val="nil"/>
            </w:tcBorders>
            <w:shd w:val="clear" w:color="auto" w:fill="auto"/>
            <w:noWrap/>
            <w:vAlign w:val="bottom"/>
            <w:hideMark/>
          </w:tcPr>
          <w:p w14:paraId="6DDE92E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EB6AD8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11.55</w:t>
            </w:r>
          </w:p>
        </w:tc>
        <w:tc>
          <w:tcPr>
            <w:tcW w:w="560" w:type="dxa"/>
            <w:tcBorders>
              <w:top w:val="nil"/>
              <w:left w:val="nil"/>
              <w:bottom w:val="nil"/>
              <w:right w:val="single" w:sz="4" w:space="0" w:color="auto"/>
            </w:tcBorders>
            <w:shd w:val="clear" w:color="auto" w:fill="auto"/>
            <w:noWrap/>
            <w:vAlign w:val="center"/>
            <w:hideMark/>
          </w:tcPr>
          <w:p w14:paraId="112B75B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2.88</w:t>
            </w:r>
          </w:p>
        </w:tc>
        <w:tc>
          <w:tcPr>
            <w:tcW w:w="560" w:type="dxa"/>
            <w:tcBorders>
              <w:top w:val="nil"/>
              <w:left w:val="nil"/>
              <w:bottom w:val="nil"/>
              <w:right w:val="nil"/>
            </w:tcBorders>
            <w:shd w:val="clear" w:color="auto" w:fill="auto"/>
            <w:noWrap/>
            <w:vAlign w:val="bottom"/>
            <w:hideMark/>
          </w:tcPr>
          <w:p w14:paraId="4B4F183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460B4B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13.78</w:t>
            </w:r>
          </w:p>
        </w:tc>
        <w:tc>
          <w:tcPr>
            <w:tcW w:w="560" w:type="dxa"/>
            <w:tcBorders>
              <w:top w:val="nil"/>
              <w:left w:val="nil"/>
              <w:bottom w:val="nil"/>
              <w:right w:val="single" w:sz="4" w:space="0" w:color="auto"/>
            </w:tcBorders>
            <w:shd w:val="clear" w:color="auto" w:fill="auto"/>
            <w:noWrap/>
            <w:vAlign w:val="center"/>
            <w:hideMark/>
          </w:tcPr>
          <w:p w14:paraId="7D00EBC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2.44</w:t>
            </w:r>
          </w:p>
        </w:tc>
        <w:tc>
          <w:tcPr>
            <w:tcW w:w="560" w:type="dxa"/>
            <w:tcBorders>
              <w:top w:val="nil"/>
              <w:left w:val="nil"/>
              <w:bottom w:val="nil"/>
              <w:right w:val="nil"/>
            </w:tcBorders>
            <w:shd w:val="clear" w:color="auto" w:fill="auto"/>
            <w:noWrap/>
            <w:vAlign w:val="bottom"/>
            <w:hideMark/>
          </w:tcPr>
          <w:p w14:paraId="27620657"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699F15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12.18</w:t>
            </w:r>
          </w:p>
        </w:tc>
        <w:tc>
          <w:tcPr>
            <w:tcW w:w="560" w:type="dxa"/>
            <w:tcBorders>
              <w:top w:val="nil"/>
              <w:left w:val="nil"/>
              <w:bottom w:val="nil"/>
              <w:right w:val="single" w:sz="4" w:space="0" w:color="auto"/>
            </w:tcBorders>
            <w:shd w:val="clear" w:color="auto" w:fill="auto"/>
            <w:noWrap/>
            <w:vAlign w:val="center"/>
            <w:hideMark/>
          </w:tcPr>
          <w:p w14:paraId="0ACDCB7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1.40</w:t>
            </w:r>
          </w:p>
        </w:tc>
      </w:tr>
      <w:tr w:rsidR="0053223B" w:rsidRPr="009F6406" w14:paraId="60C810F0"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3A308C0B"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737958D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Clarity of instruction</w:t>
            </w:r>
          </w:p>
        </w:tc>
        <w:tc>
          <w:tcPr>
            <w:tcW w:w="560" w:type="dxa"/>
            <w:tcBorders>
              <w:top w:val="nil"/>
              <w:left w:val="single" w:sz="4" w:space="0" w:color="auto"/>
              <w:bottom w:val="nil"/>
              <w:right w:val="nil"/>
            </w:tcBorders>
            <w:shd w:val="clear" w:color="auto" w:fill="auto"/>
            <w:noWrap/>
            <w:vAlign w:val="bottom"/>
            <w:hideMark/>
          </w:tcPr>
          <w:p w14:paraId="1151F797"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0941A4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21.33</w:t>
            </w:r>
          </w:p>
        </w:tc>
        <w:tc>
          <w:tcPr>
            <w:tcW w:w="560" w:type="dxa"/>
            <w:tcBorders>
              <w:top w:val="nil"/>
              <w:left w:val="nil"/>
              <w:bottom w:val="nil"/>
              <w:right w:val="single" w:sz="4" w:space="0" w:color="auto"/>
            </w:tcBorders>
            <w:shd w:val="clear" w:color="auto" w:fill="auto"/>
            <w:noWrap/>
            <w:vAlign w:val="center"/>
            <w:hideMark/>
          </w:tcPr>
          <w:p w14:paraId="1CC0AEA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2.12</w:t>
            </w:r>
          </w:p>
        </w:tc>
        <w:tc>
          <w:tcPr>
            <w:tcW w:w="560" w:type="dxa"/>
            <w:tcBorders>
              <w:top w:val="nil"/>
              <w:left w:val="nil"/>
              <w:bottom w:val="nil"/>
              <w:right w:val="nil"/>
            </w:tcBorders>
            <w:shd w:val="clear" w:color="auto" w:fill="auto"/>
            <w:noWrap/>
            <w:vAlign w:val="bottom"/>
            <w:hideMark/>
          </w:tcPr>
          <w:p w14:paraId="26F9BBA7"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55A0ADD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16.91</w:t>
            </w:r>
          </w:p>
        </w:tc>
        <w:tc>
          <w:tcPr>
            <w:tcW w:w="560" w:type="dxa"/>
            <w:tcBorders>
              <w:top w:val="nil"/>
              <w:left w:val="nil"/>
              <w:bottom w:val="nil"/>
              <w:right w:val="single" w:sz="4" w:space="0" w:color="auto"/>
            </w:tcBorders>
            <w:shd w:val="clear" w:color="auto" w:fill="auto"/>
            <w:noWrap/>
            <w:vAlign w:val="center"/>
            <w:hideMark/>
          </w:tcPr>
          <w:p w14:paraId="103AD9F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2.18</w:t>
            </w:r>
          </w:p>
        </w:tc>
        <w:tc>
          <w:tcPr>
            <w:tcW w:w="560" w:type="dxa"/>
            <w:tcBorders>
              <w:top w:val="nil"/>
              <w:left w:val="nil"/>
              <w:bottom w:val="nil"/>
              <w:right w:val="nil"/>
            </w:tcBorders>
            <w:shd w:val="clear" w:color="auto" w:fill="auto"/>
            <w:noWrap/>
            <w:vAlign w:val="bottom"/>
            <w:hideMark/>
          </w:tcPr>
          <w:p w14:paraId="3CC8BB09"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BBC2E1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22.63</w:t>
            </w:r>
          </w:p>
        </w:tc>
        <w:tc>
          <w:tcPr>
            <w:tcW w:w="560" w:type="dxa"/>
            <w:tcBorders>
              <w:top w:val="nil"/>
              <w:left w:val="nil"/>
              <w:bottom w:val="nil"/>
              <w:right w:val="single" w:sz="4" w:space="0" w:color="auto"/>
            </w:tcBorders>
            <w:shd w:val="clear" w:color="auto" w:fill="auto"/>
            <w:noWrap/>
            <w:vAlign w:val="center"/>
            <w:hideMark/>
          </w:tcPr>
          <w:p w14:paraId="7D41492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3.16</w:t>
            </w:r>
          </w:p>
        </w:tc>
        <w:tc>
          <w:tcPr>
            <w:tcW w:w="560" w:type="dxa"/>
            <w:tcBorders>
              <w:top w:val="nil"/>
              <w:left w:val="nil"/>
              <w:bottom w:val="nil"/>
              <w:right w:val="nil"/>
            </w:tcBorders>
            <w:shd w:val="clear" w:color="auto" w:fill="auto"/>
            <w:noWrap/>
            <w:vAlign w:val="bottom"/>
            <w:hideMark/>
          </w:tcPr>
          <w:p w14:paraId="4CA02F5D"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845E6A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20.55</w:t>
            </w:r>
          </w:p>
        </w:tc>
        <w:tc>
          <w:tcPr>
            <w:tcW w:w="560" w:type="dxa"/>
            <w:tcBorders>
              <w:top w:val="nil"/>
              <w:left w:val="nil"/>
              <w:bottom w:val="nil"/>
              <w:right w:val="single" w:sz="4" w:space="0" w:color="auto"/>
            </w:tcBorders>
            <w:shd w:val="clear" w:color="auto" w:fill="auto"/>
            <w:noWrap/>
            <w:vAlign w:val="center"/>
            <w:hideMark/>
          </w:tcPr>
          <w:p w14:paraId="6CAEE67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2.70</w:t>
            </w:r>
          </w:p>
        </w:tc>
        <w:tc>
          <w:tcPr>
            <w:tcW w:w="560" w:type="dxa"/>
            <w:tcBorders>
              <w:top w:val="nil"/>
              <w:left w:val="nil"/>
              <w:bottom w:val="nil"/>
              <w:right w:val="nil"/>
            </w:tcBorders>
            <w:shd w:val="clear" w:color="auto" w:fill="auto"/>
            <w:noWrap/>
            <w:vAlign w:val="bottom"/>
            <w:hideMark/>
          </w:tcPr>
          <w:p w14:paraId="0CCC53DA"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5B985F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25.44</w:t>
            </w:r>
          </w:p>
        </w:tc>
        <w:tc>
          <w:tcPr>
            <w:tcW w:w="560" w:type="dxa"/>
            <w:tcBorders>
              <w:top w:val="nil"/>
              <w:left w:val="nil"/>
              <w:bottom w:val="nil"/>
              <w:right w:val="single" w:sz="4" w:space="0" w:color="auto"/>
            </w:tcBorders>
            <w:shd w:val="clear" w:color="auto" w:fill="auto"/>
            <w:noWrap/>
            <w:vAlign w:val="center"/>
            <w:hideMark/>
          </w:tcPr>
          <w:p w14:paraId="095568A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4.13</w:t>
            </w:r>
          </w:p>
        </w:tc>
        <w:tc>
          <w:tcPr>
            <w:tcW w:w="560" w:type="dxa"/>
            <w:tcBorders>
              <w:top w:val="nil"/>
              <w:left w:val="nil"/>
              <w:bottom w:val="nil"/>
              <w:right w:val="nil"/>
            </w:tcBorders>
            <w:shd w:val="clear" w:color="auto" w:fill="auto"/>
            <w:noWrap/>
            <w:vAlign w:val="bottom"/>
            <w:hideMark/>
          </w:tcPr>
          <w:p w14:paraId="2C9C247C"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D3078C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22.82</w:t>
            </w:r>
          </w:p>
        </w:tc>
        <w:tc>
          <w:tcPr>
            <w:tcW w:w="560" w:type="dxa"/>
            <w:tcBorders>
              <w:top w:val="nil"/>
              <w:left w:val="nil"/>
              <w:bottom w:val="nil"/>
              <w:right w:val="single" w:sz="4" w:space="0" w:color="auto"/>
            </w:tcBorders>
            <w:shd w:val="clear" w:color="auto" w:fill="auto"/>
            <w:noWrap/>
            <w:vAlign w:val="center"/>
            <w:hideMark/>
          </w:tcPr>
          <w:p w14:paraId="4796019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3.54</w:t>
            </w:r>
          </w:p>
        </w:tc>
      </w:tr>
      <w:tr w:rsidR="0053223B" w:rsidRPr="009F6406" w14:paraId="06211A74"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763EB687"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5EED5619"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Instructional skills</w:t>
            </w:r>
          </w:p>
        </w:tc>
        <w:tc>
          <w:tcPr>
            <w:tcW w:w="560" w:type="dxa"/>
            <w:tcBorders>
              <w:top w:val="nil"/>
              <w:left w:val="single" w:sz="4" w:space="0" w:color="auto"/>
              <w:bottom w:val="nil"/>
              <w:right w:val="nil"/>
            </w:tcBorders>
            <w:shd w:val="clear" w:color="auto" w:fill="auto"/>
            <w:noWrap/>
            <w:vAlign w:val="bottom"/>
            <w:hideMark/>
          </w:tcPr>
          <w:p w14:paraId="520CDD10"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5289A2C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21.67</w:t>
            </w:r>
          </w:p>
        </w:tc>
        <w:tc>
          <w:tcPr>
            <w:tcW w:w="560" w:type="dxa"/>
            <w:tcBorders>
              <w:top w:val="nil"/>
              <w:left w:val="nil"/>
              <w:bottom w:val="nil"/>
              <w:right w:val="single" w:sz="4" w:space="0" w:color="auto"/>
            </w:tcBorders>
            <w:shd w:val="clear" w:color="auto" w:fill="auto"/>
            <w:noWrap/>
            <w:vAlign w:val="center"/>
            <w:hideMark/>
          </w:tcPr>
          <w:p w14:paraId="0537733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2.77</w:t>
            </w:r>
          </w:p>
        </w:tc>
        <w:tc>
          <w:tcPr>
            <w:tcW w:w="560" w:type="dxa"/>
            <w:tcBorders>
              <w:top w:val="nil"/>
              <w:left w:val="nil"/>
              <w:bottom w:val="nil"/>
              <w:right w:val="nil"/>
            </w:tcBorders>
            <w:shd w:val="clear" w:color="auto" w:fill="auto"/>
            <w:noWrap/>
            <w:vAlign w:val="bottom"/>
            <w:hideMark/>
          </w:tcPr>
          <w:p w14:paraId="3B4B7ED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5A4DB5A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15.36</w:t>
            </w:r>
          </w:p>
        </w:tc>
        <w:tc>
          <w:tcPr>
            <w:tcW w:w="560" w:type="dxa"/>
            <w:tcBorders>
              <w:top w:val="nil"/>
              <w:left w:val="nil"/>
              <w:bottom w:val="nil"/>
              <w:right w:val="single" w:sz="4" w:space="0" w:color="auto"/>
            </w:tcBorders>
            <w:shd w:val="clear" w:color="auto" w:fill="auto"/>
            <w:noWrap/>
            <w:vAlign w:val="center"/>
            <w:hideMark/>
          </w:tcPr>
          <w:p w14:paraId="723DABD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3.28</w:t>
            </w:r>
          </w:p>
        </w:tc>
        <w:tc>
          <w:tcPr>
            <w:tcW w:w="560" w:type="dxa"/>
            <w:tcBorders>
              <w:top w:val="nil"/>
              <w:left w:val="nil"/>
              <w:bottom w:val="nil"/>
              <w:right w:val="nil"/>
            </w:tcBorders>
            <w:shd w:val="clear" w:color="auto" w:fill="auto"/>
            <w:noWrap/>
            <w:vAlign w:val="bottom"/>
            <w:hideMark/>
          </w:tcPr>
          <w:p w14:paraId="42F551F5"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5856068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20.00</w:t>
            </w:r>
          </w:p>
        </w:tc>
        <w:tc>
          <w:tcPr>
            <w:tcW w:w="560" w:type="dxa"/>
            <w:tcBorders>
              <w:top w:val="nil"/>
              <w:left w:val="nil"/>
              <w:bottom w:val="nil"/>
              <w:right w:val="single" w:sz="4" w:space="0" w:color="auto"/>
            </w:tcBorders>
            <w:shd w:val="clear" w:color="auto" w:fill="auto"/>
            <w:noWrap/>
            <w:vAlign w:val="center"/>
            <w:hideMark/>
          </w:tcPr>
          <w:p w14:paraId="77458A2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2.56</w:t>
            </w:r>
          </w:p>
        </w:tc>
        <w:tc>
          <w:tcPr>
            <w:tcW w:w="560" w:type="dxa"/>
            <w:tcBorders>
              <w:top w:val="nil"/>
              <w:left w:val="nil"/>
              <w:bottom w:val="nil"/>
              <w:right w:val="nil"/>
            </w:tcBorders>
            <w:shd w:val="clear" w:color="auto" w:fill="auto"/>
            <w:noWrap/>
            <w:vAlign w:val="bottom"/>
            <w:hideMark/>
          </w:tcPr>
          <w:p w14:paraId="41D14EC9"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5C8486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18.09</w:t>
            </w:r>
          </w:p>
        </w:tc>
        <w:tc>
          <w:tcPr>
            <w:tcW w:w="560" w:type="dxa"/>
            <w:tcBorders>
              <w:top w:val="nil"/>
              <w:left w:val="nil"/>
              <w:bottom w:val="nil"/>
              <w:right w:val="single" w:sz="4" w:space="0" w:color="auto"/>
            </w:tcBorders>
            <w:shd w:val="clear" w:color="auto" w:fill="auto"/>
            <w:noWrap/>
            <w:vAlign w:val="center"/>
            <w:hideMark/>
          </w:tcPr>
          <w:p w14:paraId="3F8EEAB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2.17</w:t>
            </w:r>
          </w:p>
        </w:tc>
        <w:tc>
          <w:tcPr>
            <w:tcW w:w="560" w:type="dxa"/>
            <w:tcBorders>
              <w:top w:val="nil"/>
              <w:left w:val="nil"/>
              <w:bottom w:val="nil"/>
              <w:right w:val="nil"/>
            </w:tcBorders>
            <w:shd w:val="clear" w:color="auto" w:fill="auto"/>
            <w:noWrap/>
            <w:vAlign w:val="bottom"/>
            <w:hideMark/>
          </w:tcPr>
          <w:p w14:paraId="68CF5102"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463B47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24.00</w:t>
            </w:r>
          </w:p>
        </w:tc>
        <w:tc>
          <w:tcPr>
            <w:tcW w:w="560" w:type="dxa"/>
            <w:tcBorders>
              <w:top w:val="nil"/>
              <w:left w:val="nil"/>
              <w:bottom w:val="nil"/>
              <w:right w:val="single" w:sz="4" w:space="0" w:color="auto"/>
            </w:tcBorders>
            <w:shd w:val="clear" w:color="auto" w:fill="auto"/>
            <w:noWrap/>
            <w:vAlign w:val="center"/>
            <w:hideMark/>
          </w:tcPr>
          <w:p w14:paraId="300EDA9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3.74</w:t>
            </w:r>
          </w:p>
        </w:tc>
        <w:tc>
          <w:tcPr>
            <w:tcW w:w="560" w:type="dxa"/>
            <w:tcBorders>
              <w:top w:val="nil"/>
              <w:left w:val="nil"/>
              <w:bottom w:val="nil"/>
              <w:right w:val="nil"/>
            </w:tcBorders>
            <w:shd w:val="clear" w:color="auto" w:fill="auto"/>
            <w:noWrap/>
            <w:vAlign w:val="bottom"/>
            <w:hideMark/>
          </w:tcPr>
          <w:p w14:paraId="44E40CCC"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BCBCE5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22.27</w:t>
            </w:r>
          </w:p>
        </w:tc>
        <w:tc>
          <w:tcPr>
            <w:tcW w:w="560" w:type="dxa"/>
            <w:tcBorders>
              <w:top w:val="nil"/>
              <w:left w:val="nil"/>
              <w:bottom w:val="nil"/>
              <w:right w:val="single" w:sz="4" w:space="0" w:color="auto"/>
            </w:tcBorders>
            <w:shd w:val="clear" w:color="auto" w:fill="auto"/>
            <w:noWrap/>
            <w:vAlign w:val="center"/>
            <w:hideMark/>
          </w:tcPr>
          <w:p w14:paraId="54B6DBF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2.57</w:t>
            </w:r>
          </w:p>
        </w:tc>
      </w:tr>
      <w:tr w:rsidR="0053223B" w:rsidRPr="009F6406" w14:paraId="517B7ADA" w14:textId="77777777" w:rsidTr="0053223B">
        <w:trPr>
          <w:trHeight w:val="360"/>
        </w:trPr>
        <w:tc>
          <w:tcPr>
            <w:tcW w:w="760" w:type="dxa"/>
            <w:tcBorders>
              <w:top w:val="nil"/>
              <w:left w:val="single" w:sz="4" w:space="0" w:color="auto"/>
              <w:bottom w:val="nil"/>
              <w:right w:val="nil"/>
            </w:tcBorders>
            <w:shd w:val="clear" w:color="auto" w:fill="auto"/>
            <w:noWrap/>
            <w:vAlign w:val="bottom"/>
            <w:hideMark/>
          </w:tcPr>
          <w:p w14:paraId="3F007C74"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vAlign w:val="center"/>
            <w:hideMark/>
          </w:tcPr>
          <w:p w14:paraId="10B33D5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Promoting active learning &amp; developing metacognitive skills</w:t>
            </w:r>
          </w:p>
        </w:tc>
        <w:tc>
          <w:tcPr>
            <w:tcW w:w="560" w:type="dxa"/>
            <w:tcBorders>
              <w:top w:val="nil"/>
              <w:left w:val="single" w:sz="4" w:space="0" w:color="auto"/>
              <w:bottom w:val="nil"/>
              <w:right w:val="nil"/>
            </w:tcBorders>
            <w:shd w:val="clear" w:color="auto" w:fill="auto"/>
            <w:noWrap/>
            <w:vAlign w:val="bottom"/>
            <w:hideMark/>
          </w:tcPr>
          <w:p w14:paraId="47450C3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EF2A37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29.11</w:t>
            </w:r>
          </w:p>
        </w:tc>
        <w:tc>
          <w:tcPr>
            <w:tcW w:w="560" w:type="dxa"/>
            <w:tcBorders>
              <w:top w:val="nil"/>
              <w:left w:val="nil"/>
              <w:bottom w:val="nil"/>
              <w:right w:val="single" w:sz="4" w:space="0" w:color="auto"/>
            </w:tcBorders>
            <w:shd w:val="clear" w:color="auto" w:fill="auto"/>
            <w:noWrap/>
            <w:vAlign w:val="center"/>
            <w:hideMark/>
          </w:tcPr>
          <w:p w14:paraId="7D763EB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4.68</w:t>
            </w:r>
          </w:p>
        </w:tc>
        <w:tc>
          <w:tcPr>
            <w:tcW w:w="560" w:type="dxa"/>
            <w:tcBorders>
              <w:top w:val="nil"/>
              <w:left w:val="nil"/>
              <w:bottom w:val="nil"/>
              <w:right w:val="nil"/>
            </w:tcBorders>
            <w:shd w:val="clear" w:color="auto" w:fill="auto"/>
            <w:noWrap/>
            <w:vAlign w:val="bottom"/>
            <w:hideMark/>
          </w:tcPr>
          <w:p w14:paraId="3C50993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B12CFB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21.55</w:t>
            </w:r>
          </w:p>
        </w:tc>
        <w:tc>
          <w:tcPr>
            <w:tcW w:w="560" w:type="dxa"/>
            <w:tcBorders>
              <w:top w:val="nil"/>
              <w:left w:val="nil"/>
              <w:bottom w:val="nil"/>
              <w:right w:val="single" w:sz="4" w:space="0" w:color="auto"/>
            </w:tcBorders>
            <w:shd w:val="clear" w:color="auto" w:fill="auto"/>
            <w:noWrap/>
            <w:vAlign w:val="center"/>
            <w:hideMark/>
          </w:tcPr>
          <w:p w14:paraId="1BB849B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4.81</w:t>
            </w:r>
          </w:p>
        </w:tc>
        <w:tc>
          <w:tcPr>
            <w:tcW w:w="560" w:type="dxa"/>
            <w:tcBorders>
              <w:top w:val="nil"/>
              <w:left w:val="nil"/>
              <w:bottom w:val="nil"/>
              <w:right w:val="nil"/>
            </w:tcBorders>
            <w:shd w:val="clear" w:color="auto" w:fill="auto"/>
            <w:noWrap/>
            <w:vAlign w:val="bottom"/>
            <w:hideMark/>
          </w:tcPr>
          <w:p w14:paraId="07F008C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E8EAA3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27.13</w:t>
            </w:r>
          </w:p>
        </w:tc>
        <w:tc>
          <w:tcPr>
            <w:tcW w:w="560" w:type="dxa"/>
            <w:tcBorders>
              <w:top w:val="nil"/>
              <w:left w:val="nil"/>
              <w:bottom w:val="nil"/>
              <w:right w:val="single" w:sz="4" w:space="0" w:color="auto"/>
            </w:tcBorders>
            <w:shd w:val="clear" w:color="auto" w:fill="auto"/>
            <w:noWrap/>
            <w:vAlign w:val="center"/>
            <w:hideMark/>
          </w:tcPr>
          <w:p w14:paraId="6223EE1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6.03</w:t>
            </w:r>
          </w:p>
        </w:tc>
        <w:tc>
          <w:tcPr>
            <w:tcW w:w="560" w:type="dxa"/>
            <w:tcBorders>
              <w:top w:val="nil"/>
              <w:left w:val="nil"/>
              <w:bottom w:val="nil"/>
              <w:right w:val="nil"/>
            </w:tcBorders>
            <w:shd w:val="clear" w:color="auto" w:fill="auto"/>
            <w:noWrap/>
            <w:vAlign w:val="bottom"/>
            <w:hideMark/>
          </w:tcPr>
          <w:p w14:paraId="1771F5D3"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9F050B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24.91</w:t>
            </w:r>
          </w:p>
        </w:tc>
        <w:tc>
          <w:tcPr>
            <w:tcW w:w="560" w:type="dxa"/>
            <w:tcBorders>
              <w:top w:val="nil"/>
              <w:left w:val="nil"/>
              <w:bottom w:val="nil"/>
              <w:right w:val="single" w:sz="4" w:space="0" w:color="auto"/>
            </w:tcBorders>
            <w:shd w:val="clear" w:color="auto" w:fill="auto"/>
            <w:noWrap/>
            <w:vAlign w:val="center"/>
            <w:hideMark/>
          </w:tcPr>
          <w:p w14:paraId="6355EEC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3.18</w:t>
            </w:r>
          </w:p>
        </w:tc>
        <w:tc>
          <w:tcPr>
            <w:tcW w:w="560" w:type="dxa"/>
            <w:tcBorders>
              <w:top w:val="nil"/>
              <w:left w:val="nil"/>
              <w:bottom w:val="nil"/>
              <w:right w:val="nil"/>
            </w:tcBorders>
            <w:shd w:val="clear" w:color="auto" w:fill="auto"/>
            <w:noWrap/>
            <w:vAlign w:val="bottom"/>
            <w:hideMark/>
          </w:tcPr>
          <w:p w14:paraId="72B6F24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6F799CC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37.22</w:t>
            </w:r>
          </w:p>
        </w:tc>
        <w:tc>
          <w:tcPr>
            <w:tcW w:w="560" w:type="dxa"/>
            <w:tcBorders>
              <w:top w:val="nil"/>
              <w:left w:val="nil"/>
              <w:bottom w:val="nil"/>
              <w:right w:val="single" w:sz="4" w:space="0" w:color="auto"/>
            </w:tcBorders>
            <w:shd w:val="clear" w:color="auto" w:fill="auto"/>
            <w:noWrap/>
            <w:vAlign w:val="center"/>
            <w:hideMark/>
          </w:tcPr>
          <w:p w14:paraId="277F87D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5.47</w:t>
            </w:r>
          </w:p>
        </w:tc>
        <w:tc>
          <w:tcPr>
            <w:tcW w:w="560" w:type="dxa"/>
            <w:tcBorders>
              <w:top w:val="nil"/>
              <w:left w:val="nil"/>
              <w:bottom w:val="nil"/>
              <w:right w:val="nil"/>
            </w:tcBorders>
            <w:shd w:val="clear" w:color="auto" w:fill="auto"/>
            <w:noWrap/>
            <w:vAlign w:val="bottom"/>
            <w:hideMark/>
          </w:tcPr>
          <w:p w14:paraId="628AC99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165D16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34.09</w:t>
            </w:r>
          </w:p>
        </w:tc>
        <w:tc>
          <w:tcPr>
            <w:tcW w:w="560" w:type="dxa"/>
            <w:tcBorders>
              <w:top w:val="nil"/>
              <w:left w:val="nil"/>
              <w:bottom w:val="nil"/>
              <w:right w:val="single" w:sz="4" w:space="0" w:color="auto"/>
            </w:tcBorders>
            <w:shd w:val="clear" w:color="auto" w:fill="auto"/>
            <w:noWrap/>
            <w:vAlign w:val="center"/>
            <w:hideMark/>
          </w:tcPr>
          <w:p w14:paraId="3A1EFA7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4.32</w:t>
            </w:r>
          </w:p>
        </w:tc>
      </w:tr>
      <w:tr w:rsidR="0053223B" w:rsidRPr="009F6406" w14:paraId="60718323"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0924D76A"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6568A54B"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Classroom climate</w:t>
            </w:r>
          </w:p>
        </w:tc>
        <w:tc>
          <w:tcPr>
            <w:tcW w:w="560" w:type="dxa"/>
            <w:tcBorders>
              <w:top w:val="nil"/>
              <w:left w:val="single" w:sz="4" w:space="0" w:color="auto"/>
              <w:bottom w:val="nil"/>
              <w:right w:val="nil"/>
            </w:tcBorders>
            <w:shd w:val="clear" w:color="auto" w:fill="auto"/>
            <w:noWrap/>
            <w:vAlign w:val="bottom"/>
            <w:hideMark/>
          </w:tcPr>
          <w:p w14:paraId="7A9A196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4CD07C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35.22</w:t>
            </w:r>
          </w:p>
        </w:tc>
        <w:tc>
          <w:tcPr>
            <w:tcW w:w="560" w:type="dxa"/>
            <w:tcBorders>
              <w:top w:val="nil"/>
              <w:left w:val="nil"/>
              <w:bottom w:val="nil"/>
              <w:right w:val="single" w:sz="4" w:space="0" w:color="auto"/>
            </w:tcBorders>
            <w:shd w:val="clear" w:color="auto" w:fill="auto"/>
            <w:noWrap/>
            <w:vAlign w:val="center"/>
            <w:hideMark/>
          </w:tcPr>
          <w:p w14:paraId="48B0B0F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5.99</w:t>
            </w:r>
          </w:p>
        </w:tc>
        <w:tc>
          <w:tcPr>
            <w:tcW w:w="560" w:type="dxa"/>
            <w:tcBorders>
              <w:top w:val="nil"/>
              <w:left w:val="nil"/>
              <w:bottom w:val="nil"/>
              <w:right w:val="nil"/>
            </w:tcBorders>
            <w:shd w:val="clear" w:color="auto" w:fill="auto"/>
            <w:noWrap/>
            <w:vAlign w:val="bottom"/>
            <w:hideMark/>
          </w:tcPr>
          <w:p w14:paraId="3D81D2BD"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87E82C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28.09</w:t>
            </w:r>
          </w:p>
        </w:tc>
        <w:tc>
          <w:tcPr>
            <w:tcW w:w="560" w:type="dxa"/>
            <w:tcBorders>
              <w:top w:val="nil"/>
              <w:left w:val="nil"/>
              <w:bottom w:val="nil"/>
              <w:right w:val="single" w:sz="4" w:space="0" w:color="auto"/>
            </w:tcBorders>
            <w:shd w:val="clear" w:color="auto" w:fill="auto"/>
            <w:noWrap/>
            <w:vAlign w:val="center"/>
            <w:hideMark/>
          </w:tcPr>
          <w:p w14:paraId="686C48F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5.36</w:t>
            </w:r>
          </w:p>
        </w:tc>
        <w:tc>
          <w:tcPr>
            <w:tcW w:w="560" w:type="dxa"/>
            <w:tcBorders>
              <w:top w:val="nil"/>
              <w:left w:val="nil"/>
              <w:bottom w:val="nil"/>
              <w:right w:val="nil"/>
            </w:tcBorders>
            <w:shd w:val="clear" w:color="auto" w:fill="auto"/>
            <w:noWrap/>
            <w:vAlign w:val="bottom"/>
            <w:hideMark/>
          </w:tcPr>
          <w:p w14:paraId="1D37ED72"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59CED5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34.63</w:t>
            </w:r>
          </w:p>
        </w:tc>
        <w:tc>
          <w:tcPr>
            <w:tcW w:w="560" w:type="dxa"/>
            <w:tcBorders>
              <w:top w:val="nil"/>
              <w:left w:val="nil"/>
              <w:bottom w:val="nil"/>
              <w:right w:val="single" w:sz="4" w:space="0" w:color="auto"/>
            </w:tcBorders>
            <w:shd w:val="clear" w:color="auto" w:fill="auto"/>
            <w:noWrap/>
            <w:vAlign w:val="center"/>
            <w:hideMark/>
          </w:tcPr>
          <w:p w14:paraId="704A85B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3.62</w:t>
            </w:r>
          </w:p>
        </w:tc>
        <w:tc>
          <w:tcPr>
            <w:tcW w:w="560" w:type="dxa"/>
            <w:tcBorders>
              <w:top w:val="nil"/>
              <w:left w:val="nil"/>
              <w:bottom w:val="nil"/>
              <w:right w:val="nil"/>
            </w:tcBorders>
            <w:shd w:val="clear" w:color="auto" w:fill="auto"/>
            <w:noWrap/>
            <w:vAlign w:val="bottom"/>
            <w:hideMark/>
          </w:tcPr>
          <w:p w14:paraId="75F8862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5A3FB41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32.91</w:t>
            </w:r>
          </w:p>
        </w:tc>
        <w:tc>
          <w:tcPr>
            <w:tcW w:w="560" w:type="dxa"/>
            <w:tcBorders>
              <w:top w:val="nil"/>
              <w:left w:val="nil"/>
              <w:bottom w:val="nil"/>
              <w:right w:val="single" w:sz="4" w:space="0" w:color="auto"/>
            </w:tcBorders>
            <w:shd w:val="clear" w:color="auto" w:fill="auto"/>
            <w:noWrap/>
            <w:vAlign w:val="center"/>
            <w:hideMark/>
          </w:tcPr>
          <w:p w14:paraId="58EC2D5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3.70</w:t>
            </w:r>
          </w:p>
        </w:tc>
        <w:tc>
          <w:tcPr>
            <w:tcW w:w="560" w:type="dxa"/>
            <w:tcBorders>
              <w:top w:val="nil"/>
              <w:left w:val="nil"/>
              <w:bottom w:val="nil"/>
              <w:right w:val="nil"/>
            </w:tcBorders>
            <w:shd w:val="clear" w:color="auto" w:fill="auto"/>
            <w:noWrap/>
            <w:vAlign w:val="bottom"/>
            <w:hideMark/>
          </w:tcPr>
          <w:p w14:paraId="779561A3"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8CF990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35.89</w:t>
            </w:r>
          </w:p>
        </w:tc>
        <w:tc>
          <w:tcPr>
            <w:tcW w:w="560" w:type="dxa"/>
            <w:tcBorders>
              <w:top w:val="nil"/>
              <w:left w:val="nil"/>
              <w:bottom w:val="nil"/>
              <w:right w:val="single" w:sz="4" w:space="0" w:color="auto"/>
            </w:tcBorders>
            <w:shd w:val="clear" w:color="auto" w:fill="auto"/>
            <w:noWrap/>
            <w:vAlign w:val="center"/>
            <w:hideMark/>
          </w:tcPr>
          <w:p w14:paraId="0F2EBAA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5.97</w:t>
            </w:r>
          </w:p>
        </w:tc>
        <w:tc>
          <w:tcPr>
            <w:tcW w:w="560" w:type="dxa"/>
            <w:tcBorders>
              <w:top w:val="nil"/>
              <w:left w:val="nil"/>
              <w:bottom w:val="nil"/>
              <w:right w:val="nil"/>
            </w:tcBorders>
            <w:shd w:val="clear" w:color="auto" w:fill="auto"/>
            <w:noWrap/>
            <w:vAlign w:val="bottom"/>
            <w:hideMark/>
          </w:tcPr>
          <w:p w14:paraId="0EBA4320"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AADE28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33.00</w:t>
            </w:r>
          </w:p>
        </w:tc>
        <w:tc>
          <w:tcPr>
            <w:tcW w:w="560" w:type="dxa"/>
            <w:tcBorders>
              <w:top w:val="nil"/>
              <w:left w:val="nil"/>
              <w:bottom w:val="nil"/>
              <w:right w:val="single" w:sz="4" w:space="0" w:color="auto"/>
            </w:tcBorders>
            <w:shd w:val="clear" w:color="auto" w:fill="auto"/>
            <w:noWrap/>
            <w:vAlign w:val="center"/>
            <w:hideMark/>
          </w:tcPr>
          <w:p w14:paraId="1BD89FA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5.10</w:t>
            </w:r>
          </w:p>
        </w:tc>
      </w:tr>
      <w:tr w:rsidR="0053223B" w:rsidRPr="009F6406" w14:paraId="2DC0823B" w14:textId="77777777" w:rsidTr="0053223B">
        <w:trPr>
          <w:trHeight w:val="300"/>
        </w:trPr>
        <w:tc>
          <w:tcPr>
            <w:tcW w:w="760" w:type="dxa"/>
            <w:tcBorders>
              <w:top w:val="nil"/>
              <w:left w:val="single" w:sz="4" w:space="0" w:color="auto"/>
              <w:bottom w:val="single" w:sz="4" w:space="0" w:color="auto"/>
              <w:right w:val="nil"/>
            </w:tcBorders>
            <w:shd w:val="clear" w:color="auto" w:fill="auto"/>
            <w:noWrap/>
            <w:vAlign w:val="bottom"/>
            <w:hideMark/>
          </w:tcPr>
          <w:p w14:paraId="7DC0BBC4"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single" w:sz="4" w:space="0" w:color="auto"/>
              <w:right w:val="nil"/>
            </w:tcBorders>
            <w:shd w:val="clear" w:color="auto" w:fill="auto"/>
            <w:noWrap/>
            <w:vAlign w:val="center"/>
            <w:hideMark/>
          </w:tcPr>
          <w:p w14:paraId="65F0372D"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Classroom management</w:t>
            </w:r>
          </w:p>
        </w:tc>
        <w:tc>
          <w:tcPr>
            <w:tcW w:w="560" w:type="dxa"/>
            <w:tcBorders>
              <w:top w:val="nil"/>
              <w:left w:val="single" w:sz="4" w:space="0" w:color="auto"/>
              <w:bottom w:val="single" w:sz="4" w:space="0" w:color="auto"/>
              <w:right w:val="nil"/>
            </w:tcBorders>
            <w:shd w:val="clear" w:color="auto" w:fill="auto"/>
            <w:noWrap/>
            <w:vAlign w:val="bottom"/>
            <w:hideMark/>
          </w:tcPr>
          <w:p w14:paraId="4B81A59E"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47BB8A4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28.11</w:t>
            </w:r>
          </w:p>
        </w:tc>
        <w:tc>
          <w:tcPr>
            <w:tcW w:w="560" w:type="dxa"/>
            <w:tcBorders>
              <w:top w:val="nil"/>
              <w:left w:val="nil"/>
              <w:bottom w:val="single" w:sz="4" w:space="0" w:color="auto"/>
              <w:right w:val="single" w:sz="4" w:space="0" w:color="auto"/>
            </w:tcBorders>
            <w:shd w:val="clear" w:color="auto" w:fill="auto"/>
            <w:noWrap/>
            <w:vAlign w:val="center"/>
            <w:hideMark/>
          </w:tcPr>
          <w:p w14:paraId="00B54EA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3.24</w:t>
            </w:r>
          </w:p>
        </w:tc>
        <w:tc>
          <w:tcPr>
            <w:tcW w:w="560" w:type="dxa"/>
            <w:tcBorders>
              <w:top w:val="nil"/>
              <w:left w:val="nil"/>
              <w:bottom w:val="single" w:sz="4" w:space="0" w:color="auto"/>
              <w:right w:val="nil"/>
            </w:tcBorders>
            <w:shd w:val="clear" w:color="auto" w:fill="auto"/>
            <w:noWrap/>
            <w:vAlign w:val="bottom"/>
            <w:hideMark/>
          </w:tcPr>
          <w:p w14:paraId="4697AD6B"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43E4BDA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21.45</w:t>
            </w:r>
          </w:p>
        </w:tc>
        <w:tc>
          <w:tcPr>
            <w:tcW w:w="560" w:type="dxa"/>
            <w:tcBorders>
              <w:top w:val="nil"/>
              <w:left w:val="nil"/>
              <w:bottom w:val="single" w:sz="4" w:space="0" w:color="auto"/>
              <w:right w:val="single" w:sz="4" w:space="0" w:color="auto"/>
            </w:tcBorders>
            <w:shd w:val="clear" w:color="auto" w:fill="auto"/>
            <w:noWrap/>
            <w:vAlign w:val="center"/>
            <w:hideMark/>
          </w:tcPr>
          <w:p w14:paraId="394CCEE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3.48</w:t>
            </w:r>
          </w:p>
        </w:tc>
        <w:tc>
          <w:tcPr>
            <w:tcW w:w="560" w:type="dxa"/>
            <w:tcBorders>
              <w:top w:val="nil"/>
              <w:left w:val="nil"/>
              <w:bottom w:val="single" w:sz="4" w:space="0" w:color="auto"/>
              <w:right w:val="nil"/>
            </w:tcBorders>
            <w:shd w:val="clear" w:color="auto" w:fill="auto"/>
            <w:noWrap/>
            <w:vAlign w:val="bottom"/>
            <w:hideMark/>
          </w:tcPr>
          <w:p w14:paraId="52A9DA2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592284B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26.00</w:t>
            </w:r>
          </w:p>
        </w:tc>
        <w:tc>
          <w:tcPr>
            <w:tcW w:w="560" w:type="dxa"/>
            <w:tcBorders>
              <w:top w:val="nil"/>
              <w:left w:val="nil"/>
              <w:bottom w:val="single" w:sz="4" w:space="0" w:color="auto"/>
              <w:right w:val="single" w:sz="4" w:space="0" w:color="auto"/>
            </w:tcBorders>
            <w:shd w:val="clear" w:color="auto" w:fill="auto"/>
            <w:noWrap/>
            <w:vAlign w:val="center"/>
            <w:hideMark/>
          </w:tcPr>
          <w:p w14:paraId="1C4996E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6.70</w:t>
            </w:r>
          </w:p>
        </w:tc>
        <w:tc>
          <w:tcPr>
            <w:tcW w:w="560" w:type="dxa"/>
            <w:tcBorders>
              <w:top w:val="nil"/>
              <w:left w:val="nil"/>
              <w:bottom w:val="single" w:sz="4" w:space="0" w:color="auto"/>
              <w:right w:val="nil"/>
            </w:tcBorders>
            <w:shd w:val="clear" w:color="auto" w:fill="auto"/>
            <w:noWrap/>
            <w:vAlign w:val="bottom"/>
            <w:hideMark/>
          </w:tcPr>
          <w:p w14:paraId="4E2EE785"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7874BDB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25.27</w:t>
            </w:r>
          </w:p>
        </w:tc>
        <w:tc>
          <w:tcPr>
            <w:tcW w:w="560" w:type="dxa"/>
            <w:tcBorders>
              <w:top w:val="nil"/>
              <w:left w:val="nil"/>
              <w:bottom w:val="single" w:sz="4" w:space="0" w:color="auto"/>
              <w:right w:val="single" w:sz="4" w:space="0" w:color="auto"/>
            </w:tcBorders>
            <w:shd w:val="clear" w:color="auto" w:fill="auto"/>
            <w:noWrap/>
            <w:vAlign w:val="center"/>
            <w:hideMark/>
          </w:tcPr>
          <w:p w14:paraId="319F24F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2.97</w:t>
            </w:r>
          </w:p>
        </w:tc>
        <w:tc>
          <w:tcPr>
            <w:tcW w:w="560" w:type="dxa"/>
            <w:tcBorders>
              <w:top w:val="nil"/>
              <w:left w:val="nil"/>
              <w:bottom w:val="single" w:sz="4" w:space="0" w:color="auto"/>
              <w:right w:val="nil"/>
            </w:tcBorders>
            <w:shd w:val="clear" w:color="auto" w:fill="auto"/>
            <w:noWrap/>
            <w:vAlign w:val="bottom"/>
            <w:hideMark/>
          </w:tcPr>
          <w:p w14:paraId="415A11F0"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376F07D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28.78</w:t>
            </w:r>
          </w:p>
        </w:tc>
        <w:tc>
          <w:tcPr>
            <w:tcW w:w="560" w:type="dxa"/>
            <w:tcBorders>
              <w:top w:val="nil"/>
              <w:left w:val="nil"/>
              <w:bottom w:val="single" w:sz="4" w:space="0" w:color="auto"/>
              <w:right w:val="single" w:sz="4" w:space="0" w:color="auto"/>
            </w:tcBorders>
            <w:shd w:val="clear" w:color="auto" w:fill="auto"/>
            <w:noWrap/>
            <w:vAlign w:val="center"/>
            <w:hideMark/>
          </w:tcPr>
          <w:p w14:paraId="398CB34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6.18</w:t>
            </w:r>
          </w:p>
        </w:tc>
        <w:tc>
          <w:tcPr>
            <w:tcW w:w="560" w:type="dxa"/>
            <w:tcBorders>
              <w:top w:val="nil"/>
              <w:left w:val="nil"/>
              <w:bottom w:val="single" w:sz="4" w:space="0" w:color="auto"/>
              <w:right w:val="nil"/>
            </w:tcBorders>
            <w:shd w:val="clear" w:color="auto" w:fill="auto"/>
            <w:noWrap/>
            <w:vAlign w:val="bottom"/>
            <w:hideMark/>
          </w:tcPr>
          <w:p w14:paraId="65C65B0B"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059FB44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26.00</w:t>
            </w:r>
          </w:p>
        </w:tc>
        <w:tc>
          <w:tcPr>
            <w:tcW w:w="560" w:type="dxa"/>
            <w:tcBorders>
              <w:top w:val="nil"/>
              <w:left w:val="nil"/>
              <w:bottom w:val="single" w:sz="4" w:space="0" w:color="auto"/>
              <w:right w:val="single" w:sz="4" w:space="0" w:color="auto"/>
            </w:tcBorders>
            <w:shd w:val="clear" w:color="auto" w:fill="auto"/>
            <w:noWrap/>
            <w:vAlign w:val="center"/>
            <w:hideMark/>
          </w:tcPr>
          <w:p w14:paraId="5AD4B8C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3.74</w:t>
            </w:r>
          </w:p>
        </w:tc>
      </w:tr>
      <w:tr w:rsidR="0053223B" w:rsidRPr="009F6406" w14:paraId="56369427"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4D50DB2A"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MECORS</w:t>
            </w:r>
          </w:p>
        </w:tc>
        <w:tc>
          <w:tcPr>
            <w:tcW w:w="2920" w:type="dxa"/>
            <w:tcBorders>
              <w:top w:val="nil"/>
              <w:left w:val="single" w:sz="4" w:space="0" w:color="auto"/>
              <w:bottom w:val="nil"/>
              <w:right w:val="nil"/>
            </w:tcBorders>
            <w:shd w:val="clear" w:color="auto" w:fill="auto"/>
            <w:noWrap/>
            <w:vAlign w:val="center"/>
            <w:hideMark/>
          </w:tcPr>
          <w:p w14:paraId="31F4A9E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Uses classroom management</w:t>
            </w:r>
          </w:p>
        </w:tc>
        <w:tc>
          <w:tcPr>
            <w:tcW w:w="560" w:type="dxa"/>
            <w:tcBorders>
              <w:top w:val="nil"/>
              <w:left w:val="single" w:sz="4" w:space="0" w:color="auto"/>
              <w:bottom w:val="nil"/>
              <w:right w:val="nil"/>
            </w:tcBorders>
            <w:shd w:val="clear" w:color="auto" w:fill="auto"/>
            <w:noWrap/>
            <w:vAlign w:val="bottom"/>
            <w:hideMark/>
          </w:tcPr>
          <w:p w14:paraId="1227065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E2B285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19.56</w:t>
            </w:r>
          </w:p>
        </w:tc>
        <w:tc>
          <w:tcPr>
            <w:tcW w:w="560" w:type="dxa"/>
            <w:tcBorders>
              <w:top w:val="nil"/>
              <w:left w:val="nil"/>
              <w:bottom w:val="nil"/>
              <w:right w:val="single" w:sz="4" w:space="0" w:color="auto"/>
            </w:tcBorders>
            <w:shd w:val="clear" w:color="auto" w:fill="auto"/>
            <w:noWrap/>
            <w:vAlign w:val="center"/>
            <w:hideMark/>
          </w:tcPr>
          <w:p w14:paraId="58B8AC8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2.04</w:t>
            </w:r>
          </w:p>
        </w:tc>
        <w:tc>
          <w:tcPr>
            <w:tcW w:w="560" w:type="dxa"/>
            <w:tcBorders>
              <w:top w:val="nil"/>
              <w:left w:val="nil"/>
              <w:bottom w:val="nil"/>
              <w:right w:val="nil"/>
            </w:tcBorders>
            <w:shd w:val="clear" w:color="auto" w:fill="auto"/>
            <w:noWrap/>
            <w:vAlign w:val="bottom"/>
            <w:hideMark/>
          </w:tcPr>
          <w:p w14:paraId="3FBEFBED"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CD380E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15.18</w:t>
            </w:r>
          </w:p>
        </w:tc>
        <w:tc>
          <w:tcPr>
            <w:tcW w:w="560" w:type="dxa"/>
            <w:tcBorders>
              <w:top w:val="nil"/>
              <w:left w:val="nil"/>
              <w:bottom w:val="nil"/>
              <w:right w:val="single" w:sz="4" w:space="0" w:color="auto"/>
            </w:tcBorders>
            <w:shd w:val="clear" w:color="auto" w:fill="auto"/>
            <w:noWrap/>
            <w:vAlign w:val="center"/>
            <w:hideMark/>
          </w:tcPr>
          <w:p w14:paraId="7903D9A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3.81</w:t>
            </w:r>
          </w:p>
        </w:tc>
        <w:tc>
          <w:tcPr>
            <w:tcW w:w="560" w:type="dxa"/>
            <w:tcBorders>
              <w:top w:val="nil"/>
              <w:left w:val="nil"/>
              <w:bottom w:val="nil"/>
              <w:right w:val="nil"/>
            </w:tcBorders>
            <w:shd w:val="clear" w:color="auto" w:fill="auto"/>
            <w:noWrap/>
            <w:vAlign w:val="bottom"/>
            <w:hideMark/>
          </w:tcPr>
          <w:p w14:paraId="23C2CCEB"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33C0BA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21.75</w:t>
            </w:r>
          </w:p>
        </w:tc>
        <w:tc>
          <w:tcPr>
            <w:tcW w:w="560" w:type="dxa"/>
            <w:tcBorders>
              <w:top w:val="nil"/>
              <w:left w:val="nil"/>
              <w:bottom w:val="nil"/>
              <w:right w:val="single" w:sz="4" w:space="0" w:color="auto"/>
            </w:tcBorders>
            <w:shd w:val="clear" w:color="auto" w:fill="auto"/>
            <w:noWrap/>
            <w:vAlign w:val="center"/>
            <w:hideMark/>
          </w:tcPr>
          <w:p w14:paraId="31977C3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4.03</w:t>
            </w:r>
          </w:p>
        </w:tc>
        <w:tc>
          <w:tcPr>
            <w:tcW w:w="560" w:type="dxa"/>
            <w:tcBorders>
              <w:top w:val="nil"/>
              <w:left w:val="nil"/>
              <w:bottom w:val="nil"/>
              <w:right w:val="nil"/>
            </w:tcBorders>
            <w:shd w:val="clear" w:color="auto" w:fill="auto"/>
            <w:noWrap/>
            <w:vAlign w:val="bottom"/>
            <w:hideMark/>
          </w:tcPr>
          <w:p w14:paraId="1B859B43"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6FA209D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19.64</w:t>
            </w:r>
          </w:p>
        </w:tc>
        <w:tc>
          <w:tcPr>
            <w:tcW w:w="560" w:type="dxa"/>
            <w:tcBorders>
              <w:top w:val="nil"/>
              <w:left w:val="nil"/>
              <w:bottom w:val="nil"/>
              <w:right w:val="single" w:sz="4" w:space="0" w:color="auto"/>
            </w:tcBorders>
            <w:shd w:val="clear" w:color="auto" w:fill="auto"/>
            <w:noWrap/>
            <w:vAlign w:val="center"/>
            <w:hideMark/>
          </w:tcPr>
          <w:p w14:paraId="365F84C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2.06</w:t>
            </w:r>
          </w:p>
        </w:tc>
        <w:tc>
          <w:tcPr>
            <w:tcW w:w="560" w:type="dxa"/>
            <w:tcBorders>
              <w:top w:val="nil"/>
              <w:left w:val="nil"/>
              <w:bottom w:val="nil"/>
              <w:right w:val="nil"/>
            </w:tcBorders>
            <w:shd w:val="clear" w:color="auto" w:fill="auto"/>
            <w:noWrap/>
            <w:vAlign w:val="bottom"/>
            <w:hideMark/>
          </w:tcPr>
          <w:p w14:paraId="09755E59"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6B13B9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21.00</w:t>
            </w:r>
          </w:p>
        </w:tc>
        <w:tc>
          <w:tcPr>
            <w:tcW w:w="560" w:type="dxa"/>
            <w:tcBorders>
              <w:top w:val="nil"/>
              <w:left w:val="nil"/>
              <w:bottom w:val="nil"/>
              <w:right w:val="single" w:sz="4" w:space="0" w:color="auto"/>
            </w:tcBorders>
            <w:shd w:val="clear" w:color="auto" w:fill="auto"/>
            <w:noWrap/>
            <w:vAlign w:val="center"/>
            <w:hideMark/>
          </w:tcPr>
          <w:p w14:paraId="0847359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5.10</w:t>
            </w:r>
          </w:p>
        </w:tc>
        <w:tc>
          <w:tcPr>
            <w:tcW w:w="560" w:type="dxa"/>
            <w:tcBorders>
              <w:top w:val="nil"/>
              <w:left w:val="nil"/>
              <w:bottom w:val="nil"/>
              <w:right w:val="nil"/>
            </w:tcBorders>
            <w:shd w:val="clear" w:color="auto" w:fill="auto"/>
            <w:noWrap/>
            <w:vAlign w:val="bottom"/>
            <w:hideMark/>
          </w:tcPr>
          <w:p w14:paraId="2EDEDA50"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669F25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20.18</w:t>
            </w:r>
          </w:p>
        </w:tc>
        <w:tc>
          <w:tcPr>
            <w:tcW w:w="560" w:type="dxa"/>
            <w:tcBorders>
              <w:top w:val="nil"/>
              <w:left w:val="nil"/>
              <w:bottom w:val="nil"/>
              <w:right w:val="single" w:sz="4" w:space="0" w:color="auto"/>
            </w:tcBorders>
            <w:shd w:val="clear" w:color="auto" w:fill="auto"/>
            <w:noWrap/>
            <w:vAlign w:val="center"/>
            <w:hideMark/>
          </w:tcPr>
          <w:p w14:paraId="19831E8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2.75</w:t>
            </w:r>
          </w:p>
        </w:tc>
      </w:tr>
      <w:tr w:rsidR="0053223B" w:rsidRPr="009F6406" w14:paraId="264CD15A"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06DE9315"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23BD4A39"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Maintains appropriate classroom behavior</w:t>
            </w:r>
          </w:p>
        </w:tc>
        <w:tc>
          <w:tcPr>
            <w:tcW w:w="560" w:type="dxa"/>
            <w:tcBorders>
              <w:top w:val="nil"/>
              <w:left w:val="single" w:sz="4" w:space="0" w:color="auto"/>
              <w:bottom w:val="nil"/>
              <w:right w:val="nil"/>
            </w:tcBorders>
            <w:shd w:val="clear" w:color="auto" w:fill="auto"/>
            <w:noWrap/>
            <w:vAlign w:val="bottom"/>
            <w:hideMark/>
          </w:tcPr>
          <w:p w14:paraId="2FD52C0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2006A85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18.33</w:t>
            </w:r>
          </w:p>
        </w:tc>
        <w:tc>
          <w:tcPr>
            <w:tcW w:w="560" w:type="dxa"/>
            <w:tcBorders>
              <w:top w:val="nil"/>
              <w:left w:val="nil"/>
              <w:bottom w:val="nil"/>
              <w:right w:val="single" w:sz="4" w:space="0" w:color="auto"/>
            </w:tcBorders>
            <w:shd w:val="clear" w:color="auto" w:fill="auto"/>
            <w:noWrap/>
            <w:vAlign w:val="center"/>
            <w:hideMark/>
          </w:tcPr>
          <w:p w14:paraId="3A73DF8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2.95</w:t>
            </w:r>
          </w:p>
        </w:tc>
        <w:tc>
          <w:tcPr>
            <w:tcW w:w="560" w:type="dxa"/>
            <w:tcBorders>
              <w:top w:val="nil"/>
              <w:left w:val="nil"/>
              <w:bottom w:val="nil"/>
              <w:right w:val="nil"/>
            </w:tcBorders>
            <w:shd w:val="clear" w:color="auto" w:fill="auto"/>
            <w:noWrap/>
            <w:vAlign w:val="bottom"/>
            <w:hideMark/>
          </w:tcPr>
          <w:p w14:paraId="0A52148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9EB6A6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15.91</w:t>
            </w:r>
          </w:p>
        </w:tc>
        <w:tc>
          <w:tcPr>
            <w:tcW w:w="560" w:type="dxa"/>
            <w:tcBorders>
              <w:top w:val="nil"/>
              <w:left w:val="nil"/>
              <w:bottom w:val="nil"/>
              <w:right w:val="single" w:sz="4" w:space="0" w:color="auto"/>
            </w:tcBorders>
            <w:shd w:val="clear" w:color="auto" w:fill="auto"/>
            <w:noWrap/>
            <w:vAlign w:val="center"/>
            <w:hideMark/>
          </w:tcPr>
          <w:p w14:paraId="275C8FB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3.16</w:t>
            </w:r>
          </w:p>
        </w:tc>
        <w:tc>
          <w:tcPr>
            <w:tcW w:w="560" w:type="dxa"/>
            <w:tcBorders>
              <w:top w:val="nil"/>
              <w:left w:val="nil"/>
              <w:bottom w:val="nil"/>
              <w:right w:val="nil"/>
            </w:tcBorders>
            <w:shd w:val="clear" w:color="auto" w:fill="auto"/>
            <w:noWrap/>
            <w:vAlign w:val="bottom"/>
            <w:hideMark/>
          </w:tcPr>
          <w:p w14:paraId="2502F53E"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D870C1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19.88</w:t>
            </w:r>
          </w:p>
        </w:tc>
        <w:tc>
          <w:tcPr>
            <w:tcW w:w="560" w:type="dxa"/>
            <w:tcBorders>
              <w:top w:val="nil"/>
              <w:left w:val="nil"/>
              <w:bottom w:val="nil"/>
              <w:right w:val="single" w:sz="4" w:space="0" w:color="auto"/>
            </w:tcBorders>
            <w:shd w:val="clear" w:color="auto" w:fill="auto"/>
            <w:noWrap/>
            <w:vAlign w:val="center"/>
            <w:hideMark/>
          </w:tcPr>
          <w:p w14:paraId="40E87E0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3.60</w:t>
            </w:r>
          </w:p>
        </w:tc>
        <w:tc>
          <w:tcPr>
            <w:tcW w:w="560" w:type="dxa"/>
            <w:tcBorders>
              <w:top w:val="nil"/>
              <w:left w:val="nil"/>
              <w:bottom w:val="nil"/>
              <w:right w:val="nil"/>
            </w:tcBorders>
            <w:shd w:val="clear" w:color="auto" w:fill="auto"/>
            <w:noWrap/>
            <w:vAlign w:val="bottom"/>
            <w:hideMark/>
          </w:tcPr>
          <w:p w14:paraId="323826D1"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2F35E9F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18.18</w:t>
            </w:r>
          </w:p>
        </w:tc>
        <w:tc>
          <w:tcPr>
            <w:tcW w:w="560" w:type="dxa"/>
            <w:tcBorders>
              <w:top w:val="nil"/>
              <w:left w:val="nil"/>
              <w:bottom w:val="nil"/>
              <w:right w:val="single" w:sz="4" w:space="0" w:color="auto"/>
            </w:tcBorders>
            <w:shd w:val="clear" w:color="auto" w:fill="auto"/>
            <w:noWrap/>
            <w:vAlign w:val="center"/>
            <w:hideMark/>
          </w:tcPr>
          <w:p w14:paraId="425D212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2.18</w:t>
            </w:r>
          </w:p>
        </w:tc>
        <w:tc>
          <w:tcPr>
            <w:tcW w:w="560" w:type="dxa"/>
            <w:tcBorders>
              <w:top w:val="nil"/>
              <w:left w:val="nil"/>
              <w:bottom w:val="nil"/>
              <w:right w:val="nil"/>
            </w:tcBorders>
            <w:shd w:val="clear" w:color="auto" w:fill="auto"/>
            <w:noWrap/>
            <w:vAlign w:val="bottom"/>
            <w:hideMark/>
          </w:tcPr>
          <w:p w14:paraId="09CE14D7"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20221A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20.78</w:t>
            </w:r>
          </w:p>
        </w:tc>
        <w:tc>
          <w:tcPr>
            <w:tcW w:w="560" w:type="dxa"/>
            <w:tcBorders>
              <w:top w:val="nil"/>
              <w:left w:val="nil"/>
              <w:bottom w:val="nil"/>
              <w:right w:val="single" w:sz="4" w:space="0" w:color="auto"/>
            </w:tcBorders>
            <w:shd w:val="clear" w:color="auto" w:fill="auto"/>
            <w:noWrap/>
            <w:vAlign w:val="center"/>
            <w:hideMark/>
          </w:tcPr>
          <w:p w14:paraId="66D190D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4.06</w:t>
            </w:r>
          </w:p>
        </w:tc>
        <w:tc>
          <w:tcPr>
            <w:tcW w:w="560" w:type="dxa"/>
            <w:tcBorders>
              <w:top w:val="nil"/>
              <w:left w:val="nil"/>
              <w:bottom w:val="nil"/>
              <w:right w:val="nil"/>
            </w:tcBorders>
            <w:shd w:val="clear" w:color="auto" w:fill="auto"/>
            <w:noWrap/>
            <w:vAlign w:val="bottom"/>
            <w:hideMark/>
          </w:tcPr>
          <w:p w14:paraId="10AEFA3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23C14BC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19.91</w:t>
            </w:r>
          </w:p>
        </w:tc>
        <w:tc>
          <w:tcPr>
            <w:tcW w:w="560" w:type="dxa"/>
            <w:tcBorders>
              <w:top w:val="nil"/>
              <w:left w:val="nil"/>
              <w:bottom w:val="nil"/>
              <w:right w:val="single" w:sz="4" w:space="0" w:color="auto"/>
            </w:tcBorders>
            <w:shd w:val="clear" w:color="auto" w:fill="auto"/>
            <w:noWrap/>
            <w:vAlign w:val="center"/>
            <w:hideMark/>
          </w:tcPr>
          <w:p w14:paraId="49859FB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2.84</w:t>
            </w:r>
          </w:p>
        </w:tc>
      </w:tr>
      <w:tr w:rsidR="0053223B" w:rsidRPr="009F6406" w14:paraId="52BF7845"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6C082111"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0EE96BE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Focuses and maintains attention on lesson</w:t>
            </w:r>
          </w:p>
        </w:tc>
        <w:tc>
          <w:tcPr>
            <w:tcW w:w="560" w:type="dxa"/>
            <w:tcBorders>
              <w:top w:val="nil"/>
              <w:left w:val="single" w:sz="4" w:space="0" w:color="auto"/>
              <w:bottom w:val="nil"/>
              <w:right w:val="nil"/>
            </w:tcBorders>
            <w:shd w:val="clear" w:color="auto" w:fill="auto"/>
            <w:noWrap/>
            <w:vAlign w:val="bottom"/>
            <w:hideMark/>
          </w:tcPr>
          <w:p w14:paraId="2BDE72BD"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FE4780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30.33</w:t>
            </w:r>
          </w:p>
        </w:tc>
        <w:tc>
          <w:tcPr>
            <w:tcW w:w="560" w:type="dxa"/>
            <w:tcBorders>
              <w:top w:val="nil"/>
              <w:left w:val="nil"/>
              <w:bottom w:val="nil"/>
              <w:right w:val="single" w:sz="4" w:space="0" w:color="auto"/>
            </w:tcBorders>
            <w:shd w:val="clear" w:color="auto" w:fill="auto"/>
            <w:noWrap/>
            <w:vAlign w:val="center"/>
            <w:hideMark/>
          </w:tcPr>
          <w:p w14:paraId="4ADC92C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3.58</w:t>
            </w:r>
          </w:p>
        </w:tc>
        <w:tc>
          <w:tcPr>
            <w:tcW w:w="560" w:type="dxa"/>
            <w:tcBorders>
              <w:top w:val="nil"/>
              <w:left w:val="nil"/>
              <w:bottom w:val="nil"/>
              <w:right w:val="nil"/>
            </w:tcBorders>
            <w:shd w:val="clear" w:color="auto" w:fill="auto"/>
            <w:noWrap/>
            <w:vAlign w:val="bottom"/>
            <w:hideMark/>
          </w:tcPr>
          <w:p w14:paraId="0AF8DDE1"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864A99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24.27</w:t>
            </w:r>
          </w:p>
        </w:tc>
        <w:tc>
          <w:tcPr>
            <w:tcW w:w="560" w:type="dxa"/>
            <w:tcBorders>
              <w:top w:val="nil"/>
              <w:left w:val="nil"/>
              <w:bottom w:val="nil"/>
              <w:right w:val="single" w:sz="4" w:space="0" w:color="auto"/>
            </w:tcBorders>
            <w:shd w:val="clear" w:color="auto" w:fill="auto"/>
            <w:noWrap/>
            <w:vAlign w:val="center"/>
            <w:hideMark/>
          </w:tcPr>
          <w:p w14:paraId="18CA460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3.91</w:t>
            </w:r>
          </w:p>
        </w:tc>
        <w:tc>
          <w:tcPr>
            <w:tcW w:w="560" w:type="dxa"/>
            <w:tcBorders>
              <w:top w:val="nil"/>
              <w:left w:val="nil"/>
              <w:bottom w:val="nil"/>
              <w:right w:val="nil"/>
            </w:tcBorders>
            <w:shd w:val="clear" w:color="auto" w:fill="auto"/>
            <w:noWrap/>
            <w:vAlign w:val="bottom"/>
            <w:hideMark/>
          </w:tcPr>
          <w:p w14:paraId="22ECEA9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5F03BE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34.13</w:t>
            </w:r>
          </w:p>
        </w:tc>
        <w:tc>
          <w:tcPr>
            <w:tcW w:w="560" w:type="dxa"/>
            <w:tcBorders>
              <w:top w:val="nil"/>
              <w:left w:val="nil"/>
              <w:bottom w:val="nil"/>
              <w:right w:val="single" w:sz="4" w:space="0" w:color="auto"/>
            </w:tcBorders>
            <w:shd w:val="clear" w:color="auto" w:fill="auto"/>
            <w:noWrap/>
            <w:vAlign w:val="center"/>
            <w:hideMark/>
          </w:tcPr>
          <w:p w14:paraId="1C361A3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3.56</w:t>
            </w:r>
          </w:p>
        </w:tc>
        <w:tc>
          <w:tcPr>
            <w:tcW w:w="560" w:type="dxa"/>
            <w:tcBorders>
              <w:top w:val="nil"/>
              <w:left w:val="nil"/>
              <w:bottom w:val="nil"/>
              <w:right w:val="nil"/>
            </w:tcBorders>
            <w:shd w:val="clear" w:color="auto" w:fill="auto"/>
            <w:noWrap/>
            <w:vAlign w:val="bottom"/>
            <w:hideMark/>
          </w:tcPr>
          <w:p w14:paraId="6298134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F289B8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34.36</w:t>
            </w:r>
          </w:p>
        </w:tc>
        <w:tc>
          <w:tcPr>
            <w:tcW w:w="560" w:type="dxa"/>
            <w:tcBorders>
              <w:top w:val="nil"/>
              <w:left w:val="nil"/>
              <w:bottom w:val="nil"/>
              <w:right w:val="single" w:sz="4" w:space="0" w:color="auto"/>
            </w:tcBorders>
            <w:shd w:val="clear" w:color="auto" w:fill="auto"/>
            <w:noWrap/>
            <w:vAlign w:val="center"/>
            <w:hideMark/>
          </w:tcPr>
          <w:p w14:paraId="53E46DB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3.29</w:t>
            </w:r>
          </w:p>
        </w:tc>
        <w:tc>
          <w:tcPr>
            <w:tcW w:w="560" w:type="dxa"/>
            <w:tcBorders>
              <w:top w:val="nil"/>
              <w:left w:val="nil"/>
              <w:bottom w:val="nil"/>
              <w:right w:val="nil"/>
            </w:tcBorders>
            <w:shd w:val="clear" w:color="auto" w:fill="auto"/>
            <w:noWrap/>
            <w:vAlign w:val="bottom"/>
            <w:hideMark/>
          </w:tcPr>
          <w:p w14:paraId="7D525BF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5BA0474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36.44</w:t>
            </w:r>
          </w:p>
        </w:tc>
        <w:tc>
          <w:tcPr>
            <w:tcW w:w="560" w:type="dxa"/>
            <w:tcBorders>
              <w:top w:val="nil"/>
              <w:left w:val="nil"/>
              <w:bottom w:val="nil"/>
              <w:right w:val="single" w:sz="4" w:space="0" w:color="auto"/>
            </w:tcBorders>
            <w:shd w:val="clear" w:color="auto" w:fill="auto"/>
            <w:noWrap/>
            <w:vAlign w:val="center"/>
            <w:hideMark/>
          </w:tcPr>
          <w:p w14:paraId="2EDAB85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5.08</w:t>
            </w:r>
          </w:p>
        </w:tc>
        <w:tc>
          <w:tcPr>
            <w:tcW w:w="560" w:type="dxa"/>
            <w:tcBorders>
              <w:top w:val="nil"/>
              <w:left w:val="nil"/>
              <w:bottom w:val="nil"/>
              <w:right w:val="nil"/>
            </w:tcBorders>
            <w:shd w:val="clear" w:color="auto" w:fill="auto"/>
            <w:noWrap/>
            <w:vAlign w:val="bottom"/>
            <w:hideMark/>
          </w:tcPr>
          <w:p w14:paraId="17DDF99C"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9BD84A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34.73</w:t>
            </w:r>
          </w:p>
        </w:tc>
        <w:tc>
          <w:tcPr>
            <w:tcW w:w="560" w:type="dxa"/>
            <w:tcBorders>
              <w:top w:val="nil"/>
              <w:left w:val="nil"/>
              <w:bottom w:val="nil"/>
              <w:right w:val="single" w:sz="4" w:space="0" w:color="auto"/>
            </w:tcBorders>
            <w:shd w:val="clear" w:color="auto" w:fill="auto"/>
            <w:noWrap/>
            <w:vAlign w:val="center"/>
            <w:hideMark/>
          </w:tcPr>
          <w:p w14:paraId="3696D03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4.52</w:t>
            </w:r>
          </w:p>
        </w:tc>
      </w:tr>
      <w:tr w:rsidR="0053223B" w:rsidRPr="009F6406" w14:paraId="072BA7E8"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1675CD2E"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404D1695"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Provides pupils with review and practice</w:t>
            </w:r>
          </w:p>
        </w:tc>
        <w:tc>
          <w:tcPr>
            <w:tcW w:w="560" w:type="dxa"/>
            <w:tcBorders>
              <w:top w:val="nil"/>
              <w:left w:val="single" w:sz="4" w:space="0" w:color="auto"/>
              <w:bottom w:val="nil"/>
              <w:right w:val="nil"/>
            </w:tcBorders>
            <w:shd w:val="clear" w:color="auto" w:fill="auto"/>
            <w:noWrap/>
            <w:vAlign w:val="bottom"/>
            <w:hideMark/>
          </w:tcPr>
          <w:p w14:paraId="686826CC"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EA543B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18.56</w:t>
            </w:r>
          </w:p>
        </w:tc>
        <w:tc>
          <w:tcPr>
            <w:tcW w:w="560" w:type="dxa"/>
            <w:tcBorders>
              <w:top w:val="nil"/>
              <w:left w:val="nil"/>
              <w:bottom w:val="nil"/>
              <w:right w:val="single" w:sz="4" w:space="0" w:color="auto"/>
            </w:tcBorders>
            <w:shd w:val="clear" w:color="auto" w:fill="auto"/>
            <w:noWrap/>
            <w:vAlign w:val="center"/>
            <w:hideMark/>
          </w:tcPr>
          <w:p w14:paraId="2522A02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3.39</w:t>
            </w:r>
          </w:p>
        </w:tc>
        <w:tc>
          <w:tcPr>
            <w:tcW w:w="560" w:type="dxa"/>
            <w:tcBorders>
              <w:top w:val="nil"/>
              <w:left w:val="nil"/>
              <w:bottom w:val="nil"/>
              <w:right w:val="nil"/>
            </w:tcBorders>
            <w:shd w:val="clear" w:color="auto" w:fill="auto"/>
            <w:noWrap/>
            <w:vAlign w:val="bottom"/>
            <w:hideMark/>
          </w:tcPr>
          <w:p w14:paraId="3C66397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8B6EFB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16.45</w:t>
            </w:r>
          </w:p>
        </w:tc>
        <w:tc>
          <w:tcPr>
            <w:tcW w:w="560" w:type="dxa"/>
            <w:tcBorders>
              <w:top w:val="nil"/>
              <w:left w:val="nil"/>
              <w:bottom w:val="nil"/>
              <w:right w:val="single" w:sz="4" w:space="0" w:color="auto"/>
            </w:tcBorders>
            <w:shd w:val="clear" w:color="auto" w:fill="auto"/>
            <w:noWrap/>
            <w:vAlign w:val="center"/>
            <w:hideMark/>
          </w:tcPr>
          <w:p w14:paraId="5D16C10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4.69</w:t>
            </w:r>
          </w:p>
        </w:tc>
        <w:tc>
          <w:tcPr>
            <w:tcW w:w="560" w:type="dxa"/>
            <w:tcBorders>
              <w:top w:val="nil"/>
              <w:left w:val="nil"/>
              <w:bottom w:val="nil"/>
              <w:right w:val="nil"/>
            </w:tcBorders>
            <w:shd w:val="clear" w:color="auto" w:fill="auto"/>
            <w:noWrap/>
            <w:vAlign w:val="bottom"/>
            <w:hideMark/>
          </w:tcPr>
          <w:p w14:paraId="4CF908CE"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8D3B50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20.63</w:t>
            </w:r>
          </w:p>
        </w:tc>
        <w:tc>
          <w:tcPr>
            <w:tcW w:w="560" w:type="dxa"/>
            <w:tcBorders>
              <w:top w:val="nil"/>
              <w:left w:val="nil"/>
              <w:bottom w:val="nil"/>
              <w:right w:val="single" w:sz="4" w:space="0" w:color="auto"/>
            </w:tcBorders>
            <w:shd w:val="clear" w:color="auto" w:fill="auto"/>
            <w:noWrap/>
            <w:vAlign w:val="center"/>
            <w:hideMark/>
          </w:tcPr>
          <w:p w14:paraId="3CD5BB5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4.87</w:t>
            </w:r>
          </w:p>
        </w:tc>
        <w:tc>
          <w:tcPr>
            <w:tcW w:w="560" w:type="dxa"/>
            <w:tcBorders>
              <w:top w:val="nil"/>
              <w:left w:val="nil"/>
              <w:bottom w:val="nil"/>
              <w:right w:val="nil"/>
            </w:tcBorders>
            <w:shd w:val="clear" w:color="auto" w:fill="auto"/>
            <w:noWrap/>
            <w:vAlign w:val="bottom"/>
            <w:hideMark/>
          </w:tcPr>
          <w:p w14:paraId="6E80EFF7"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6382BE2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20.73</w:t>
            </w:r>
          </w:p>
        </w:tc>
        <w:tc>
          <w:tcPr>
            <w:tcW w:w="560" w:type="dxa"/>
            <w:tcBorders>
              <w:top w:val="nil"/>
              <w:left w:val="nil"/>
              <w:bottom w:val="nil"/>
              <w:right w:val="single" w:sz="4" w:space="0" w:color="auto"/>
            </w:tcBorders>
            <w:shd w:val="clear" w:color="auto" w:fill="auto"/>
            <w:noWrap/>
            <w:vAlign w:val="center"/>
            <w:hideMark/>
          </w:tcPr>
          <w:p w14:paraId="29C4EB4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3.61</w:t>
            </w:r>
          </w:p>
        </w:tc>
        <w:tc>
          <w:tcPr>
            <w:tcW w:w="560" w:type="dxa"/>
            <w:tcBorders>
              <w:top w:val="nil"/>
              <w:left w:val="nil"/>
              <w:bottom w:val="nil"/>
              <w:right w:val="nil"/>
            </w:tcBorders>
            <w:shd w:val="clear" w:color="auto" w:fill="auto"/>
            <w:noWrap/>
            <w:vAlign w:val="bottom"/>
            <w:hideMark/>
          </w:tcPr>
          <w:p w14:paraId="0283D7B9"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6F7732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25.00</w:t>
            </w:r>
          </w:p>
        </w:tc>
        <w:tc>
          <w:tcPr>
            <w:tcW w:w="560" w:type="dxa"/>
            <w:tcBorders>
              <w:top w:val="nil"/>
              <w:left w:val="nil"/>
              <w:bottom w:val="nil"/>
              <w:right w:val="single" w:sz="4" w:space="0" w:color="auto"/>
            </w:tcBorders>
            <w:shd w:val="clear" w:color="auto" w:fill="auto"/>
            <w:noWrap/>
            <w:vAlign w:val="center"/>
            <w:hideMark/>
          </w:tcPr>
          <w:p w14:paraId="2E0979A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3.87</w:t>
            </w:r>
          </w:p>
        </w:tc>
        <w:tc>
          <w:tcPr>
            <w:tcW w:w="560" w:type="dxa"/>
            <w:tcBorders>
              <w:top w:val="nil"/>
              <w:left w:val="nil"/>
              <w:bottom w:val="nil"/>
              <w:right w:val="nil"/>
            </w:tcBorders>
            <w:shd w:val="clear" w:color="auto" w:fill="auto"/>
            <w:noWrap/>
            <w:vAlign w:val="bottom"/>
            <w:hideMark/>
          </w:tcPr>
          <w:p w14:paraId="3C8E093D"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0053AC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23.45</w:t>
            </w:r>
          </w:p>
        </w:tc>
        <w:tc>
          <w:tcPr>
            <w:tcW w:w="560" w:type="dxa"/>
            <w:tcBorders>
              <w:top w:val="nil"/>
              <w:left w:val="nil"/>
              <w:bottom w:val="nil"/>
              <w:right w:val="single" w:sz="4" w:space="0" w:color="auto"/>
            </w:tcBorders>
            <w:shd w:val="clear" w:color="auto" w:fill="auto"/>
            <w:noWrap/>
            <w:vAlign w:val="center"/>
            <w:hideMark/>
          </w:tcPr>
          <w:p w14:paraId="53ABF6E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4.68</w:t>
            </w:r>
          </w:p>
        </w:tc>
      </w:tr>
      <w:tr w:rsidR="0053223B" w:rsidRPr="009F6406" w14:paraId="2B7930BF"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30D5144C"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7978771B"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Demonstrates skills in questioning</w:t>
            </w:r>
          </w:p>
        </w:tc>
        <w:tc>
          <w:tcPr>
            <w:tcW w:w="560" w:type="dxa"/>
            <w:tcBorders>
              <w:top w:val="nil"/>
              <w:left w:val="single" w:sz="4" w:space="0" w:color="auto"/>
              <w:bottom w:val="nil"/>
              <w:right w:val="nil"/>
            </w:tcBorders>
            <w:shd w:val="clear" w:color="auto" w:fill="auto"/>
            <w:noWrap/>
            <w:vAlign w:val="bottom"/>
            <w:hideMark/>
          </w:tcPr>
          <w:p w14:paraId="1D7E3C4C"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EDC024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44.33</w:t>
            </w:r>
          </w:p>
        </w:tc>
        <w:tc>
          <w:tcPr>
            <w:tcW w:w="560" w:type="dxa"/>
            <w:tcBorders>
              <w:top w:val="nil"/>
              <w:left w:val="nil"/>
              <w:bottom w:val="nil"/>
              <w:right w:val="single" w:sz="4" w:space="0" w:color="auto"/>
            </w:tcBorders>
            <w:shd w:val="clear" w:color="auto" w:fill="auto"/>
            <w:noWrap/>
            <w:vAlign w:val="center"/>
            <w:hideMark/>
          </w:tcPr>
          <w:p w14:paraId="294F5ED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5.10</w:t>
            </w:r>
          </w:p>
        </w:tc>
        <w:tc>
          <w:tcPr>
            <w:tcW w:w="560" w:type="dxa"/>
            <w:tcBorders>
              <w:top w:val="nil"/>
              <w:left w:val="nil"/>
              <w:bottom w:val="nil"/>
              <w:right w:val="nil"/>
            </w:tcBorders>
            <w:shd w:val="clear" w:color="auto" w:fill="auto"/>
            <w:noWrap/>
            <w:vAlign w:val="bottom"/>
            <w:hideMark/>
          </w:tcPr>
          <w:p w14:paraId="64F729A9"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9062F6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34.36</w:t>
            </w:r>
          </w:p>
        </w:tc>
        <w:tc>
          <w:tcPr>
            <w:tcW w:w="560" w:type="dxa"/>
            <w:tcBorders>
              <w:top w:val="nil"/>
              <w:left w:val="nil"/>
              <w:bottom w:val="nil"/>
              <w:right w:val="single" w:sz="4" w:space="0" w:color="auto"/>
            </w:tcBorders>
            <w:shd w:val="clear" w:color="auto" w:fill="auto"/>
            <w:noWrap/>
            <w:vAlign w:val="center"/>
            <w:hideMark/>
          </w:tcPr>
          <w:p w14:paraId="7D54872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7.57</w:t>
            </w:r>
          </w:p>
        </w:tc>
        <w:tc>
          <w:tcPr>
            <w:tcW w:w="560" w:type="dxa"/>
            <w:tcBorders>
              <w:top w:val="nil"/>
              <w:left w:val="nil"/>
              <w:bottom w:val="nil"/>
              <w:right w:val="nil"/>
            </w:tcBorders>
            <w:shd w:val="clear" w:color="auto" w:fill="auto"/>
            <w:noWrap/>
            <w:vAlign w:val="bottom"/>
            <w:hideMark/>
          </w:tcPr>
          <w:p w14:paraId="2ED21187"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BF7359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48.13</w:t>
            </w:r>
          </w:p>
        </w:tc>
        <w:tc>
          <w:tcPr>
            <w:tcW w:w="560" w:type="dxa"/>
            <w:tcBorders>
              <w:top w:val="nil"/>
              <w:left w:val="nil"/>
              <w:bottom w:val="nil"/>
              <w:right w:val="single" w:sz="4" w:space="0" w:color="auto"/>
            </w:tcBorders>
            <w:shd w:val="clear" w:color="auto" w:fill="auto"/>
            <w:noWrap/>
            <w:vAlign w:val="center"/>
            <w:hideMark/>
          </w:tcPr>
          <w:p w14:paraId="65CFE1F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4.70</w:t>
            </w:r>
          </w:p>
        </w:tc>
        <w:tc>
          <w:tcPr>
            <w:tcW w:w="560" w:type="dxa"/>
            <w:tcBorders>
              <w:top w:val="nil"/>
              <w:left w:val="nil"/>
              <w:bottom w:val="nil"/>
              <w:right w:val="nil"/>
            </w:tcBorders>
            <w:shd w:val="clear" w:color="auto" w:fill="auto"/>
            <w:noWrap/>
            <w:vAlign w:val="bottom"/>
            <w:hideMark/>
          </w:tcPr>
          <w:p w14:paraId="731D4B3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5DCB3C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46.45</w:t>
            </w:r>
          </w:p>
        </w:tc>
        <w:tc>
          <w:tcPr>
            <w:tcW w:w="560" w:type="dxa"/>
            <w:tcBorders>
              <w:top w:val="nil"/>
              <w:left w:val="nil"/>
              <w:bottom w:val="nil"/>
              <w:right w:val="single" w:sz="4" w:space="0" w:color="auto"/>
            </w:tcBorders>
            <w:shd w:val="clear" w:color="auto" w:fill="auto"/>
            <w:noWrap/>
            <w:vAlign w:val="center"/>
            <w:hideMark/>
          </w:tcPr>
          <w:p w14:paraId="3EE90DB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6.55</w:t>
            </w:r>
          </w:p>
        </w:tc>
        <w:tc>
          <w:tcPr>
            <w:tcW w:w="560" w:type="dxa"/>
            <w:tcBorders>
              <w:top w:val="nil"/>
              <w:left w:val="nil"/>
              <w:bottom w:val="nil"/>
              <w:right w:val="nil"/>
            </w:tcBorders>
            <w:shd w:val="clear" w:color="auto" w:fill="auto"/>
            <w:noWrap/>
            <w:vAlign w:val="bottom"/>
            <w:hideMark/>
          </w:tcPr>
          <w:p w14:paraId="0DBF0E94"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59EFDF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57.78</w:t>
            </w:r>
          </w:p>
        </w:tc>
        <w:tc>
          <w:tcPr>
            <w:tcW w:w="560" w:type="dxa"/>
            <w:tcBorders>
              <w:top w:val="nil"/>
              <w:left w:val="nil"/>
              <w:bottom w:val="nil"/>
              <w:right w:val="single" w:sz="4" w:space="0" w:color="auto"/>
            </w:tcBorders>
            <w:shd w:val="clear" w:color="auto" w:fill="auto"/>
            <w:noWrap/>
            <w:vAlign w:val="center"/>
            <w:hideMark/>
          </w:tcPr>
          <w:p w14:paraId="6F828B8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10.41</w:t>
            </w:r>
          </w:p>
        </w:tc>
        <w:tc>
          <w:tcPr>
            <w:tcW w:w="560" w:type="dxa"/>
            <w:tcBorders>
              <w:top w:val="nil"/>
              <w:left w:val="nil"/>
              <w:bottom w:val="nil"/>
              <w:right w:val="nil"/>
            </w:tcBorders>
            <w:shd w:val="clear" w:color="auto" w:fill="auto"/>
            <w:noWrap/>
            <w:vAlign w:val="bottom"/>
            <w:hideMark/>
          </w:tcPr>
          <w:p w14:paraId="7E30ACB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2C5EB22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51.91</w:t>
            </w:r>
          </w:p>
        </w:tc>
        <w:tc>
          <w:tcPr>
            <w:tcW w:w="560" w:type="dxa"/>
            <w:tcBorders>
              <w:top w:val="nil"/>
              <w:left w:val="nil"/>
              <w:bottom w:val="nil"/>
              <w:right w:val="single" w:sz="4" w:space="0" w:color="auto"/>
            </w:tcBorders>
            <w:shd w:val="clear" w:color="auto" w:fill="auto"/>
            <w:noWrap/>
            <w:vAlign w:val="center"/>
            <w:hideMark/>
          </w:tcPr>
          <w:p w14:paraId="47E4B17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10.18</w:t>
            </w:r>
          </w:p>
        </w:tc>
      </w:tr>
      <w:tr w:rsidR="0053223B" w:rsidRPr="009F6406" w14:paraId="687A3B8C"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634FD54B"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08B68A2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Demonstrates MEP strategies*</w:t>
            </w:r>
          </w:p>
        </w:tc>
        <w:tc>
          <w:tcPr>
            <w:tcW w:w="560" w:type="dxa"/>
            <w:tcBorders>
              <w:top w:val="nil"/>
              <w:left w:val="single" w:sz="4" w:space="0" w:color="auto"/>
              <w:bottom w:val="nil"/>
              <w:right w:val="nil"/>
            </w:tcBorders>
            <w:shd w:val="clear" w:color="auto" w:fill="auto"/>
            <w:noWrap/>
            <w:vAlign w:val="bottom"/>
            <w:hideMark/>
          </w:tcPr>
          <w:p w14:paraId="5DDE767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A74C3C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17.44</w:t>
            </w:r>
          </w:p>
        </w:tc>
        <w:tc>
          <w:tcPr>
            <w:tcW w:w="560" w:type="dxa"/>
            <w:tcBorders>
              <w:top w:val="nil"/>
              <w:left w:val="nil"/>
              <w:bottom w:val="nil"/>
              <w:right w:val="single" w:sz="4" w:space="0" w:color="auto"/>
            </w:tcBorders>
            <w:shd w:val="clear" w:color="auto" w:fill="auto"/>
            <w:noWrap/>
            <w:vAlign w:val="center"/>
            <w:hideMark/>
          </w:tcPr>
          <w:p w14:paraId="2C8844E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2.15</w:t>
            </w:r>
          </w:p>
        </w:tc>
        <w:tc>
          <w:tcPr>
            <w:tcW w:w="560" w:type="dxa"/>
            <w:tcBorders>
              <w:top w:val="nil"/>
              <w:left w:val="nil"/>
              <w:bottom w:val="nil"/>
              <w:right w:val="nil"/>
            </w:tcBorders>
            <w:shd w:val="clear" w:color="auto" w:fill="auto"/>
            <w:noWrap/>
            <w:vAlign w:val="bottom"/>
            <w:hideMark/>
          </w:tcPr>
          <w:p w14:paraId="02C7F297"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BB245D3"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16.73</w:t>
            </w:r>
          </w:p>
        </w:tc>
        <w:tc>
          <w:tcPr>
            <w:tcW w:w="560" w:type="dxa"/>
            <w:tcBorders>
              <w:top w:val="nil"/>
              <w:left w:val="nil"/>
              <w:bottom w:val="nil"/>
              <w:right w:val="single" w:sz="4" w:space="0" w:color="auto"/>
            </w:tcBorders>
            <w:shd w:val="clear" w:color="auto" w:fill="auto"/>
            <w:noWrap/>
            <w:vAlign w:val="center"/>
            <w:hideMark/>
          </w:tcPr>
          <w:p w14:paraId="112D87A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1.94</w:t>
            </w:r>
          </w:p>
        </w:tc>
        <w:tc>
          <w:tcPr>
            <w:tcW w:w="560" w:type="dxa"/>
            <w:tcBorders>
              <w:top w:val="nil"/>
              <w:left w:val="nil"/>
              <w:bottom w:val="nil"/>
              <w:right w:val="nil"/>
            </w:tcBorders>
            <w:shd w:val="clear" w:color="auto" w:fill="auto"/>
            <w:noWrap/>
            <w:vAlign w:val="bottom"/>
            <w:hideMark/>
          </w:tcPr>
          <w:p w14:paraId="1AB8B2A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3AABA7D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20.13</w:t>
            </w:r>
          </w:p>
        </w:tc>
        <w:tc>
          <w:tcPr>
            <w:tcW w:w="560" w:type="dxa"/>
            <w:tcBorders>
              <w:top w:val="nil"/>
              <w:left w:val="nil"/>
              <w:bottom w:val="nil"/>
              <w:right w:val="single" w:sz="4" w:space="0" w:color="auto"/>
            </w:tcBorders>
            <w:shd w:val="clear" w:color="auto" w:fill="auto"/>
            <w:noWrap/>
            <w:vAlign w:val="center"/>
            <w:hideMark/>
          </w:tcPr>
          <w:p w14:paraId="6652826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3.00</w:t>
            </w:r>
          </w:p>
        </w:tc>
        <w:tc>
          <w:tcPr>
            <w:tcW w:w="560" w:type="dxa"/>
            <w:tcBorders>
              <w:top w:val="nil"/>
              <w:left w:val="nil"/>
              <w:bottom w:val="nil"/>
              <w:right w:val="nil"/>
            </w:tcBorders>
            <w:shd w:val="clear" w:color="auto" w:fill="auto"/>
            <w:noWrap/>
            <w:vAlign w:val="bottom"/>
            <w:hideMark/>
          </w:tcPr>
          <w:p w14:paraId="06626698"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0806844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21.91</w:t>
            </w:r>
          </w:p>
        </w:tc>
        <w:tc>
          <w:tcPr>
            <w:tcW w:w="560" w:type="dxa"/>
            <w:tcBorders>
              <w:top w:val="nil"/>
              <w:left w:val="nil"/>
              <w:bottom w:val="nil"/>
              <w:right w:val="single" w:sz="4" w:space="0" w:color="auto"/>
            </w:tcBorders>
            <w:shd w:val="clear" w:color="auto" w:fill="auto"/>
            <w:noWrap/>
            <w:vAlign w:val="center"/>
            <w:hideMark/>
          </w:tcPr>
          <w:p w14:paraId="7D0D4DF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3.27</w:t>
            </w:r>
          </w:p>
        </w:tc>
        <w:tc>
          <w:tcPr>
            <w:tcW w:w="560" w:type="dxa"/>
            <w:tcBorders>
              <w:top w:val="nil"/>
              <w:left w:val="nil"/>
              <w:bottom w:val="nil"/>
              <w:right w:val="nil"/>
            </w:tcBorders>
            <w:shd w:val="clear" w:color="auto" w:fill="auto"/>
            <w:noWrap/>
            <w:vAlign w:val="bottom"/>
            <w:hideMark/>
          </w:tcPr>
          <w:p w14:paraId="0274E31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59387B1D"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27.89</w:t>
            </w:r>
          </w:p>
        </w:tc>
        <w:tc>
          <w:tcPr>
            <w:tcW w:w="560" w:type="dxa"/>
            <w:tcBorders>
              <w:top w:val="nil"/>
              <w:left w:val="nil"/>
              <w:bottom w:val="nil"/>
              <w:right w:val="single" w:sz="4" w:space="0" w:color="auto"/>
            </w:tcBorders>
            <w:shd w:val="clear" w:color="auto" w:fill="auto"/>
            <w:noWrap/>
            <w:vAlign w:val="center"/>
            <w:hideMark/>
          </w:tcPr>
          <w:p w14:paraId="66D7E33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3.89</w:t>
            </w:r>
          </w:p>
        </w:tc>
        <w:tc>
          <w:tcPr>
            <w:tcW w:w="560" w:type="dxa"/>
            <w:tcBorders>
              <w:top w:val="nil"/>
              <w:left w:val="nil"/>
              <w:bottom w:val="nil"/>
              <w:right w:val="nil"/>
            </w:tcBorders>
            <w:shd w:val="clear" w:color="auto" w:fill="auto"/>
            <w:noWrap/>
            <w:vAlign w:val="bottom"/>
            <w:hideMark/>
          </w:tcPr>
          <w:p w14:paraId="0335E552"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5AB30D0"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28.27</w:t>
            </w:r>
          </w:p>
        </w:tc>
        <w:tc>
          <w:tcPr>
            <w:tcW w:w="560" w:type="dxa"/>
            <w:tcBorders>
              <w:top w:val="nil"/>
              <w:left w:val="nil"/>
              <w:bottom w:val="nil"/>
              <w:right w:val="single" w:sz="4" w:space="0" w:color="auto"/>
            </w:tcBorders>
            <w:shd w:val="clear" w:color="auto" w:fill="auto"/>
            <w:noWrap/>
            <w:vAlign w:val="center"/>
            <w:hideMark/>
          </w:tcPr>
          <w:p w14:paraId="537C73F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2.53</w:t>
            </w:r>
          </w:p>
        </w:tc>
      </w:tr>
      <w:tr w:rsidR="0053223B" w:rsidRPr="009F6406" w14:paraId="6D13E2CB" w14:textId="77777777" w:rsidTr="0053223B">
        <w:trPr>
          <w:trHeight w:val="300"/>
        </w:trPr>
        <w:tc>
          <w:tcPr>
            <w:tcW w:w="760" w:type="dxa"/>
            <w:tcBorders>
              <w:top w:val="nil"/>
              <w:left w:val="single" w:sz="4" w:space="0" w:color="auto"/>
              <w:bottom w:val="nil"/>
              <w:right w:val="nil"/>
            </w:tcBorders>
            <w:shd w:val="clear" w:color="auto" w:fill="auto"/>
            <w:noWrap/>
            <w:vAlign w:val="bottom"/>
            <w:hideMark/>
          </w:tcPr>
          <w:p w14:paraId="344B621F"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nil"/>
              <w:right w:val="nil"/>
            </w:tcBorders>
            <w:shd w:val="clear" w:color="auto" w:fill="auto"/>
            <w:noWrap/>
            <w:vAlign w:val="center"/>
            <w:hideMark/>
          </w:tcPr>
          <w:p w14:paraId="4B000731"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Demonstrates a variety of teaching methods</w:t>
            </w:r>
          </w:p>
        </w:tc>
        <w:tc>
          <w:tcPr>
            <w:tcW w:w="560" w:type="dxa"/>
            <w:tcBorders>
              <w:top w:val="nil"/>
              <w:left w:val="single" w:sz="4" w:space="0" w:color="auto"/>
              <w:bottom w:val="nil"/>
              <w:right w:val="nil"/>
            </w:tcBorders>
            <w:shd w:val="clear" w:color="auto" w:fill="auto"/>
            <w:noWrap/>
            <w:vAlign w:val="bottom"/>
            <w:hideMark/>
          </w:tcPr>
          <w:p w14:paraId="5B20CB0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419986C"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9.22</w:t>
            </w:r>
          </w:p>
        </w:tc>
        <w:tc>
          <w:tcPr>
            <w:tcW w:w="560" w:type="dxa"/>
            <w:tcBorders>
              <w:top w:val="nil"/>
              <w:left w:val="nil"/>
              <w:bottom w:val="nil"/>
              <w:right w:val="single" w:sz="4" w:space="0" w:color="auto"/>
            </w:tcBorders>
            <w:shd w:val="clear" w:color="auto" w:fill="auto"/>
            <w:noWrap/>
            <w:vAlign w:val="center"/>
            <w:hideMark/>
          </w:tcPr>
          <w:p w14:paraId="34F928A6"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2.47</w:t>
            </w:r>
          </w:p>
        </w:tc>
        <w:tc>
          <w:tcPr>
            <w:tcW w:w="560" w:type="dxa"/>
            <w:tcBorders>
              <w:top w:val="nil"/>
              <w:left w:val="nil"/>
              <w:bottom w:val="nil"/>
              <w:right w:val="nil"/>
            </w:tcBorders>
            <w:shd w:val="clear" w:color="auto" w:fill="auto"/>
            <w:noWrap/>
            <w:vAlign w:val="bottom"/>
            <w:hideMark/>
          </w:tcPr>
          <w:p w14:paraId="559931BC"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115D36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8.09</w:t>
            </w:r>
          </w:p>
        </w:tc>
        <w:tc>
          <w:tcPr>
            <w:tcW w:w="560" w:type="dxa"/>
            <w:tcBorders>
              <w:top w:val="nil"/>
              <w:left w:val="nil"/>
              <w:bottom w:val="nil"/>
              <w:right w:val="single" w:sz="4" w:space="0" w:color="auto"/>
            </w:tcBorders>
            <w:shd w:val="clear" w:color="auto" w:fill="auto"/>
            <w:noWrap/>
            <w:vAlign w:val="center"/>
            <w:hideMark/>
          </w:tcPr>
          <w:p w14:paraId="6D5D36D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1.48</w:t>
            </w:r>
          </w:p>
        </w:tc>
        <w:tc>
          <w:tcPr>
            <w:tcW w:w="560" w:type="dxa"/>
            <w:tcBorders>
              <w:top w:val="nil"/>
              <w:left w:val="nil"/>
              <w:bottom w:val="nil"/>
              <w:right w:val="nil"/>
            </w:tcBorders>
            <w:shd w:val="clear" w:color="auto" w:fill="auto"/>
            <w:noWrap/>
            <w:vAlign w:val="bottom"/>
            <w:hideMark/>
          </w:tcPr>
          <w:p w14:paraId="2C0ED1EB"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4F97F42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10.75</w:t>
            </w:r>
          </w:p>
        </w:tc>
        <w:tc>
          <w:tcPr>
            <w:tcW w:w="560" w:type="dxa"/>
            <w:tcBorders>
              <w:top w:val="nil"/>
              <w:left w:val="nil"/>
              <w:bottom w:val="nil"/>
              <w:right w:val="single" w:sz="4" w:space="0" w:color="auto"/>
            </w:tcBorders>
            <w:shd w:val="clear" w:color="auto" w:fill="auto"/>
            <w:noWrap/>
            <w:vAlign w:val="center"/>
            <w:hideMark/>
          </w:tcPr>
          <w:p w14:paraId="137F009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1.16</w:t>
            </w:r>
          </w:p>
        </w:tc>
        <w:tc>
          <w:tcPr>
            <w:tcW w:w="560" w:type="dxa"/>
            <w:tcBorders>
              <w:top w:val="nil"/>
              <w:left w:val="nil"/>
              <w:bottom w:val="nil"/>
              <w:right w:val="nil"/>
            </w:tcBorders>
            <w:shd w:val="clear" w:color="auto" w:fill="auto"/>
            <w:noWrap/>
            <w:vAlign w:val="bottom"/>
            <w:hideMark/>
          </w:tcPr>
          <w:p w14:paraId="0A4795ED"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774F677B"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9.82</w:t>
            </w:r>
          </w:p>
        </w:tc>
        <w:tc>
          <w:tcPr>
            <w:tcW w:w="560" w:type="dxa"/>
            <w:tcBorders>
              <w:top w:val="nil"/>
              <w:left w:val="nil"/>
              <w:bottom w:val="nil"/>
              <w:right w:val="single" w:sz="4" w:space="0" w:color="auto"/>
            </w:tcBorders>
            <w:shd w:val="clear" w:color="auto" w:fill="auto"/>
            <w:noWrap/>
            <w:vAlign w:val="center"/>
            <w:hideMark/>
          </w:tcPr>
          <w:p w14:paraId="3C41D75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1.78</w:t>
            </w:r>
          </w:p>
        </w:tc>
        <w:tc>
          <w:tcPr>
            <w:tcW w:w="560" w:type="dxa"/>
            <w:tcBorders>
              <w:top w:val="nil"/>
              <w:left w:val="nil"/>
              <w:bottom w:val="nil"/>
              <w:right w:val="nil"/>
            </w:tcBorders>
            <w:shd w:val="clear" w:color="auto" w:fill="auto"/>
            <w:noWrap/>
            <w:vAlign w:val="bottom"/>
            <w:hideMark/>
          </w:tcPr>
          <w:p w14:paraId="44EEEF9C"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1D6B06B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12.33</w:t>
            </w:r>
          </w:p>
        </w:tc>
        <w:tc>
          <w:tcPr>
            <w:tcW w:w="560" w:type="dxa"/>
            <w:tcBorders>
              <w:top w:val="nil"/>
              <w:left w:val="nil"/>
              <w:bottom w:val="nil"/>
              <w:right w:val="single" w:sz="4" w:space="0" w:color="auto"/>
            </w:tcBorders>
            <w:shd w:val="clear" w:color="auto" w:fill="auto"/>
            <w:noWrap/>
            <w:vAlign w:val="center"/>
            <w:hideMark/>
          </w:tcPr>
          <w:p w14:paraId="2DEC980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1.80</w:t>
            </w:r>
          </w:p>
        </w:tc>
        <w:tc>
          <w:tcPr>
            <w:tcW w:w="560" w:type="dxa"/>
            <w:tcBorders>
              <w:top w:val="nil"/>
              <w:left w:val="nil"/>
              <w:bottom w:val="nil"/>
              <w:right w:val="nil"/>
            </w:tcBorders>
            <w:shd w:val="clear" w:color="auto" w:fill="auto"/>
            <w:noWrap/>
            <w:vAlign w:val="bottom"/>
            <w:hideMark/>
          </w:tcPr>
          <w:p w14:paraId="68913BAD"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nil"/>
              <w:right w:val="nil"/>
            </w:tcBorders>
            <w:shd w:val="clear" w:color="auto" w:fill="auto"/>
            <w:noWrap/>
            <w:vAlign w:val="center"/>
            <w:hideMark/>
          </w:tcPr>
          <w:p w14:paraId="26AB54B5"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11.82</w:t>
            </w:r>
          </w:p>
        </w:tc>
        <w:tc>
          <w:tcPr>
            <w:tcW w:w="560" w:type="dxa"/>
            <w:tcBorders>
              <w:top w:val="nil"/>
              <w:left w:val="nil"/>
              <w:bottom w:val="nil"/>
              <w:right w:val="single" w:sz="4" w:space="0" w:color="auto"/>
            </w:tcBorders>
            <w:shd w:val="clear" w:color="auto" w:fill="auto"/>
            <w:noWrap/>
            <w:vAlign w:val="center"/>
            <w:hideMark/>
          </w:tcPr>
          <w:p w14:paraId="15DD7D1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1.17</w:t>
            </w:r>
          </w:p>
        </w:tc>
      </w:tr>
      <w:tr w:rsidR="0053223B" w:rsidRPr="009F6406" w14:paraId="238C9B3F" w14:textId="77777777" w:rsidTr="0053223B">
        <w:trPr>
          <w:trHeight w:val="300"/>
        </w:trPr>
        <w:tc>
          <w:tcPr>
            <w:tcW w:w="760" w:type="dxa"/>
            <w:tcBorders>
              <w:top w:val="nil"/>
              <w:left w:val="single" w:sz="4" w:space="0" w:color="auto"/>
              <w:bottom w:val="single" w:sz="4" w:space="0" w:color="auto"/>
              <w:right w:val="nil"/>
            </w:tcBorders>
            <w:shd w:val="clear" w:color="auto" w:fill="auto"/>
            <w:noWrap/>
            <w:vAlign w:val="bottom"/>
            <w:hideMark/>
          </w:tcPr>
          <w:p w14:paraId="2EF07BFC" w14:textId="77777777" w:rsidR="0053223B" w:rsidRPr="009F6406" w:rsidRDefault="0053223B" w:rsidP="0053223B">
            <w:pPr>
              <w:spacing w:before="0" w:after="0"/>
              <w:rPr>
                <w:rFonts w:ascii="Calibri" w:eastAsia="Times New Roman" w:hAnsi="Calibri" w:cs="Times New Roman"/>
                <w:b/>
                <w:bCs/>
                <w:i/>
                <w:iCs/>
                <w:color w:val="000000"/>
                <w:sz w:val="16"/>
                <w:szCs w:val="16"/>
                <w:lang w:val="en-GB" w:eastAsia="zh-CN"/>
              </w:rPr>
            </w:pPr>
            <w:r w:rsidRPr="009F6406">
              <w:rPr>
                <w:rFonts w:ascii="Calibri" w:eastAsia="Times New Roman" w:hAnsi="Calibri" w:cs="Times New Roman"/>
                <w:b/>
                <w:bCs/>
                <w:i/>
                <w:iCs/>
                <w:color w:val="000000"/>
                <w:sz w:val="16"/>
                <w:szCs w:val="16"/>
                <w:lang w:val="en-GB" w:eastAsia="zh-CN"/>
              </w:rPr>
              <w:t> </w:t>
            </w:r>
          </w:p>
        </w:tc>
        <w:tc>
          <w:tcPr>
            <w:tcW w:w="2920" w:type="dxa"/>
            <w:tcBorders>
              <w:top w:val="nil"/>
              <w:left w:val="single" w:sz="4" w:space="0" w:color="auto"/>
              <w:bottom w:val="single" w:sz="4" w:space="0" w:color="auto"/>
              <w:right w:val="nil"/>
            </w:tcBorders>
            <w:shd w:val="clear" w:color="auto" w:fill="auto"/>
            <w:noWrap/>
            <w:vAlign w:val="center"/>
            <w:hideMark/>
          </w:tcPr>
          <w:p w14:paraId="5AD13E2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eastAsia="zh-CN"/>
              </w:rPr>
              <w:t>Establishes a positive classroom climate</w:t>
            </w:r>
          </w:p>
        </w:tc>
        <w:tc>
          <w:tcPr>
            <w:tcW w:w="560" w:type="dxa"/>
            <w:tcBorders>
              <w:top w:val="nil"/>
              <w:left w:val="single" w:sz="4" w:space="0" w:color="auto"/>
              <w:bottom w:val="single" w:sz="4" w:space="0" w:color="auto"/>
              <w:right w:val="nil"/>
            </w:tcBorders>
            <w:shd w:val="clear" w:color="auto" w:fill="auto"/>
            <w:noWrap/>
            <w:vAlign w:val="bottom"/>
            <w:hideMark/>
          </w:tcPr>
          <w:p w14:paraId="284A1C3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3E29066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28.67</w:t>
            </w:r>
          </w:p>
        </w:tc>
        <w:tc>
          <w:tcPr>
            <w:tcW w:w="560" w:type="dxa"/>
            <w:tcBorders>
              <w:top w:val="nil"/>
              <w:left w:val="nil"/>
              <w:bottom w:val="single" w:sz="4" w:space="0" w:color="auto"/>
              <w:right w:val="single" w:sz="4" w:space="0" w:color="auto"/>
            </w:tcBorders>
            <w:shd w:val="clear" w:color="auto" w:fill="auto"/>
            <w:noWrap/>
            <w:vAlign w:val="center"/>
            <w:hideMark/>
          </w:tcPr>
          <w:p w14:paraId="46E68B0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6.02</w:t>
            </w:r>
          </w:p>
        </w:tc>
        <w:tc>
          <w:tcPr>
            <w:tcW w:w="560" w:type="dxa"/>
            <w:tcBorders>
              <w:top w:val="nil"/>
              <w:left w:val="nil"/>
              <w:bottom w:val="single" w:sz="4" w:space="0" w:color="auto"/>
              <w:right w:val="nil"/>
            </w:tcBorders>
            <w:shd w:val="clear" w:color="auto" w:fill="auto"/>
            <w:noWrap/>
            <w:vAlign w:val="bottom"/>
            <w:hideMark/>
          </w:tcPr>
          <w:p w14:paraId="156FA86A"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779CB86E"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26.45</w:t>
            </w:r>
          </w:p>
        </w:tc>
        <w:tc>
          <w:tcPr>
            <w:tcW w:w="560" w:type="dxa"/>
            <w:tcBorders>
              <w:top w:val="nil"/>
              <w:left w:val="nil"/>
              <w:bottom w:val="single" w:sz="4" w:space="0" w:color="auto"/>
              <w:right w:val="single" w:sz="4" w:space="0" w:color="auto"/>
            </w:tcBorders>
            <w:shd w:val="clear" w:color="auto" w:fill="auto"/>
            <w:noWrap/>
            <w:vAlign w:val="center"/>
            <w:hideMark/>
          </w:tcPr>
          <w:p w14:paraId="525C5091"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4.61</w:t>
            </w:r>
          </w:p>
        </w:tc>
        <w:tc>
          <w:tcPr>
            <w:tcW w:w="560" w:type="dxa"/>
            <w:tcBorders>
              <w:top w:val="nil"/>
              <w:left w:val="nil"/>
              <w:bottom w:val="single" w:sz="4" w:space="0" w:color="auto"/>
              <w:right w:val="nil"/>
            </w:tcBorders>
            <w:shd w:val="clear" w:color="auto" w:fill="auto"/>
            <w:noWrap/>
            <w:vAlign w:val="bottom"/>
            <w:hideMark/>
          </w:tcPr>
          <w:p w14:paraId="3A8BA736"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1A9AA8F9"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31.75</w:t>
            </w:r>
          </w:p>
        </w:tc>
        <w:tc>
          <w:tcPr>
            <w:tcW w:w="560" w:type="dxa"/>
            <w:tcBorders>
              <w:top w:val="nil"/>
              <w:left w:val="nil"/>
              <w:bottom w:val="single" w:sz="4" w:space="0" w:color="auto"/>
              <w:right w:val="single" w:sz="4" w:space="0" w:color="auto"/>
            </w:tcBorders>
            <w:shd w:val="clear" w:color="auto" w:fill="auto"/>
            <w:noWrap/>
            <w:vAlign w:val="center"/>
            <w:hideMark/>
          </w:tcPr>
          <w:p w14:paraId="3A511094"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2.49</w:t>
            </w:r>
          </w:p>
        </w:tc>
        <w:tc>
          <w:tcPr>
            <w:tcW w:w="560" w:type="dxa"/>
            <w:tcBorders>
              <w:top w:val="nil"/>
              <w:left w:val="nil"/>
              <w:bottom w:val="single" w:sz="4" w:space="0" w:color="auto"/>
              <w:right w:val="nil"/>
            </w:tcBorders>
            <w:shd w:val="clear" w:color="auto" w:fill="auto"/>
            <w:noWrap/>
            <w:vAlign w:val="bottom"/>
            <w:hideMark/>
          </w:tcPr>
          <w:p w14:paraId="52F5D97A"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3CA503BF"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32.55</w:t>
            </w:r>
          </w:p>
        </w:tc>
        <w:tc>
          <w:tcPr>
            <w:tcW w:w="560" w:type="dxa"/>
            <w:tcBorders>
              <w:top w:val="nil"/>
              <w:left w:val="nil"/>
              <w:bottom w:val="single" w:sz="4" w:space="0" w:color="auto"/>
              <w:right w:val="single" w:sz="4" w:space="0" w:color="auto"/>
            </w:tcBorders>
            <w:shd w:val="clear" w:color="auto" w:fill="auto"/>
            <w:noWrap/>
            <w:vAlign w:val="center"/>
            <w:hideMark/>
          </w:tcPr>
          <w:p w14:paraId="218D9BD8"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3.05</w:t>
            </w:r>
          </w:p>
        </w:tc>
        <w:tc>
          <w:tcPr>
            <w:tcW w:w="560" w:type="dxa"/>
            <w:tcBorders>
              <w:top w:val="nil"/>
              <w:left w:val="nil"/>
              <w:bottom w:val="single" w:sz="4" w:space="0" w:color="auto"/>
              <w:right w:val="nil"/>
            </w:tcBorders>
            <w:shd w:val="clear" w:color="auto" w:fill="auto"/>
            <w:noWrap/>
            <w:vAlign w:val="bottom"/>
            <w:hideMark/>
          </w:tcPr>
          <w:p w14:paraId="50A05EB2"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335DB977"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33.11</w:t>
            </w:r>
          </w:p>
        </w:tc>
        <w:tc>
          <w:tcPr>
            <w:tcW w:w="560" w:type="dxa"/>
            <w:tcBorders>
              <w:top w:val="nil"/>
              <w:left w:val="nil"/>
              <w:bottom w:val="single" w:sz="4" w:space="0" w:color="auto"/>
              <w:right w:val="single" w:sz="4" w:space="0" w:color="auto"/>
            </w:tcBorders>
            <w:shd w:val="clear" w:color="auto" w:fill="auto"/>
            <w:noWrap/>
            <w:vAlign w:val="center"/>
            <w:hideMark/>
          </w:tcPr>
          <w:p w14:paraId="2DA0EC2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5.01</w:t>
            </w:r>
          </w:p>
        </w:tc>
        <w:tc>
          <w:tcPr>
            <w:tcW w:w="560" w:type="dxa"/>
            <w:tcBorders>
              <w:top w:val="nil"/>
              <w:left w:val="nil"/>
              <w:bottom w:val="single" w:sz="4" w:space="0" w:color="auto"/>
              <w:right w:val="nil"/>
            </w:tcBorders>
            <w:shd w:val="clear" w:color="auto" w:fill="auto"/>
            <w:noWrap/>
            <w:vAlign w:val="bottom"/>
            <w:hideMark/>
          </w:tcPr>
          <w:p w14:paraId="1190CA3F" w14:textId="77777777" w:rsidR="0053223B" w:rsidRPr="009F6406" w:rsidRDefault="0053223B" w:rsidP="0053223B">
            <w:pPr>
              <w:spacing w:before="0" w:after="0"/>
              <w:rPr>
                <w:rFonts w:ascii="Calibri" w:eastAsia="Times New Roman" w:hAnsi="Calibri" w:cs="Times New Roman"/>
                <w:color w:val="000000"/>
                <w:sz w:val="14"/>
                <w:szCs w:val="14"/>
                <w:lang w:val="en-GB" w:eastAsia="zh-CN"/>
              </w:rPr>
            </w:pPr>
            <w:r w:rsidRPr="009F6406">
              <w:rPr>
                <w:rFonts w:ascii="Calibri" w:eastAsia="Times New Roman" w:hAnsi="Calibri" w:cs="Times New Roman"/>
                <w:color w:val="000000"/>
                <w:sz w:val="14"/>
                <w:szCs w:val="14"/>
                <w:lang w:val="en-GB" w:eastAsia="zh-CN"/>
              </w:rPr>
              <w:t> </w:t>
            </w:r>
          </w:p>
        </w:tc>
        <w:tc>
          <w:tcPr>
            <w:tcW w:w="560" w:type="dxa"/>
            <w:tcBorders>
              <w:top w:val="nil"/>
              <w:left w:val="nil"/>
              <w:bottom w:val="single" w:sz="4" w:space="0" w:color="auto"/>
              <w:right w:val="nil"/>
            </w:tcBorders>
            <w:shd w:val="clear" w:color="auto" w:fill="auto"/>
            <w:noWrap/>
            <w:vAlign w:val="center"/>
            <w:hideMark/>
          </w:tcPr>
          <w:p w14:paraId="7AAB9532"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32.64</w:t>
            </w:r>
          </w:p>
        </w:tc>
        <w:tc>
          <w:tcPr>
            <w:tcW w:w="560" w:type="dxa"/>
            <w:tcBorders>
              <w:top w:val="nil"/>
              <w:left w:val="nil"/>
              <w:bottom w:val="single" w:sz="4" w:space="0" w:color="auto"/>
              <w:right w:val="single" w:sz="4" w:space="0" w:color="auto"/>
            </w:tcBorders>
            <w:shd w:val="clear" w:color="auto" w:fill="auto"/>
            <w:noWrap/>
            <w:vAlign w:val="center"/>
            <w:hideMark/>
          </w:tcPr>
          <w:p w14:paraId="238795DA" w14:textId="77777777" w:rsidR="0053223B" w:rsidRPr="009F6406" w:rsidRDefault="0053223B" w:rsidP="0053223B">
            <w:pPr>
              <w:spacing w:before="0" w:after="0"/>
              <w:jc w:val="right"/>
              <w:rPr>
                <w:rFonts w:ascii="Arial" w:eastAsia="Times New Roman" w:hAnsi="Arial" w:cs="Arial"/>
                <w:color w:val="000000"/>
                <w:sz w:val="14"/>
                <w:szCs w:val="14"/>
                <w:lang w:val="en-GB" w:eastAsia="zh-CN"/>
              </w:rPr>
            </w:pPr>
            <w:r w:rsidRPr="009F6406">
              <w:rPr>
                <w:rFonts w:ascii="Arial" w:eastAsia="Times New Roman" w:hAnsi="Arial" w:cs="Arial"/>
                <w:color w:val="000000"/>
                <w:sz w:val="14"/>
                <w:szCs w:val="14"/>
                <w:lang w:eastAsia="zh-CN"/>
              </w:rPr>
              <w:t>4.18</w:t>
            </w:r>
          </w:p>
        </w:tc>
      </w:tr>
      <w:tr w:rsidR="0053223B" w:rsidRPr="009F6406" w14:paraId="1BF2FEB0" w14:textId="77777777" w:rsidTr="0053223B">
        <w:trPr>
          <w:trHeight w:val="300"/>
        </w:trPr>
        <w:tc>
          <w:tcPr>
            <w:tcW w:w="13760" w:type="dxa"/>
            <w:gridSpan w:val="20"/>
            <w:vMerge w:val="restart"/>
            <w:tcBorders>
              <w:top w:val="single" w:sz="4" w:space="0" w:color="auto"/>
              <w:left w:val="nil"/>
              <w:bottom w:val="nil"/>
              <w:right w:val="nil"/>
            </w:tcBorders>
            <w:shd w:val="clear" w:color="auto" w:fill="auto"/>
            <w:hideMark/>
          </w:tcPr>
          <w:p w14:paraId="642C8B90" w14:textId="18E0AC85" w:rsidR="0053223B" w:rsidRPr="009F6406" w:rsidRDefault="0053223B" w:rsidP="00A45450">
            <w:pPr>
              <w:spacing w:before="0" w:after="0"/>
              <w:rPr>
                <w:rFonts w:ascii="Calibri" w:eastAsia="Times New Roman" w:hAnsi="Calibri" w:cs="Times New Roman"/>
                <w:color w:val="000000"/>
                <w:sz w:val="18"/>
                <w:szCs w:val="18"/>
                <w:lang w:val="en-GB" w:eastAsia="zh-CN"/>
              </w:rPr>
            </w:pPr>
            <w:r w:rsidRPr="009F6406">
              <w:rPr>
                <w:rFonts w:ascii="Calibri" w:eastAsia="Times New Roman" w:hAnsi="Calibri" w:cs="Times New Roman"/>
                <w:color w:val="000000"/>
                <w:sz w:val="18"/>
                <w:szCs w:val="18"/>
                <w:lang w:val="en-GB" w:eastAsia="zh-CN"/>
              </w:rPr>
              <w:t>*MEP strategies = Strategies associated with the particular programme which the MECORS instrument was designed to address, including: using realistic problems and examples; encouraging pupils to use a variety of problem-solving strategies; using correct mathematical language; encouraging pupils to use correct mathematical language; allowing pupils to use their own problem-solving strategies; implementing quick-fire mental questions; connecting to previously learned material; and connecting new material to other areas of mathematics</w:t>
            </w:r>
            <w:r w:rsidR="00A45450" w:rsidRPr="009F6406">
              <w:rPr>
                <w:rFonts w:ascii="Calibri" w:eastAsia="Times New Roman" w:hAnsi="Calibri" w:cs="Times New Roman"/>
                <w:color w:val="000000"/>
                <w:sz w:val="18"/>
                <w:szCs w:val="18"/>
                <w:lang w:val="en-GB" w:eastAsia="zh-CN"/>
              </w:rPr>
              <w:t xml:space="preserve">  </w:t>
            </w:r>
            <w:r w:rsidR="00A45450" w:rsidRPr="009F6406">
              <w:rPr>
                <w:rFonts w:ascii="Calibri" w:eastAsia="Times New Roman" w:hAnsi="Calibri" w:cs="Times New Roman"/>
                <w:color w:val="000000"/>
                <w:sz w:val="18"/>
                <w:szCs w:val="18"/>
                <w:lang w:val="en-GB" w:eastAsia="zh-CN"/>
              </w:rPr>
              <w:fldChar w:fldCharType="begin" w:fldLock="1"/>
            </w:r>
            <w:r w:rsidR="004E5449" w:rsidRPr="009F6406">
              <w:rPr>
                <w:rFonts w:ascii="Calibri" w:eastAsia="Times New Roman" w:hAnsi="Calibri" w:cs="Times New Roman"/>
                <w:color w:val="000000"/>
                <w:sz w:val="18"/>
                <w:szCs w:val="18"/>
                <w:lang w:val="en-GB" w:eastAsia="zh-CN"/>
              </w:rPr>
              <w:instrText>ADDIN CSL_CITATION {"citationItems":[{"id":"ITEM-1","itemData":{"ISBN":"1412901642 9781412901642 1412901650 9781412901659","abstract":"'Effective Teaching' explores all that is currently known about generic teaching skills. The authors draw upon research findings in a number of disciplines and present the findings in a non-technical manner for the benefit of students and teachers.","author":[{"dropping-particle":"","family":"Muijs","given":"Daniel.","non-dropping-particle":"","parse-names":false,"suffix":""},{"dropping-particle":"","family":"Reynolds","given":"David","non-dropping-particle":"","parse-names":false,"suffix":""}],"edition":"3rd","id":"ITEM-1","issued":{"date-parts":[["2011"]]},"language":"English","publisher":"SAGE Publications","publisher-place":"London; Thousand Oaks, Calif.","title":"Effective teaching : evidence and practice","type":"book"},"uris":["http://www.mendeley.com/documents/?uuid=ac857a48-62b2-49fa-b881-aa7b6e62a723"]}],"mendeley":{"formattedCitation":"(Muijs and Reynolds 2011)","manualFormatting":"(see Muijs and Reynolds 2011)","plainTextFormattedCitation":"(Muijs and Reynolds 2011)","previouslyFormattedCitation":"(Muijs and Reynolds 2011)"},"properties":{"noteIndex":0},"schema":"https://github.com/citation-style-language/schema/raw/master/csl-citation.json"}</w:instrText>
            </w:r>
            <w:r w:rsidR="00A45450" w:rsidRPr="009F6406">
              <w:rPr>
                <w:rFonts w:ascii="Calibri" w:eastAsia="Times New Roman" w:hAnsi="Calibri" w:cs="Times New Roman"/>
                <w:color w:val="000000"/>
                <w:sz w:val="18"/>
                <w:szCs w:val="18"/>
                <w:lang w:val="en-GB" w:eastAsia="zh-CN"/>
              </w:rPr>
              <w:fldChar w:fldCharType="separate"/>
            </w:r>
            <w:r w:rsidR="00A45450" w:rsidRPr="009F6406">
              <w:rPr>
                <w:rFonts w:ascii="Calibri" w:eastAsia="Times New Roman" w:hAnsi="Calibri" w:cs="Times New Roman"/>
                <w:noProof/>
                <w:color w:val="000000"/>
                <w:sz w:val="18"/>
                <w:szCs w:val="18"/>
                <w:lang w:val="en-GB" w:eastAsia="zh-CN"/>
              </w:rPr>
              <w:t>(see Muijs and Reynolds 2011)</w:t>
            </w:r>
            <w:r w:rsidR="00A45450" w:rsidRPr="009F6406">
              <w:rPr>
                <w:rFonts w:ascii="Calibri" w:eastAsia="Times New Roman" w:hAnsi="Calibri" w:cs="Times New Roman"/>
                <w:color w:val="000000"/>
                <w:sz w:val="18"/>
                <w:szCs w:val="18"/>
                <w:lang w:val="en-GB" w:eastAsia="zh-CN"/>
              </w:rPr>
              <w:fldChar w:fldCharType="end"/>
            </w:r>
            <w:r w:rsidR="00A45450" w:rsidRPr="009F6406">
              <w:rPr>
                <w:rFonts w:ascii="Calibri" w:eastAsia="Times New Roman" w:hAnsi="Calibri" w:cs="Times New Roman"/>
                <w:color w:val="000000"/>
                <w:sz w:val="18"/>
                <w:szCs w:val="18"/>
                <w:lang w:val="en-GB" w:eastAsia="zh-CN"/>
              </w:rPr>
              <w:t>.</w:t>
            </w:r>
          </w:p>
        </w:tc>
      </w:tr>
      <w:tr w:rsidR="0053223B" w:rsidRPr="009F6406" w14:paraId="201C55EA" w14:textId="77777777" w:rsidTr="0053223B">
        <w:trPr>
          <w:trHeight w:val="405"/>
        </w:trPr>
        <w:tc>
          <w:tcPr>
            <w:tcW w:w="13760" w:type="dxa"/>
            <w:gridSpan w:val="20"/>
            <w:vMerge/>
            <w:tcBorders>
              <w:top w:val="single" w:sz="4" w:space="0" w:color="auto"/>
              <w:left w:val="nil"/>
              <w:bottom w:val="nil"/>
              <w:right w:val="nil"/>
            </w:tcBorders>
            <w:vAlign w:val="center"/>
            <w:hideMark/>
          </w:tcPr>
          <w:p w14:paraId="54216494" w14:textId="77777777" w:rsidR="0053223B" w:rsidRPr="009F6406" w:rsidRDefault="0053223B" w:rsidP="0053223B">
            <w:pPr>
              <w:spacing w:before="0" w:after="0"/>
              <w:rPr>
                <w:rFonts w:ascii="Calibri" w:eastAsia="Times New Roman" w:hAnsi="Calibri" w:cs="Times New Roman"/>
                <w:color w:val="000000"/>
                <w:sz w:val="16"/>
                <w:szCs w:val="16"/>
                <w:lang w:val="en-GB" w:eastAsia="zh-CN"/>
              </w:rPr>
            </w:pPr>
          </w:p>
        </w:tc>
      </w:tr>
    </w:tbl>
    <w:p w14:paraId="778253F1" w14:textId="71F48D63" w:rsidR="009A29D4" w:rsidRPr="009F6406" w:rsidRDefault="00FA56D0">
      <w:pPr>
        <w:spacing w:before="0" w:after="200" w:line="276" w:lineRule="auto"/>
      </w:pPr>
      <w:r w:rsidRPr="009F6406">
        <w:t>Table 5</w:t>
      </w:r>
      <w:r w:rsidR="00BA11EF" w:rsidRPr="009F6406">
        <w:t>: Teacher sum scores on each domain of each observation instrument -- Descriptive statistics</w:t>
      </w:r>
      <w:r w:rsidR="009A29D4" w:rsidRPr="009F6406">
        <w:br w:type="page"/>
      </w:r>
    </w:p>
    <w:p w14:paraId="22B85AB9" w14:textId="77777777" w:rsidR="00E655FA" w:rsidRPr="009F6406" w:rsidRDefault="00E655FA">
      <w:pPr>
        <w:spacing w:before="0" w:after="200" w:line="276" w:lineRule="auto"/>
      </w:pPr>
    </w:p>
    <w:tbl>
      <w:tblPr>
        <w:tblW w:w="11420" w:type="dxa"/>
        <w:tblInd w:w="93" w:type="dxa"/>
        <w:tblLook w:val="04A0" w:firstRow="1" w:lastRow="0" w:firstColumn="1" w:lastColumn="0" w:noHBand="0" w:noVBand="1"/>
      </w:tblPr>
      <w:tblGrid>
        <w:gridCol w:w="960"/>
        <w:gridCol w:w="3320"/>
        <w:gridCol w:w="580"/>
        <w:gridCol w:w="580"/>
        <w:gridCol w:w="680"/>
        <w:gridCol w:w="580"/>
        <w:gridCol w:w="580"/>
        <w:gridCol w:w="580"/>
        <w:gridCol w:w="600"/>
        <w:gridCol w:w="580"/>
        <w:gridCol w:w="580"/>
        <w:gridCol w:w="580"/>
        <w:gridCol w:w="640"/>
        <w:gridCol w:w="580"/>
      </w:tblGrid>
      <w:tr w:rsidR="00F43630" w:rsidRPr="009F6406" w14:paraId="3BC414E2" w14:textId="77777777" w:rsidTr="00F43630">
        <w:trPr>
          <w:trHeight w:val="300"/>
        </w:trPr>
        <w:tc>
          <w:tcPr>
            <w:tcW w:w="960" w:type="dxa"/>
            <w:tcBorders>
              <w:top w:val="single" w:sz="4" w:space="0" w:color="auto"/>
              <w:left w:val="nil"/>
              <w:bottom w:val="nil"/>
              <w:right w:val="nil"/>
            </w:tcBorders>
            <w:shd w:val="clear" w:color="auto" w:fill="auto"/>
            <w:noWrap/>
            <w:vAlign w:val="bottom"/>
            <w:hideMark/>
          </w:tcPr>
          <w:p w14:paraId="5DDB4ECB"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3320" w:type="dxa"/>
            <w:tcBorders>
              <w:top w:val="single" w:sz="4" w:space="0" w:color="auto"/>
              <w:left w:val="nil"/>
              <w:bottom w:val="nil"/>
              <w:right w:val="nil"/>
            </w:tcBorders>
            <w:shd w:val="clear" w:color="auto" w:fill="auto"/>
            <w:noWrap/>
            <w:vAlign w:val="bottom"/>
            <w:hideMark/>
          </w:tcPr>
          <w:p w14:paraId="416AA088"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580" w:type="dxa"/>
            <w:tcBorders>
              <w:top w:val="single" w:sz="4" w:space="0" w:color="auto"/>
              <w:left w:val="single" w:sz="4" w:space="0" w:color="auto"/>
              <w:bottom w:val="nil"/>
              <w:right w:val="nil"/>
            </w:tcBorders>
            <w:shd w:val="clear" w:color="auto" w:fill="auto"/>
            <w:noWrap/>
            <w:vAlign w:val="bottom"/>
            <w:hideMark/>
          </w:tcPr>
          <w:p w14:paraId="329D52A1"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Term 1</w:t>
            </w:r>
          </w:p>
        </w:tc>
        <w:tc>
          <w:tcPr>
            <w:tcW w:w="580" w:type="dxa"/>
            <w:tcBorders>
              <w:top w:val="single" w:sz="4" w:space="0" w:color="auto"/>
              <w:left w:val="nil"/>
              <w:bottom w:val="nil"/>
              <w:right w:val="nil"/>
            </w:tcBorders>
            <w:shd w:val="clear" w:color="auto" w:fill="auto"/>
            <w:noWrap/>
            <w:vAlign w:val="bottom"/>
            <w:hideMark/>
          </w:tcPr>
          <w:p w14:paraId="5877C06E"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680" w:type="dxa"/>
            <w:tcBorders>
              <w:top w:val="single" w:sz="4" w:space="0" w:color="auto"/>
              <w:left w:val="nil"/>
              <w:bottom w:val="nil"/>
              <w:right w:val="nil"/>
            </w:tcBorders>
            <w:shd w:val="clear" w:color="auto" w:fill="auto"/>
            <w:noWrap/>
            <w:vAlign w:val="bottom"/>
            <w:hideMark/>
          </w:tcPr>
          <w:p w14:paraId="051E22EB"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580" w:type="dxa"/>
            <w:tcBorders>
              <w:top w:val="single" w:sz="4" w:space="0" w:color="auto"/>
              <w:left w:val="nil"/>
              <w:bottom w:val="nil"/>
              <w:right w:val="single" w:sz="4" w:space="0" w:color="auto"/>
            </w:tcBorders>
            <w:shd w:val="clear" w:color="auto" w:fill="auto"/>
            <w:noWrap/>
            <w:vAlign w:val="bottom"/>
            <w:hideMark/>
          </w:tcPr>
          <w:p w14:paraId="702E3483"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580" w:type="dxa"/>
            <w:tcBorders>
              <w:top w:val="single" w:sz="4" w:space="0" w:color="auto"/>
              <w:left w:val="nil"/>
              <w:bottom w:val="nil"/>
              <w:right w:val="nil"/>
            </w:tcBorders>
            <w:shd w:val="clear" w:color="auto" w:fill="auto"/>
            <w:noWrap/>
            <w:vAlign w:val="bottom"/>
            <w:hideMark/>
          </w:tcPr>
          <w:p w14:paraId="37A166B3"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Term 2</w:t>
            </w:r>
          </w:p>
        </w:tc>
        <w:tc>
          <w:tcPr>
            <w:tcW w:w="580" w:type="dxa"/>
            <w:tcBorders>
              <w:top w:val="single" w:sz="4" w:space="0" w:color="auto"/>
              <w:left w:val="nil"/>
              <w:bottom w:val="nil"/>
              <w:right w:val="nil"/>
            </w:tcBorders>
            <w:shd w:val="clear" w:color="auto" w:fill="auto"/>
            <w:noWrap/>
            <w:vAlign w:val="bottom"/>
            <w:hideMark/>
          </w:tcPr>
          <w:p w14:paraId="45EDA417"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600" w:type="dxa"/>
            <w:tcBorders>
              <w:top w:val="single" w:sz="4" w:space="0" w:color="auto"/>
              <w:left w:val="nil"/>
              <w:bottom w:val="nil"/>
              <w:right w:val="nil"/>
            </w:tcBorders>
            <w:shd w:val="clear" w:color="auto" w:fill="auto"/>
            <w:noWrap/>
            <w:vAlign w:val="bottom"/>
            <w:hideMark/>
          </w:tcPr>
          <w:p w14:paraId="48BCCFA3"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580" w:type="dxa"/>
            <w:tcBorders>
              <w:top w:val="single" w:sz="4" w:space="0" w:color="auto"/>
              <w:left w:val="nil"/>
              <w:bottom w:val="nil"/>
              <w:right w:val="single" w:sz="4" w:space="0" w:color="auto"/>
            </w:tcBorders>
            <w:shd w:val="clear" w:color="auto" w:fill="auto"/>
            <w:noWrap/>
            <w:vAlign w:val="bottom"/>
            <w:hideMark/>
          </w:tcPr>
          <w:p w14:paraId="0E766C6C"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580" w:type="dxa"/>
            <w:tcBorders>
              <w:top w:val="single" w:sz="4" w:space="0" w:color="auto"/>
              <w:left w:val="nil"/>
              <w:bottom w:val="nil"/>
              <w:right w:val="nil"/>
            </w:tcBorders>
            <w:shd w:val="clear" w:color="auto" w:fill="auto"/>
            <w:noWrap/>
            <w:vAlign w:val="bottom"/>
            <w:hideMark/>
          </w:tcPr>
          <w:p w14:paraId="702A144B"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Term 3</w:t>
            </w:r>
          </w:p>
        </w:tc>
        <w:tc>
          <w:tcPr>
            <w:tcW w:w="580" w:type="dxa"/>
            <w:tcBorders>
              <w:top w:val="single" w:sz="4" w:space="0" w:color="auto"/>
              <w:left w:val="nil"/>
              <w:bottom w:val="nil"/>
              <w:right w:val="nil"/>
            </w:tcBorders>
            <w:shd w:val="clear" w:color="auto" w:fill="auto"/>
            <w:noWrap/>
            <w:vAlign w:val="bottom"/>
            <w:hideMark/>
          </w:tcPr>
          <w:p w14:paraId="19596FC5"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640" w:type="dxa"/>
            <w:tcBorders>
              <w:top w:val="single" w:sz="4" w:space="0" w:color="auto"/>
              <w:left w:val="nil"/>
              <w:bottom w:val="nil"/>
              <w:right w:val="nil"/>
            </w:tcBorders>
            <w:shd w:val="clear" w:color="auto" w:fill="auto"/>
            <w:noWrap/>
            <w:vAlign w:val="bottom"/>
            <w:hideMark/>
          </w:tcPr>
          <w:p w14:paraId="1721890C"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580" w:type="dxa"/>
            <w:tcBorders>
              <w:top w:val="single" w:sz="4" w:space="0" w:color="auto"/>
              <w:left w:val="nil"/>
              <w:bottom w:val="nil"/>
              <w:right w:val="single" w:sz="4" w:space="0" w:color="auto"/>
            </w:tcBorders>
            <w:shd w:val="clear" w:color="auto" w:fill="auto"/>
            <w:noWrap/>
            <w:vAlign w:val="bottom"/>
            <w:hideMark/>
          </w:tcPr>
          <w:p w14:paraId="7C9358D6"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r>
      <w:tr w:rsidR="00F43630" w:rsidRPr="009F6406" w14:paraId="686E8118" w14:textId="77777777" w:rsidTr="00F43630">
        <w:trPr>
          <w:trHeight w:val="300"/>
        </w:trPr>
        <w:tc>
          <w:tcPr>
            <w:tcW w:w="960" w:type="dxa"/>
            <w:tcBorders>
              <w:top w:val="nil"/>
              <w:left w:val="nil"/>
              <w:bottom w:val="single" w:sz="4" w:space="0" w:color="auto"/>
              <w:right w:val="nil"/>
            </w:tcBorders>
            <w:shd w:val="clear" w:color="auto" w:fill="auto"/>
            <w:noWrap/>
            <w:vAlign w:val="bottom"/>
            <w:hideMark/>
          </w:tcPr>
          <w:p w14:paraId="6C6207C7" w14:textId="77777777" w:rsidR="00F43630" w:rsidRPr="009F6406" w:rsidRDefault="00F43630" w:rsidP="00F43630">
            <w:pPr>
              <w:spacing w:before="0" w:after="0"/>
              <w:rPr>
                <w:rFonts w:ascii="Calibri" w:eastAsia="Times New Roman" w:hAnsi="Calibri" w:cs="Times New Roman"/>
                <w:b/>
                <w:bCs/>
                <w:color w:val="000000"/>
                <w:sz w:val="16"/>
                <w:szCs w:val="16"/>
                <w:lang w:eastAsia="zh-CN"/>
              </w:rPr>
            </w:pPr>
            <w:r w:rsidRPr="009F6406">
              <w:rPr>
                <w:rFonts w:ascii="Calibri" w:eastAsia="Times New Roman" w:hAnsi="Calibri" w:cs="Times New Roman"/>
                <w:b/>
                <w:bCs/>
                <w:color w:val="000000"/>
                <w:sz w:val="16"/>
                <w:szCs w:val="16"/>
                <w:lang w:eastAsia="zh-CN"/>
              </w:rPr>
              <w:t>Instrument</w:t>
            </w:r>
          </w:p>
        </w:tc>
        <w:tc>
          <w:tcPr>
            <w:tcW w:w="3320" w:type="dxa"/>
            <w:tcBorders>
              <w:top w:val="nil"/>
              <w:left w:val="nil"/>
              <w:bottom w:val="single" w:sz="4" w:space="0" w:color="auto"/>
              <w:right w:val="nil"/>
            </w:tcBorders>
            <w:shd w:val="clear" w:color="auto" w:fill="auto"/>
            <w:noWrap/>
            <w:vAlign w:val="bottom"/>
            <w:hideMark/>
          </w:tcPr>
          <w:p w14:paraId="07D149CB" w14:textId="77777777" w:rsidR="00F43630" w:rsidRPr="009F6406" w:rsidRDefault="00F43630" w:rsidP="00F43630">
            <w:pPr>
              <w:spacing w:before="0" w:after="0"/>
              <w:rPr>
                <w:rFonts w:ascii="Calibri" w:eastAsia="Times New Roman" w:hAnsi="Calibri" w:cs="Times New Roman"/>
                <w:b/>
                <w:bCs/>
                <w:color w:val="000000"/>
                <w:sz w:val="16"/>
                <w:szCs w:val="16"/>
                <w:lang w:eastAsia="zh-CN"/>
              </w:rPr>
            </w:pPr>
            <w:r w:rsidRPr="009F6406">
              <w:rPr>
                <w:rFonts w:ascii="Calibri" w:eastAsia="Times New Roman" w:hAnsi="Calibri" w:cs="Times New Roman"/>
                <w:b/>
                <w:bCs/>
                <w:color w:val="000000"/>
                <w:sz w:val="16"/>
                <w:szCs w:val="16"/>
                <w:lang w:eastAsia="zh-CN"/>
              </w:rPr>
              <w:t>Domain</w:t>
            </w:r>
          </w:p>
        </w:tc>
        <w:tc>
          <w:tcPr>
            <w:tcW w:w="580" w:type="dxa"/>
            <w:tcBorders>
              <w:top w:val="nil"/>
              <w:left w:val="single" w:sz="4" w:space="0" w:color="auto"/>
              <w:bottom w:val="single" w:sz="4" w:space="0" w:color="auto"/>
              <w:right w:val="nil"/>
            </w:tcBorders>
            <w:shd w:val="clear" w:color="auto" w:fill="auto"/>
            <w:noWrap/>
            <w:vAlign w:val="bottom"/>
            <w:hideMark/>
          </w:tcPr>
          <w:p w14:paraId="0308A4D3"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B</w:t>
            </w:r>
          </w:p>
        </w:tc>
        <w:tc>
          <w:tcPr>
            <w:tcW w:w="580" w:type="dxa"/>
            <w:tcBorders>
              <w:top w:val="nil"/>
              <w:left w:val="nil"/>
              <w:bottom w:val="single" w:sz="4" w:space="0" w:color="auto"/>
              <w:right w:val="nil"/>
            </w:tcBorders>
            <w:shd w:val="clear" w:color="auto" w:fill="auto"/>
            <w:noWrap/>
            <w:vAlign w:val="bottom"/>
            <w:hideMark/>
          </w:tcPr>
          <w:p w14:paraId="7DA7EF57"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SE</w:t>
            </w:r>
          </w:p>
        </w:tc>
        <w:tc>
          <w:tcPr>
            <w:tcW w:w="680" w:type="dxa"/>
            <w:tcBorders>
              <w:top w:val="nil"/>
              <w:left w:val="nil"/>
              <w:bottom w:val="single" w:sz="4" w:space="0" w:color="auto"/>
              <w:right w:val="nil"/>
            </w:tcBorders>
            <w:shd w:val="clear" w:color="auto" w:fill="auto"/>
            <w:noWrap/>
            <w:vAlign w:val="bottom"/>
            <w:hideMark/>
          </w:tcPr>
          <w:p w14:paraId="2E95E1C2"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p</w:t>
            </w:r>
          </w:p>
        </w:tc>
        <w:tc>
          <w:tcPr>
            <w:tcW w:w="580" w:type="dxa"/>
            <w:tcBorders>
              <w:top w:val="nil"/>
              <w:left w:val="nil"/>
              <w:bottom w:val="single" w:sz="4" w:space="0" w:color="auto"/>
              <w:right w:val="single" w:sz="4" w:space="0" w:color="auto"/>
            </w:tcBorders>
            <w:shd w:val="clear" w:color="auto" w:fill="auto"/>
            <w:noWrap/>
            <w:vAlign w:val="bottom"/>
            <w:hideMark/>
          </w:tcPr>
          <w:p w14:paraId="47029157"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ES</w:t>
            </w:r>
          </w:p>
        </w:tc>
        <w:tc>
          <w:tcPr>
            <w:tcW w:w="580" w:type="dxa"/>
            <w:tcBorders>
              <w:top w:val="nil"/>
              <w:left w:val="nil"/>
              <w:bottom w:val="single" w:sz="4" w:space="0" w:color="auto"/>
              <w:right w:val="nil"/>
            </w:tcBorders>
            <w:shd w:val="clear" w:color="auto" w:fill="auto"/>
            <w:noWrap/>
            <w:vAlign w:val="bottom"/>
            <w:hideMark/>
          </w:tcPr>
          <w:p w14:paraId="488E837B"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B</w:t>
            </w:r>
          </w:p>
        </w:tc>
        <w:tc>
          <w:tcPr>
            <w:tcW w:w="580" w:type="dxa"/>
            <w:tcBorders>
              <w:top w:val="nil"/>
              <w:left w:val="nil"/>
              <w:bottom w:val="single" w:sz="4" w:space="0" w:color="auto"/>
              <w:right w:val="nil"/>
            </w:tcBorders>
            <w:shd w:val="clear" w:color="auto" w:fill="auto"/>
            <w:noWrap/>
            <w:vAlign w:val="bottom"/>
            <w:hideMark/>
          </w:tcPr>
          <w:p w14:paraId="1E56ED76"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SE</w:t>
            </w:r>
          </w:p>
        </w:tc>
        <w:tc>
          <w:tcPr>
            <w:tcW w:w="600" w:type="dxa"/>
            <w:tcBorders>
              <w:top w:val="nil"/>
              <w:left w:val="nil"/>
              <w:bottom w:val="single" w:sz="4" w:space="0" w:color="auto"/>
              <w:right w:val="nil"/>
            </w:tcBorders>
            <w:shd w:val="clear" w:color="auto" w:fill="auto"/>
            <w:noWrap/>
            <w:vAlign w:val="bottom"/>
            <w:hideMark/>
          </w:tcPr>
          <w:p w14:paraId="07E0914D"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p</w:t>
            </w:r>
          </w:p>
        </w:tc>
        <w:tc>
          <w:tcPr>
            <w:tcW w:w="580" w:type="dxa"/>
            <w:tcBorders>
              <w:top w:val="nil"/>
              <w:left w:val="nil"/>
              <w:bottom w:val="single" w:sz="4" w:space="0" w:color="auto"/>
              <w:right w:val="single" w:sz="4" w:space="0" w:color="auto"/>
            </w:tcBorders>
            <w:shd w:val="clear" w:color="auto" w:fill="auto"/>
            <w:noWrap/>
            <w:vAlign w:val="bottom"/>
            <w:hideMark/>
          </w:tcPr>
          <w:p w14:paraId="4D32EABF"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ES</w:t>
            </w:r>
          </w:p>
        </w:tc>
        <w:tc>
          <w:tcPr>
            <w:tcW w:w="580" w:type="dxa"/>
            <w:tcBorders>
              <w:top w:val="nil"/>
              <w:left w:val="nil"/>
              <w:bottom w:val="single" w:sz="4" w:space="0" w:color="auto"/>
              <w:right w:val="nil"/>
            </w:tcBorders>
            <w:shd w:val="clear" w:color="auto" w:fill="auto"/>
            <w:noWrap/>
            <w:vAlign w:val="bottom"/>
            <w:hideMark/>
          </w:tcPr>
          <w:p w14:paraId="35648EEF"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B</w:t>
            </w:r>
          </w:p>
        </w:tc>
        <w:tc>
          <w:tcPr>
            <w:tcW w:w="580" w:type="dxa"/>
            <w:tcBorders>
              <w:top w:val="nil"/>
              <w:left w:val="nil"/>
              <w:bottom w:val="single" w:sz="4" w:space="0" w:color="auto"/>
              <w:right w:val="nil"/>
            </w:tcBorders>
            <w:shd w:val="clear" w:color="auto" w:fill="auto"/>
            <w:noWrap/>
            <w:vAlign w:val="bottom"/>
            <w:hideMark/>
          </w:tcPr>
          <w:p w14:paraId="6DCC2FBA"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SE</w:t>
            </w:r>
          </w:p>
        </w:tc>
        <w:tc>
          <w:tcPr>
            <w:tcW w:w="640" w:type="dxa"/>
            <w:tcBorders>
              <w:top w:val="nil"/>
              <w:left w:val="nil"/>
              <w:bottom w:val="single" w:sz="4" w:space="0" w:color="auto"/>
              <w:right w:val="nil"/>
            </w:tcBorders>
            <w:shd w:val="clear" w:color="auto" w:fill="auto"/>
            <w:noWrap/>
            <w:vAlign w:val="bottom"/>
            <w:hideMark/>
          </w:tcPr>
          <w:p w14:paraId="4D4FE8A8"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p</w:t>
            </w:r>
          </w:p>
        </w:tc>
        <w:tc>
          <w:tcPr>
            <w:tcW w:w="580" w:type="dxa"/>
            <w:tcBorders>
              <w:top w:val="nil"/>
              <w:left w:val="nil"/>
              <w:bottom w:val="single" w:sz="4" w:space="0" w:color="auto"/>
              <w:right w:val="single" w:sz="4" w:space="0" w:color="auto"/>
            </w:tcBorders>
            <w:shd w:val="clear" w:color="auto" w:fill="auto"/>
            <w:noWrap/>
            <w:vAlign w:val="bottom"/>
            <w:hideMark/>
          </w:tcPr>
          <w:p w14:paraId="0D9D5910"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ES</w:t>
            </w:r>
          </w:p>
        </w:tc>
      </w:tr>
      <w:tr w:rsidR="00F43630" w:rsidRPr="009F6406" w14:paraId="76866566" w14:textId="77777777" w:rsidTr="00F43630">
        <w:trPr>
          <w:trHeight w:val="199"/>
        </w:trPr>
        <w:tc>
          <w:tcPr>
            <w:tcW w:w="960" w:type="dxa"/>
            <w:tcBorders>
              <w:top w:val="nil"/>
              <w:left w:val="nil"/>
              <w:bottom w:val="nil"/>
              <w:right w:val="nil"/>
            </w:tcBorders>
            <w:shd w:val="clear" w:color="auto" w:fill="auto"/>
            <w:noWrap/>
            <w:vAlign w:val="bottom"/>
            <w:hideMark/>
          </w:tcPr>
          <w:p w14:paraId="725B5E17"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QoT</w:t>
            </w:r>
          </w:p>
        </w:tc>
        <w:tc>
          <w:tcPr>
            <w:tcW w:w="3320" w:type="dxa"/>
            <w:tcBorders>
              <w:top w:val="nil"/>
              <w:left w:val="nil"/>
              <w:bottom w:val="nil"/>
              <w:right w:val="nil"/>
            </w:tcBorders>
            <w:shd w:val="clear" w:color="auto" w:fill="auto"/>
            <w:noWrap/>
            <w:vAlign w:val="bottom"/>
            <w:hideMark/>
          </w:tcPr>
          <w:p w14:paraId="36359988"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Safe and orderly classroom climate</w:t>
            </w:r>
          </w:p>
        </w:tc>
        <w:tc>
          <w:tcPr>
            <w:tcW w:w="580" w:type="dxa"/>
            <w:tcBorders>
              <w:top w:val="nil"/>
              <w:left w:val="single" w:sz="4" w:space="0" w:color="auto"/>
              <w:bottom w:val="nil"/>
              <w:right w:val="nil"/>
            </w:tcBorders>
            <w:shd w:val="clear" w:color="auto" w:fill="auto"/>
            <w:noWrap/>
            <w:vAlign w:val="bottom"/>
            <w:hideMark/>
          </w:tcPr>
          <w:p w14:paraId="414FD5F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1.69</w:t>
            </w:r>
          </w:p>
        </w:tc>
        <w:tc>
          <w:tcPr>
            <w:tcW w:w="580" w:type="dxa"/>
            <w:tcBorders>
              <w:top w:val="nil"/>
              <w:left w:val="nil"/>
              <w:bottom w:val="nil"/>
              <w:right w:val="nil"/>
            </w:tcBorders>
            <w:shd w:val="clear" w:color="auto" w:fill="auto"/>
            <w:noWrap/>
            <w:vAlign w:val="bottom"/>
            <w:hideMark/>
          </w:tcPr>
          <w:p w14:paraId="2ECF48B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1.39</w:t>
            </w:r>
          </w:p>
        </w:tc>
        <w:tc>
          <w:tcPr>
            <w:tcW w:w="680" w:type="dxa"/>
            <w:tcBorders>
              <w:top w:val="nil"/>
              <w:left w:val="nil"/>
              <w:bottom w:val="nil"/>
              <w:right w:val="nil"/>
            </w:tcBorders>
            <w:shd w:val="clear" w:color="auto" w:fill="auto"/>
            <w:noWrap/>
            <w:vAlign w:val="bottom"/>
            <w:hideMark/>
          </w:tcPr>
          <w:p w14:paraId="6126010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0.241</w:t>
            </w:r>
          </w:p>
        </w:tc>
        <w:tc>
          <w:tcPr>
            <w:tcW w:w="580" w:type="dxa"/>
            <w:tcBorders>
              <w:top w:val="nil"/>
              <w:left w:val="nil"/>
              <w:bottom w:val="nil"/>
              <w:right w:val="single" w:sz="4" w:space="0" w:color="auto"/>
            </w:tcBorders>
            <w:shd w:val="clear" w:color="auto" w:fill="auto"/>
            <w:noWrap/>
            <w:vAlign w:val="bottom"/>
            <w:hideMark/>
          </w:tcPr>
          <w:p w14:paraId="0A02543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0.08</w:t>
            </w:r>
          </w:p>
        </w:tc>
        <w:tc>
          <w:tcPr>
            <w:tcW w:w="580" w:type="dxa"/>
            <w:tcBorders>
              <w:top w:val="nil"/>
              <w:left w:val="nil"/>
              <w:bottom w:val="nil"/>
              <w:right w:val="nil"/>
            </w:tcBorders>
            <w:shd w:val="clear" w:color="auto" w:fill="auto"/>
            <w:noWrap/>
            <w:vAlign w:val="bottom"/>
            <w:hideMark/>
          </w:tcPr>
          <w:p w14:paraId="16669B2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0.35</w:t>
            </w:r>
          </w:p>
        </w:tc>
        <w:tc>
          <w:tcPr>
            <w:tcW w:w="580" w:type="dxa"/>
            <w:tcBorders>
              <w:top w:val="nil"/>
              <w:left w:val="nil"/>
              <w:bottom w:val="nil"/>
              <w:right w:val="nil"/>
            </w:tcBorders>
            <w:shd w:val="clear" w:color="auto" w:fill="auto"/>
            <w:noWrap/>
            <w:vAlign w:val="bottom"/>
            <w:hideMark/>
          </w:tcPr>
          <w:p w14:paraId="795BE03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1.22</w:t>
            </w:r>
          </w:p>
        </w:tc>
        <w:tc>
          <w:tcPr>
            <w:tcW w:w="600" w:type="dxa"/>
            <w:tcBorders>
              <w:top w:val="nil"/>
              <w:left w:val="nil"/>
              <w:bottom w:val="nil"/>
              <w:right w:val="nil"/>
            </w:tcBorders>
            <w:shd w:val="clear" w:color="auto" w:fill="auto"/>
            <w:noWrap/>
            <w:vAlign w:val="bottom"/>
            <w:hideMark/>
          </w:tcPr>
          <w:p w14:paraId="54B59A2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0.777</w:t>
            </w:r>
          </w:p>
        </w:tc>
        <w:tc>
          <w:tcPr>
            <w:tcW w:w="580" w:type="dxa"/>
            <w:tcBorders>
              <w:top w:val="nil"/>
              <w:left w:val="nil"/>
              <w:bottom w:val="nil"/>
              <w:right w:val="single" w:sz="4" w:space="0" w:color="auto"/>
            </w:tcBorders>
            <w:shd w:val="clear" w:color="auto" w:fill="auto"/>
            <w:noWrap/>
            <w:vAlign w:val="bottom"/>
            <w:hideMark/>
          </w:tcPr>
          <w:p w14:paraId="55E709C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w:t>
            </w:r>
          </w:p>
        </w:tc>
        <w:tc>
          <w:tcPr>
            <w:tcW w:w="580" w:type="dxa"/>
            <w:tcBorders>
              <w:top w:val="nil"/>
              <w:left w:val="nil"/>
              <w:bottom w:val="nil"/>
              <w:right w:val="nil"/>
            </w:tcBorders>
            <w:shd w:val="clear" w:color="auto" w:fill="auto"/>
            <w:noWrap/>
            <w:vAlign w:val="bottom"/>
            <w:hideMark/>
          </w:tcPr>
          <w:p w14:paraId="1B6FFC8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0.02</w:t>
            </w:r>
          </w:p>
        </w:tc>
        <w:tc>
          <w:tcPr>
            <w:tcW w:w="580" w:type="dxa"/>
            <w:tcBorders>
              <w:top w:val="nil"/>
              <w:left w:val="nil"/>
              <w:bottom w:val="nil"/>
              <w:right w:val="nil"/>
            </w:tcBorders>
            <w:shd w:val="clear" w:color="auto" w:fill="auto"/>
            <w:noWrap/>
            <w:vAlign w:val="bottom"/>
            <w:hideMark/>
          </w:tcPr>
          <w:p w14:paraId="3238897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1.15</w:t>
            </w:r>
          </w:p>
        </w:tc>
        <w:tc>
          <w:tcPr>
            <w:tcW w:w="640" w:type="dxa"/>
            <w:tcBorders>
              <w:top w:val="nil"/>
              <w:left w:val="nil"/>
              <w:bottom w:val="nil"/>
              <w:right w:val="nil"/>
            </w:tcBorders>
            <w:shd w:val="clear" w:color="auto" w:fill="auto"/>
            <w:noWrap/>
            <w:vAlign w:val="bottom"/>
            <w:hideMark/>
          </w:tcPr>
          <w:p w14:paraId="3DFE3E5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0.986</w:t>
            </w:r>
          </w:p>
        </w:tc>
        <w:tc>
          <w:tcPr>
            <w:tcW w:w="580" w:type="dxa"/>
            <w:tcBorders>
              <w:top w:val="nil"/>
              <w:left w:val="nil"/>
              <w:bottom w:val="nil"/>
              <w:right w:val="single" w:sz="4" w:space="0" w:color="auto"/>
            </w:tcBorders>
            <w:shd w:val="clear" w:color="auto" w:fill="auto"/>
            <w:noWrap/>
            <w:vAlign w:val="bottom"/>
            <w:hideMark/>
          </w:tcPr>
          <w:p w14:paraId="5DAAA4F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w:t>
            </w:r>
          </w:p>
        </w:tc>
      </w:tr>
      <w:tr w:rsidR="00F43630" w:rsidRPr="009F6406" w14:paraId="1CECEC66" w14:textId="77777777" w:rsidTr="005225F0">
        <w:trPr>
          <w:trHeight w:val="199"/>
        </w:trPr>
        <w:tc>
          <w:tcPr>
            <w:tcW w:w="960" w:type="dxa"/>
            <w:tcBorders>
              <w:top w:val="nil"/>
              <w:left w:val="nil"/>
              <w:bottom w:val="nil"/>
              <w:right w:val="nil"/>
            </w:tcBorders>
            <w:shd w:val="clear" w:color="auto" w:fill="auto"/>
            <w:noWrap/>
            <w:vAlign w:val="bottom"/>
            <w:hideMark/>
          </w:tcPr>
          <w:p w14:paraId="1CECEE92"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48891BE6"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Stimulating learning climate</w:t>
            </w:r>
          </w:p>
        </w:tc>
        <w:tc>
          <w:tcPr>
            <w:tcW w:w="580" w:type="dxa"/>
            <w:tcBorders>
              <w:top w:val="nil"/>
              <w:left w:val="single" w:sz="4" w:space="0" w:color="auto"/>
              <w:bottom w:val="nil"/>
              <w:right w:val="nil"/>
            </w:tcBorders>
            <w:shd w:val="clear" w:color="auto" w:fill="auto"/>
            <w:noWrap/>
            <w:vAlign w:val="bottom"/>
            <w:hideMark/>
          </w:tcPr>
          <w:p w14:paraId="4F001D9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3.40</w:t>
            </w:r>
          </w:p>
        </w:tc>
        <w:tc>
          <w:tcPr>
            <w:tcW w:w="580" w:type="dxa"/>
            <w:tcBorders>
              <w:top w:val="nil"/>
              <w:left w:val="nil"/>
              <w:bottom w:val="nil"/>
              <w:right w:val="nil"/>
            </w:tcBorders>
            <w:shd w:val="clear" w:color="auto" w:fill="auto"/>
            <w:noWrap/>
            <w:vAlign w:val="bottom"/>
            <w:hideMark/>
          </w:tcPr>
          <w:p w14:paraId="527D392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0.99</w:t>
            </w:r>
          </w:p>
        </w:tc>
        <w:tc>
          <w:tcPr>
            <w:tcW w:w="680" w:type="dxa"/>
            <w:tcBorders>
              <w:top w:val="nil"/>
              <w:left w:val="nil"/>
              <w:bottom w:val="nil"/>
              <w:right w:val="nil"/>
            </w:tcBorders>
            <w:shd w:val="clear" w:color="auto" w:fill="auto"/>
            <w:noWrap/>
            <w:vAlign w:val="bottom"/>
            <w:hideMark/>
          </w:tcPr>
          <w:p w14:paraId="29063F3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0.003</w:t>
            </w:r>
          </w:p>
        </w:tc>
        <w:tc>
          <w:tcPr>
            <w:tcW w:w="580" w:type="dxa"/>
            <w:tcBorders>
              <w:top w:val="nil"/>
              <w:left w:val="nil"/>
              <w:bottom w:val="nil"/>
              <w:right w:val="single" w:sz="4" w:space="0" w:color="auto"/>
            </w:tcBorders>
            <w:shd w:val="clear" w:color="auto" w:fill="auto"/>
            <w:noWrap/>
            <w:vAlign w:val="bottom"/>
            <w:hideMark/>
          </w:tcPr>
          <w:p w14:paraId="6FB42E1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0.40</w:t>
            </w:r>
          </w:p>
        </w:tc>
        <w:tc>
          <w:tcPr>
            <w:tcW w:w="580" w:type="dxa"/>
            <w:tcBorders>
              <w:top w:val="nil"/>
              <w:left w:val="nil"/>
              <w:bottom w:val="nil"/>
              <w:right w:val="nil"/>
            </w:tcBorders>
            <w:shd w:val="clear" w:color="auto" w:fill="auto"/>
            <w:noWrap/>
            <w:vAlign w:val="bottom"/>
            <w:hideMark/>
          </w:tcPr>
          <w:p w14:paraId="6E58438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1.38</w:t>
            </w:r>
          </w:p>
        </w:tc>
        <w:tc>
          <w:tcPr>
            <w:tcW w:w="580" w:type="dxa"/>
            <w:tcBorders>
              <w:top w:val="nil"/>
              <w:left w:val="nil"/>
              <w:bottom w:val="nil"/>
              <w:right w:val="nil"/>
            </w:tcBorders>
            <w:shd w:val="clear" w:color="auto" w:fill="auto"/>
            <w:noWrap/>
            <w:vAlign w:val="bottom"/>
            <w:hideMark/>
          </w:tcPr>
          <w:p w14:paraId="4B22731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0.81</w:t>
            </w:r>
          </w:p>
        </w:tc>
        <w:tc>
          <w:tcPr>
            <w:tcW w:w="600" w:type="dxa"/>
            <w:tcBorders>
              <w:top w:val="nil"/>
              <w:left w:val="nil"/>
              <w:bottom w:val="nil"/>
              <w:right w:val="nil"/>
            </w:tcBorders>
            <w:shd w:val="clear" w:color="auto" w:fill="auto"/>
            <w:noWrap/>
            <w:vAlign w:val="bottom"/>
            <w:hideMark/>
          </w:tcPr>
          <w:p w14:paraId="03A73C3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0.109</w:t>
            </w:r>
          </w:p>
        </w:tc>
        <w:tc>
          <w:tcPr>
            <w:tcW w:w="580" w:type="dxa"/>
            <w:tcBorders>
              <w:top w:val="nil"/>
              <w:left w:val="nil"/>
              <w:bottom w:val="nil"/>
              <w:right w:val="single" w:sz="4" w:space="0" w:color="auto"/>
            </w:tcBorders>
            <w:shd w:val="clear" w:color="auto" w:fill="auto"/>
            <w:noWrap/>
            <w:vAlign w:val="bottom"/>
            <w:hideMark/>
          </w:tcPr>
          <w:p w14:paraId="41BDB63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0.14</w:t>
            </w:r>
          </w:p>
        </w:tc>
        <w:tc>
          <w:tcPr>
            <w:tcW w:w="580" w:type="dxa"/>
            <w:tcBorders>
              <w:top w:val="nil"/>
              <w:left w:val="nil"/>
              <w:bottom w:val="nil"/>
              <w:right w:val="nil"/>
            </w:tcBorders>
            <w:shd w:val="clear" w:color="auto" w:fill="auto"/>
            <w:noWrap/>
            <w:vAlign w:val="bottom"/>
            <w:hideMark/>
          </w:tcPr>
          <w:p w14:paraId="26032FB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1.49</w:t>
            </w:r>
          </w:p>
        </w:tc>
        <w:tc>
          <w:tcPr>
            <w:tcW w:w="580" w:type="dxa"/>
            <w:tcBorders>
              <w:top w:val="nil"/>
              <w:left w:val="nil"/>
              <w:bottom w:val="nil"/>
              <w:right w:val="nil"/>
            </w:tcBorders>
            <w:shd w:val="clear" w:color="auto" w:fill="auto"/>
            <w:noWrap/>
            <w:vAlign w:val="bottom"/>
            <w:hideMark/>
          </w:tcPr>
          <w:p w14:paraId="634A8F5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1.01</w:t>
            </w:r>
          </w:p>
        </w:tc>
        <w:tc>
          <w:tcPr>
            <w:tcW w:w="640" w:type="dxa"/>
            <w:tcBorders>
              <w:top w:val="nil"/>
              <w:left w:val="nil"/>
              <w:bottom w:val="nil"/>
              <w:right w:val="nil"/>
            </w:tcBorders>
            <w:shd w:val="clear" w:color="auto" w:fill="auto"/>
            <w:noWrap/>
            <w:vAlign w:val="bottom"/>
            <w:hideMark/>
          </w:tcPr>
          <w:p w14:paraId="3E69F33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0.158</w:t>
            </w:r>
          </w:p>
        </w:tc>
        <w:tc>
          <w:tcPr>
            <w:tcW w:w="580" w:type="dxa"/>
            <w:tcBorders>
              <w:top w:val="nil"/>
              <w:left w:val="nil"/>
              <w:bottom w:val="nil"/>
              <w:right w:val="single" w:sz="4" w:space="0" w:color="auto"/>
            </w:tcBorders>
            <w:shd w:val="clear" w:color="auto" w:fill="auto"/>
            <w:noWrap/>
            <w:vAlign w:val="bottom"/>
            <w:hideMark/>
          </w:tcPr>
          <w:p w14:paraId="01A4736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0.11</w:t>
            </w:r>
          </w:p>
        </w:tc>
      </w:tr>
      <w:tr w:rsidR="00F43630" w:rsidRPr="009F6406" w14:paraId="6E617DD8" w14:textId="77777777" w:rsidTr="00F43630">
        <w:trPr>
          <w:trHeight w:val="199"/>
        </w:trPr>
        <w:tc>
          <w:tcPr>
            <w:tcW w:w="960" w:type="dxa"/>
            <w:tcBorders>
              <w:top w:val="nil"/>
              <w:left w:val="nil"/>
              <w:bottom w:val="nil"/>
              <w:right w:val="nil"/>
            </w:tcBorders>
            <w:shd w:val="clear" w:color="auto" w:fill="auto"/>
            <w:noWrap/>
            <w:vAlign w:val="bottom"/>
            <w:hideMark/>
          </w:tcPr>
          <w:p w14:paraId="4835C9B1"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528758F7"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Clear objectives</w:t>
            </w:r>
          </w:p>
        </w:tc>
        <w:tc>
          <w:tcPr>
            <w:tcW w:w="580" w:type="dxa"/>
            <w:tcBorders>
              <w:top w:val="nil"/>
              <w:left w:val="single" w:sz="4" w:space="0" w:color="auto"/>
              <w:bottom w:val="nil"/>
              <w:right w:val="nil"/>
            </w:tcBorders>
            <w:shd w:val="clear" w:color="auto" w:fill="auto"/>
            <w:noWrap/>
            <w:vAlign w:val="bottom"/>
            <w:hideMark/>
          </w:tcPr>
          <w:p w14:paraId="2D6CCCC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1.39</w:t>
            </w:r>
          </w:p>
        </w:tc>
        <w:tc>
          <w:tcPr>
            <w:tcW w:w="580" w:type="dxa"/>
            <w:tcBorders>
              <w:top w:val="nil"/>
              <w:left w:val="nil"/>
              <w:bottom w:val="nil"/>
              <w:right w:val="nil"/>
            </w:tcBorders>
            <w:shd w:val="clear" w:color="auto" w:fill="auto"/>
            <w:noWrap/>
            <w:vAlign w:val="bottom"/>
            <w:hideMark/>
          </w:tcPr>
          <w:p w14:paraId="41F9C2D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0.77</w:t>
            </w:r>
          </w:p>
        </w:tc>
        <w:tc>
          <w:tcPr>
            <w:tcW w:w="680" w:type="dxa"/>
            <w:tcBorders>
              <w:top w:val="nil"/>
              <w:left w:val="nil"/>
              <w:bottom w:val="nil"/>
              <w:right w:val="nil"/>
            </w:tcBorders>
            <w:shd w:val="clear" w:color="auto" w:fill="auto"/>
            <w:noWrap/>
            <w:vAlign w:val="bottom"/>
            <w:hideMark/>
          </w:tcPr>
          <w:p w14:paraId="25B4A14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0.085</w:t>
            </w:r>
          </w:p>
        </w:tc>
        <w:tc>
          <w:tcPr>
            <w:tcW w:w="580" w:type="dxa"/>
            <w:tcBorders>
              <w:top w:val="nil"/>
              <w:left w:val="nil"/>
              <w:bottom w:val="nil"/>
              <w:right w:val="single" w:sz="4" w:space="0" w:color="auto"/>
            </w:tcBorders>
            <w:shd w:val="clear" w:color="auto" w:fill="auto"/>
            <w:noWrap/>
            <w:vAlign w:val="bottom"/>
            <w:hideMark/>
          </w:tcPr>
          <w:p w14:paraId="1D9CCFB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0.16</w:t>
            </w:r>
          </w:p>
        </w:tc>
        <w:tc>
          <w:tcPr>
            <w:tcW w:w="580" w:type="dxa"/>
            <w:tcBorders>
              <w:top w:val="nil"/>
              <w:left w:val="nil"/>
              <w:bottom w:val="nil"/>
              <w:right w:val="nil"/>
            </w:tcBorders>
            <w:shd w:val="clear" w:color="auto" w:fill="auto"/>
            <w:noWrap/>
            <w:vAlign w:val="bottom"/>
            <w:hideMark/>
          </w:tcPr>
          <w:p w14:paraId="23D9FAB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0.09</w:t>
            </w:r>
          </w:p>
        </w:tc>
        <w:tc>
          <w:tcPr>
            <w:tcW w:w="580" w:type="dxa"/>
            <w:tcBorders>
              <w:top w:val="nil"/>
              <w:left w:val="nil"/>
              <w:bottom w:val="nil"/>
              <w:right w:val="nil"/>
            </w:tcBorders>
            <w:shd w:val="clear" w:color="auto" w:fill="auto"/>
            <w:noWrap/>
            <w:vAlign w:val="bottom"/>
            <w:hideMark/>
          </w:tcPr>
          <w:p w14:paraId="7C74511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0.58</w:t>
            </w:r>
          </w:p>
        </w:tc>
        <w:tc>
          <w:tcPr>
            <w:tcW w:w="600" w:type="dxa"/>
            <w:tcBorders>
              <w:top w:val="nil"/>
              <w:left w:val="nil"/>
              <w:bottom w:val="nil"/>
              <w:right w:val="nil"/>
            </w:tcBorders>
            <w:shd w:val="clear" w:color="auto" w:fill="auto"/>
            <w:noWrap/>
            <w:vAlign w:val="bottom"/>
            <w:hideMark/>
          </w:tcPr>
          <w:p w14:paraId="1558B16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0.878</w:t>
            </w:r>
          </w:p>
        </w:tc>
        <w:tc>
          <w:tcPr>
            <w:tcW w:w="580" w:type="dxa"/>
            <w:tcBorders>
              <w:top w:val="nil"/>
              <w:left w:val="nil"/>
              <w:bottom w:val="nil"/>
              <w:right w:val="single" w:sz="4" w:space="0" w:color="auto"/>
            </w:tcBorders>
            <w:shd w:val="clear" w:color="auto" w:fill="auto"/>
            <w:noWrap/>
            <w:vAlign w:val="bottom"/>
            <w:hideMark/>
          </w:tcPr>
          <w:p w14:paraId="069BB86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w:t>
            </w:r>
          </w:p>
        </w:tc>
        <w:tc>
          <w:tcPr>
            <w:tcW w:w="580" w:type="dxa"/>
            <w:tcBorders>
              <w:top w:val="nil"/>
              <w:left w:val="nil"/>
              <w:bottom w:val="nil"/>
              <w:right w:val="nil"/>
            </w:tcBorders>
            <w:shd w:val="clear" w:color="auto" w:fill="auto"/>
            <w:noWrap/>
            <w:vAlign w:val="bottom"/>
            <w:hideMark/>
          </w:tcPr>
          <w:p w14:paraId="1EFD3EE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0.82</w:t>
            </w:r>
          </w:p>
        </w:tc>
        <w:tc>
          <w:tcPr>
            <w:tcW w:w="580" w:type="dxa"/>
            <w:tcBorders>
              <w:top w:val="nil"/>
              <w:left w:val="nil"/>
              <w:bottom w:val="nil"/>
              <w:right w:val="nil"/>
            </w:tcBorders>
            <w:shd w:val="clear" w:color="auto" w:fill="auto"/>
            <w:noWrap/>
            <w:vAlign w:val="bottom"/>
            <w:hideMark/>
          </w:tcPr>
          <w:p w14:paraId="7462D95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0.44</w:t>
            </w:r>
          </w:p>
        </w:tc>
        <w:tc>
          <w:tcPr>
            <w:tcW w:w="640" w:type="dxa"/>
            <w:tcBorders>
              <w:top w:val="nil"/>
              <w:left w:val="nil"/>
              <w:bottom w:val="nil"/>
              <w:right w:val="nil"/>
            </w:tcBorders>
            <w:shd w:val="clear" w:color="auto" w:fill="auto"/>
            <w:noWrap/>
            <w:vAlign w:val="bottom"/>
            <w:hideMark/>
          </w:tcPr>
          <w:p w14:paraId="0F38CC0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0.082</w:t>
            </w:r>
          </w:p>
        </w:tc>
        <w:tc>
          <w:tcPr>
            <w:tcW w:w="580" w:type="dxa"/>
            <w:tcBorders>
              <w:top w:val="nil"/>
              <w:left w:val="nil"/>
              <w:bottom w:val="nil"/>
              <w:right w:val="single" w:sz="4" w:space="0" w:color="auto"/>
            </w:tcBorders>
            <w:shd w:val="clear" w:color="auto" w:fill="auto"/>
            <w:noWrap/>
            <w:vAlign w:val="bottom"/>
            <w:hideMark/>
          </w:tcPr>
          <w:p w14:paraId="10F6FD5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0.16</w:t>
            </w:r>
          </w:p>
        </w:tc>
      </w:tr>
      <w:tr w:rsidR="00F43630" w:rsidRPr="009F6406" w14:paraId="17057CB1" w14:textId="77777777" w:rsidTr="005225F0">
        <w:trPr>
          <w:trHeight w:val="199"/>
        </w:trPr>
        <w:tc>
          <w:tcPr>
            <w:tcW w:w="960" w:type="dxa"/>
            <w:tcBorders>
              <w:top w:val="nil"/>
              <w:left w:val="nil"/>
              <w:bottom w:val="nil"/>
              <w:right w:val="nil"/>
            </w:tcBorders>
            <w:shd w:val="clear" w:color="auto" w:fill="auto"/>
            <w:noWrap/>
            <w:vAlign w:val="bottom"/>
            <w:hideMark/>
          </w:tcPr>
          <w:p w14:paraId="2D25AAC0"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19145527"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Clear instruction</w:t>
            </w:r>
          </w:p>
        </w:tc>
        <w:tc>
          <w:tcPr>
            <w:tcW w:w="580" w:type="dxa"/>
            <w:tcBorders>
              <w:top w:val="nil"/>
              <w:left w:val="single" w:sz="4" w:space="0" w:color="auto"/>
              <w:bottom w:val="nil"/>
              <w:right w:val="nil"/>
            </w:tcBorders>
            <w:shd w:val="clear" w:color="auto" w:fill="auto"/>
            <w:noWrap/>
            <w:vAlign w:val="bottom"/>
            <w:hideMark/>
          </w:tcPr>
          <w:p w14:paraId="3C1384F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1.95</w:t>
            </w:r>
          </w:p>
        </w:tc>
        <w:tc>
          <w:tcPr>
            <w:tcW w:w="580" w:type="dxa"/>
            <w:tcBorders>
              <w:top w:val="nil"/>
              <w:left w:val="nil"/>
              <w:bottom w:val="nil"/>
              <w:right w:val="nil"/>
            </w:tcBorders>
            <w:shd w:val="clear" w:color="auto" w:fill="auto"/>
            <w:noWrap/>
            <w:vAlign w:val="bottom"/>
            <w:hideMark/>
          </w:tcPr>
          <w:p w14:paraId="53E1FD9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0.47</w:t>
            </w:r>
          </w:p>
        </w:tc>
        <w:tc>
          <w:tcPr>
            <w:tcW w:w="680" w:type="dxa"/>
            <w:tcBorders>
              <w:top w:val="nil"/>
              <w:left w:val="nil"/>
              <w:bottom w:val="nil"/>
              <w:right w:val="nil"/>
            </w:tcBorders>
            <w:shd w:val="clear" w:color="auto" w:fill="auto"/>
            <w:noWrap/>
            <w:vAlign w:val="bottom"/>
            <w:hideMark/>
          </w:tcPr>
          <w:p w14:paraId="1FCA19E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0.001</w:t>
            </w:r>
          </w:p>
        </w:tc>
        <w:tc>
          <w:tcPr>
            <w:tcW w:w="580" w:type="dxa"/>
            <w:tcBorders>
              <w:top w:val="nil"/>
              <w:left w:val="nil"/>
              <w:bottom w:val="nil"/>
              <w:right w:val="single" w:sz="4" w:space="0" w:color="auto"/>
            </w:tcBorders>
            <w:shd w:val="clear" w:color="auto" w:fill="auto"/>
            <w:noWrap/>
            <w:vAlign w:val="bottom"/>
            <w:hideMark/>
          </w:tcPr>
          <w:p w14:paraId="275014B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0.49</w:t>
            </w:r>
          </w:p>
        </w:tc>
        <w:tc>
          <w:tcPr>
            <w:tcW w:w="580" w:type="dxa"/>
            <w:tcBorders>
              <w:top w:val="nil"/>
              <w:left w:val="nil"/>
              <w:bottom w:val="nil"/>
              <w:right w:val="nil"/>
            </w:tcBorders>
            <w:shd w:val="clear" w:color="auto" w:fill="auto"/>
            <w:noWrap/>
            <w:vAlign w:val="bottom"/>
            <w:hideMark/>
          </w:tcPr>
          <w:p w14:paraId="4637CF5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0.62</w:t>
            </w:r>
          </w:p>
        </w:tc>
        <w:tc>
          <w:tcPr>
            <w:tcW w:w="580" w:type="dxa"/>
            <w:tcBorders>
              <w:top w:val="nil"/>
              <w:left w:val="nil"/>
              <w:bottom w:val="nil"/>
              <w:right w:val="nil"/>
            </w:tcBorders>
            <w:shd w:val="clear" w:color="auto" w:fill="auto"/>
            <w:noWrap/>
            <w:vAlign w:val="bottom"/>
            <w:hideMark/>
          </w:tcPr>
          <w:p w14:paraId="6619A65A"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0.66</w:t>
            </w:r>
          </w:p>
        </w:tc>
        <w:tc>
          <w:tcPr>
            <w:tcW w:w="600" w:type="dxa"/>
            <w:tcBorders>
              <w:top w:val="nil"/>
              <w:left w:val="nil"/>
              <w:bottom w:val="nil"/>
              <w:right w:val="nil"/>
            </w:tcBorders>
            <w:shd w:val="clear" w:color="auto" w:fill="auto"/>
            <w:noWrap/>
            <w:vAlign w:val="bottom"/>
            <w:hideMark/>
          </w:tcPr>
          <w:p w14:paraId="010FA69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0.354</w:t>
            </w:r>
          </w:p>
        </w:tc>
        <w:tc>
          <w:tcPr>
            <w:tcW w:w="580" w:type="dxa"/>
            <w:tcBorders>
              <w:top w:val="nil"/>
              <w:left w:val="nil"/>
              <w:bottom w:val="nil"/>
              <w:right w:val="single" w:sz="4" w:space="0" w:color="auto"/>
            </w:tcBorders>
            <w:shd w:val="clear" w:color="auto" w:fill="auto"/>
            <w:noWrap/>
            <w:vAlign w:val="bottom"/>
            <w:hideMark/>
          </w:tcPr>
          <w:p w14:paraId="507589F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0.05</w:t>
            </w:r>
          </w:p>
        </w:tc>
        <w:tc>
          <w:tcPr>
            <w:tcW w:w="580" w:type="dxa"/>
            <w:tcBorders>
              <w:top w:val="nil"/>
              <w:left w:val="nil"/>
              <w:bottom w:val="nil"/>
              <w:right w:val="nil"/>
            </w:tcBorders>
            <w:shd w:val="clear" w:color="auto" w:fill="auto"/>
            <w:noWrap/>
            <w:vAlign w:val="bottom"/>
            <w:hideMark/>
          </w:tcPr>
          <w:p w14:paraId="483A0C7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1.30</w:t>
            </w:r>
          </w:p>
        </w:tc>
        <w:tc>
          <w:tcPr>
            <w:tcW w:w="580" w:type="dxa"/>
            <w:tcBorders>
              <w:top w:val="nil"/>
              <w:left w:val="nil"/>
              <w:bottom w:val="nil"/>
              <w:right w:val="nil"/>
            </w:tcBorders>
            <w:shd w:val="clear" w:color="auto" w:fill="auto"/>
            <w:noWrap/>
            <w:vAlign w:val="bottom"/>
            <w:hideMark/>
          </w:tcPr>
          <w:p w14:paraId="75FDFB3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0.88</w:t>
            </w:r>
          </w:p>
        </w:tc>
        <w:tc>
          <w:tcPr>
            <w:tcW w:w="640" w:type="dxa"/>
            <w:tcBorders>
              <w:top w:val="nil"/>
              <w:left w:val="nil"/>
              <w:bottom w:val="nil"/>
              <w:right w:val="nil"/>
            </w:tcBorders>
            <w:shd w:val="clear" w:color="auto" w:fill="auto"/>
            <w:noWrap/>
            <w:vAlign w:val="bottom"/>
            <w:hideMark/>
          </w:tcPr>
          <w:p w14:paraId="2B9B44B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0.155</w:t>
            </w:r>
          </w:p>
        </w:tc>
        <w:tc>
          <w:tcPr>
            <w:tcW w:w="580" w:type="dxa"/>
            <w:tcBorders>
              <w:top w:val="nil"/>
              <w:left w:val="nil"/>
              <w:bottom w:val="nil"/>
              <w:right w:val="single" w:sz="4" w:space="0" w:color="auto"/>
            </w:tcBorders>
            <w:shd w:val="clear" w:color="auto" w:fill="auto"/>
            <w:noWrap/>
            <w:vAlign w:val="bottom"/>
            <w:hideMark/>
          </w:tcPr>
          <w:p w14:paraId="7EA83BA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0.11</w:t>
            </w:r>
          </w:p>
        </w:tc>
      </w:tr>
      <w:tr w:rsidR="00F43630" w:rsidRPr="009F6406" w14:paraId="13F0278B" w14:textId="77777777" w:rsidTr="005225F0">
        <w:trPr>
          <w:trHeight w:val="199"/>
        </w:trPr>
        <w:tc>
          <w:tcPr>
            <w:tcW w:w="960" w:type="dxa"/>
            <w:tcBorders>
              <w:top w:val="nil"/>
              <w:left w:val="nil"/>
              <w:bottom w:val="nil"/>
              <w:right w:val="nil"/>
            </w:tcBorders>
            <w:shd w:val="clear" w:color="auto" w:fill="auto"/>
            <w:noWrap/>
            <w:vAlign w:val="bottom"/>
            <w:hideMark/>
          </w:tcPr>
          <w:p w14:paraId="488D5211"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70921FC1"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Activating pupils</w:t>
            </w:r>
          </w:p>
        </w:tc>
        <w:tc>
          <w:tcPr>
            <w:tcW w:w="580" w:type="dxa"/>
            <w:tcBorders>
              <w:top w:val="nil"/>
              <w:left w:val="single" w:sz="4" w:space="0" w:color="auto"/>
              <w:bottom w:val="nil"/>
              <w:right w:val="nil"/>
            </w:tcBorders>
            <w:shd w:val="clear" w:color="auto" w:fill="auto"/>
            <w:noWrap/>
            <w:vAlign w:val="bottom"/>
            <w:hideMark/>
          </w:tcPr>
          <w:p w14:paraId="30D9173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1.76</w:t>
            </w:r>
          </w:p>
        </w:tc>
        <w:tc>
          <w:tcPr>
            <w:tcW w:w="580" w:type="dxa"/>
            <w:tcBorders>
              <w:top w:val="nil"/>
              <w:left w:val="nil"/>
              <w:bottom w:val="nil"/>
              <w:right w:val="nil"/>
            </w:tcBorders>
            <w:shd w:val="clear" w:color="auto" w:fill="auto"/>
            <w:noWrap/>
            <w:vAlign w:val="bottom"/>
            <w:hideMark/>
          </w:tcPr>
          <w:p w14:paraId="135B71D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0.32</w:t>
            </w:r>
          </w:p>
        </w:tc>
        <w:tc>
          <w:tcPr>
            <w:tcW w:w="680" w:type="dxa"/>
            <w:tcBorders>
              <w:top w:val="nil"/>
              <w:left w:val="nil"/>
              <w:bottom w:val="nil"/>
              <w:right w:val="nil"/>
            </w:tcBorders>
            <w:shd w:val="clear" w:color="auto" w:fill="auto"/>
            <w:noWrap/>
            <w:vAlign w:val="bottom"/>
            <w:hideMark/>
          </w:tcPr>
          <w:p w14:paraId="362A2F8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&lt;0.001</w:t>
            </w:r>
          </w:p>
        </w:tc>
        <w:tc>
          <w:tcPr>
            <w:tcW w:w="580" w:type="dxa"/>
            <w:tcBorders>
              <w:top w:val="nil"/>
              <w:left w:val="nil"/>
              <w:bottom w:val="nil"/>
              <w:right w:val="single" w:sz="4" w:space="0" w:color="auto"/>
            </w:tcBorders>
            <w:shd w:val="clear" w:color="auto" w:fill="auto"/>
            <w:noWrap/>
            <w:vAlign w:val="bottom"/>
            <w:hideMark/>
          </w:tcPr>
          <w:p w14:paraId="0B6EF8C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0.63</w:t>
            </w:r>
          </w:p>
        </w:tc>
        <w:tc>
          <w:tcPr>
            <w:tcW w:w="580" w:type="dxa"/>
            <w:tcBorders>
              <w:top w:val="nil"/>
              <w:left w:val="nil"/>
              <w:bottom w:val="nil"/>
              <w:right w:val="nil"/>
            </w:tcBorders>
            <w:shd w:val="clear" w:color="auto" w:fill="auto"/>
            <w:noWrap/>
            <w:vAlign w:val="bottom"/>
            <w:hideMark/>
          </w:tcPr>
          <w:p w14:paraId="3B4AF23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0.22</w:t>
            </w:r>
          </w:p>
        </w:tc>
        <w:tc>
          <w:tcPr>
            <w:tcW w:w="580" w:type="dxa"/>
            <w:tcBorders>
              <w:top w:val="nil"/>
              <w:left w:val="nil"/>
              <w:bottom w:val="nil"/>
              <w:right w:val="nil"/>
            </w:tcBorders>
            <w:shd w:val="clear" w:color="auto" w:fill="auto"/>
            <w:noWrap/>
            <w:vAlign w:val="bottom"/>
            <w:hideMark/>
          </w:tcPr>
          <w:p w14:paraId="453AEE7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0.57</w:t>
            </w:r>
          </w:p>
        </w:tc>
        <w:tc>
          <w:tcPr>
            <w:tcW w:w="600" w:type="dxa"/>
            <w:tcBorders>
              <w:top w:val="nil"/>
              <w:left w:val="nil"/>
              <w:bottom w:val="nil"/>
              <w:right w:val="nil"/>
            </w:tcBorders>
            <w:shd w:val="clear" w:color="auto" w:fill="auto"/>
            <w:noWrap/>
            <w:vAlign w:val="bottom"/>
            <w:hideMark/>
          </w:tcPr>
          <w:p w14:paraId="00DC085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0.711</w:t>
            </w:r>
          </w:p>
        </w:tc>
        <w:tc>
          <w:tcPr>
            <w:tcW w:w="580" w:type="dxa"/>
            <w:tcBorders>
              <w:top w:val="nil"/>
              <w:left w:val="nil"/>
              <w:bottom w:val="nil"/>
              <w:right w:val="single" w:sz="4" w:space="0" w:color="auto"/>
            </w:tcBorders>
            <w:shd w:val="clear" w:color="auto" w:fill="auto"/>
            <w:noWrap/>
            <w:vAlign w:val="bottom"/>
            <w:hideMark/>
          </w:tcPr>
          <w:p w14:paraId="14384CF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0.01</w:t>
            </w:r>
          </w:p>
        </w:tc>
        <w:tc>
          <w:tcPr>
            <w:tcW w:w="580" w:type="dxa"/>
            <w:tcBorders>
              <w:top w:val="nil"/>
              <w:left w:val="nil"/>
              <w:bottom w:val="nil"/>
              <w:right w:val="nil"/>
            </w:tcBorders>
            <w:shd w:val="clear" w:color="auto" w:fill="auto"/>
            <w:noWrap/>
            <w:vAlign w:val="bottom"/>
            <w:hideMark/>
          </w:tcPr>
          <w:p w14:paraId="4EED806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0.64</w:t>
            </w:r>
          </w:p>
        </w:tc>
        <w:tc>
          <w:tcPr>
            <w:tcW w:w="580" w:type="dxa"/>
            <w:tcBorders>
              <w:top w:val="nil"/>
              <w:left w:val="nil"/>
              <w:bottom w:val="nil"/>
              <w:right w:val="nil"/>
            </w:tcBorders>
            <w:shd w:val="clear" w:color="auto" w:fill="auto"/>
            <w:noWrap/>
            <w:vAlign w:val="bottom"/>
            <w:hideMark/>
          </w:tcPr>
          <w:p w14:paraId="0863477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0.52</w:t>
            </w:r>
          </w:p>
        </w:tc>
        <w:tc>
          <w:tcPr>
            <w:tcW w:w="640" w:type="dxa"/>
            <w:tcBorders>
              <w:top w:val="nil"/>
              <w:left w:val="nil"/>
              <w:bottom w:val="nil"/>
              <w:right w:val="nil"/>
            </w:tcBorders>
            <w:shd w:val="clear" w:color="auto" w:fill="auto"/>
            <w:noWrap/>
            <w:vAlign w:val="bottom"/>
            <w:hideMark/>
          </w:tcPr>
          <w:p w14:paraId="63B8AAB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0.241</w:t>
            </w:r>
          </w:p>
        </w:tc>
        <w:tc>
          <w:tcPr>
            <w:tcW w:w="580" w:type="dxa"/>
            <w:tcBorders>
              <w:top w:val="nil"/>
              <w:left w:val="nil"/>
              <w:bottom w:val="nil"/>
              <w:right w:val="single" w:sz="4" w:space="0" w:color="auto"/>
            </w:tcBorders>
            <w:shd w:val="clear" w:color="auto" w:fill="auto"/>
            <w:noWrap/>
            <w:vAlign w:val="bottom"/>
            <w:hideMark/>
          </w:tcPr>
          <w:p w14:paraId="3E7B1C0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0.08</w:t>
            </w:r>
          </w:p>
        </w:tc>
      </w:tr>
      <w:tr w:rsidR="00F43630" w:rsidRPr="009F6406" w14:paraId="3402BA59" w14:textId="77777777" w:rsidTr="005225F0">
        <w:trPr>
          <w:trHeight w:val="199"/>
        </w:trPr>
        <w:tc>
          <w:tcPr>
            <w:tcW w:w="960" w:type="dxa"/>
            <w:tcBorders>
              <w:top w:val="nil"/>
              <w:left w:val="nil"/>
              <w:bottom w:val="nil"/>
              <w:right w:val="nil"/>
            </w:tcBorders>
            <w:shd w:val="clear" w:color="auto" w:fill="auto"/>
            <w:noWrap/>
            <w:vAlign w:val="bottom"/>
            <w:hideMark/>
          </w:tcPr>
          <w:p w14:paraId="7F29CCE5"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01A65F63"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Adaptation of teaching</w:t>
            </w:r>
          </w:p>
        </w:tc>
        <w:tc>
          <w:tcPr>
            <w:tcW w:w="580" w:type="dxa"/>
            <w:tcBorders>
              <w:top w:val="nil"/>
              <w:left w:val="single" w:sz="4" w:space="0" w:color="auto"/>
              <w:bottom w:val="nil"/>
              <w:right w:val="nil"/>
            </w:tcBorders>
            <w:shd w:val="clear" w:color="auto" w:fill="auto"/>
            <w:noWrap/>
            <w:vAlign w:val="bottom"/>
            <w:hideMark/>
          </w:tcPr>
          <w:p w14:paraId="66A6058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-2.20</w:t>
            </w:r>
          </w:p>
        </w:tc>
        <w:tc>
          <w:tcPr>
            <w:tcW w:w="580" w:type="dxa"/>
            <w:tcBorders>
              <w:top w:val="nil"/>
              <w:left w:val="nil"/>
              <w:bottom w:val="nil"/>
              <w:right w:val="nil"/>
            </w:tcBorders>
            <w:shd w:val="clear" w:color="auto" w:fill="auto"/>
            <w:noWrap/>
            <w:vAlign w:val="bottom"/>
            <w:hideMark/>
          </w:tcPr>
          <w:p w14:paraId="0A2FA8A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0.45</w:t>
            </w:r>
          </w:p>
        </w:tc>
        <w:tc>
          <w:tcPr>
            <w:tcW w:w="680" w:type="dxa"/>
            <w:tcBorders>
              <w:top w:val="nil"/>
              <w:left w:val="nil"/>
              <w:bottom w:val="nil"/>
              <w:right w:val="nil"/>
            </w:tcBorders>
            <w:shd w:val="clear" w:color="auto" w:fill="auto"/>
            <w:noWrap/>
            <w:vAlign w:val="bottom"/>
            <w:hideMark/>
          </w:tcPr>
          <w:p w14:paraId="6164BC1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&lt;0.001</w:t>
            </w:r>
          </w:p>
        </w:tc>
        <w:tc>
          <w:tcPr>
            <w:tcW w:w="580" w:type="dxa"/>
            <w:tcBorders>
              <w:top w:val="nil"/>
              <w:left w:val="nil"/>
              <w:bottom w:val="nil"/>
              <w:right w:val="single" w:sz="4" w:space="0" w:color="auto"/>
            </w:tcBorders>
            <w:shd w:val="clear" w:color="auto" w:fill="auto"/>
            <w:noWrap/>
            <w:vAlign w:val="bottom"/>
            <w:hideMark/>
          </w:tcPr>
          <w:p w14:paraId="7091BB5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0.57</w:t>
            </w:r>
          </w:p>
        </w:tc>
        <w:tc>
          <w:tcPr>
            <w:tcW w:w="580" w:type="dxa"/>
            <w:tcBorders>
              <w:top w:val="nil"/>
              <w:left w:val="nil"/>
              <w:bottom w:val="nil"/>
              <w:right w:val="nil"/>
            </w:tcBorders>
            <w:shd w:val="clear" w:color="auto" w:fill="auto"/>
            <w:noWrap/>
            <w:vAlign w:val="bottom"/>
            <w:hideMark/>
          </w:tcPr>
          <w:p w14:paraId="21CDD14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-0.10</w:t>
            </w:r>
          </w:p>
        </w:tc>
        <w:tc>
          <w:tcPr>
            <w:tcW w:w="580" w:type="dxa"/>
            <w:tcBorders>
              <w:top w:val="nil"/>
              <w:left w:val="nil"/>
              <w:bottom w:val="nil"/>
              <w:right w:val="nil"/>
            </w:tcBorders>
            <w:shd w:val="clear" w:color="auto" w:fill="auto"/>
            <w:noWrap/>
            <w:vAlign w:val="bottom"/>
            <w:hideMark/>
          </w:tcPr>
          <w:p w14:paraId="6FE2593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0.42</w:t>
            </w:r>
          </w:p>
        </w:tc>
        <w:tc>
          <w:tcPr>
            <w:tcW w:w="600" w:type="dxa"/>
            <w:tcBorders>
              <w:top w:val="nil"/>
              <w:left w:val="nil"/>
              <w:bottom w:val="nil"/>
              <w:right w:val="nil"/>
            </w:tcBorders>
            <w:shd w:val="clear" w:color="auto" w:fill="auto"/>
            <w:noWrap/>
            <w:vAlign w:val="bottom"/>
            <w:hideMark/>
          </w:tcPr>
          <w:p w14:paraId="5986B88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0.812</w:t>
            </w:r>
          </w:p>
        </w:tc>
        <w:tc>
          <w:tcPr>
            <w:tcW w:w="580" w:type="dxa"/>
            <w:tcBorders>
              <w:top w:val="nil"/>
              <w:left w:val="nil"/>
              <w:bottom w:val="nil"/>
              <w:right w:val="single" w:sz="4" w:space="0" w:color="auto"/>
            </w:tcBorders>
            <w:shd w:val="clear" w:color="auto" w:fill="auto"/>
            <w:noWrap/>
            <w:vAlign w:val="bottom"/>
            <w:hideMark/>
          </w:tcPr>
          <w:p w14:paraId="2061E99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w:t>
            </w:r>
          </w:p>
        </w:tc>
        <w:tc>
          <w:tcPr>
            <w:tcW w:w="580" w:type="dxa"/>
            <w:tcBorders>
              <w:top w:val="nil"/>
              <w:left w:val="nil"/>
              <w:bottom w:val="nil"/>
              <w:right w:val="nil"/>
            </w:tcBorders>
            <w:shd w:val="clear" w:color="auto" w:fill="auto"/>
            <w:noWrap/>
            <w:vAlign w:val="bottom"/>
            <w:hideMark/>
          </w:tcPr>
          <w:p w14:paraId="674AF17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-0.73</w:t>
            </w:r>
          </w:p>
        </w:tc>
        <w:tc>
          <w:tcPr>
            <w:tcW w:w="580" w:type="dxa"/>
            <w:tcBorders>
              <w:top w:val="nil"/>
              <w:left w:val="nil"/>
              <w:bottom w:val="nil"/>
              <w:right w:val="nil"/>
            </w:tcBorders>
            <w:shd w:val="clear" w:color="auto" w:fill="auto"/>
            <w:noWrap/>
            <w:vAlign w:val="bottom"/>
            <w:hideMark/>
          </w:tcPr>
          <w:p w14:paraId="411E312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0.52</w:t>
            </w:r>
          </w:p>
        </w:tc>
        <w:tc>
          <w:tcPr>
            <w:tcW w:w="640" w:type="dxa"/>
            <w:tcBorders>
              <w:top w:val="nil"/>
              <w:left w:val="nil"/>
              <w:bottom w:val="nil"/>
              <w:right w:val="nil"/>
            </w:tcBorders>
            <w:shd w:val="clear" w:color="auto" w:fill="auto"/>
            <w:noWrap/>
            <w:vAlign w:val="bottom"/>
            <w:hideMark/>
          </w:tcPr>
          <w:p w14:paraId="3E4FA31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0.180</w:t>
            </w:r>
          </w:p>
        </w:tc>
        <w:tc>
          <w:tcPr>
            <w:tcW w:w="580" w:type="dxa"/>
            <w:tcBorders>
              <w:top w:val="nil"/>
              <w:left w:val="nil"/>
              <w:bottom w:val="nil"/>
              <w:right w:val="single" w:sz="4" w:space="0" w:color="auto"/>
            </w:tcBorders>
            <w:shd w:val="clear" w:color="auto" w:fill="auto"/>
            <w:noWrap/>
            <w:vAlign w:val="bottom"/>
            <w:hideMark/>
          </w:tcPr>
          <w:p w14:paraId="10309CF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0.10</w:t>
            </w:r>
          </w:p>
        </w:tc>
      </w:tr>
      <w:tr w:rsidR="00F43630" w:rsidRPr="009F6406" w14:paraId="5292F354" w14:textId="77777777" w:rsidTr="00F43630">
        <w:trPr>
          <w:trHeight w:val="199"/>
        </w:trPr>
        <w:tc>
          <w:tcPr>
            <w:tcW w:w="960" w:type="dxa"/>
            <w:tcBorders>
              <w:top w:val="nil"/>
              <w:left w:val="nil"/>
              <w:bottom w:val="nil"/>
              <w:right w:val="nil"/>
            </w:tcBorders>
            <w:shd w:val="clear" w:color="auto" w:fill="auto"/>
            <w:noWrap/>
            <w:vAlign w:val="bottom"/>
            <w:hideMark/>
          </w:tcPr>
          <w:p w14:paraId="67B3C385"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7660A153"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Teaching learning strategies</w:t>
            </w:r>
          </w:p>
        </w:tc>
        <w:tc>
          <w:tcPr>
            <w:tcW w:w="580" w:type="dxa"/>
            <w:tcBorders>
              <w:top w:val="nil"/>
              <w:left w:val="single" w:sz="4" w:space="0" w:color="auto"/>
              <w:bottom w:val="nil"/>
              <w:right w:val="nil"/>
            </w:tcBorders>
            <w:shd w:val="clear" w:color="auto" w:fill="auto"/>
            <w:noWrap/>
            <w:vAlign w:val="bottom"/>
            <w:hideMark/>
          </w:tcPr>
          <w:p w14:paraId="7419EF7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0.96</w:t>
            </w:r>
          </w:p>
        </w:tc>
        <w:tc>
          <w:tcPr>
            <w:tcW w:w="580" w:type="dxa"/>
            <w:tcBorders>
              <w:top w:val="nil"/>
              <w:left w:val="nil"/>
              <w:bottom w:val="nil"/>
              <w:right w:val="nil"/>
            </w:tcBorders>
            <w:shd w:val="clear" w:color="auto" w:fill="auto"/>
            <w:noWrap/>
            <w:vAlign w:val="bottom"/>
            <w:hideMark/>
          </w:tcPr>
          <w:p w14:paraId="22040A3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0.70</w:t>
            </w:r>
          </w:p>
        </w:tc>
        <w:tc>
          <w:tcPr>
            <w:tcW w:w="680" w:type="dxa"/>
            <w:tcBorders>
              <w:top w:val="nil"/>
              <w:left w:val="nil"/>
              <w:bottom w:val="nil"/>
              <w:right w:val="nil"/>
            </w:tcBorders>
            <w:shd w:val="clear" w:color="auto" w:fill="auto"/>
            <w:noWrap/>
            <w:vAlign w:val="bottom"/>
            <w:hideMark/>
          </w:tcPr>
          <w:p w14:paraId="10078D3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0.185</w:t>
            </w:r>
          </w:p>
        </w:tc>
        <w:tc>
          <w:tcPr>
            <w:tcW w:w="580" w:type="dxa"/>
            <w:tcBorders>
              <w:top w:val="nil"/>
              <w:left w:val="nil"/>
              <w:bottom w:val="nil"/>
              <w:right w:val="single" w:sz="4" w:space="0" w:color="auto"/>
            </w:tcBorders>
            <w:shd w:val="clear" w:color="auto" w:fill="auto"/>
            <w:noWrap/>
            <w:vAlign w:val="bottom"/>
            <w:hideMark/>
          </w:tcPr>
          <w:p w14:paraId="0CC105D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0.10</w:t>
            </w:r>
          </w:p>
        </w:tc>
        <w:tc>
          <w:tcPr>
            <w:tcW w:w="580" w:type="dxa"/>
            <w:tcBorders>
              <w:top w:val="nil"/>
              <w:left w:val="nil"/>
              <w:bottom w:val="nil"/>
              <w:right w:val="nil"/>
            </w:tcBorders>
            <w:shd w:val="clear" w:color="auto" w:fill="auto"/>
            <w:noWrap/>
            <w:vAlign w:val="bottom"/>
            <w:hideMark/>
          </w:tcPr>
          <w:p w14:paraId="6408FB6A"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0.55</w:t>
            </w:r>
          </w:p>
        </w:tc>
        <w:tc>
          <w:tcPr>
            <w:tcW w:w="580" w:type="dxa"/>
            <w:tcBorders>
              <w:top w:val="nil"/>
              <w:left w:val="nil"/>
              <w:bottom w:val="nil"/>
              <w:right w:val="nil"/>
            </w:tcBorders>
            <w:shd w:val="clear" w:color="auto" w:fill="auto"/>
            <w:noWrap/>
            <w:vAlign w:val="bottom"/>
            <w:hideMark/>
          </w:tcPr>
          <w:p w14:paraId="47A1FF3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0.80</w:t>
            </w:r>
          </w:p>
        </w:tc>
        <w:tc>
          <w:tcPr>
            <w:tcW w:w="600" w:type="dxa"/>
            <w:tcBorders>
              <w:top w:val="nil"/>
              <w:left w:val="nil"/>
              <w:bottom w:val="nil"/>
              <w:right w:val="nil"/>
            </w:tcBorders>
            <w:shd w:val="clear" w:color="auto" w:fill="auto"/>
            <w:noWrap/>
            <w:vAlign w:val="bottom"/>
            <w:hideMark/>
          </w:tcPr>
          <w:p w14:paraId="2CC844B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0.506</w:t>
            </w:r>
          </w:p>
        </w:tc>
        <w:tc>
          <w:tcPr>
            <w:tcW w:w="580" w:type="dxa"/>
            <w:tcBorders>
              <w:top w:val="nil"/>
              <w:left w:val="nil"/>
              <w:bottom w:val="nil"/>
              <w:right w:val="single" w:sz="4" w:space="0" w:color="auto"/>
            </w:tcBorders>
            <w:shd w:val="clear" w:color="auto" w:fill="auto"/>
            <w:noWrap/>
            <w:vAlign w:val="bottom"/>
            <w:hideMark/>
          </w:tcPr>
          <w:p w14:paraId="1A01A7C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0.03</w:t>
            </w:r>
          </w:p>
        </w:tc>
        <w:tc>
          <w:tcPr>
            <w:tcW w:w="580" w:type="dxa"/>
            <w:tcBorders>
              <w:top w:val="nil"/>
              <w:left w:val="nil"/>
              <w:bottom w:val="nil"/>
              <w:right w:val="nil"/>
            </w:tcBorders>
            <w:shd w:val="clear" w:color="auto" w:fill="auto"/>
            <w:noWrap/>
            <w:vAlign w:val="bottom"/>
            <w:hideMark/>
          </w:tcPr>
          <w:p w14:paraId="4C8E621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1.23</w:t>
            </w:r>
          </w:p>
        </w:tc>
        <w:tc>
          <w:tcPr>
            <w:tcW w:w="580" w:type="dxa"/>
            <w:tcBorders>
              <w:top w:val="nil"/>
              <w:left w:val="nil"/>
              <w:bottom w:val="nil"/>
              <w:right w:val="nil"/>
            </w:tcBorders>
            <w:shd w:val="clear" w:color="auto" w:fill="auto"/>
            <w:noWrap/>
            <w:vAlign w:val="bottom"/>
            <w:hideMark/>
          </w:tcPr>
          <w:p w14:paraId="0D55322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0.75</w:t>
            </w:r>
          </w:p>
        </w:tc>
        <w:tc>
          <w:tcPr>
            <w:tcW w:w="640" w:type="dxa"/>
            <w:tcBorders>
              <w:top w:val="nil"/>
              <w:left w:val="nil"/>
              <w:bottom w:val="nil"/>
              <w:right w:val="nil"/>
            </w:tcBorders>
            <w:shd w:val="clear" w:color="auto" w:fill="auto"/>
            <w:noWrap/>
            <w:vAlign w:val="bottom"/>
            <w:hideMark/>
          </w:tcPr>
          <w:p w14:paraId="1871749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0.118</w:t>
            </w:r>
          </w:p>
        </w:tc>
        <w:tc>
          <w:tcPr>
            <w:tcW w:w="580" w:type="dxa"/>
            <w:tcBorders>
              <w:top w:val="nil"/>
              <w:left w:val="nil"/>
              <w:bottom w:val="nil"/>
              <w:right w:val="single" w:sz="4" w:space="0" w:color="auto"/>
            </w:tcBorders>
            <w:shd w:val="clear" w:color="auto" w:fill="auto"/>
            <w:noWrap/>
            <w:vAlign w:val="bottom"/>
            <w:hideMark/>
          </w:tcPr>
          <w:p w14:paraId="53933CD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0.13</w:t>
            </w:r>
          </w:p>
        </w:tc>
      </w:tr>
      <w:tr w:rsidR="00F43630" w:rsidRPr="009F6406" w14:paraId="11F74A89" w14:textId="77777777" w:rsidTr="005225F0">
        <w:trPr>
          <w:trHeight w:val="199"/>
        </w:trPr>
        <w:tc>
          <w:tcPr>
            <w:tcW w:w="960" w:type="dxa"/>
            <w:tcBorders>
              <w:top w:val="nil"/>
              <w:left w:val="nil"/>
              <w:bottom w:val="nil"/>
              <w:right w:val="nil"/>
            </w:tcBorders>
            <w:shd w:val="clear" w:color="auto" w:fill="auto"/>
            <w:noWrap/>
            <w:vAlign w:val="bottom"/>
            <w:hideMark/>
          </w:tcPr>
          <w:p w14:paraId="6A8DBFD2"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5B04C11E" w14:textId="7784AA9F"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xml:space="preserve">Effective classroom </w:t>
            </w:r>
            <w:r w:rsidR="00392CDF" w:rsidRPr="009F6406">
              <w:rPr>
                <w:rFonts w:ascii="Calibri" w:eastAsia="Times New Roman" w:hAnsi="Calibri" w:cs="Times New Roman"/>
                <w:color w:val="000000"/>
                <w:sz w:val="16"/>
                <w:szCs w:val="16"/>
                <w:lang w:eastAsia="zh-CN"/>
              </w:rPr>
              <w:t>organization</w:t>
            </w:r>
          </w:p>
        </w:tc>
        <w:tc>
          <w:tcPr>
            <w:tcW w:w="580" w:type="dxa"/>
            <w:tcBorders>
              <w:top w:val="nil"/>
              <w:left w:val="single" w:sz="4" w:space="0" w:color="auto"/>
              <w:bottom w:val="nil"/>
              <w:right w:val="nil"/>
            </w:tcBorders>
            <w:shd w:val="clear" w:color="auto" w:fill="auto"/>
            <w:noWrap/>
            <w:vAlign w:val="bottom"/>
            <w:hideMark/>
          </w:tcPr>
          <w:p w14:paraId="60716FF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4.16</w:t>
            </w:r>
          </w:p>
        </w:tc>
        <w:tc>
          <w:tcPr>
            <w:tcW w:w="580" w:type="dxa"/>
            <w:tcBorders>
              <w:top w:val="nil"/>
              <w:left w:val="nil"/>
              <w:bottom w:val="nil"/>
              <w:right w:val="nil"/>
            </w:tcBorders>
            <w:shd w:val="clear" w:color="auto" w:fill="auto"/>
            <w:noWrap/>
            <w:vAlign w:val="bottom"/>
            <w:hideMark/>
          </w:tcPr>
          <w:p w14:paraId="7AE14F4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0.88</w:t>
            </w:r>
          </w:p>
        </w:tc>
        <w:tc>
          <w:tcPr>
            <w:tcW w:w="680" w:type="dxa"/>
            <w:tcBorders>
              <w:top w:val="nil"/>
              <w:left w:val="nil"/>
              <w:bottom w:val="nil"/>
              <w:right w:val="nil"/>
            </w:tcBorders>
            <w:shd w:val="clear" w:color="auto" w:fill="auto"/>
            <w:noWrap/>
            <w:vAlign w:val="bottom"/>
            <w:hideMark/>
          </w:tcPr>
          <w:p w14:paraId="30ABADB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&lt;0.001</w:t>
            </w:r>
          </w:p>
        </w:tc>
        <w:tc>
          <w:tcPr>
            <w:tcW w:w="580" w:type="dxa"/>
            <w:tcBorders>
              <w:top w:val="nil"/>
              <w:left w:val="nil"/>
              <w:bottom w:val="nil"/>
              <w:right w:val="single" w:sz="4" w:space="0" w:color="auto"/>
            </w:tcBorders>
            <w:shd w:val="clear" w:color="auto" w:fill="auto"/>
            <w:noWrap/>
            <w:vAlign w:val="bottom"/>
            <w:hideMark/>
          </w:tcPr>
          <w:p w14:paraId="453310A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0.55</w:t>
            </w:r>
          </w:p>
        </w:tc>
        <w:tc>
          <w:tcPr>
            <w:tcW w:w="580" w:type="dxa"/>
            <w:tcBorders>
              <w:top w:val="nil"/>
              <w:left w:val="nil"/>
              <w:bottom w:val="nil"/>
              <w:right w:val="nil"/>
            </w:tcBorders>
            <w:shd w:val="clear" w:color="auto" w:fill="auto"/>
            <w:noWrap/>
            <w:vAlign w:val="bottom"/>
            <w:hideMark/>
          </w:tcPr>
          <w:p w14:paraId="5313B19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1.68</w:t>
            </w:r>
          </w:p>
        </w:tc>
        <w:tc>
          <w:tcPr>
            <w:tcW w:w="580" w:type="dxa"/>
            <w:tcBorders>
              <w:top w:val="nil"/>
              <w:left w:val="nil"/>
              <w:bottom w:val="nil"/>
              <w:right w:val="nil"/>
            </w:tcBorders>
            <w:shd w:val="clear" w:color="auto" w:fill="auto"/>
            <w:noWrap/>
            <w:vAlign w:val="bottom"/>
            <w:hideMark/>
          </w:tcPr>
          <w:p w14:paraId="3590A12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0.90</w:t>
            </w:r>
          </w:p>
        </w:tc>
        <w:tc>
          <w:tcPr>
            <w:tcW w:w="600" w:type="dxa"/>
            <w:tcBorders>
              <w:top w:val="nil"/>
              <w:left w:val="nil"/>
              <w:bottom w:val="nil"/>
              <w:right w:val="nil"/>
            </w:tcBorders>
            <w:shd w:val="clear" w:color="auto" w:fill="auto"/>
            <w:noWrap/>
            <w:vAlign w:val="bottom"/>
            <w:hideMark/>
          </w:tcPr>
          <w:p w14:paraId="08844BD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0.079</w:t>
            </w:r>
          </w:p>
        </w:tc>
        <w:tc>
          <w:tcPr>
            <w:tcW w:w="580" w:type="dxa"/>
            <w:tcBorders>
              <w:top w:val="nil"/>
              <w:left w:val="nil"/>
              <w:bottom w:val="nil"/>
              <w:right w:val="single" w:sz="4" w:space="0" w:color="auto"/>
            </w:tcBorders>
            <w:shd w:val="clear" w:color="auto" w:fill="auto"/>
            <w:noWrap/>
            <w:vAlign w:val="bottom"/>
            <w:hideMark/>
          </w:tcPr>
          <w:p w14:paraId="565D25D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0.17</w:t>
            </w:r>
          </w:p>
        </w:tc>
        <w:tc>
          <w:tcPr>
            <w:tcW w:w="580" w:type="dxa"/>
            <w:tcBorders>
              <w:top w:val="nil"/>
              <w:left w:val="nil"/>
              <w:bottom w:val="nil"/>
              <w:right w:val="nil"/>
            </w:tcBorders>
            <w:shd w:val="clear" w:color="auto" w:fill="auto"/>
            <w:noWrap/>
            <w:vAlign w:val="bottom"/>
            <w:hideMark/>
          </w:tcPr>
          <w:p w14:paraId="4E8129D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0.42</w:t>
            </w:r>
          </w:p>
        </w:tc>
        <w:tc>
          <w:tcPr>
            <w:tcW w:w="580" w:type="dxa"/>
            <w:tcBorders>
              <w:top w:val="nil"/>
              <w:left w:val="nil"/>
              <w:bottom w:val="nil"/>
              <w:right w:val="nil"/>
            </w:tcBorders>
            <w:shd w:val="clear" w:color="auto" w:fill="auto"/>
            <w:noWrap/>
            <w:vAlign w:val="bottom"/>
            <w:hideMark/>
          </w:tcPr>
          <w:p w14:paraId="4C2F895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1.34</w:t>
            </w:r>
          </w:p>
        </w:tc>
        <w:tc>
          <w:tcPr>
            <w:tcW w:w="640" w:type="dxa"/>
            <w:tcBorders>
              <w:top w:val="nil"/>
              <w:left w:val="nil"/>
              <w:bottom w:val="nil"/>
              <w:right w:val="nil"/>
            </w:tcBorders>
            <w:shd w:val="clear" w:color="auto" w:fill="auto"/>
            <w:noWrap/>
            <w:vAlign w:val="bottom"/>
            <w:hideMark/>
          </w:tcPr>
          <w:p w14:paraId="56B536E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0.754</w:t>
            </w:r>
          </w:p>
        </w:tc>
        <w:tc>
          <w:tcPr>
            <w:tcW w:w="580" w:type="dxa"/>
            <w:tcBorders>
              <w:top w:val="nil"/>
              <w:left w:val="nil"/>
              <w:bottom w:val="nil"/>
              <w:right w:val="single" w:sz="4" w:space="0" w:color="auto"/>
            </w:tcBorders>
            <w:shd w:val="clear" w:color="auto" w:fill="auto"/>
            <w:noWrap/>
            <w:vAlign w:val="bottom"/>
            <w:hideMark/>
          </w:tcPr>
          <w:p w14:paraId="0107593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0.01</w:t>
            </w:r>
          </w:p>
        </w:tc>
      </w:tr>
      <w:tr w:rsidR="00F43630" w:rsidRPr="009F6406" w14:paraId="19E744B7" w14:textId="77777777" w:rsidTr="005225F0">
        <w:trPr>
          <w:trHeight w:val="199"/>
        </w:trPr>
        <w:tc>
          <w:tcPr>
            <w:tcW w:w="960" w:type="dxa"/>
            <w:tcBorders>
              <w:top w:val="nil"/>
              <w:left w:val="nil"/>
              <w:bottom w:val="single" w:sz="4" w:space="0" w:color="auto"/>
              <w:right w:val="nil"/>
            </w:tcBorders>
            <w:shd w:val="clear" w:color="auto" w:fill="auto"/>
            <w:noWrap/>
            <w:vAlign w:val="bottom"/>
            <w:hideMark/>
          </w:tcPr>
          <w:p w14:paraId="56F32749"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3320" w:type="dxa"/>
            <w:tcBorders>
              <w:top w:val="nil"/>
              <w:left w:val="nil"/>
              <w:bottom w:val="single" w:sz="4" w:space="0" w:color="auto"/>
              <w:right w:val="nil"/>
            </w:tcBorders>
            <w:shd w:val="clear" w:color="auto" w:fill="auto"/>
            <w:noWrap/>
            <w:vAlign w:val="bottom"/>
            <w:hideMark/>
          </w:tcPr>
          <w:p w14:paraId="493705BB"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Effective classroom layout</w:t>
            </w:r>
          </w:p>
        </w:tc>
        <w:tc>
          <w:tcPr>
            <w:tcW w:w="580" w:type="dxa"/>
            <w:tcBorders>
              <w:top w:val="nil"/>
              <w:left w:val="single" w:sz="4" w:space="0" w:color="auto"/>
              <w:bottom w:val="single" w:sz="4" w:space="0" w:color="auto"/>
              <w:right w:val="nil"/>
            </w:tcBorders>
            <w:shd w:val="clear" w:color="auto" w:fill="auto"/>
            <w:noWrap/>
            <w:vAlign w:val="bottom"/>
            <w:hideMark/>
          </w:tcPr>
          <w:p w14:paraId="5EE3AFC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1.76</w:t>
            </w:r>
          </w:p>
        </w:tc>
        <w:tc>
          <w:tcPr>
            <w:tcW w:w="580" w:type="dxa"/>
            <w:tcBorders>
              <w:top w:val="nil"/>
              <w:left w:val="nil"/>
              <w:bottom w:val="single" w:sz="4" w:space="0" w:color="auto"/>
              <w:right w:val="nil"/>
            </w:tcBorders>
            <w:shd w:val="clear" w:color="auto" w:fill="auto"/>
            <w:noWrap/>
            <w:vAlign w:val="bottom"/>
            <w:hideMark/>
          </w:tcPr>
          <w:p w14:paraId="5FDC0F4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0.35</w:t>
            </w:r>
          </w:p>
        </w:tc>
        <w:tc>
          <w:tcPr>
            <w:tcW w:w="680" w:type="dxa"/>
            <w:tcBorders>
              <w:top w:val="nil"/>
              <w:left w:val="nil"/>
              <w:bottom w:val="single" w:sz="4" w:space="0" w:color="auto"/>
              <w:right w:val="nil"/>
            </w:tcBorders>
            <w:shd w:val="clear" w:color="auto" w:fill="auto"/>
            <w:noWrap/>
            <w:vAlign w:val="bottom"/>
            <w:hideMark/>
          </w:tcPr>
          <w:p w14:paraId="184325C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&lt;0.001</w:t>
            </w:r>
          </w:p>
        </w:tc>
        <w:tc>
          <w:tcPr>
            <w:tcW w:w="580" w:type="dxa"/>
            <w:tcBorders>
              <w:top w:val="nil"/>
              <w:left w:val="nil"/>
              <w:bottom w:val="single" w:sz="4" w:space="0" w:color="auto"/>
              <w:right w:val="single" w:sz="4" w:space="0" w:color="auto"/>
            </w:tcBorders>
            <w:shd w:val="clear" w:color="auto" w:fill="auto"/>
            <w:noWrap/>
            <w:vAlign w:val="bottom"/>
            <w:hideMark/>
          </w:tcPr>
          <w:p w14:paraId="630C4CD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0.58</w:t>
            </w:r>
          </w:p>
        </w:tc>
        <w:tc>
          <w:tcPr>
            <w:tcW w:w="580" w:type="dxa"/>
            <w:tcBorders>
              <w:top w:val="nil"/>
              <w:left w:val="nil"/>
              <w:bottom w:val="single" w:sz="4" w:space="0" w:color="auto"/>
              <w:right w:val="nil"/>
            </w:tcBorders>
            <w:shd w:val="clear" w:color="auto" w:fill="auto"/>
            <w:noWrap/>
            <w:vAlign w:val="bottom"/>
            <w:hideMark/>
          </w:tcPr>
          <w:p w14:paraId="69EC5A8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0.41</w:t>
            </w:r>
          </w:p>
        </w:tc>
        <w:tc>
          <w:tcPr>
            <w:tcW w:w="580" w:type="dxa"/>
            <w:tcBorders>
              <w:top w:val="nil"/>
              <w:left w:val="nil"/>
              <w:bottom w:val="single" w:sz="4" w:space="0" w:color="auto"/>
              <w:right w:val="nil"/>
            </w:tcBorders>
            <w:shd w:val="clear" w:color="auto" w:fill="auto"/>
            <w:noWrap/>
            <w:vAlign w:val="bottom"/>
            <w:hideMark/>
          </w:tcPr>
          <w:p w14:paraId="2B5A9E8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0.44</w:t>
            </w:r>
          </w:p>
        </w:tc>
        <w:tc>
          <w:tcPr>
            <w:tcW w:w="600" w:type="dxa"/>
            <w:tcBorders>
              <w:top w:val="nil"/>
              <w:left w:val="nil"/>
              <w:bottom w:val="single" w:sz="4" w:space="0" w:color="auto"/>
              <w:right w:val="nil"/>
            </w:tcBorders>
            <w:shd w:val="clear" w:color="auto" w:fill="auto"/>
            <w:noWrap/>
            <w:vAlign w:val="bottom"/>
            <w:hideMark/>
          </w:tcPr>
          <w:p w14:paraId="4E80699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0.360</w:t>
            </w:r>
          </w:p>
        </w:tc>
        <w:tc>
          <w:tcPr>
            <w:tcW w:w="580" w:type="dxa"/>
            <w:tcBorders>
              <w:top w:val="nil"/>
              <w:left w:val="nil"/>
              <w:bottom w:val="single" w:sz="4" w:space="0" w:color="auto"/>
              <w:right w:val="single" w:sz="4" w:space="0" w:color="auto"/>
            </w:tcBorders>
            <w:shd w:val="clear" w:color="auto" w:fill="auto"/>
            <w:noWrap/>
            <w:vAlign w:val="bottom"/>
            <w:hideMark/>
          </w:tcPr>
          <w:p w14:paraId="2F5EFFA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0.05</w:t>
            </w:r>
          </w:p>
        </w:tc>
        <w:tc>
          <w:tcPr>
            <w:tcW w:w="580" w:type="dxa"/>
            <w:tcBorders>
              <w:top w:val="nil"/>
              <w:left w:val="nil"/>
              <w:bottom w:val="single" w:sz="4" w:space="0" w:color="auto"/>
              <w:right w:val="nil"/>
            </w:tcBorders>
            <w:shd w:val="clear" w:color="auto" w:fill="auto"/>
            <w:noWrap/>
            <w:vAlign w:val="bottom"/>
            <w:hideMark/>
          </w:tcPr>
          <w:p w14:paraId="6A82559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-0.14</w:t>
            </w:r>
          </w:p>
        </w:tc>
        <w:tc>
          <w:tcPr>
            <w:tcW w:w="580" w:type="dxa"/>
            <w:tcBorders>
              <w:top w:val="nil"/>
              <w:left w:val="nil"/>
              <w:bottom w:val="single" w:sz="4" w:space="0" w:color="auto"/>
              <w:right w:val="nil"/>
            </w:tcBorders>
            <w:shd w:val="clear" w:color="auto" w:fill="auto"/>
            <w:noWrap/>
            <w:vAlign w:val="bottom"/>
            <w:hideMark/>
          </w:tcPr>
          <w:p w14:paraId="2519D32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0.54</w:t>
            </w:r>
          </w:p>
        </w:tc>
        <w:tc>
          <w:tcPr>
            <w:tcW w:w="640" w:type="dxa"/>
            <w:tcBorders>
              <w:top w:val="nil"/>
              <w:left w:val="nil"/>
              <w:bottom w:val="single" w:sz="4" w:space="0" w:color="auto"/>
              <w:right w:val="nil"/>
            </w:tcBorders>
            <w:shd w:val="clear" w:color="auto" w:fill="auto"/>
            <w:noWrap/>
            <w:vAlign w:val="bottom"/>
            <w:hideMark/>
          </w:tcPr>
          <w:p w14:paraId="6AC738F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0.797</w:t>
            </w:r>
          </w:p>
        </w:tc>
        <w:tc>
          <w:tcPr>
            <w:tcW w:w="580" w:type="dxa"/>
            <w:tcBorders>
              <w:top w:val="nil"/>
              <w:left w:val="nil"/>
              <w:bottom w:val="single" w:sz="4" w:space="0" w:color="auto"/>
              <w:right w:val="single" w:sz="4" w:space="0" w:color="auto"/>
            </w:tcBorders>
            <w:shd w:val="clear" w:color="auto" w:fill="auto"/>
            <w:noWrap/>
            <w:vAlign w:val="bottom"/>
            <w:hideMark/>
          </w:tcPr>
          <w:p w14:paraId="77E150D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w:t>
            </w:r>
          </w:p>
        </w:tc>
      </w:tr>
      <w:tr w:rsidR="00F43630" w:rsidRPr="009F6406" w14:paraId="5FBED0DD" w14:textId="77777777" w:rsidTr="005225F0">
        <w:trPr>
          <w:trHeight w:val="199"/>
        </w:trPr>
        <w:tc>
          <w:tcPr>
            <w:tcW w:w="960" w:type="dxa"/>
            <w:tcBorders>
              <w:top w:val="nil"/>
              <w:left w:val="nil"/>
              <w:bottom w:val="nil"/>
              <w:right w:val="nil"/>
            </w:tcBorders>
            <w:shd w:val="clear" w:color="auto" w:fill="auto"/>
            <w:noWrap/>
            <w:vAlign w:val="bottom"/>
            <w:hideMark/>
          </w:tcPr>
          <w:p w14:paraId="5843D6A7"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ISTOF</w:t>
            </w:r>
          </w:p>
        </w:tc>
        <w:tc>
          <w:tcPr>
            <w:tcW w:w="3320" w:type="dxa"/>
            <w:tcBorders>
              <w:top w:val="nil"/>
              <w:left w:val="nil"/>
              <w:bottom w:val="nil"/>
              <w:right w:val="nil"/>
            </w:tcBorders>
            <w:shd w:val="clear" w:color="auto" w:fill="auto"/>
            <w:noWrap/>
            <w:vAlign w:val="bottom"/>
            <w:hideMark/>
          </w:tcPr>
          <w:p w14:paraId="3D8EAB05"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Assessment and evaluation</w:t>
            </w:r>
          </w:p>
        </w:tc>
        <w:tc>
          <w:tcPr>
            <w:tcW w:w="580" w:type="dxa"/>
            <w:tcBorders>
              <w:top w:val="nil"/>
              <w:left w:val="single" w:sz="4" w:space="0" w:color="auto"/>
              <w:bottom w:val="nil"/>
              <w:right w:val="nil"/>
            </w:tcBorders>
            <w:shd w:val="clear" w:color="auto" w:fill="auto"/>
            <w:noWrap/>
            <w:vAlign w:val="bottom"/>
            <w:hideMark/>
          </w:tcPr>
          <w:p w14:paraId="2543BD4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3.60</w:t>
            </w:r>
          </w:p>
        </w:tc>
        <w:tc>
          <w:tcPr>
            <w:tcW w:w="580" w:type="dxa"/>
            <w:tcBorders>
              <w:top w:val="nil"/>
              <w:left w:val="nil"/>
              <w:bottom w:val="nil"/>
              <w:right w:val="nil"/>
            </w:tcBorders>
            <w:shd w:val="clear" w:color="auto" w:fill="auto"/>
            <w:noWrap/>
            <w:vAlign w:val="bottom"/>
            <w:hideMark/>
          </w:tcPr>
          <w:p w14:paraId="32C20EB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0.89</w:t>
            </w:r>
          </w:p>
        </w:tc>
        <w:tc>
          <w:tcPr>
            <w:tcW w:w="680" w:type="dxa"/>
            <w:tcBorders>
              <w:top w:val="nil"/>
              <w:left w:val="nil"/>
              <w:bottom w:val="nil"/>
              <w:right w:val="nil"/>
            </w:tcBorders>
            <w:shd w:val="clear" w:color="auto" w:fill="auto"/>
            <w:noWrap/>
            <w:vAlign w:val="bottom"/>
            <w:hideMark/>
          </w:tcPr>
          <w:p w14:paraId="59BA360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0.001</w:t>
            </w:r>
          </w:p>
        </w:tc>
        <w:tc>
          <w:tcPr>
            <w:tcW w:w="580" w:type="dxa"/>
            <w:tcBorders>
              <w:top w:val="nil"/>
              <w:left w:val="nil"/>
              <w:bottom w:val="nil"/>
              <w:right w:val="single" w:sz="4" w:space="0" w:color="auto"/>
            </w:tcBorders>
            <w:shd w:val="clear" w:color="auto" w:fill="auto"/>
            <w:noWrap/>
            <w:vAlign w:val="bottom"/>
            <w:hideMark/>
          </w:tcPr>
          <w:p w14:paraId="57B6837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0.47</w:t>
            </w:r>
          </w:p>
        </w:tc>
        <w:tc>
          <w:tcPr>
            <w:tcW w:w="580" w:type="dxa"/>
            <w:tcBorders>
              <w:top w:val="nil"/>
              <w:left w:val="nil"/>
              <w:bottom w:val="nil"/>
              <w:right w:val="nil"/>
            </w:tcBorders>
            <w:shd w:val="clear" w:color="auto" w:fill="auto"/>
            <w:noWrap/>
            <w:vAlign w:val="bottom"/>
            <w:hideMark/>
          </w:tcPr>
          <w:p w14:paraId="0FDDD0B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2.25</w:t>
            </w:r>
          </w:p>
        </w:tc>
        <w:tc>
          <w:tcPr>
            <w:tcW w:w="580" w:type="dxa"/>
            <w:tcBorders>
              <w:top w:val="nil"/>
              <w:left w:val="nil"/>
              <w:bottom w:val="nil"/>
              <w:right w:val="nil"/>
            </w:tcBorders>
            <w:shd w:val="clear" w:color="auto" w:fill="auto"/>
            <w:noWrap/>
            <w:vAlign w:val="bottom"/>
            <w:hideMark/>
          </w:tcPr>
          <w:p w14:paraId="4B9D7CB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0.69</w:t>
            </w:r>
          </w:p>
        </w:tc>
        <w:tc>
          <w:tcPr>
            <w:tcW w:w="600" w:type="dxa"/>
            <w:tcBorders>
              <w:top w:val="nil"/>
              <w:left w:val="nil"/>
              <w:bottom w:val="nil"/>
              <w:right w:val="nil"/>
            </w:tcBorders>
            <w:shd w:val="clear" w:color="auto" w:fill="auto"/>
            <w:noWrap/>
            <w:vAlign w:val="bottom"/>
            <w:hideMark/>
          </w:tcPr>
          <w:p w14:paraId="73C71A3A"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0.005</w:t>
            </w:r>
          </w:p>
        </w:tc>
        <w:tc>
          <w:tcPr>
            <w:tcW w:w="580" w:type="dxa"/>
            <w:tcBorders>
              <w:top w:val="nil"/>
              <w:left w:val="nil"/>
              <w:bottom w:val="nil"/>
              <w:right w:val="single" w:sz="4" w:space="0" w:color="auto"/>
            </w:tcBorders>
            <w:shd w:val="clear" w:color="auto" w:fill="auto"/>
            <w:noWrap/>
            <w:vAlign w:val="bottom"/>
            <w:hideMark/>
          </w:tcPr>
          <w:p w14:paraId="38460C6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0.38</w:t>
            </w:r>
          </w:p>
        </w:tc>
        <w:tc>
          <w:tcPr>
            <w:tcW w:w="580" w:type="dxa"/>
            <w:tcBorders>
              <w:top w:val="nil"/>
              <w:left w:val="nil"/>
              <w:bottom w:val="nil"/>
              <w:right w:val="nil"/>
            </w:tcBorders>
            <w:shd w:val="clear" w:color="auto" w:fill="auto"/>
            <w:noWrap/>
            <w:vAlign w:val="bottom"/>
            <w:hideMark/>
          </w:tcPr>
          <w:p w14:paraId="72574DB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2.20</w:t>
            </w:r>
          </w:p>
        </w:tc>
        <w:tc>
          <w:tcPr>
            <w:tcW w:w="580" w:type="dxa"/>
            <w:tcBorders>
              <w:top w:val="nil"/>
              <w:left w:val="nil"/>
              <w:bottom w:val="nil"/>
              <w:right w:val="nil"/>
            </w:tcBorders>
            <w:shd w:val="clear" w:color="auto" w:fill="auto"/>
            <w:noWrap/>
            <w:vAlign w:val="bottom"/>
            <w:hideMark/>
          </w:tcPr>
          <w:p w14:paraId="1A4C83E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1.35</w:t>
            </w:r>
          </w:p>
        </w:tc>
        <w:tc>
          <w:tcPr>
            <w:tcW w:w="640" w:type="dxa"/>
            <w:tcBorders>
              <w:top w:val="nil"/>
              <w:left w:val="nil"/>
              <w:bottom w:val="nil"/>
              <w:right w:val="nil"/>
            </w:tcBorders>
            <w:shd w:val="clear" w:color="auto" w:fill="auto"/>
            <w:noWrap/>
            <w:vAlign w:val="bottom"/>
            <w:hideMark/>
          </w:tcPr>
          <w:p w14:paraId="046DE20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0.120</w:t>
            </w:r>
          </w:p>
        </w:tc>
        <w:tc>
          <w:tcPr>
            <w:tcW w:w="580" w:type="dxa"/>
            <w:tcBorders>
              <w:top w:val="nil"/>
              <w:left w:val="nil"/>
              <w:bottom w:val="nil"/>
              <w:right w:val="single" w:sz="4" w:space="0" w:color="auto"/>
            </w:tcBorders>
            <w:shd w:val="clear" w:color="auto" w:fill="auto"/>
            <w:noWrap/>
            <w:vAlign w:val="bottom"/>
            <w:hideMark/>
          </w:tcPr>
          <w:p w14:paraId="06860D7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0.13</w:t>
            </w:r>
          </w:p>
        </w:tc>
      </w:tr>
      <w:tr w:rsidR="00F43630" w:rsidRPr="009F6406" w14:paraId="089D1490" w14:textId="77777777" w:rsidTr="00F43630">
        <w:trPr>
          <w:trHeight w:val="199"/>
        </w:trPr>
        <w:tc>
          <w:tcPr>
            <w:tcW w:w="960" w:type="dxa"/>
            <w:tcBorders>
              <w:top w:val="nil"/>
              <w:left w:val="nil"/>
              <w:bottom w:val="nil"/>
              <w:right w:val="nil"/>
            </w:tcBorders>
            <w:shd w:val="clear" w:color="auto" w:fill="auto"/>
            <w:noWrap/>
            <w:vAlign w:val="bottom"/>
            <w:hideMark/>
          </w:tcPr>
          <w:p w14:paraId="365F9131"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0B51D5A7"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Differentiation and inclusion</w:t>
            </w:r>
          </w:p>
        </w:tc>
        <w:tc>
          <w:tcPr>
            <w:tcW w:w="580" w:type="dxa"/>
            <w:tcBorders>
              <w:top w:val="nil"/>
              <w:left w:val="single" w:sz="4" w:space="0" w:color="auto"/>
              <w:bottom w:val="nil"/>
              <w:right w:val="nil"/>
            </w:tcBorders>
            <w:shd w:val="clear" w:color="auto" w:fill="auto"/>
            <w:noWrap/>
            <w:vAlign w:val="bottom"/>
            <w:hideMark/>
          </w:tcPr>
          <w:p w14:paraId="5D7E1AC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-0.46</w:t>
            </w:r>
          </w:p>
        </w:tc>
        <w:tc>
          <w:tcPr>
            <w:tcW w:w="580" w:type="dxa"/>
            <w:tcBorders>
              <w:top w:val="nil"/>
              <w:left w:val="nil"/>
              <w:bottom w:val="nil"/>
              <w:right w:val="nil"/>
            </w:tcBorders>
            <w:shd w:val="clear" w:color="auto" w:fill="auto"/>
            <w:noWrap/>
            <w:vAlign w:val="bottom"/>
            <w:hideMark/>
          </w:tcPr>
          <w:p w14:paraId="49D5CCC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1.09</w:t>
            </w:r>
          </w:p>
        </w:tc>
        <w:tc>
          <w:tcPr>
            <w:tcW w:w="680" w:type="dxa"/>
            <w:tcBorders>
              <w:top w:val="nil"/>
              <w:left w:val="nil"/>
              <w:bottom w:val="nil"/>
              <w:right w:val="nil"/>
            </w:tcBorders>
            <w:shd w:val="clear" w:color="auto" w:fill="auto"/>
            <w:noWrap/>
            <w:vAlign w:val="bottom"/>
            <w:hideMark/>
          </w:tcPr>
          <w:p w14:paraId="2A1D1C7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0.674</w:t>
            </w:r>
          </w:p>
        </w:tc>
        <w:tc>
          <w:tcPr>
            <w:tcW w:w="580" w:type="dxa"/>
            <w:tcBorders>
              <w:top w:val="nil"/>
              <w:left w:val="nil"/>
              <w:bottom w:val="nil"/>
              <w:right w:val="single" w:sz="4" w:space="0" w:color="auto"/>
            </w:tcBorders>
            <w:shd w:val="clear" w:color="auto" w:fill="auto"/>
            <w:noWrap/>
            <w:vAlign w:val="bottom"/>
            <w:hideMark/>
          </w:tcPr>
          <w:p w14:paraId="39DA1A4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0.01</w:t>
            </w:r>
          </w:p>
        </w:tc>
        <w:tc>
          <w:tcPr>
            <w:tcW w:w="580" w:type="dxa"/>
            <w:tcBorders>
              <w:top w:val="nil"/>
              <w:left w:val="nil"/>
              <w:bottom w:val="nil"/>
              <w:right w:val="nil"/>
            </w:tcBorders>
            <w:shd w:val="clear" w:color="auto" w:fill="auto"/>
            <w:noWrap/>
            <w:vAlign w:val="bottom"/>
            <w:hideMark/>
          </w:tcPr>
          <w:p w14:paraId="7F30260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-0.42</w:t>
            </w:r>
          </w:p>
        </w:tc>
        <w:tc>
          <w:tcPr>
            <w:tcW w:w="580" w:type="dxa"/>
            <w:tcBorders>
              <w:top w:val="nil"/>
              <w:left w:val="nil"/>
              <w:bottom w:val="nil"/>
              <w:right w:val="nil"/>
            </w:tcBorders>
            <w:shd w:val="clear" w:color="auto" w:fill="auto"/>
            <w:noWrap/>
            <w:vAlign w:val="bottom"/>
            <w:hideMark/>
          </w:tcPr>
          <w:p w14:paraId="7530F3B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1.09</w:t>
            </w:r>
          </w:p>
        </w:tc>
        <w:tc>
          <w:tcPr>
            <w:tcW w:w="600" w:type="dxa"/>
            <w:tcBorders>
              <w:top w:val="nil"/>
              <w:left w:val="nil"/>
              <w:bottom w:val="nil"/>
              <w:right w:val="nil"/>
            </w:tcBorders>
            <w:shd w:val="clear" w:color="auto" w:fill="auto"/>
            <w:noWrap/>
            <w:vAlign w:val="bottom"/>
            <w:hideMark/>
          </w:tcPr>
          <w:p w14:paraId="7202FE2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0.705</w:t>
            </w:r>
          </w:p>
        </w:tc>
        <w:tc>
          <w:tcPr>
            <w:tcW w:w="580" w:type="dxa"/>
            <w:tcBorders>
              <w:top w:val="nil"/>
              <w:left w:val="nil"/>
              <w:bottom w:val="nil"/>
              <w:right w:val="single" w:sz="4" w:space="0" w:color="auto"/>
            </w:tcBorders>
            <w:shd w:val="clear" w:color="auto" w:fill="auto"/>
            <w:noWrap/>
            <w:vAlign w:val="bottom"/>
            <w:hideMark/>
          </w:tcPr>
          <w:p w14:paraId="77DD51C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0.01</w:t>
            </w:r>
          </w:p>
        </w:tc>
        <w:tc>
          <w:tcPr>
            <w:tcW w:w="580" w:type="dxa"/>
            <w:tcBorders>
              <w:top w:val="nil"/>
              <w:left w:val="nil"/>
              <w:bottom w:val="nil"/>
              <w:right w:val="nil"/>
            </w:tcBorders>
            <w:shd w:val="clear" w:color="auto" w:fill="auto"/>
            <w:noWrap/>
            <w:vAlign w:val="bottom"/>
            <w:hideMark/>
          </w:tcPr>
          <w:p w14:paraId="0096DB8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1.60</w:t>
            </w:r>
          </w:p>
        </w:tc>
        <w:tc>
          <w:tcPr>
            <w:tcW w:w="580" w:type="dxa"/>
            <w:tcBorders>
              <w:top w:val="nil"/>
              <w:left w:val="nil"/>
              <w:bottom w:val="nil"/>
              <w:right w:val="nil"/>
            </w:tcBorders>
            <w:shd w:val="clear" w:color="auto" w:fill="auto"/>
            <w:noWrap/>
            <w:vAlign w:val="bottom"/>
            <w:hideMark/>
          </w:tcPr>
          <w:p w14:paraId="3671296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0.87</w:t>
            </w:r>
          </w:p>
        </w:tc>
        <w:tc>
          <w:tcPr>
            <w:tcW w:w="640" w:type="dxa"/>
            <w:tcBorders>
              <w:top w:val="nil"/>
              <w:left w:val="nil"/>
              <w:bottom w:val="nil"/>
              <w:right w:val="nil"/>
            </w:tcBorders>
            <w:shd w:val="clear" w:color="auto" w:fill="auto"/>
            <w:noWrap/>
            <w:vAlign w:val="bottom"/>
            <w:hideMark/>
          </w:tcPr>
          <w:p w14:paraId="2E4E405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0.083</w:t>
            </w:r>
          </w:p>
        </w:tc>
        <w:tc>
          <w:tcPr>
            <w:tcW w:w="580" w:type="dxa"/>
            <w:tcBorders>
              <w:top w:val="nil"/>
              <w:left w:val="nil"/>
              <w:bottom w:val="nil"/>
              <w:right w:val="single" w:sz="4" w:space="0" w:color="auto"/>
            </w:tcBorders>
            <w:shd w:val="clear" w:color="auto" w:fill="auto"/>
            <w:noWrap/>
            <w:vAlign w:val="bottom"/>
            <w:hideMark/>
          </w:tcPr>
          <w:p w14:paraId="0B0637F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0.16</w:t>
            </w:r>
          </w:p>
        </w:tc>
      </w:tr>
      <w:tr w:rsidR="00F43630" w:rsidRPr="009F6406" w14:paraId="0BA0363E" w14:textId="77777777" w:rsidTr="005225F0">
        <w:trPr>
          <w:trHeight w:val="199"/>
        </w:trPr>
        <w:tc>
          <w:tcPr>
            <w:tcW w:w="960" w:type="dxa"/>
            <w:tcBorders>
              <w:top w:val="nil"/>
              <w:left w:val="nil"/>
              <w:bottom w:val="nil"/>
              <w:right w:val="nil"/>
            </w:tcBorders>
            <w:shd w:val="clear" w:color="auto" w:fill="auto"/>
            <w:noWrap/>
            <w:vAlign w:val="bottom"/>
            <w:hideMark/>
          </w:tcPr>
          <w:p w14:paraId="0D2A7D08"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320B4F88"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Clarity of instruction</w:t>
            </w:r>
          </w:p>
        </w:tc>
        <w:tc>
          <w:tcPr>
            <w:tcW w:w="580" w:type="dxa"/>
            <w:tcBorders>
              <w:top w:val="nil"/>
              <w:left w:val="single" w:sz="4" w:space="0" w:color="auto"/>
              <w:bottom w:val="nil"/>
              <w:right w:val="nil"/>
            </w:tcBorders>
            <w:shd w:val="clear" w:color="auto" w:fill="auto"/>
            <w:noWrap/>
            <w:vAlign w:val="bottom"/>
            <w:hideMark/>
          </w:tcPr>
          <w:p w14:paraId="76F6F40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4.42</w:t>
            </w:r>
          </w:p>
        </w:tc>
        <w:tc>
          <w:tcPr>
            <w:tcW w:w="580" w:type="dxa"/>
            <w:tcBorders>
              <w:top w:val="nil"/>
              <w:left w:val="nil"/>
              <w:bottom w:val="nil"/>
              <w:right w:val="nil"/>
            </w:tcBorders>
            <w:shd w:val="clear" w:color="auto" w:fill="auto"/>
            <w:noWrap/>
            <w:vAlign w:val="bottom"/>
            <w:hideMark/>
          </w:tcPr>
          <w:p w14:paraId="7AFC0E9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0.96</w:t>
            </w:r>
          </w:p>
        </w:tc>
        <w:tc>
          <w:tcPr>
            <w:tcW w:w="680" w:type="dxa"/>
            <w:tcBorders>
              <w:top w:val="nil"/>
              <w:left w:val="nil"/>
              <w:bottom w:val="nil"/>
              <w:right w:val="nil"/>
            </w:tcBorders>
            <w:shd w:val="clear" w:color="auto" w:fill="auto"/>
            <w:noWrap/>
            <w:vAlign w:val="bottom"/>
            <w:hideMark/>
          </w:tcPr>
          <w:p w14:paraId="32C8F8F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&lt;0.001</w:t>
            </w:r>
          </w:p>
        </w:tc>
        <w:tc>
          <w:tcPr>
            <w:tcW w:w="580" w:type="dxa"/>
            <w:tcBorders>
              <w:top w:val="nil"/>
              <w:left w:val="nil"/>
              <w:bottom w:val="nil"/>
              <w:right w:val="single" w:sz="4" w:space="0" w:color="auto"/>
            </w:tcBorders>
            <w:shd w:val="clear" w:color="auto" w:fill="auto"/>
            <w:noWrap/>
            <w:vAlign w:val="bottom"/>
            <w:hideMark/>
          </w:tcPr>
          <w:p w14:paraId="63051A6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0.54</w:t>
            </w:r>
          </w:p>
        </w:tc>
        <w:tc>
          <w:tcPr>
            <w:tcW w:w="580" w:type="dxa"/>
            <w:tcBorders>
              <w:top w:val="nil"/>
              <w:left w:val="nil"/>
              <w:bottom w:val="nil"/>
              <w:right w:val="nil"/>
            </w:tcBorders>
            <w:shd w:val="clear" w:color="auto" w:fill="auto"/>
            <w:noWrap/>
            <w:vAlign w:val="bottom"/>
            <w:hideMark/>
          </w:tcPr>
          <w:p w14:paraId="55D23A4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2.08</w:t>
            </w:r>
          </w:p>
        </w:tc>
        <w:tc>
          <w:tcPr>
            <w:tcW w:w="580" w:type="dxa"/>
            <w:tcBorders>
              <w:top w:val="nil"/>
              <w:left w:val="nil"/>
              <w:bottom w:val="nil"/>
              <w:right w:val="nil"/>
            </w:tcBorders>
            <w:shd w:val="clear" w:color="auto" w:fill="auto"/>
            <w:noWrap/>
            <w:vAlign w:val="bottom"/>
            <w:hideMark/>
          </w:tcPr>
          <w:p w14:paraId="7D13A33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1.35</w:t>
            </w:r>
          </w:p>
        </w:tc>
        <w:tc>
          <w:tcPr>
            <w:tcW w:w="600" w:type="dxa"/>
            <w:tcBorders>
              <w:top w:val="nil"/>
              <w:left w:val="nil"/>
              <w:bottom w:val="nil"/>
              <w:right w:val="nil"/>
            </w:tcBorders>
            <w:shd w:val="clear" w:color="auto" w:fill="auto"/>
            <w:noWrap/>
            <w:vAlign w:val="bottom"/>
            <w:hideMark/>
          </w:tcPr>
          <w:p w14:paraId="75696FD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0.141</w:t>
            </w:r>
          </w:p>
        </w:tc>
        <w:tc>
          <w:tcPr>
            <w:tcW w:w="580" w:type="dxa"/>
            <w:tcBorders>
              <w:top w:val="nil"/>
              <w:left w:val="nil"/>
              <w:bottom w:val="nil"/>
              <w:right w:val="single" w:sz="4" w:space="0" w:color="auto"/>
            </w:tcBorders>
            <w:shd w:val="clear" w:color="auto" w:fill="auto"/>
            <w:noWrap/>
            <w:vAlign w:val="bottom"/>
            <w:hideMark/>
          </w:tcPr>
          <w:p w14:paraId="68F546E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0.12</w:t>
            </w:r>
          </w:p>
        </w:tc>
        <w:tc>
          <w:tcPr>
            <w:tcW w:w="580" w:type="dxa"/>
            <w:tcBorders>
              <w:top w:val="nil"/>
              <w:left w:val="nil"/>
              <w:bottom w:val="nil"/>
              <w:right w:val="nil"/>
            </w:tcBorders>
            <w:shd w:val="clear" w:color="auto" w:fill="auto"/>
            <w:noWrap/>
            <w:vAlign w:val="bottom"/>
            <w:hideMark/>
          </w:tcPr>
          <w:p w14:paraId="24AEE39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2.63</w:t>
            </w:r>
          </w:p>
        </w:tc>
        <w:tc>
          <w:tcPr>
            <w:tcW w:w="580" w:type="dxa"/>
            <w:tcBorders>
              <w:top w:val="nil"/>
              <w:left w:val="nil"/>
              <w:bottom w:val="nil"/>
              <w:right w:val="nil"/>
            </w:tcBorders>
            <w:shd w:val="clear" w:color="auto" w:fill="auto"/>
            <w:noWrap/>
            <w:vAlign w:val="bottom"/>
            <w:hideMark/>
          </w:tcPr>
          <w:p w14:paraId="645EDEF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1.71</w:t>
            </w:r>
          </w:p>
        </w:tc>
        <w:tc>
          <w:tcPr>
            <w:tcW w:w="640" w:type="dxa"/>
            <w:tcBorders>
              <w:top w:val="nil"/>
              <w:left w:val="nil"/>
              <w:bottom w:val="nil"/>
              <w:right w:val="nil"/>
            </w:tcBorders>
            <w:shd w:val="clear" w:color="auto" w:fill="auto"/>
            <w:noWrap/>
            <w:vAlign w:val="bottom"/>
            <w:hideMark/>
          </w:tcPr>
          <w:p w14:paraId="269D91C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0.143</w:t>
            </w:r>
          </w:p>
        </w:tc>
        <w:tc>
          <w:tcPr>
            <w:tcW w:w="580" w:type="dxa"/>
            <w:tcBorders>
              <w:top w:val="nil"/>
              <w:left w:val="nil"/>
              <w:bottom w:val="nil"/>
              <w:right w:val="single" w:sz="4" w:space="0" w:color="auto"/>
            </w:tcBorders>
            <w:shd w:val="clear" w:color="auto" w:fill="auto"/>
            <w:noWrap/>
            <w:vAlign w:val="bottom"/>
            <w:hideMark/>
          </w:tcPr>
          <w:p w14:paraId="05EDB75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0.12</w:t>
            </w:r>
          </w:p>
        </w:tc>
      </w:tr>
      <w:tr w:rsidR="00F43630" w:rsidRPr="009F6406" w14:paraId="6180FE97" w14:textId="77777777" w:rsidTr="005225F0">
        <w:trPr>
          <w:trHeight w:val="199"/>
        </w:trPr>
        <w:tc>
          <w:tcPr>
            <w:tcW w:w="960" w:type="dxa"/>
            <w:tcBorders>
              <w:top w:val="nil"/>
              <w:left w:val="nil"/>
              <w:bottom w:val="nil"/>
              <w:right w:val="nil"/>
            </w:tcBorders>
            <w:shd w:val="clear" w:color="auto" w:fill="auto"/>
            <w:noWrap/>
            <w:vAlign w:val="bottom"/>
            <w:hideMark/>
          </w:tcPr>
          <w:p w14:paraId="1C4D98A1"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67E5237D"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Instructional skills</w:t>
            </w:r>
          </w:p>
        </w:tc>
        <w:tc>
          <w:tcPr>
            <w:tcW w:w="580" w:type="dxa"/>
            <w:tcBorders>
              <w:top w:val="nil"/>
              <w:left w:val="single" w:sz="4" w:space="0" w:color="auto"/>
              <w:bottom w:val="nil"/>
              <w:right w:val="nil"/>
            </w:tcBorders>
            <w:shd w:val="clear" w:color="auto" w:fill="auto"/>
            <w:noWrap/>
            <w:vAlign w:val="bottom"/>
            <w:hideMark/>
          </w:tcPr>
          <w:p w14:paraId="5C8F6BC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6.30</w:t>
            </w:r>
          </w:p>
        </w:tc>
        <w:tc>
          <w:tcPr>
            <w:tcW w:w="580" w:type="dxa"/>
            <w:tcBorders>
              <w:top w:val="nil"/>
              <w:left w:val="nil"/>
              <w:bottom w:val="nil"/>
              <w:right w:val="nil"/>
            </w:tcBorders>
            <w:shd w:val="clear" w:color="auto" w:fill="auto"/>
            <w:noWrap/>
            <w:vAlign w:val="bottom"/>
            <w:hideMark/>
          </w:tcPr>
          <w:p w14:paraId="05272E7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1.35</w:t>
            </w:r>
          </w:p>
        </w:tc>
        <w:tc>
          <w:tcPr>
            <w:tcW w:w="680" w:type="dxa"/>
            <w:tcBorders>
              <w:top w:val="nil"/>
              <w:left w:val="nil"/>
              <w:bottom w:val="nil"/>
              <w:right w:val="nil"/>
            </w:tcBorders>
            <w:shd w:val="clear" w:color="auto" w:fill="auto"/>
            <w:noWrap/>
            <w:vAlign w:val="bottom"/>
            <w:hideMark/>
          </w:tcPr>
          <w:p w14:paraId="4B2ECF1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&lt;0.001</w:t>
            </w:r>
          </w:p>
        </w:tc>
        <w:tc>
          <w:tcPr>
            <w:tcW w:w="580" w:type="dxa"/>
            <w:tcBorders>
              <w:top w:val="nil"/>
              <w:left w:val="nil"/>
              <w:bottom w:val="nil"/>
              <w:right w:val="single" w:sz="4" w:space="0" w:color="auto"/>
            </w:tcBorders>
            <w:shd w:val="clear" w:color="auto" w:fill="auto"/>
            <w:noWrap/>
            <w:vAlign w:val="bottom"/>
            <w:hideMark/>
          </w:tcPr>
          <w:p w14:paraId="5DCB9E3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0.55</w:t>
            </w:r>
          </w:p>
        </w:tc>
        <w:tc>
          <w:tcPr>
            <w:tcW w:w="580" w:type="dxa"/>
            <w:tcBorders>
              <w:top w:val="nil"/>
              <w:left w:val="nil"/>
              <w:bottom w:val="nil"/>
              <w:right w:val="nil"/>
            </w:tcBorders>
            <w:shd w:val="clear" w:color="auto" w:fill="auto"/>
            <w:noWrap/>
            <w:vAlign w:val="bottom"/>
            <w:hideMark/>
          </w:tcPr>
          <w:p w14:paraId="67817D4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1.91</w:t>
            </w:r>
          </w:p>
        </w:tc>
        <w:tc>
          <w:tcPr>
            <w:tcW w:w="580" w:type="dxa"/>
            <w:tcBorders>
              <w:top w:val="nil"/>
              <w:left w:val="nil"/>
              <w:bottom w:val="nil"/>
              <w:right w:val="nil"/>
            </w:tcBorders>
            <w:shd w:val="clear" w:color="auto" w:fill="auto"/>
            <w:noWrap/>
            <w:vAlign w:val="bottom"/>
            <w:hideMark/>
          </w:tcPr>
          <w:p w14:paraId="6DB093D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1.09</w:t>
            </w:r>
          </w:p>
        </w:tc>
        <w:tc>
          <w:tcPr>
            <w:tcW w:w="600" w:type="dxa"/>
            <w:tcBorders>
              <w:top w:val="nil"/>
              <w:left w:val="nil"/>
              <w:bottom w:val="nil"/>
              <w:right w:val="nil"/>
            </w:tcBorders>
            <w:shd w:val="clear" w:color="auto" w:fill="auto"/>
            <w:noWrap/>
            <w:vAlign w:val="bottom"/>
            <w:hideMark/>
          </w:tcPr>
          <w:p w14:paraId="2A257B8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0.097</w:t>
            </w:r>
          </w:p>
        </w:tc>
        <w:tc>
          <w:tcPr>
            <w:tcW w:w="580" w:type="dxa"/>
            <w:tcBorders>
              <w:top w:val="nil"/>
              <w:left w:val="nil"/>
              <w:bottom w:val="nil"/>
              <w:right w:val="single" w:sz="4" w:space="0" w:color="auto"/>
            </w:tcBorders>
            <w:shd w:val="clear" w:color="auto" w:fill="auto"/>
            <w:noWrap/>
            <w:vAlign w:val="bottom"/>
            <w:hideMark/>
          </w:tcPr>
          <w:p w14:paraId="7B008F6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0.15</w:t>
            </w:r>
          </w:p>
        </w:tc>
        <w:tc>
          <w:tcPr>
            <w:tcW w:w="580" w:type="dxa"/>
            <w:tcBorders>
              <w:top w:val="nil"/>
              <w:left w:val="nil"/>
              <w:bottom w:val="nil"/>
              <w:right w:val="nil"/>
            </w:tcBorders>
            <w:shd w:val="clear" w:color="auto" w:fill="auto"/>
            <w:noWrap/>
            <w:vAlign w:val="bottom"/>
            <w:hideMark/>
          </w:tcPr>
          <w:p w14:paraId="5F8B614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1.73</w:t>
            </w:r>
          </w:p>
        </w:tc>
        <w:tc>
          <w:tcPr>
            <w:tcW w:w="580" w:type="dxa"/>
            <w:tcBorders>
              <w:top w:val="nil"/>
              <w:left w:val="nil"/>
              <w:bottom w:val="nil"/>
              <w:right w:val="nil"/>
            </w:tcBorders>
            <w:shd w:val="clear" w:color="auto" w:fill="auto"/>
            <w:noWrap/>
            <w:vAlign w:val="bottom"/>
            <w:hideMark/>
          </w:tcPr>
          <w:p w14:paraId="0120A80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1.41</w:t>
            </w:r>
          </w:p>
        </w:tc>
        <w:tc>
          <w:tcPr>
            <w:tcW w:w="640" w:type="dxa"/>
            <w:tcBorders>
              <w:top w:val="nil"/>
              <w:left w:val="nil"/>
              <w:bottom w:val="nil"/>
              <w:right w:val="nil"/>
            </w:tcBorders>
            <w:shd w:val="clear" w:color="auto" w:fill="auto"/>
            <w:noWrap/>
            <w:vAlign w:val="bottom"/>
            <w:hideMark/>
          </w:tcPr>
          <w:p w14:paraId="5CDA10D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0.238</w:t>
            </w:r>
          </w:p>
        </w:tc>
        <w:tc>
          <w:tcPr>
            <w:tcW w:w="580" w:type="dxa"/>
            <w:tcBorders>
              <w:top w:val="nil"/>
              <w:left w:val="nil"/>
              <w:bottom w:val="nil"/>
              <w:right w:val="single" w:sz="4" w:space="0" w:color="auto"/>
            </w:tcBorders>
            <w:shd w:val="clear" w:color="auto" w:fill="auto"/>
            <w:noWrap/>
            <w:vAlign w:val="bottom"/>
            <w:hideMark/>
          </w:tcPr>
          <w:p w14:paraId="34C415B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0.08</w:t>
            </w:r>
          </w:p>
        </w:tc>
      </w:tr>
      <w:tr w:rsidR="00F43630" w:rsidRPr="009F6406" w14:paraId="5DA3CC89" w14:textId="77777777" w:rsidTr="005225F0">
        <w:trPr>
          <w:trHeight w:val="199"/>
        </w:trPr>
        <w:tc>
          <w:tcPr>
            <w:tcW w:w="960" w:type="dxa"/>
            <w:tcBorders>
              <w:top w:val="nil"/>
              <w:left w:val="nil"/>
              <w:bottom w:val="nil"/>
              <w:right w:val="nil"/>
            </w:tcBorders>
            <w:shd w:val="clear" w:color="auto" w:fill="auto"/>
            <w:noWrap/>
            <w:vAlign w:val="bottom"/>
            <w:hideMark/>
          </w:tcPr>
          <w:p w14:paraId="2CB3D826"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vAlign w:val="bottom"/>
            <w:hideMark/>
          </w:tcPr>
          <w:p w14:paraId="0A77F5DC"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Promoting active learning and developing metacognitive skills</w:t>
            </w:r>
          </w:p>
        </w:tc>
        <w:tc>
          <w:tcPr>
            <w:tcW w:w="580" w:type="dxa"/>
            <w:tcBorders>
              <w:top w:val="nil"/>
              <w:left w:val="single" w:sz="4" w:space="0" w:color="auto"/>
              <w:bottom w:val="nil"/>
              <w:right w:val="nil"/>
            </w:tcBorders>
            <w:shd w:val="clear" w:color="auto" w:fill="auto"/>
            <w:noWrap/>
            <w:vAlign w:val="bottom"/>
            <w:hideMark/>
          </w:tcPr>
          <w:p w14:paraId="371FBA6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7.57</w:t>
            </w:r>
          </w:p>
        </w:tc>
        <w:tc>
          <w:tcPr>
            <w:tcW w:w="580" w:type="dxa"/>
            <w:tcBorders>
              <w:top w:val="nil"/>
              <w:left w:val="nil"/>
              <w:bottom w:val="nil"/>
              <w:right w:val="nil"/>
            </w:tcBorders>
            <w:shd w:val="clear" w:color="auto" w:fill="auto"/>
            <w:noWrap/>
            <w:vAlign w:val="bottom"/>
            <w:hideMark/>
          </w:tcPr>
          <w:p w14:paraId="573F1E8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2.13</w:t>
            </w:r>
          </w:p>
        </w:tc>
        <w:tc>
          <w:tcPr>
            <w:tcW w:w="680" w:type="dxa"/>
            <w:tcBorders>
              <w:top w:val="nil"/>
              <w:left w:val="nil"/>
              <w:bottom w:val="nil"/>
              <w:right w:val="nil"/>
            </w:tcBorders>
            <w:shd w:val="clear" w:color="auto" w:fill="auto"/>
            <w:noWrap/>
            <w:vAlign w:val="bottom"/>
            <w:hideMark/>
          </w:tcPr>
          <w:p w14:paraId="2B83908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0.002</w:t>
            </w:r>
          </w:p>
        </w:tc>
        <w:tc>
          <w:tcPr>
            <w:tcW w:w="580" w:type="dxa"/>
            <w:tcBorders>
              <w:top w:val="nil"/>
              <w:left w:val="nil"/>
              <w:bottom w:val="nil"/>
              <w:right w:val="single" w:sz="4" w:space="0" w:color="auto"/>
            </w:tcBorders>
            <w:shd w:val="clear" w:color="auto" w:fill="auto"/>
            <w:noWrap/>
            <w:vAlign w:val="bottom"/>
            <w:hideMark/>
          </w:tcPr>
          <w:p w14:paraId="714BDF8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0.41</w:t>
            </w:r>
          </w:p>
        </w:tc>
        <w:tc>
          <w:tcPr>
            <w:tcW w:w="580" w:type="dxa"/>
            <w:tcBorders>
              <w:top w:val="nil"/>
              <w:left w:val="nil"/>
              <w:bottom w:val="nil"/>
              <w:right w:val="nil"/>
            </w:tcBorders>
            <w:shd w:val="clear" w:color="auto" w:fill="auto"/>
            <w:noWrap/>
            <w:vAlign w:val="bottom"/>
            <w:hideMark/>
          </w:tcPr>
          <w:p w14:paraId="06CA69FA"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2.22</w:t>
            </w:r>
          </w:p>
        </w:tc>
        <w:tc>
          <w:tcPr>
            <w:tcW w:w="580" w:type="dxa"/>
            <w:tcBorders>
              <w:top w:val="nil"/>
              <w:left w:val="nil"/>
              <w:bottom w:val="nil"/>
              <w:right w:val="nil"/>
            </w:tcBorders>
            <w:shd w:val="clear" w:color="auto" w:fill="auto"/>
            <w:noWrap/>
            <w:vAlign w:val="bottom"/>
            <w:hideMark/>
          </w:tcPr>
          <w:p w14:paraId="1E50571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2.13</w:t>
            </w:r>
          </w:p>
        </w:tc>
        <w:tc>
          <w:tcPr>
            <w:tcW w:w="600" w:type="dxa"/>
            <w:tcBorders>
              <w:top w:val="nil"/>
              <w:left w:val="nil"/>
              <w:bottom w:val="nil"/>
              <w:right w:val="nil"/>
            </w:tcBorders>
            <w:shd w:val="clear" w:color="auto" w:fill="auto"/>
            <w:noWrap/>
            <w:vAlign w:val="bottom"/>
            <w:hideMark/>
          </w:tcPr>
          <w:p w14:paraId="0B29DAD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0.312</w:t>
            </w:r>
          </w:p>
        </w:tc>
        <w:tc>
          <w:tcPr>
            <w:tcW w:w="580" w:type="dxa"/>
            <w:tcBorders>
              <w:top w:val="nil"/>
              <w:left w:val="nil"/>
              <w:bottom w:val="nil"/>
              <w:right w:val="single" w:sz="4" w:space="0" w:color="auto"/>
            </w:tcBorders>
            <w:shd w:val="clear" w:color="auto" w:fill="auto"/>
            <w:noWrap/>
            <w:vAlign w:val="bottom"/>
            <w:hideMark/>
          </w:tcPr>
          <w:p w14:paraId="5FBCF02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0.06</w:t>
            </w:r>
          </w:p>
        </w:tc>
        <w:tc>
          <w:tcPr>
            <w:tcW w:w="580" w:type="dxa"/>
            <w:tcBorders>
              <w:top w:val="nil"/>
              <w:left w:val="nil"/>
              <w:bottom w:val="nil"/>
              <w:right w:val="nil"/>
            </w:tcBorders>
            <w:shd w:val="clear" w:color="auto" w:fill="auto"/>
            <w:noWrap/>
            <w:vAlign w:val="bottom"/>
            <w:hideMark/>
          </w:tcPr>
          <w:p w14:paraId="6E56BD2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3.13</w:t>
            </w:r>
          </w:p>
        </w:tc>
        <w:tc>
          <w:tcPr>
            <w:tcW w:w="580" w:type="dxa"/>
            <w:tcBorders>
              <w:top w:val="nil"/>
              <w:left w:val="nil"/>
              <w:bottom w:val="nil"/>
              <w:right w:val="nil"/>
            </w:tcBorders>
            <w:shd w:val="clear" w:color="auto" w:fill="auto"/>
            <w:noWrap/>
            <w:vAlign w:val="bottom"/>
            <w:hideMark/>
          </w:tcPr>
          <w:p w14:paraId="10A41E2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2.19</w:t>
            </w:r>
          </w:p>
        </w:tc>
        <w:tc>
          <w:tcPr>
            <w:tcW w:w="640" w:type="dxa"/>
            <w:tcBorders>
              <w:top w:val="nil"/>
              <w:left w:val="nil"/>
              <w:bottom w:val="nil"/>
              <w:right w:val="nil"/>
            </w:tcBorders>
            <w:shd w:val="clear" w:color="auto" w:fill="auto"/>
            <w:noWrap/>
            <w:vAlign w:val="bottom"/>
            <w:hideMark/>
          </w:tcPr>
          <w:p w14:paraId="03245CB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0.169</w:t>
            </w:r>
          </w:p>
        </w:tc>
        <w:tc>
          <w:tcPr>
            <w:tcW w:w="580" w:type="dxa"/>
            <w:tcBorders>
              <w:top w:val="nil"/>
              <w:left w:val="nil"/>
              <w:bottom w:val="nil"/>
              <w:right w:val="single" w:sz="4" w:space="0" w:color="auto"/>
            </w:tcBorders>
            <w:shd w:val="clear" w:color="auto" w:fill="auto"/>
            <w:noWrap/>
            <w:vAlign w:val="bottom"/>
            <w:hideMark/>
          </w:tcPr>
          <w:p w14:paraId="2505769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0.10</w:t>
            </w:r>
          </w:p>
        </w:tc>
      </w:tr>
      <w:tr w:rsidR="00F43630" w:rsidRPr="009F6406" w14:paraId="57D11A1E" w14:textId="77777777" w:rsidTr="005225F0">
        <w:trPr>
          <w:trHeight w:val="199"/>
        </w:trPr>
        <w:tc>
          <w:tcPr>
            <w:tcW w:w="960" w:type="dxa"/>
            <w:tcBorders>
              <w:top w:val="nil"/>
              <w:left w:val="nil"/>
              <w:bottom w:val="nil"/>
              <w:right w:val="nil"/>
            </w:tcBorders>
            <w:shd w:val="clear" w:color="auto" w:fill="auto"/>
            <w:noWrap/>
            <w:vAlign w:val="bottom"/>
            <w:hideMark/>
          </w:tcPr>
          <w:p w14:paraId="6FEA8566"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130C8DE6"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Classroom climate</w:t>
            </w:r>
          </w:p>
        </w:tc>
        <w:tc>
          <w:tcPr>
            <w:tcW w:w="580" w:type="dxa"/>
            <w:tcBorders>
              <w:top w:val="nil"/>
              <w:left w:val="single" w:sz="4" w:space="0" w:color="auto"/>
              <w:bottom w:val="nil"/>
              <w:right w:val="nil"/>
            </w:tcBorders>
            <w:shd w:val="clear" w:color="auto" w:fill="auto"/>
            <w:noWrap/>
            <w:vAlign w:val="bottom"/>
            <w:hideMark/>
          </w:tcPr>
          <w:p w14:paraId="63AC5D2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7.13</w:t>
            </w:r>
          </w:p>
        </w:tc>
        <w:tc>
          <w:tcPr>
            <w:tcW w:w="580" w:type="dxa"/>
            <w:tcBorders>
              <w:top w:val="nil"/>
              <w:left w:val="nil"/>
              <w:bottom w:val="nil"/>
              <w:right w:val="nil"/>
            </w:tcBorders>
            <w:shd w:val="clear" w:color="auto" w:fill="auto"/>
            <w:noWrap/>
            <w:vAlign w:val="bottom"/>
            <w:hideMark/>
          </w:tcPr>
          <w:p w14:paraId="667DE47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2.57</w:t>
            </w:r>
          </w:p>
        </w:tc>
        <w:tc>
          <w:tcPr>
            <w:tcW w:w="680" w:type="dxa"/>
            <w:tcBorders>
              <w:top w:val="nil"/>
              <w:left w:val="nil"/>
              <w:bottom w:val="nil"/>
              <w:right w:val="nil"/>
            </w:tcBorders>
            <w:shd w:val="clear" w:color="auto" w:fill="auto"/>
            <w:noWrap/>
            <w:vAlign w:val="bottom"/>
            <w:hideMark/>
          </w:tcPr>
          <w:p w14:paraId="06B2F13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0.012</w:t>
            </w:r>
          </w:p>
        </w:tc>
        <w:tc>
          <w:tcPr>
            <w:tcW w:w="580" w:type="dxa"/>
            <w:tcBorders>
              <w:top w:val="nil"/>
              <w:left w:val="nil"/>
              <w:bottom w:val="nil"/>
              <w:right w:val="single" w:sz="4" w:space="0" w:color="auto"/>
            </w:tcBorders>
            <w:shd w:val="clear" w:color="auto" w:fill="auto"/>
            <w:noWrap/>
            <w:vAlign w:val="bottom"/>
            <w:hideMark/>
          </w:tcPr>
          <w:p w14:paraId="19DC9D1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0.30</w:t>
            </w:r>
          </w:p>
        </w:tc>
        <w:tc>
          <w:tcPr>
            <w:tcW w:w="580" w:type="dxa"/>
            <w:tcBorders>
              <w:top w:val="nil"/>
              <w:left w:val="nil"/>
              <w:bottom w:val="nil"/>
              <w:right w:val="nil"/>
            </w:tcBorders>
            <w:shd w:val="clear" w:color="auto" w:fill="auto"/>
            <w:noWrap/>
            <w:vAlign w:val="bottom"/>
            <w:hideMark/>
          </w:tcPr>
          <w:p w14:paraId="3F83CB4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1.72</w:t>
            </w:r>
          </w:p>
        </w:tc>
        <w:tc>
          <w:tcPr>
            <w:tcW w:w="580" w:type="dxa"/>
            <w:tcBorders>
              <w:top w:val="nil"/>
              <w:left w:val="nil"/>
              <w:bottom w:val="nil"/>
              <w:right w:val="nil"/>
            </w:tcBorders>
            <w:shd w:val="clear" w:color="auto" w:fill="auto"/>
            <w:noWrap/>
            <w:vAlign w:val="bottom"/>
            <w:hideMark/>
          </w:tcPr>
          <w:p w14:paraId="3E1A650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1.70</w:t>
            </w:r>
          </w:p>
        </w:tc>
        <w:tc>
          <w:tcPr>
            <w:tcW w:w="600" w:type="dxa"/>
            <w:tcBorders>
              <w:top w:val="nil"/>
              <w:left w:val="nil"/>
              <w:bottom w:val="nil"/>
              <w:right w:val="nil"/>
            </w:tcBorders>
            <w:shd w:val="clear" w:color="auto" w:fill="auto"/>
            <w:noWrap/>
            <w:vAlign w:val="bottom"/>
            <w:hideMark/>
          </w:tcPr>
          <w:p w14:paraId="15A23ED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0.328</w:t>
            </w:r>
          </w:p>
        </w:tc>
        <w:tc>
          <w:tcPr>
            <w:tcW w:w="580" w:type="dxa"/>
            <w:tcBorders>
              <w:top w:val="nil"/>
              <w:left w:val="nil"/>
              <w:bottom w:val="nil"/>
              <w:right w:val="single" w:sz="4" w:space="0" w:color="auto"/>
            </w:tcBorders>
            <w:shd w:val="clear" w:color="auto" w:fill="auto"/>
            <w:noWrap/>
            <w:vAlign w:val="bottom"/>
            <w:hideMark/>
          </w:tcPr>
          <w:p w14:paraId="0C50B52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0.06</w:t>
            </w:r>
          </w:p>
        </w:tc>
        <w:tc>
          <w:tcPr>
            <w:tcW w:w="580" w:type="dxa"/>
            <w:tcBorders>
              <w:top w:val="nil"/>
              <w:left w:val="nil"/>
              <w:bottom w:val="nil"/>
              <w:right w:val="nil"/>
            </w:tcBorders>
            <w:shd w:val="clear" w:color="auto" w:fill="auto"/>
            <w:noWrap/>
            <w:vAlign w:val="bottom"/>
            <w:hideMark/>
          </w:tcPr>
          <w:p w14:paraId="0F41D80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2.89</w:t>
            </w:r>
          </w:p>
        </w:tc>
        <w:tc>
          <w:tcPr>
            <w:tcW w:w="580" w:type="dxa"/>
            <w:tcBorders>
              <w:top w:val="nil"/>
              <w:left w:val="nil"/>
              <w:bottom w:val="nil"/>
              <w:right w:val="nil"/>
            </w:tcBorders>
            <w:shd w:val="clear" w:color="auto" w:fill="auto"/>
            <w:noWrap/>
            <w:vAlign w:val="bottom"/>
            <w:hideMark/>
          </w:tcPr>
          <w:p w14:paraId="6C0A70D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2.47</w:t>
            </w:r>
          </w:p>
        </w:tc>
        <w:tc>
          <w:tcPr>
            <w:tcW w:w="640" w:type="dxa"/>
            <w:tcBorders>
              <w:top w:val="nil"/>
              <w:left w:val="nil"/>
              <w:bottom w:val="nil"/>
              <w:right w:val="nil"/>
            </w:tcBorders>
            <w:shd w:val="clear" w:color="auto" w:fill="auto"/>
            <w:noWrap/>
            <w:vAlign w:val="bottom"/>
            <w:hideMark/>
          </w:tcPr>
          <w:p w14:paraId="6797ED8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0.258</w:t>
            </w:r>
          </w:p>
        </w:tc>
        <w:tc>
          <w:tcPr>
            <w:tcW w:w="580" w:type="dxa"/>
            <w:tcBorders>
              <w:top w:val="nil"/>
              <w:left w:val="nil"/>
              <w:bottom w:val="nil"/>
              <w:right w:val="single" w:sz="4" w:space="0" w:color="auto"/>
            </w:tcBorders>
            <w:shd w:val="clear" w:color="auto" w:fill="auto"/>
            <w:noWrap/>
            <w:vAlign w:val="bottom"/>
            <w:hideMark/>
          </w:tcPr>
          <w:p w14:paraId="4A81276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0.07</w:t>
            </w:r>
          </w:p>
        </w:tc>
      </w:tr>
      <w:tr w:rsidR="00F43630" w:rsidRPr="009F6406" w14:paraId="2F78F45A" w14:textId="77777777" w:rsidTr="005225F0">
        <w:trPr>
          <w:trHeight w:val="199"/>
        </w:trPr>
        <w:tc>
          <w:tcPr>
            <w:tcW w:w="960" w:type="dxa"/>
            <w:tcBorders>
              <w:top w:val="nil"/>
              <w:left w:val="nil"/>
              <w:bottom w:val="single" w:sz="4" w:space="0" w:color="auto"/>
              <w:right w:val="nil"/>
            </w:tcBorders>
            <w:shd w:val="clear" w:color="auto" w:fill="auto"/>
            <w:noWrap/>
            <w:vAlign w:val="bottom"/>
            <w:hideMark/>
          </w:tcPr>
          <w:p w14:paraId="0BE3D53B"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3320" w:type="dxa"/>
            <w:tcBorders>
              <w:top w:val="nil"/>
              <w:left w:val="nil"/>
              <w:bottom w:val="single" w:sz="4" w:space="0" w:color="auto"/>
              <w:right w:val="nil"/>
            </w:tcBorders>
            <w:shd w:val="clear" w:color="auto" w:fill="auto"/>
            <w:noWrap/>
            <w:vAlign w:val="bottom"/>
            <w:hideMark/>
          </w:tcPr>
          <w:p w14:paraId="3E77F43A"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Classroom management</w:t>
            </w:r>
          </w:p>
        </w:tc>
        <w:tc>
          <w:tcPr>
            <w:tcW w:w="580" w:type="dxa"/>
            <w:tcBorders>
              <w:top w:val="nil"/>
              <w:left w:val="single" w:sz="4" w:space="0" w:color="auto"/>
              <w:bottom w:val="single" w:sz="4" w:space="0" w:color="auto"/>
              <w:right w:val="nil"/>
            </w:tcBorders>
            <w:shd w:val="clear" w:color="auto" w:fill="auto"/>
            <w:noWrap/>
            <w:vAlign w:val="bottom"/>
            <w:hideMark/>
          </w:tcPr>
          <w:p w14:paraId="1AE12CF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6.66</w:t>
            </w:r>
          </w:p>
        </w:tc>
        <w:tc>
          <w:tcPr>
            <w:tcW w:w="580" w:type="dxa"/>
            <w:tcBorders>
              <w:top w:val="nil"/>
              <w:left w:val="nil"/>
              <w:bottom w:val="single" w:sz="4" w:space="0" w:color="auto"/>
              <w:right w:val="nil"/>
            </w:tcBorders>
            <w:shd w:val="clear" w:color="auto" w:fill="auto"/>
            <w:noWrap/>
            <w:vAlign w:val="bottom"/>
            <w:hideMark/>
          </w:tcPr>
          <w:p w14:paraId="4B86B5A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1.50</w:t>
            </w:r>
          </w:p>
        </w:tc>
        <w:tc>
          <w:tcPr>
            <w:tcW w:w="680" w:type="dxa"/>
            <w:tcBorders>
              <w:top w:val="nil"/>
              <w:left w:val="nil"/>
              <w:bottom w:val="single" w:sz="4" w:space="0" w:color="auto"/>
              <w:right w:val="nil"/>
            </w:tcBorders>
            <w:shd w:val="clear" w:color="auto" w:fill="auto"/>
            <w:noWrap/>
            <w:vAlign w:val="bottom"/>
            <w:hideMark/>
          </w:tcPr>
          <w:p w14:paraId="09F4A5A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&lt;0.001</w:t>
            </w:r>
          </w:p>
        </w:tc>
        <w:tc>
          <w:tcPr>
            <w:tcW w:w="580" w:type="dxa"/>
            <w:tcBorders>
              <w:top w:val="nil"/>
              <w:left w:val="nil"/>
              <w:bottom w:val="single" w:sz="4" w:space="0" w:color="auto"/>
              <w:right w:val="single" w:sz="4" w:space="0" w:color="auto"/>
            </w:tcBorders>
            <w:shd w:val="clear" w:color="auto" w:fill="auto"/>
            <w:noWrap/>
            <w:vAlign w:val="bottom"/>
            <w:hideMark/>
          </w:tcPr>
          <w:p w14:paraId="098408E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0.52</w:t>
            </w:r>
          </w:p>
        </w:tc>
        <w:tc>
          <w:tcPr>
            <w:tcW w:w="580" w:type="dxa"/>
            <w:tcBorders>
              <w:top w:val="nil"/>
              <w:left w:val="nil"/>
              <w:bottom w:val="single" w:sz="4" w:space="0" w:color="auto"/>
              <w:right w:val="nil"/>
            </w:tcBorders>
            <w:shd w:val="clear" w:color="auto" w:fill="auto"/>
            <w:noWrap/>
            <w:vAlign w:val="bottom"/>
            <w:hideMark/>
          </w:tcPr>
          <w:p w14:paraId="29557A5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0.73</w:t>
            </w:r>
          </w:p>
        </w:tc>
        <w:tc>
          <w:tcPr>
            <w:tcW w:w="580" w:type="dxa"/>
            <w:tcBorders>
              <w:top w:val="nil"/>
              <w:left w:val="nil"/>
              <w:bottom w:val="single" w:sz="4" w:space="0" w:color="auto"/>
              <w:right w:val="nil"/>
            </w:tcBorders>
            <w:shd w:val="clear" w:color="auto" w:fill="auto"/>
            <w:noWrap/>
            <w:vAlign w:val="bottom"/>
            <w:hideMark/>
          </w:tcPr>
          <w:p w14:paraId="4F42B32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2.26</w:t>
            </w:r>
          </w:p>
        </w:tc>
        <w:tc>
          <w:tcPr>
            <w:tcW w:w="600" w:type="dxa"/>
            <w:tcBorders>
              <w:top w:val="nil"/>
              <w:left w:val="nil"/>
              <w:bottom w:val="single" w:sz="4" w:space="0" w:color="auto"/>
              <w:right w:val="nil"/>
            </w:tcBorders>
            <w:shd w:val="clear" w:color="auto" w:fill="auto"/>
            <w:noWrap/>
            <w:vAlign w:val="bottom"/>
            <w:hideMark/>
          </w:tcPr>
          <w:p w14:paraId="4CDF68F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0.752</w:t>
            </w:r>
          </w:p>
        </w:tc>
        <w:tc>
          <w:tcPr>
            <w:tcW w:w="580" w:type="dxa"/>
            <w:tcBorders>
              <w:top w:val="nil"/>
              <w:left w:val="nil"/>
              <w:bottom w:val="single" w:sz="4" w:space="0" w:color="auto"/>
              <w:right w:val="single" w:sz="4" w:space="0" w:color="auto"/>
            </w:tcBorders>
            <w:shd w:val="clear" w:color="auto" w:fill="auto"/>
            <w:noWrap/>
            <w:vAlign w:val="bottom"/>
            <w:hideMark/>
          </w:tcPr>
          <w:p w14:paraId="31CB5D8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0.01</w:t>
            </w:r>
          </w:p>
        </w:tc>
        <w:tc>
          <w:tcPr>
            <w:tcW w:w="580" w:type="dxa"/>
            <w:tcBorders>
              <w:top w:val="nil"/>
              <w:left w:val="nil"/>
              <w:bottom w:val="single" w:sz="4" w:space="0" w:color="auto"/>
              <w:right w:val="nil"/>
            </w:tcBorders>
            <w:shd w:val="clear" w:color="auto" w:fill="auto"/>
            <w:noWrap/>
            <w:vAlign w:val="bottom"/>
            <w:hideMark/>
          </w:tcPr>
          <w:p w14:paraId="61CF863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2.78</w:t>
            </w:r>
          </w:p>
        </w:tc>
        <w:tc>
          <w:tcPr>
            <w:tcW w:w="580" w:type="dxa"/>
            <w:tcBorders>
              <w:top w:val="nil"/>
              <w:left w:val="nil"/>
              <w:bottom w:val="single" w:sz="4" w:space="0" w:color="auto"/>
              <w:right w:val="nil"/>
            </w:tcBorders>
            <w:shd w:val="clear" w:color="auto" w:fill="auto"/>
            <w:noWrap/>
            <w:vAlign w:val="bottom"/>
            <w:hideMark/>
          </w:tcPr>
          <w:p w14:paraId="715CD01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2.24</w:t>
            </w:r>
          </w:p>
        </w:tc>
        <w:tc>
          <w:tcPr>
            <w:tcW w:w="640" w:type="dxa"/>
            <w:tcBorders>
              <w:top w:val="nil"/>
              <w:left w:val="nil"/>
              <w:bottom w:val="single" w:sz="4" w:space="0" w:color="auto"/>
              <w:right w:val="nil"/>
            </w:tcBorders>
            <w:shd w:val="clear" w:color="auto" w:fill="auto"/>
            <w:noWrap/>
            <w:vAlign w:val="bottom"/>
            <w:hideMark/>
          </w:tcPr>
          <w:p w14:paraId="10A7A93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0.230</w:t>
            </w:r>
          </w:p>
        </w:tc>
        <w:tc>
          <w:tcPr>
            <w:tcW w:w="580" w:type="dxa"/>
            <w:tcBorders>
              <w:top w:val="nil"/>
              <w:left w:val="nil"/>
              <w:bottom w:val="single" w:sz="4" w:space="0" w:color="auto"/>
              <w:right w:val="single" w:sz="4" w:space="0" w:color="auto"/>
            </w:tcBorders>
            <w:shd w:val="clear" w:color="auto" w:fill="auto"/>
            <w:noWrap/>
            <w:vAlign w:val="bottom"/>
            <w:hideMark/>
          </w:tcPr>
          <w:p w14:paraId="0B1493D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0.08</w:t>
            </w:r>
          </w:p>
        </w:tc>
      </w:tr>
      <w:tr w:rsidR="00F43630" w:rsidRPr="009F6406" w14:paraId="641C368B" w14:textId="77777777" w:rsidTr="005225F0">
        <w:trPr>
          <w:trHeight w:val="199"/>
        </w:trPr>
        <w:tc>
          <w:tcPr>
            <w:tcW w:w="960" w:type="dxa"/>
            <w:tcBorders>
              <w:top w:val="nil"/>
              <w:left w:val="nil"/>
              <w:bottom w:val="nil"/>
              <w:right w:val="nil"/>
            </w:tcBorders>
            <w:shd w:val="clear" w:color="auto" w:fill="auto"/>
            <w:noWrap/>
            <w:vAlign w:val="bottom"/>
            <w:hideMark/>
          </w:tcPr>
          <w:p w14:paraId="4E42F896"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MECORS</w:t>
            </w:r>
          </w:p>
        </w:tc>
        <w:tc>
          <w:tcPr>
            <w:tcW w:w="3320" w:type="dxa"/>
            <w:tcBorders>
              <w:top w:val="nil"/>
              <w:left w:val="nil"/>
              <w:bottom w:val="nil"/>
              <w:right w:val="nil"/>
            </w:tcBorders>
            <w:shd w:val="clear" w:color="auto" w:fill="auto"/>
            <w:noWrap/>
            <w:vAlign w:val="bottom"/>
            <w:hideMark/>
          </w:tcPr>
          <w:p w14:paraId="7A476ECD"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Uses classroom management</w:t>
            </w:r>
          </w:p>
        </w:tc>
        <w:tc>
          <w:tcPr>
            <w:tcW w:w="580" w:type="dxa"/>
            <w:tcBorders>
              <w:top w:val="nil"/>
              <w:left w:val="single" w:sz="4" w:space="0" w:color="auto"/>
              <w:bottom w:val="nil"/>
              <w:right w:val="nil"/>
            </w:tcBorders>
            <w:shd w:val="clear" w:color="auto" w:fill="auto"/>
            <w:noWrap/>
            <w:vAlign w:val="bottom"/>
            <w:hideMark/>
          </w:tcPr>
          <w:p w14:paraId="2172A64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4.37</w:t>
            </w:r>
          </w:p>
        </w:tc>
        <w:tc>
          <w:tcPr>
            <w:tcW w:w="580" w:type="dxa"/>
            <w:tcBorders>
              <w:top w:val="nil"/>
              <w:left w:val="nil"/>
              <w:bottom w:val="nil"/>
              <w:right w:val="nil"/>
            </w:tcBorders>
            <w:shd w:val="clear" w:color="auto" w:fill="auto"/>
            <w:noWrap/>
            <w:vAlign w:val="bottom"/>
            <w:hideMark/>
          </w:tcPr>
          <w:p w14:paraId="4662031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1.33</w:t>
            </w:r>
          </w:p>
        </w:tc>
        <w:tc>
          <w:tcPr>
            <w:tcW w:w="680" w:type="dxa"/>
            <w:tcBorders>
              <w:top w:val="nil"/>
              <w:left w:val="nil"/>
              <w:bottom w:val="nil"/>
              <w:right w:val="nil"/>
            </w:tcBorders>
            <w:shd w:val="clear" w:color="auto" w:fill="auto"/>
            <w:noWrap/>
            <w:vAlign w:val="bottom"/>
            <w:hideMark/>
          </w:tcPr>
          <w:p w14:paraId="391CF7D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0.004</w:t>
            </w:r>
          </w:p>
        </w:tc>
        <w:tc>
          <w:tcPr>
            <w:tcW w:w="580" w:type="dxa"/>
            <w:tcBorders>
              <w:top w:val="nil"/>
              <w:left w:val="nil"/>
              <w:bottom w:val="nil"/>
              <w:right w:val="single" w:sz="4" w:space="0" w:color="auto"/>
            </w:tcBorders>
            <w:shd w:val="clear" w:color="auto" w:fill="auto"/>
            <w:noWrap/>
            <w:vAlign w:val="bottom"/>
            <w:hideMark/>
          </w:tcPr>
          <w:p w14:paraId="275C202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0.37</w:t>
            </w:r>
          </w:p>
        </w:tc>
        <w:tc>
          <w:tcPr>
            <w:tcW w:w="580" w:type="dxa"/>
            <w:tcBorders>
              <w:top w:val="nil"/>
              <w:left w:val="nil"/>
              <w:bottom w:val="nil"/>
              <w:right w:val="nil"/>
            </w:tcBorders>
            <w:shd w:val="clear" w:color="auto" w:fill="auto"/>
            <w:noWrap/>
            <w:vAlign w:val="bottom"/>
            <w:hideMark/>
          </w:tcPr>
          <w:p w14:paraId="144A9BD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2.11</w:t>
            </w:r>
          </w:p>
        </w:tc>
        <w:tc>
          <w:tcPr>
            <w:tcW w:w="580" w:type="dxa"/>
            <w:tcBorders>
              <w:top w:val="nil"/>
              <w:left w:val="nil"/>
              <w:bottom w:val="nil"/>
              <w:right w:val="nil"/>
            </w:tcBorders>
            <w:shd w:val="clear" w:color="auto" w:fill="auto"/>
            <w:noWrap/>
            <w:vAlign w:val="bottom"/>
            <w:hideMark/>
          </w:tcPr>
          <w:p w14:paraId="0D48490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1.41</w:t>
            </w:r>
          </w:p>
        </w:tc>
        <w:tc>
          <w:tcPr>
            <w:tcW w:w="600" w:type="dxa"/>
            <w:tcBorders>
              <w:top w:val="nil"/>
              <w:left w:val="nil"/>
              <w:bottom w:val="nil"/>
              <w:right w:val="nil"/>
            </w:tcBorders>
            <w:shd w:val="clear" w:color="auto" w:fill="auto"/>
            <w:noWrap/>
            <w:vAlign w:val="bottom"/>
            <w:hideMark/>
          </w:tcPr>
          <w:p w14:paraId="2925D8C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0.152</w:t>
            </w:r>
          </w:p>
        </w:tc>
        <w:tc>
          <w:tcPr>
            <w:tcW w:w="580" w:type="dxa"/>
            <w:tcBorders>
              <w:top w:val="nil"/>
              <w:left w:val="nil"/>
              <w:bottom w:val="nil"/>
              <w:right w:val="single" w:sz="4" w:space="0" w:color="auto"/>
            </w:tcBorders>
            <w:shd w:val="clear" w:color="auto" w:fill="auto"/>
            <w:noWrap/>
            <w:vAlign w:val="bottom"/>
            <w:hideMark/>
          </w:tcPr>
          <w:p w14:paraId="2BF8FD5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0.12</w:t>
            </w:r>
          </w:p>
        </w:tc>
        <w:tc>
          <w:tcPr>
            <w:tcW w:w="580" w:type="dxa"/>
            <w:tcBorders>
              <w:top w:val="nil"/>
              <w:left w:val="nil"/>
              <w:bottom w:val="nil"/>
              <w:right w:val="nil"/>
            </w:tcBorders>
            <w:shd w:val="clear" w:color="auto" w:fill="auto"/>
            <w:noWrap/>
            <w:vAlign w:val="bottom"/>
            <w:hideMark/>
          </w:tcPr>
          <w:p w14:paraId="0A1CBAC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0.82</w:t>
            </w:r>
          </w:p>
        </w:tc>
        <w:tc>
          <w:tcPr>
            <w:tcW w:w="580" w:type="dxa"/>
            <w:tcBorders>
              <w:top w:val="nil"/>
              <w:left w:val="nil"/>
              <w:bottom w:val="nil"/>
              <w:right w:val="nil"/>
            </w:tcBorders>
            <w:shd w:val="clear" w:color="auto" w:fill="auto"/>
            <w:noWrap/>
            <w:vAlign w:val="bottom"/>
            <w:hideMark/>
          </w:tcPr>
          <w:p w14:paraId="0B36C7B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1.78</w:t>
            </w:r>
          </w:p>
        </w:tc>
        <w:tc>
          <w:tcPr>
            <w:tcW w:w="640" w:type="dxa"/>
            <w:tcBorders>
              <w:top w:val="nil"/>
              <w:left w:val="nil"/>
              <w:bottom w:val="nil"/>
              <w:right w:val="nil"/>
            </w:tcBorders>
            <w:shd w:val="clear" w:color="auto" w:fill="auto"/>
            <w:noWrap/>
            <w:vAlign w:val="bottom"/>
            <w:hideMark/>
          </w:tcPr>
          <w:p w14:paraId="4F98029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0.652</w:t>
            </w:r>
          </w:p>
        </w:tc>
        <w:tc>
          <w:tcPr>
            <w:tcW w:w="580" w:type="dxa"/>
            <w:tcBorders>
              <w:top w:val="nil"/>
              <w:left w:val="nil"/>
              <w:bottom w:val="nil"/>
              <w:right w:val="single" w:sz="4" w:space="0" w:color="auto"/>
            </w:tcBorders>
            <w:shd w:val="clear" w:color="auto" w:fill="auto"/>
            <w:noWrap/>
            <w:vAlign w:val="bottom"/>
            <w:hideMark/>
          </w:tcPr>
          <w:p w14:paraId="15A7DED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0.01</w:t>
            </w:r>
          </w:p>
        </w:tc>
      </w:tr>
      <w:tr w:rsidR="00F43630" w:rsidRPr="009F6406" w14:paraId="2388F4DA" w14:textId="77777777" w:rsidTr="00F43630">
        <w:trPr>
          <w:trHeight w:val="199"/>
        </w:trPr>
        <w:tc>
          <w:tcPr>
            <w:tcW w:w="960" w:type="dxa"/>
            <w:tcBorders>
              <w:top w:val="nil"/>
              <w:left w:val="nil"/>
              <w:bottom w:val="nil"/>
              <w:right w:val="nil"/>
            </w:tcBorders>
            <w:shd w:val="clear" w:color="auto" w:fill="auto"/>
            <w:noWrap/>
            <w:vAlign w:val="bottom"/>
            <w:hideMark/>
          </w:tcPr>
          <w:p w14:paraId="29654FEF"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2EB84AB5"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Maintains appropriate classroom behavior</w:t>
            </w:r>
          </w:p>
        </w:tc>
        <w:tc>
          <w:tcPr>
            <w:tcW w:w="580" w:type="dxa"/>
            <w:tcBorders>
              <w:top w:val="nil"/>
              <w:left w:val="single" w:sz="4" w:space="0" w:color="auto"/>
              <w:bottom w:val="nil"/>
              <w:right w:val="nil"/>
            </w:tcBorders>
            <w:shd w:val="clear" w:color="auto" w:fill="auto"/>
            <w:noWrap/>
            <w:vAlign w:val="bottom"/>
            <w:hideMark/>
          </w:tcPr>
          <w:p w14:paraId="6F16D52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2.42</w:t>
            </w:r>
          </w:p>
        </w:tc>
        <w:tc>
          <w:tcPr>
            <w:tcW w:w="580" w:type="dxa"/>
            <w:tcBorders>
              <w:top w:val="nil"/>
              <w:left w:val="nil"/>
              <w:bottom w:val="nil"/>
              <w:right w:val="nil"/>
            </w:tcBorders>
            <w:shd w:val="clear" w:color="auto" w:fill="auto"/>
            <w:noWrap/>
            <w:vAlign w:val="bottom"/>
            <w:hideMark/>
          </w:tcPr>
          <w:p w14:paraId="59FBF30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1.37</w:t>
            </w:r>
          </w:p>
        </w:tc>
        <w:tc>
          <w:tcPr>
            <w:tcW w:w="680" w:type="dxa"/>
            <w:tcBorders>
              <w:top w:val="nil"/>
              <w:left w:val="nil"/>
              <w:bottom w:val="nil"/>
              <w:right w:val="nil"/>
            </w:tcBorders>
            <w:shd w:val="clear" w:color="auto" w:fill="auto"/>
            <w:noWrap/>
            <w:vAlign w:val="bottom"/>
            <w:hideMark/>
          </w:tcPr>
          <w:p w14:paraId="31A69C9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0.093</w:t>
            </w:r>
          </w:p>
        </w:tc>
        <w:tc>
          <w:tcPr>
            <w:tcW w:w="580" w:type="dxa"/>
            <w:tcBorders>
              <w:top w:val="nil"/>
              <w:left w:val="nil"/>
              <w:bottom w:val="nil"/>
              <w:right w:val="single" w:sz="4" w:space="0" w:color="auto"/>
            </w:tcBorders>
            <w:shd w:val="clear" w:color="auto" w:fill="auto"/>
            <w:noWrap/>
            <w:vAlign w:val="bottom"/>
            <w:hideMark/>
          </w:tcPr>
          <w:p w14:paraId="5FD3542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0.15</w:t>
            </w:r>
          </w:p>
        </w:tc>
        <w:tc>
          <w:tcPr>
            <w:tcW w:w="580" w:type="dxa"/>
            <w:tcBorders>
              <w:top w:val="nil"/>
              <w:left w:val="nil"/>
              <w:bottom w:val="nil"/>
              <w:right w:val="nil"/>
            </w:tcBorders>
            <w:shd w:val="clear" w:color="auto" w:fill="auto"/>
            <w:noWrap/>
            <w:vAlign w:val="bottom"/>
            <w:hideMark/>
          </w:tcPr>
          <w:p w14:paraId="494F640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1.69</w:t>
            </w:r>
          </w:p>
        </w:tc>
        <w:tc>
          <w:tcPr>
            <w:tcW w:w="580" w:type="dxa"/>
            <w:tcBorders>
              <w:top w:val="nil"/>
              <w:left w:val="nil"/>
              <w:bottom w:val="nil"/>
              <w:right w:val="nil"/>
            </w:tcBorders>
            <w:shd w:val="clear" w:color="auto" w:fill="auto"/>
            <w:noWrap/>
            <w:vAlign w:val="bottom"/>
            <w:hideMark/>
          </w:tcPr>
          <w:p w14:paraId="05BE66C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1.33</w:t>
            </w:r>
          </w:p>
        </w:tc>
        <w:tc>
          <w:tcPr>
            <w:tcW w:w="600" w:type="dxa"/>
            <w:tcBorders>
              <w:top w:val="nil"/>
              <w:left w:val="nil"/>
              <w:bottom w:val="nil"/>
              <w:right w:val="nil"/>
            </w:tcBorders>
            <w:shd w:val="clear" w:color="auto" w:fill="auto"/>
            <w:noWrap/>
            <w:vAlign w:val="bottom"/>
            <w:hideMark/>
          </w:tcPr>
          <w:p w14:paraId="74796CC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0.219</w:t>
            </w:r>
          </w:p>
        </w:tc>
        <w:tc>
          <w:tcPr>
            <w:tcW w:w="580" w:type="dxa"/>
            <w:tcBorders>
              <w:top w:val="nil"/>
              <w:left w:val="nil"/>
              <w:bottom w:val="nil"/>
              <w:right w:val="single" w:sz="4" w:space="0" w:color="auto"/>
            </w:tcBorders>
            <w:shd w:val="clear" w:color="auto" w:fill="auto"/>
            <w:noWrap/>
            <w:vAlign w:val="bottom"/>
            <w:hideMark/>
          </w:tcPr>
          <w:p w14:paraId="7150017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0.09</w:t>
            </w:r>
          </w:p>
        </w:tc>
        <w:tc>
          <w:tcPr>
            <w:tcW w:w="580" w:type="dxa"/>
            <w:tcBorders>
              <w:top w:val="nil"/>
              <w:left w:val="nil"/>
              <w:bottom w:val="nil"/>
              <w:right w:val="nil"/>
            </w:tcBorders>
            <w:shd w:val="clear" w:color="auto" w:fill="auto"/>
            <w:noWrap/>
            <w:vAlign w:val="bottom"/>
            <w:hideMark/>
          </w:tcPr>
          <w:p w14:paraId="2555EC8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0.87</w:t>
            </w:r>
          </w:p>
        </w:tc>
        <w:tc>
          <w:tcPr>
            <w:tcW w:w="580" w:type="dxa"/>
            <w:tcBorders>
              <w:top w:val="nil"/>
              <w:left w:val="nil"/>
              <w:bottom w:val="nil"/>
              <w:right w:val="nil"/>
            </w:tcBorders>
            <w:shd w:val="clear" w:color="auto" w:fill="auto"/>
            <w:noWrap/>
            <w:vAlign w:val="bottom"/>
            <w:hideMark/>
          </w:tcPr>
          <w:p w14:paraId="6C60DCD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1.54</w:t>
            </w:r>
          </w:p>
        </w:tc>
        <w:tc>
          <w:tcPr>
            <w:tcW w:w="640" w:type="dxa"/>
            <w:tcBorders>
              <w:top w:val="nil"/>
              <w:left w:val="nil"/>
              <w:bottom w:val="nil"/>
              <w:right w:val="nil"/>
            </w:tcBorders>
            <w:shd w:val="clear" w:color="auto" w:fill="auto"/>
            <w:noWrap/>
            <w:vAlign w:val="bottom"/>
            <w:hideMark/>
          </w:tcPr>
          <w:p w14:paraId="5B04714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0.581</w:t>
            </w:r>
          </w:p>
        </w:tc>
        <w:tc>
          <w:tcPr>
            <w:tcW w:w="580" w:type="dxa"/>
            <w:tcBorders>
              <w:top w:val="nil"/>
              <w:left w:val="nil"/>
              <w:bottom w:val="nil"/>
              <w:right w:val="single" w:sz="4" w:space="0" w:color="auto"/>
            </w:tcBorders>
            <w:shd w:val="clear" w:color="auto" w:fill="auto"/>
            <w:noWrap/>
            <w:vAlign w:val="bottom"/>
            <w:hideMark/>
          </w:tcPr>
          <w:p w14:paraId="547B917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0.02</w:t>
            </w:r>
          </w:p>
        </w:tc>
      </w:tr>
      <w:tr w:rsidR="00F43630" w:rsidRPr="009F6406" w14:paraId="18C9700D" w14:textId="77777777" w:rsidTr="005225F0">
        <w:trPr>
          <w:trHeight w:val="199"/>
        </w:trPr>
        <w:tc>
          <w:tcPr>
            <w:tcW w:w="960" w:type="dxa"/>
            <w:tcBorders>
              <w:top w:val="nil"/>
              <w:left w:val="nil"/>
              <w:bottom w:val="nil"/>
              <w:right w:val="nil"/>
            </w:tcBorders>
            <w:shd w:val="clear" w:color="auto" w:fill="auto"/>
            <w:noWrap/>
            <w:vAlign w:val="bottom"/>
            <w:hideMark/>
          </w:tcPr>
          <w:p w14:paraId="58260884"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46218812"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Focuses and maintains attention on lesson</w:t>
            </w:r>
          </w:p>
        </w:tc>
        <w:tc>
          <w:tcPr>
            <w:tcW w:w="580" w:type="dxa"/>
            <w:tcBorders>
              <w:top w:val="nil"/>
              <w:left w:val="single" w:sz="4" w:space="0" w:color="auto"/>
              <w:bottom w:val="nil"/>
              <w:right w:val="nil"/>
            </w:tcBorders>
            <w:shd w:val="clear" w:color="auto" w:fill="auto"/>
            <w:noWrap/>
            <w:vAlign w:val="bottom"/>
            <w:hideMark/>
          </w:tcPr>
          <w:p w14:paraId="0F6DE56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6.06</w:t>
            </w:r>
          </w:p>
        </w:tc>
        <w:tc>
          <w:tcPr>
            <w:tcW w:w="580" w:type="dxa"/>
            <w:tcBorders>
              <w:top w:val="nil"/>
              <w:left w:val="nil"/>
              <w:bottom w:val="nil"/>
              <w:right w:val="nil"/>
            </w:tcBorders>
            <w:shd w:val="clear" w:color="auto" w:fill="auto"/>
            <w:noWrap/>
            <w:vAlign w:val="bottom"/>
            <w:hideMark/>
          </w:tcPr>
          <w:p w14:paraId="060618C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1.68</w:t>
            </w:r>
          </w:p>
        </w:tc>
        <w:tc>
          <w:tcPr>
            <w:tcW w:w="680" w:type="dxa"/>
            <w:tcBorders>
              <w:top w:val="nil"/>
              <w:left w:val="nil"/>
              <w:bottom w:val="nil"/>
              <w:right w:val="nil"/>
            </w:tcBorders>
            <w:shd w:val="clear" w:color="auto" w:fill="auto"/>
            <w:noWrap/>
            <w:vAlign w:val="bottom"/>
            <w:hideMark/>
          </w:tcPr>
          <w:p w14:paraId="32F14FE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0.002</w:t>
            </w:r>
          </w:p>
        </w:tc>
        <w:tc>
          <w:tcPr>
            <w:tcW w:w="580" w:type="dxa"/>
            <w:tcBorders>
              <w:top w:val="nil"/>
              <w:left w:val="nil"/>
              <w:bottom w:val="nil"/>
              <w:right w:val="single" w:sz="4" w:space="0" w:color="auto"/>
            </w:tcBorders>
            <w:shd w:val="clear" w:color="auto" w:fill="auto"/>
            <w:noWrap/>
            <w:vAlign w:val="bottom"/>
            <w:hideMark/>
          </w:tcPr>
          <w:p w14:paraId="6E9320F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0.42</w:t>
            </w:r>
          </w:p>
        </w:tc>
        <w:tc>
          <w:tcPr>
            <w:tcW w:w="580" w:type="dxa"/>
            <w:tcBorders>
              <w:top w:val="nil"/>
              <w:left w:val="nil"/>
              <w:bottom w:val="nil"/>
              <w:right w:val="nil"/>
            </w:tcBorders>
            <w:shd w:val="clear" w:color="auto" w:fill="auto"/>
            <w:noWrap/>
            <w:vAlign w:val="bottom"/>
            <w:hideMark/>
          </w:tcPr>
          <w:p w14:paraId="1D63971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-0.24</w:t>
            </w:r>
          </w:p>
        </w:tc>
        <w:tc>
          <w:tcPr>
            <w:tcW w:w="580" w:type="dxa"/>
            <w:tcBorders>
              <w:top w:val="nil"/>
              <w:left w:val="nil"/>
              <w:bottom w:val="nil"/>
              <w:right w:val="nil"/>
            </w:tcBorders>
            <w:shd w:val="clear" w:color="auto" w:fill="auto"/>
            <w:noWrap/>
            <w:vAlign w:val="bottom"/>
            <w:hideMark/>
          </w:tcPr>
          <w:p w14:paraId="10A8299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1.58</w:t>
            </w:r>
          </w:p>
        </w:tc>
        <w:tc>
          <w:tcPr>
            <w:tcW w:w="600" w:type="dxa"/>
            <w:tcBorders>
              <w:top w:val="nil"/>
              <w:left w:val="nil"/>
              <w:bottom w:val="nil"/>
              <w:right w:val="nil"/>
            </w:tcBorders>
            <w:shd w:val="clear" w:color="auto" w:fill="auto"/>
            <w:noWrap/>
            <w:vAlign w:val="bottom"/>
            <w:hideMark/>
          </w:tcPr>
          <w:p w14:paraId="1E5076B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0.882</w:t>
            </w:r>
          </w:p>
        </w:tc>
        <w:tc>
          <w:tcPr>
            <w:tcW w:w="580" w:type="dxa"/>
            <w:tcBorders>
              <w:top w:val="nil"/>
              <w:left w:val="nil"/>
              <w:bottom w:val="nil"/>
              <w:right w:val="single" w:sz="4" w:space="0" w:color="auto"/>
            </w:tcBorders>
            <w:shd w:val="clear" w:color="auto" w:fill="auto"/>
            <w:noWrap/>
            <w:vAlign w:val="bottom"/>
            <w:hideMark/>
          </w:tcPr>
          <w:p w14:paraId="0FE679A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w:t>
            </w:r>
          </w:p>
        </w:tc>
        <w:tc>
          <w:tcPr>
            <w:tcW w:w="580" w:type="dxa"/>
            <w:tcBorders>
              <w:top w:val="nil"/>
              <w:left w:val="nil"/>
              <w:bottom w:val="nil"/>
              <w:right w:val="nil"/>
            </w:tcBorders>
            <w:shd w:val="clear" w:color="auto" w:fill="auto"/>
            <w:noWrap/>
            <w:vAlign w:val="bottom"/>
            <w:hideMark/>
          </w:tcPr>
          <w:p w14:paraId="17D5161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1.72</w:t>
            </w:r>
          </w:p>
        </w:tc>
        <w:tc>
          <w:tcPr>
            <w:tcW w:w="580" w:type="dxa"/>
            <w:tcBorders>
              <w:top w:val="nil"/>
              <w:left w:val="nil"/>
              <w:bottom w:val="nil"/>
              <w:right w:val="nil"/>
            </w:tcBorders>
            <w:shd w:val="clear" w:color="auto" w:fill="auto"/>
            <w:noWrap/>
            <w:vAlign w:val="bottom"/>
            <w:hideMark/>
          </w:tcPr>
          <w:p w14:paraId="64BC585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2.15</w:t>
            </w:r>
          </w:p>
        </w:tc>
        <w:tc>
          <w:tcPr>
            <w:tcW w:w="640" w:type="dxa"/>
            <w:tcBorders>
              <w:top w:val="nil"/>
              <w:left w:val="nil"/>
              <w:bottom w:val="nil"/>
              <w:right w:val="nil"/>
            </w:tcBorders>
            <w:shd w:val="clear" w:color="auto" w:fill="auto"/>
            <w:noWrap/>
            <w:vAlign w:val="bottom"/>
            <w:hideMark/>
          </w:tcPr>
          <w:p w14:paraId="2895534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0.434</w:t>
            </w:r>
          </w:p>
        </w:tc>
        <w:tc>
          <w:tcPr>
            <w:tcW w:w="580" w:type="dxa"/>
            <w:tcBorders>
              <w:top w:val="nil"/>
              <w:left w:val="nil"/>
              <w:bottom w:val="nil"/>
              <w:right w:val="single" w:sz="4" w:space="0" w:color="auto"/>
            </w:tcBorders>
            <w:shd w:val="clear" w:color="auto" w:fill="auto"/>
            <w:noWrap/>
            <w:vAlign w:val="bottom"/>
            <w:hideMark/>
          </w:tcPr>
          <w:p w14:paraId="03A9811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0.03</w:t>
            </w:r>
          </w:p>
        </w:tc>
      </w:tr>
      <w:tr w:rsidR="00F43630" w:rsidRPr="009F6406" w14:paraId="1DFFE5EF" w14:textId="77777777" w:rsidTr="00F43630">
        <w:trPr>
          <w:trHeight w:val="199"/>
        </w:trPr>
        <w:tc>
          <w:tcPr>
            <w:tcW w:w="960" w:type="dxa"/>
            <w:tcBorders>
              <w:top w:val="nil"/>
              <w:left w:val="nil"/>
              <w:bottom w:val="nil"/>
              <w:right w:val="nil"/>
            </w:tcBorders>
            <w:shd w:val="clear" w:color="auto" w:fill="auto"/>
            <w:noWrap/>
            <w:vAlign w:val="bottom"/>
            <w:hideMark/>
          </w:tcPr>
          <w:p w14:paraId="02DC5467"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599EB74D"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Provides pupils with review and practice</w:t>
            </w:r>
          </w:p>
        </w:tc>
        <w:tc>
          <w:tcPr>
            <w:tcW w:w="580" w:type="dxa"/>
            <w:tcBorders>
              <w:top w:val="nil"/>
              <w:left w:val="single" w:sz="4" w:space="0" w:color="auto"/>
              <w:bottom w:val="nil"/>
              <w:right w:val="nil"/>
            </w:tcBorders>
            <w:shd w:val="clear" w:color="auto" w:fill="auto"/>
            <w:noWrap/>
            <w:vAlign w:val="bottom"/>
            <w:hideMark/>
          </w:tcPr>
          <w:p w14:paraId="38EAF48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2.10</w:t>
            </w:r>
          </w:p>
        </w:tc>
        <w:tc>
          <w:tcPr>
            <w:tcW w:w="580" w:type="dxa"/>
            <w:tcBorders>
              <w:top w:val="nil"/>
              <w:left w:val="nil"/>
              <w:bottom w:val="nil"/>
              <w:right w:val="nil"/>
            </w:tcBorders>
            <w:shd w:val="clear" w:color="auto" w:fill="auto"/>
            <w:noWrap/>
            <w:vAlign w:val="bottom"/>
            <w:hideMark/>
          </w:tcPr>
          <w:p w14:paraId="28B454B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1.81</w:t>
            </w:r>
          </w:p>
        </w:tc>
        <w:tc>
          <w:tcPr>
            <w:tcW w:w="680" w:type="dxa"/>
            <w:tcBorders>
              <w:top w:val="nil"/>
              <w:left w:val="nil"/>
              <w:bottom w:val="nil"/>
              <w:right w:val="nil"/>
            </w:tcBorders>
            <w:shd w:val="clear" w:color="auto" w:fill="auto"/>
            <w:noWrap/>
            <w:vAlign w:val="bottom"/>
            <w:hideMark/>
          </w:tcPr>
          <w:p w14:paraId="29237AC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0.260</w:t>
            </w:r>
          </w:p>
        </w:tc>
        <w:tc>
          <w:tcPr>
            <w:tcW w:w="580" w:type="dxa"/>
            <w:tcBorders>
              <w:top w:val="nil"/>
              <w:left w:val="nil"/>
              <w:bottom w:val="nil"/>
              <w:right w:val="single" w:sz="4" w:space="0" w:color="auto"/>
            </w:tcBorders>
            <w:shd w:val="clear" w:color="auto" w:fill="auto"/>
            <w:noWrap/>
            <w:vAlign w:val="bottom"/>
            <w:hideMark/>
          </w:tcPr>
          <w:p w14:paraId="5129ECE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0.07</w:t>
            </w:r>
          </w:p>
        </w:tc>
        <w:tc>
          <w:tcPr>
            <w:tcW w:w="580" w:type="dxa"/>
            <w:tcBorders>
              <w:top w:val="nil"/>
              <w:left w:val="nil"/>
              <w:bottom w:val="nil"/>
              <w:right w:val="nil"/>
            </w:tcBorders>
            <w:shd w:val="clear" w:color="auto" w:fill="auto"/>
            <w:noWrap/>
            <w:vAlign w:val="bottom"/>
            <w:hideMark/>
          </w:tcPr>
          <w:p w14:paraId="50720DC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-0.10</w:t>
            </w:r>
          </w:p>
        </w:tc>
        <w:tc>
          <w:tcPr>
            <w:tcW w:w="580" w:type="dxa"/>
            <w:tcBorders>
              <w:top w:val="nil"/>
              <w:left w:val="nil"/>
              <w:bottom w:val="nil"/>
              <w:right w:val="nil"/>
            </w:tcBorders>
            <w:shd w:val="clear" w:color="auto" w:fill="auto"/>
            <w:noWrap/>
            <w:vAlign w:val="bottom"/>
            <w:hideMark/>
          </w:tcPr>
          <w:p w14:paraId="42870CB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1.94</w:t>
            </w:r>
          </w:p>
        </w:tc>
        <w:tc>
          <w:tcPr>
            <w:tcW w:w="600" w:type="dxa"/>
            <w:tcBorders>
              <w:top w:val="nil"/>
              <w:left w:val="nil"/>
              <w:bottom w:val="nil"/>
              <w:right w:val="nil"/>
            </w:tcBorders>
            <w:shd w:val="clear" w:color="auto" w:fill="auto"/>
            <w:noWrap/>
            <w:vAlign w:val="bottom"/>
            <w:hideMark/>
          </w:tcPr>
          <w:p w14:paraId="51FFB3A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0.959</w:t>
            </w:r>
          </w:p>
        </w:tc>
        <w:tc>
          <w:tcPr>
            <w:tcW w:w="580" w:type="dxa"/>
            <w:tcBorders>
              <w:top w:val="nil"/>
              <w:left w:val="nil"/>
              <w:bottom w:val="nil"/>
              <w:right w:val="single" w:sz="4" w:space="0" w:color="auto"/>
            </w:tcBorders>
            <w:shd w:val="clear" w:color="auto" w:fill="auto"/>
            <w:noWrap/>
            <w:vAlign w:val="bottom"/>
            <w:hideMark/>
          </w:tcPr>
          <w:p w14:paraId="599AF79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w:t>
            </w:r>
          </w:p>
        </w:tc>
        <w:tc>
          <w:tcPr>
            <w:tcW w:w="580" w:type="dxa"/>
            <w:tcBorders>
              <w:top w:val="nil"/>
              <w:left w:val="nil"/>
              <w:bottom w:val="nil"/>
              <w:right w:val="nil"/>
            </w:tcBorders>
            <w:shd w:val="clear" w:color="auto" w:fill="auto"/>
            <w:noWrap/>
            <w:vAlign w:val="bottom"/>
            <w:hideMark/>
          </w:tcPr>
          <w:p w14:paraId="2919160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1.55</w:t>
            </w:r>
          </w:p>
        </w:tc>
        <w:tc>
          <w:tcPr>
            <w:tcW w:w="580" w:type="dxa"/>
            <w:tcBorders>
              <w:top w:val="nil"/>
              <w:left w:val="nil"/>
              <w:bottom w:val="nil"/>
              <w:right w:val="nil"/>
            </w:tcBorders>
            <w:shd w:val="clear" w:color="auto" w:fill="auto"/>
            <w:noWrap/>
            <w:vAlign w:val="bottom"/>
            <w:hideMark/>
          </w:tcPr>
          <w:p w14:paraId="426DD60A"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1.95</w:t>
            </w:r>
          </w:p>
        </w:tc>
        <w:tc>
          <w:tcPr>
            <w:tcW w:w="640" w:type="dxa"/>
            <w:tcBorders>
              <w:top w:val="nil"/>
              <w:left w:val="nil"/>
              <w:bottom w:val="nil"/>
              <w:right w:val="nil"/>
            </w:tcBorders>
            <w:shd w:val="clear" w:color="auto" w:fill="auto"/>
            <w:noWrap/>
            <w:vAlign w:val="bottom"/>
            <w:hideMark/>
          </w:tcPr>
          <w:p w14:paraId="0AB927E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0.438</w:t>
            </w:r>
          </w:p>
        </w:tc>
        <w:tc>
          <w:tcPr>
            <w:tcW w:w="580" w:type="dxa"/>
            <w:tcBorders>
              <w:top w:val="nil"/>
              <w:left w:val="nil"/>
              <w:bottom w:val="nil"/>
              <w:right w:val="single" w:sz="4" w:space="0" w:color="auto"/>
            </w:tcBorders>
            <w:shd w:val="clear" w:color="auto" w:fill="auto"/>
            <w:noWrap/>
            <w:vAlign w:val="bottom"/>
            <w:hideMark/>
          </w:tcPr>
          <w:p w14:paraId="7C3BD24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0.03</w:t>
            </w:r>
          </w:p>
        </w:tc>
      </w:tr>
      <w:tr w:rsidR="00F43630" w:rsidRPr="009F6406" w14:paraId="3904A67E" w14:textId="77777777" w:rsidTr="005225F0">
        <w:trPr>
          <w:trHeight w:val="199"/>
        </w:trPr>
        <w:tc>
          <w:tcPr>
            <w:tcW w:w="960" w:type="dxa"/>
            <w:tcBorders>
              <w:top w:val="nil"/>
              <w:left w:val="nil"/>
              <w:bottom w:val="nil"/>
              <w:right w:val="nil"/>
            </w:tcBorders>
            <w:shd w:val="clear" w:color="auto" w:fill="auto"/>
            <w:noWrap/>
            <w:vAlign w:val="bottom"/>
            <w:hideMark/>
          </w:tcPr>
          <w:p w14:paraId="7D24D55E"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091A654C"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Demonstrates skills in questioning</w:t>
            </w:r>
          </w:p>
        </w:tc>
        <w:tc>
          <w:tcPr>
            <w:tcW w:w="580" w:type="dxa"/>
            <w:tcBorders>
              <w:top w:val="nil"/>
              <w:left w:val="single" w:sz="4" w:space="0" w:color="auto"/>
              <w:bottom w:val="nil"/>
              <w:right w:val="nil"/>
            </w:tcBorders>
            <w:shd w:val="clear" w:color="auto" w:fill="auto"/>
            <w:noWrap/>
            <w:vAlign w:val="bottom"/>
            <w:hideMark/>
          </w:tcPr>
          <w:p w14:paraId="54ACC8A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9.97</w:t>
            </w:r>
          </w:p>
        </w:tc>
        <w:tc>
          <w:tcPr>
            <w:tcW w:w="580" w:type="dxa"/>
            <w:tcBorders>
              <w:top w:val="nil"/>
              <w:left w:val="nil"/>
              <w:bottom w:val="nil"/>
              <w:right w:val="nil"/>
            </w:tcBorders>
            <w:shd w:val="clear" w:color="auto" w:fill="auto"/>
            <w:noWrap/>
            <w:vAlign w:val="bottom"/>
            <w:hideMark/>
          </w:tcPr>
          <w:p w14:paraId="039BC4A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2.84</w:t>
            </w:r>
          </w:p>
        </w:tc>
        <w:tc>
          <w:tcPr>
            <w:tcW w:w="680" w:type="dxa"/>
            <w:tcBorders>
              <w:top w:val="nil"/>
              <w:left w:val="nil"/>
              <w:bottom w:val="nil"/>
              <w:right w:val="nil"/>
            </w:tcBorders>
            <w:shd w:val="clear" w:color="auto" w:fill="auto"/>
            <w:noWrap/>
            <w:vAlign w:val="bottom"/>
            <w:hideMark/>
          </w:tcPr>
          <w:p w14:paraId="09D33347"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0.002</w:t>
            </w:r>
          </w:p>
        </w:tc>
        <w:tc>
          <w:tcPr>
            <w:tcW w:w="580" w:type="dxa"/>
            <w:tcBorders>
              <w:top w:val="nil"/>
              <w:left w:val="nil"/>
              <w:bottom w:val="nil"/>
              <w:right w:val="single" w:sz="4" w:space="0" w:color="auto"/>
            </w:tcBorders>
            <w:shd w:val="clear" w:color="auto" w:fill="auto"/>
            <w:noWrap/>
            <w:vAlign w:val="bottom"/>
            <w:hideMark/>
          </w:tcPr>
          <w:p w14:paraId="0662D5A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0.41</w:t>
            </w:r>
          </w:p>
        </w:tc>
        <w:tc>
          <w:tcPr>
            <w:tcW w:w="580" w:type="dxa"/>
            <w:tcBorders>
              <w:top w:val="nil"/>
              <w:left w:val="nil"/>
              <w:bottom w:val="nil"/>
              <w:right w:val="nil"/>
            </w:tcBorders>
            <w:shd w:val="clear" w:color="auto" w:fill="auto"/>
            <w:noWrap/>
            <w:vAlign w:val="bottom"/>
            <w:hideMark/>
          </w:tcPr>
          <w:p w14:paraId="18AB3D9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1.67</w:t>
            </w:r>
          </w:p>
        </w:tc>
        <w:tc>
          <w:tcPr>
            <w:tcW w:w="580" w:type="dxa"/>
            <w:tcBorders>
              <w:top w:val="nil"/>
              <w:left w:val="nil"/>
              <w:bottom w:val="nil"/>
              <w:right w:val="nil"/>
            </w:tcBorders>
            <w:shd w:val="clear" w:color="auto" w:fill="auto"/>
            <w:noWrap/>
            <w:vAlign w:val="bottom"/>
            <w:hideMark/>
          </w:tcPr>
          <w:p w14:paraId="7C67709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2.72</w:t>
            </w:r>
          </w:p>
        </w:tc>
        <w:tc>
          <w:tcPr>
            <w:tcW w:w="600" w:type="dxa"/>
            <w:tcBorders>
              <w:top w:val="nil"/>
              <w:left w:val="nil"/>
              <w:bottom w:val="nil"/>
              <w:right w:val="nil"/>
            </w:tcBorders>
            <w:shd w:val="clear" w:color="auto" w:fill="auto"/>
            <w:noWrap/>
            <w:vAlign w:val="bottom"/>
            <w:hideMark/>
          </w:tcPr>
          <w:p w14:paraId="275873A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0.548</w:t>
            </w:r>
          </w:p>
        </w:tc>
        <w:tc>
          <w:tcPr>
            <w:tcW w:w="580" w:type="dxa"/>
            <w:tcBorders>
              <w:top w:val="nil"/>
              <w:left w:val="nil"/>
              <w:bottom w:val="nil"/>
              <w:right w:val="single" w:sz="4" w:space="0" w:color="auto"/>
            </w:tcBorders>
            <w:shd w:val="clear" w:color="auto" w:fill="auto"/>
            <w:noWrap/>
            <w:vAlign w:val="bottom"/>
            <w:hideMark/>
          </w:tcPr>
          <w:p w14:paraId="0758C8A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0.02</w:t>
            </w:r>
          </w:p>
        </w:tc>
        <w:tc>
          <w:tcPr>
            <w:tcW w:w="580" w:type="dxa"/>
            <w:tcBorders>
              <w:top w:val="nil"/>
              <w:left w:val="nil"/>
              <w:bottom w:val="nil"/>
              <w:right w:val="nil"/>
            </w:tcBorders>
            <w:shd w:val="clear" w:color="auto" w:fill="auto"/>
            <w:noWrap/>
            <w:vAlign w:val="bottom"/>
            <w:hideMark/>
          </w:tcPr>
          <w:p w14:paraId="7417388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5.87</w:t>
            </w:r>
          </w:p>
        </w:tc>
        <w:tc>
          <w:tcPr>
            <w:tcW w:w="580" w:type="dxa"/>
            <w:tcBorders>
              <w:top w:val="nil"/>
              <w:left w:val="nil"/>
              <w:bottom w:val="nil"/>
              <w:right w:val="nil"/>
            </w:tcBorders>
            <w:shd w:val="clear" w:color="auto" w:fill="auto"/>
            <w:noWrap/>
            <w:vAlign w:val="bottom"/>
            <w:hideMark/>
          </w:tcPr>
          <w:p w14:paraId="39DFE51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4.62</w:t>
            </w:r>
          </w:p>
        </w:tc>
        <w:tc>
          <w:tcPr>
            <w:tcW w:w="640" w:type="dxa"/>
            <w:tcBorders>
              <w:top w:val="nil"/>
              <w:left w:val="nil"/>
              <w:bottom w:val="nil"/>
              <w:right w:val="nil"/>
            </w:tcBorders>
            <w:shd w:val="clear" w:color="auto" w:fill="auto"/>
            <w:noWrap/>
            <w:vAlign w:val="bottom"/>
            <w:hideMark/>
          </w:tcPr>
          <w:p w14:paraId="5D65562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0.220</w:t>
            </w:r>
          </w:p>
        </w:tc>
        <w:tc>
          <w:tcPr>
            <w:tcW w:w="580" w:type="dxa"/>
            <w:tcBorders>
              <w:top w:val="nil"/>
              <w:left w:val="nil"/>
              <w:bottom w:val="nil"/>
              <w:right w:val="single" w:sz="4" w:space="0" w:color="auto"/>
            </w:tcBorders>
            <w:shd w:val="clear" w:color="auto" w:fill="auto"/>
            <w:noWrap/>
            <w:vAlign w:val="bottom"/>
            <w:hideMark/>
          </w:tcPr>
          <w:p w14:paraId="13A8425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0.08</w:t>
            </w:r>
          </w:p>
        </w:tc>
      </w:tr>
      <w:tr w:rsidR="00F43630" w:rsidRPr="009F6406" w14:paraId="407730BC" w14:textId="77777777" w:rsidTr="00F43630">
        <w:trPr>
          <w:trHeight w:val="199"/>
        </w:trPr>
        <w:tc>
          <w:tcPr>
            <w:tcW w:w="960" w:type="dxa"/>
            <w:tcBorders>
              <w:top w:val="nil"/>
              <w:left w:val="nil"/>
              <w:bottom w:val="nil"/>
              <w:right w:val="nil"/>
            </w:tcBorders>
            <w:shd w:val="clear" w:color="auto" w:fill="auto"/>
            <w:noWrap/>
            <w:vAlign w:val="bottom"/>
            <w:hideMark/>
          </w:tcPr>
          <w:p w14:paraId="027408CB"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3881FF21"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Demonstrates MEP strategies*</w:t>
            </w:r>
          </w:p>
        </w:tc>
        <w:tc>
          <w:tcPr>
            <w:tcW w:w="580" w:type="dxa"/>
            <w:tcBorders>
              <w:top w:val="nil"/>
              <w:left w:val="single" w:sz="4" w:space="0" w:color="auto"/>
              <w:bottom w:val="nil"/>
              <w:right w:val="nil"/>
            </w:tcBorders>
            <w:shd w:val="clear" w:color="auto" w:fill="auto"/>
            <w:noWrap/>
            <w:vAlign w:val="bottom"/>
            <w:hideMark/>
          </w:tcPr>
          <w:p w14:paraId="6E25755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0.72</w:t>
            </w:r>
          </w:p>
        </w:tc>
        <w:tc>
          <w:tcPr>
            <w:tcW w:w="580" w:type="dxa"/>
            <w:tcBorders>
              <w:top w:val="nil"/>
              <w:left w:val="nil"/>
              <w:bottom w:val="nil"/>
              <w:right w:val="nil"/>
            </w:tcBorders>
            <w:shd w:val="clear" w:color="auto" w:fill="auto"/>
            <w:noWrap/>
            <w:vAlign w:val="bottom"/>
            <w:hideMark/>
          </w:tcPr>
          <w:p w14:paraId="2E13B871"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0.93</w:t>
            </w:r>
          </w:p>
        </w:tc>
        <w:tc>
          <w:tcPr>
            <w:tcW w:w="680" w:type="dxa"/>
            <w:tcBorders>
              <w:top w:val="nil"/>
              <w:left w:val="nil"/>
              <w:bottom w:val="nil"/>
              <w:right w:val="nil"/>
            </w:tcBorders>
            <w:shd w:val="clear" w:color="auto" w:fill="auto"/>
            <w:noWrap/>
            <w:vAlign w:val="bottom"/>
            <w:hideMark/>
          </w:tcPr>
          <w:p w14:paraId="45978A1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0.449</w:t>
            </w:r>
          </w:p>
        </w:tc>
        <w:tc>
          <w:tcPr>
            <w:tcW w:w="580" w:type="dxa"/>
            <w:tcBorders>
              <w:top w:val="nil"/>
              <w:left w:val="nil"/>
              <w:bottom w:val="nil"/>
              <w:right w:val="single" w:sz="4" w:space="0" w:color="auto"/>
            </w:tcBorders>
            <w:shd w:val="clear" w:color="auto" w:fill="auto"/>
            <w:noWrap/>
            <w:vAlign w:val="bottom"/>
            <w:hideMark/>
          </w:tcPr>
          <w:p w14:paraId="619A43D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0.03</w:t>
            </w:r>
          </w:p>
        </w:tc>
        <w:tc>
          <w:tcPr>
            <w:tcW w:w="580" w:type="dxa"/>
            <w:tcBorders>
              <w:top w:val="nil"/>
              <w:left w:val="nil"/>
              <w:bottom w:val="nil"/>
              <w:right w:val="nil"/>
            </w:tcBorders>
            <w:shd w:val="clear" w:color="auto" w:fill="auto"/>
            <w:noWrap/>
            <w:vAlign w:val="bottom"/>
            <w:hideMark/>
          </w:tcPr>
          <w:p w14:paraId="7628752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-1.78</w:t>
            </w:r>
          </w:p>
        </w:tc>
        <w:tc>
          <w:tcPr>
            <w:tcW w:w="580" w:type="dxa"/>
            <w:tcBorders>
              <w:top w:val="nil"/>
              <w:left w:val="nil"/>
              <w:bottom w:val="nil"/>
              <w:right w:val="nil"/>
            </w:tcBorders>
            <w:shd w:val="clear" w:color="auto" w:fill="auto"/>
            <w:noWrap/>
            <w:vAlign w:val="bottom"/>
            <w:hideMark/>
          </w:tcPr>
          <w:p w14:paraId="0922426A"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1.47</w:t>
            </w:r>
          </w:p>
        </w:tc>
        <w:tc>
          <w:tcPr>
            <w:tcW w:w="600" w:type="dxa"/>
            <w:tcBorders>
              <w:top w:val="nil"/>
              <w:left w:val="nil"/>
              <w:bottom w:val="nil"/>
              <w:right w:val="nil"/>
            </w:tcBorders>
            <w:shd w:val="clear" w:color="auto" w:fill="auto"/>
            <w:noWrap/>
            <w:vAlign w:val="bottom"/>
            <w:hideMark/>
          </w:tcPr>
          <w:p w14:paraId="025AA4A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0.241</w:t>
            </w:r>
          </w:p>
        </w:tc>
        <w:tc>
          <w:tcPr>
            <w:tcW w:w="580" w:type="dxa"/>
            <w:tcBorders>
              <w:top w:val="nil"/>
              <w:left w:val="nil"/>
              <w:bottom w:val="nil"/>
              <w:right w:val="single" w:sz="4" w:space="0" w:color="auto"/>
            </w:tcBorders>
            <w:shd w:val="clear" w:color="auto" w:fill="auto"/>
            <w:noWrap/>
            <w:vAlign w:val="bottom"/>
            <w:hideMark/>
          </w:tcPr>
          <w:p w14:paraId="6A6BE48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0.08</w:t>
            </w:r>
          </w:p>
        </w:tc>
        <w:tc>
          <w:tcPr>
            <w:tcW w:w="580" w:type="dxa"/>
            <w:tcBorders>
              <w:top w:val="nil"/>
              <w:left w:val="nil"/>
              <w:bottom w:val="nil"/>
              <w:right w:val="nil"/>
            </w:tcBorders>
            <w:shd w:val="clear" w:color="auto" w:fill="auto"/>
            <w:noWrap/>
            <w:vAlign w:val="bottom"/>
            <w:hideMark/>
          </w:tcPr>
          <w:p w14:paraId="482ACF8F"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-0.38</w:t>
            </w:r>
          </w:p>
        </w:tc>
        <w:tc>
          <w:tcPr>
            <w:tcW w:w="580" w:type="dxa"/>
            <w:tcBorders>
              <w:top w:val="nil"/>
              <w:left w:val="nil"/>
              <w:bottom w:val="nil"/>
              <w:right w:val="nil"/>
            </w:tcBorders>
            <w:shd w:val="clear" w:color="auto" w:fill="auto"/>
            <w:noWrap/>
            <w:vAlign w:val="bottom"/>
            <w:hideMark/>
          </w:tcPr>
          <w:p w14:paraId="2D697A7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1.44</w:t>
            </w:r>
          </w:p>
        </w:tc>
        <w:tc>
          <w:tcPr>
            <w:tcW w:w="640" w:type="dxa"/>
            <w:tcBorders>
              <w:top w:val="nil"/>
              <w:left w:val="nil"/>
              <w:bottom w:val="nil"/>
              <w:right w:val="nil"/>
            </w:tcBorders>
            <w:shd w:val="clear" w:color="auto" w:fill="auto"/>
            <w:noWrap/>
            <w:vAlign w:val="bottom"/>
            <w:hideMark/>
          </w:tcPr>
          <w:p w14:paraId="428CE992"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0.793</w:t>
            </w:r>
          </w:p>
        </w:tc>
        <w:tc>
          <w:tcPr>
            <w:tcW w:w="580" w:type="dxa"/>
            <w:tcBorders>
              <w:top w:val="nil"/>
              <w:left w:val="nil"/>
              <w:bottom w:val="nil"/>
              <w:right w:val="single" w:sz="4" w:space="0" w:color="auto"/>
            </w:tcBorders>
            <w:shd w:val="clear" w:color="auto" w:fill="auto"/>
            <w:noWrap/>
            <w:vAlign w:val="bottom"/>
            <w:hideMark/>
          </w:tcPr>
          <w:p w14:paraId="32E96FEA"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w:t>
            </w:r>
          </w:p>
        </w:tc>
      </w:tr>
      <w:tr w:rsidR="00F43630" w:rsidRPr="009F6406" w14:paraId="3CFEC67F" w14:textId="77777777" w:rsidTr="00F43630">
        <w:trPr>
          <w:trHeight w:val="199"/>
        </w:trPr>
        <w:tc>
          <w:tcPr>
            <w:tcW w:w="960" w:type="dxa"/>
            <w:tcBorders>
              <w:top w:val="nil"/>
              <w:left w:val="nil"/>
              <w:bottom w:val="nil"/>
              <w:right w:val="nil"/>
            </w:tcBorders>
            <w:shd w:val="clear" w:color="auto" w:fill="auto"/>
            <w:noWrap/>
            <w:vAlign w:val="bottom"/>
            <w:hideMark/>
          </w:tcPr>
          <w:p w14:paraId="37957623"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c>
          <w:tcPr>
            <w:tcW w:w="3320" w:type="dxa"/>
            <w:tcBorders>
              <w:top w:val="nil"/>
              <w:left w:val="nil"/>
              <w:bottom w:val="nil"/>
              <w:right w:val="nil"/>
            </w:tcBorders>
            <w:shd w:val="clear" w:color="auto" w:fill="auto"/>
            <w:noWrap/>
            <w:vAlign w:val="bottom"/>
            <w:hideMark/>
          </w:tcPr>
          <w:p w14:paraId="7BE1EE62"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Demonstrates a variety of teaching methods</w:t>
            </w:r>
          </w:p>
        </w:tc>
        <w:tc>
          <w:tcPr>
            <w:tcW w:w="580" w:type="dxa"/>
            <w:tcBorders>
              <w:top w:val="nil"/>
              <w:left w:val="single" w:sz="4" w:space="0" w:color="auto"/>
              <w:bottom w:val="nil"/>
              <w:right w:val="nil"/>
            </w:tcBorders>
            <w:shd w:val="clear" w:color="auto" w:fill="auto"/>
            <w:noWrap/>
            <w:vAlign w:val="bottom"/>
            <w:hideMark/>
          </w:tcPr>
          <w:p w14:paraId="2583255B"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1.13</w:t>
            </w:r>
          </w:p>
        </w:tc>
        <w:tc>
          <w:tcPr>
            <w:tcW w:w="580" w:type="dxa"/>
            <w:tcBorders>
              <w:top w:val="nil"/>
              <w:left w:val="nil"/>
              <w:bottom w:val="nil"/>
              <w:right w:val="nil"/>
            </w:tcBorders>
            <w:shd w:val="clear" w:color="auto" w:fill="auto"/>
            <w:noWrap/>
            <w:vAlign w:val="bottom"/>
            <w:hideMark/>
          </w:tcPr>
          <w:p w14:paraId="333CE25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0.94</w:t>
            </w:r>
          </w:p>
        </w:tc>
        <w:tc>
          <w:tcPr>
            <w:tcW w:w="680" w:type="dxa"/>
            <w:tcBorders>
              <w:top w:val="nil"/>
              <w:left w:val="nil"/>
              <w:bottom w:val="nil"/>
              <w:right w:val="nil"/>
            </w:tcBorders>
            <w:shd w:val="clear" w:color="auto" w:fill="auto"/>
            <w:noWrap/>
            <w:vAlign w:val="bottom"/>
            <w:hideMark/>
          </w:tcPr>
          <w:p w14:paraId="41C4B62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0.244</w:t>
            </w:r>
          </w:p>
        </w:tc>
        <w:tc>
          <w:tcPr>
            <w:tcW w:w="580" w:type="dxa"/>
            <w:tcBorders>
              <w:top w:val="nil"/>
              <w:left w:val="nil"/>
              <w:bottom w:val="nil"/>
              <w:right w:val="single" w:sz="4" w:space="0" w:color="auto"/>
            </w:tcBorders>
            <w:shd w:val="clear" w:color="auto" w:fill="auto"/>
            <w:noWrap/>
            <w:vAlign w:val="bottom"/>
            <w:hideMark/>
          </w:tcPr>
          <w:p w14:paraId="328C714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0.07</w:t>
            </w:r>
          </w:p>
        </w:tc>
        <w:tc>
          <w:tcPr>
            <w:tcW w:w="580" w:type="dxa"/>
            <w:tcBorders>
              <w:top w:val="nil"/>
              <w:left w:val="nil"/>
              <w:bottom w:val="nil"/>
              <w:right w:val="nil"/>
            </w:tcBorders>
            <w:shd w:val="clear" w:color="auto" w:fill="auto"/>
            <w:noWrap/>
            <w:vAlign w:val="bottom"/>
            <w:hideMark/>
          </w:tcPr>
          <w:p w14:paraId="50E351D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0.93</w:t>
            </w:r>
          </w:p>
        </w:tc>
        <w:tc>
          <w:tcPr>
            <w:tcW w:w="580" w:type="dxa"/>
            <w:tcBorders>
              <w:top w:val="nil"/>
              <w:left w:val="nil"/>
              <w:bottom w:val="nil"/>
              <w:right w:val="nil"/>
            </w:tcBorders>
            <w:shd w:val="clear" w:color="auto" w:fill="auto"/>
            <w:noWrap/>
            <w:vAlign w:val="bottom"/>
            <w:hideMark/>
          </w:tcPr>
          <w:p w14:paraId="3BC882A6"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0.72</w:t>
            </w:r>
          </w:p>
        </w:tc>
        <w:tc>
          <w:tcPr>
            <w:tcW w:w="600" w:type="dxa"/>
            <w:tcBorders>
              <w:top w:val="nil"/>
              <w:left w:val="nil"/>
              <w:bottom w:val="nil"/>
              <w:right w:val="nil"/>
            </w:tcBorders>
            <w:shd w:val="clear" w:color="auto" w:fill="auto"/>
            <w:noWrap/>
            <w:vAlign w:val="bottom"/>
            <w:hideMark/>
          </w:tcPr>
          <w:p w14:paraId="1648DB5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0.215</w:t>
            </w:r>
          </w:p>
        </w:tc>
        <w:tc>
          <w:tcPr>
            <w:tcW w:w="580" w:type="dxa"/>
            <w:tcBorders>
              <w:top w:val="nil"/>
              <w:left w:val="nil"/>
              <w:bottom w:val="nil"/>
              <w:right w:val="single" w:sz="4" w:space="0" w:color="auto"/>
            </w:tcBorders>
            <w:shd w:val="clear" w:color="auto" w:fill="auto"/>
            <w:noWrap/>
            <w:vAlign w:val="bottom"/>
            <w:hideMark/>
          </w:tcPr>
          <w:p w14:paraId="04138BE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0.09</w:t>
            </w:r>
          </w:p>
        </w:tc>
        <w:tc>
          <w:tcPr>
            <w:tcW w:w="580" w:type="dxa"/>
            <w:tcBorders>
              <w:top w:val="nil"/>
              <w:left w:val="nil"/>
              <w:bottom w:val="nil"/>
              <w:right w:val="nil"/>
            </w:tcBorders>
            <w:shd w:val="clear" w:color="auto" w:fill="auto"/>
            <w:noWrap/>
            <w:vAlign w:val="bottom"/>
            <w:hideMark/>
          </w:tcPr>
          <w:p w14:paraId="7CEBA51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0.52</w:t>
            </w:r>
          </w:p>
        </w:tc>
        <w:tc>
          <w:tcPr>
            <w:tcW w:w="580" w:type="dxa"/>
            <w:tcBorders>
              <w:top w:val="nil"/>
              <w:left w:val="nil"/>
              <w:bottom w:val="nil"/>
              <w:right w:val="nil"/>
            </w:tcBorders>
            <w:shd w:val="clear" w:color="auto" w:fill="auto"/>
            <w:noWrap/>
            <w:vAlign w:val="bottom"/>
            <w:hideMark/>
          </w:tcPr>
          <w:p w14:paraId="772A3534"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0.67</w:t>
            </w:r>
          </w:p>
        </w:tc>
        <w:tc>
          <w:tcPr>
            <w:tcW w:w="640" w:type="dxa"/>
            <w:tcBorders>
              <w:top w:val="nil"/>
              <w:left w:val="nil"/>
              <w:bottom w:val="nil"/>
              <w:right w:val="nil"/>
            </w:tcBorders>
            <w:shd w:val="clear" w:color="auto" w:fill="auto"/>
            <w:noWrap/>
            <w:vAlign w:val="bottom"/>
            <w:hideMark/>
          </w:tcPr>
          <w:p w14:paraId="29480CD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0.450</w:t>
            </w:r>
          </w:p>
        </w:tc>
        <w:tc>
          <w:tcPr>
            <w:tcW w:w="580" w:type="dxa"/>
            <w:tcBorders>
              <w:top w:val="nil"/>
              <w:left w:val="nil"/>
              <w:bottom w:val="nil"/>
              <w:right w:val="single" w:sz="4" w:space="0" w:color="auto"/>
            </w:tcBorders>
            <w:shd w:val="clear" w:color="auto" w:fill="auto"/>
            <w:noWrap/>
            <w:vAlign w:val="bottom"/>
            <w:hideMark/>
          </w:tcPr>
          <w:p w14:paraId="4C21852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0.03</w:t>
            </w:r>
          </w:p>
        </w:tc>
      </w:tr>
      <w:tr w:rsidR="00F43630" w:rsidRPr="009F6406" w14:paraId="4D27846B" w14:textId="77777777" w:rsidTr="00F43630">
        <w:trPr>
          <w:trHeight w:val="199"/>
        </w:trPr>
        <w:tc>
          <w:tcPr>
            <w:tcW w:w="960" w:type="dxa"/>
            <w:tcBorders>
              <w:top w:val="nil"/>
              <w:left w:val="nil"/>
              <w:bottom w:val="single" w:sz="4" w:space="0" w:color="auto"/>
              <w:right w:val="nil"/>
            </w:tcBorders>
            <w:shd w:val="clear" w:color="auto" w:fill="auto"/>
            <w:noWrap/>
            <w:vAlign w:val="bottom"/>
            <w:hideMark/>
          </w:tcPr>
          <w:p w14:paraId="1511C3FD"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 </w:t>
            </w:r>
          </w:p>
        </w:tc>
        <w:tc>
          <w:tcPr>
            <w:tcW w:w="3320" w:type="dxa"/>
            <w:tcBorders>
              <w:top w:val="nil"/>
              <w:left w:val="nil"/>
              <w:bottom w:val="single" w:sz="4" w:space="0" w:color="auto"/>
              <w:right w:val="nil"/>
            </w:tcBorders>
            <w:shd w:val="clear" w:color="auto" w:fill="auto"/>
            <w:noWrap/>
            <w:vAlign w:val="bottom"/>
            <w:hideMark/>
          </w:tcPr>
          <w:p w14:paraId="6598902F" w14:textId="77777777"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Establishes a positive classroom climate</w:t>
            </w:r>
          </w:p>
        </w:tc>
        <w:tc>
          <w:tcPr>
            <w:tcW w:w="580" w:type="dxa"/>
            <w:tcBorders>
              <w:top w:val="nil"/>
              <w:left w:val="single" w:sz="4" w:space="0" w:color="auto"/>
              <w:bottom w:val="single" w:sz="4" w:space="0" w:color="auto"/>
              <w:right w:val="nil"/>
            </w:tcBorders>
            <w:shd w:val="clear" w:color="auto" w:fill="auto"/>
            <w:noWrap/>
            <w:vAlign w:val="bottom"/>
            <w:hideMark/>
          </w:tcPr>
          <w:p w14:paraId="28E03BA9"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2.21</w:t>
            </w:r>
          </w:p>
        </w:tc>
        <w:tc>
          <w:tcPr>
            <w:tcW w:w="580" w:type="dxa"/>
            <w:tcBorders>
              <w:top w:val="nil"/>
              <w:left w:val="nil"/>
              <w:bottom w:val="single" w:sz="4" w:space="0" w:color="auto"/>
              <w:right w:val="nil"/>
            </w:tcBorders>
            <w:shd w:val="clear" w:color="auto" w:fill="auto"/>
            <w:noWrap/>
            <w:vAlign w:val="bottom"/>
            <w:hideMark/>
          </w:tcPr>
          <w:p w14:paraId="3D5D7B0A"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2.45</w:t>
            </w:r>
          </w:p>
        </w:tc>
        <w:tc>
          <w:tcPr>
            <w:tcW w:w="680" w:type="dxa"/>
            <w:tcBorders>
              <w:top w:val="nil"/>
              <w:left w:val="nil"/>
              <w:bottom w:val="single" w:sz="4" w:space="0" w:color="auto"/>
              <w:right w:val="nil"/>
            </w:tcBorders>
            <w:shd w:val="clear" w:color="auto" w:fill="auto"/>
            <w:noWrap/>
            <w:vAlign w:val="bottom"/>
            <w:hideMark/>
          </w:tcPr>
          <w:p w14:paraId="464614C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0.378</w:t>
            </w:r>
          </w:p>
        </w:tc>
        <w:tc>
          <w:tcPr>
            <w:tcW w:w="580" w:type="dxa"/>
            <w:tcBorders>
              <w:top w:val="nil"/>
              <w:left w:val="nil"/>
              <w:bottom w:val="single" w:sz="4" w:space="0" w:color="auto"/>
              <w:right w:val="single" w:sz="4" w:space="0" w:color="auto"/>
            </w:tcBorders>
            <w:shd w:val="clear" w:color="auto" w:fill="auto"/>
            <w:noWrap/>
            <w:vAlign w:val="bottom"/>
            <w:hideMark/>
          </w:tcPr>
          <w:p w14:paraId="0997466C"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0.04</w:t>
            </w:r>
          </w:p>
        </w:tc>
        <w:tc>
          <w:tcPr>
            <w:tcW w:w="580" w:type="dxa"/>
            <w:tcBorders>
              <w:top w:val="nil"/>
              <w:left w:val="nil"/>
              <w:bottom w:val="single" w:sz="4" w:space="0" w:color="auto"/>
              <w:right w:val="nil"/>
            </w:tcBorders>
            <w:shd w:val="clear" w:color="auto" w:fill="auto"/>
            <w:noWrap/>
            <w:vAlign w:val="bottom"/>
            <w:hideMark/>
          </w:tcPr>
          <w:p w14:paraId="0B755EF3"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-0.80</w:t>
            </w:r>
          </w:p>
        </w:tc>
        <w:tc>
          <w:tcPr>
            <w:tcW w:w="580" w:type="dxa"/>
            <w:tcBorders>
              <w:top w:val="nil"/>
              <w:left w:val="nil"/>
              <w:bottom w:val="single" w:sz="4" w:space="0" w:color="auto"/>
              <w:right w:val="nil"/>
            </w:tcBorders>
            <w:shd w:val="clear" w:color="auto" w:fill="auto"/>
            <w:noWrap/>
            <w:vAlign w:val="bottom"/>
            <w:hideMark/>
          </w:tcPr>
          <w:p w14:paraId="30C84F3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1.32</w:t>
            </w:r>
          </w:p>
        </w:tc>
        <w:tc>
          <w:tcPr>
            <w:tcW w:w="600" w:type="dxa"/>
            <w:tcBorders>
              <w:top w:val="nil"/>
              <w:left w:val="nil"/>
              <w:bottom w:val="single" w:sz="4" w:space="0" w:color="auto"/>
              <w:right w:val="nil"/>
            </w:tcBorders>
            <w:shd w:val="clear" w:color="auto" w:fill="auto"/>
            <w:noWrap/>
            <w:vAlign w:val="bottom"/>
            <w:hideMark/>
          </w:tcPr>
          <w:p w14:paraId="0F93E100"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0.553</w:t>
            </w:r>
          </w:p>
        </w:tc>
        <w:tc>
          <w:tcPr>
            <w:tcW w:w="580" w:type="dxa"/>
            <w:tcBorders>
              <w:top w:val="nil"/>
              <w:left w:val="nil"/>
              <w:bottom w:val="single" w:sz="4" w:space="0" w:color="auto"/>
              <w:right w:val="single" w:sz="4" w:space="0" w:color="auto"/>
            </w:tcBorders>
            <w:shd w:val="clear" w:color="auto" w:fill="auto"/>
            <w:noWrap/>
            <w:vAlign w:val="bottom"/>
            <w:hideMark/>
          </w:tcPr>
          <w:p w14:paraId="372B85AE"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0.02</w:t>
            </w:r>
          </w:p>
        </w:tc>
        <w:tc>
          <w:tcPr>
            <w:tcW w:w="580" w:type="dxa"/>
            <w:tcBorders>
              <w:top w:val="nil"/>
              <w:left w:val="nil"/>
              <w:bottom w:val="single" w:sz="4" w:space="0" w:color="auto"/>
              <w:right w:val="nil"/>
            </w:tcBorders>
            <w:shd w:val="clear" w:color="auto" w:fill="auto"/>
            <w:noWrap/>
            <w:vAlign w:val="bottom"/>
            <w:hideMark/>
          </w:tcPr>
          <w:p w14:paraId="1BB44565"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0.47</w:t>
            </w:r>
          </w:p>
        </w:tc>
        <w:tc>
          <w:tcPr>
            <w:tcW w:w="580" w:type="dxa"/>
            <w:tcBorders>
              <w:top w:val="nil"/>
              <w:left w:val="nil"/>
              <w:bottom w:val="single" w:sz="4" w:space="0" w:color="auto"/>
              <w:right w:val="nil"/>
            </w:tcBorders>
            <w:shd w:val="clear" w:color="auto" w:fill="auto"/>
            <w:noWrap/>
            <w:vAlign w:val="bottom"/>
            <w:hideMark/>
          </w:tcPr>
          <w:p w14:paraId="6DD6FDB8"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2.05</w:t>
            </w:r>
          </w:p>
        </w:tc>
        <w:tc>
          <w:tcPr>
            <w:tcW w:w="640" w:type="dxa"/>
            <w:tcBorders>
              <w:top w:val="nil"/>
              <w:left w:val="nil"/>
              <w:bottom w:val="single" w:sz="4" w:space="0" w:color="auto"/>
              <w:right w:val="nil"/>
            </w:tcBorders>
            <w:shd w:val="clear" w:color="auto" w:fill="auto"/>
            <w:noWrap/>
            <w:vAlign w:val="bottom"/>
            <w:hideMark/>
          </w:tcPr>
          <w:p w14:paraId="6BD0675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0.820</w:t>
            </w:r>
          </w:p>
        </w:tc>
        <w:tc>
          <w:tcPr>
            <w:tcW w:w="580" w:type="dxa"/>
            <w:tcBorders>
              <w:top w:val="nil"/>
              <w:left w:val="nil"/>
              <w:bottom w:val="single" w:sz="4" w:space="0" w:color="auto"/>
              <w:right w:val="single" w:sz="4" w:space="0" w:color="auto"/>
            </w:tcBorders>
            <w:shd w:val="clear" w:color="auto" w:fill="auto"/>
            <w:noWrap/>
            <w:vAlign w:val="bottom"/>
            <w:hideMark/>
          </w:tcPr>
          <w:p w14:paraId="351A4DCD" w14:textId="77777777" w:rsidR="00F43630" w:rsidRPr="009F6406" w:rsidRDefault="00F43630" w:rsidP="00F43630">
            <w:pPr>
              <w:spacing w:before="0" w:after="0"/>
              <w:jc w:val="right"/>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eastAsia="zh-CN"/>
              </w:rPr>
              <w:t>0.00</w:t>
            </w:r>
          </w:p>
        </w:tc>
      </w:tr>
      <w:tr w:rsidR="00F43630" w:rsidRPr="009F6406" w14:paraId="7B1CF0BE" w14:textId="77777777" w:rsidTr="00F43630">
        <w:trPr>
          <w:trHeight w:val="360"/>
        </w:trPr>
        <w:tc>
          <w:tcPr>
            <w:tcW w:w="11420" w:type="dxa"/>
            <w:gridSpan w:val="14"/>
            <w:vMerge w:val="restart"/>
            <w:tcBorders>
              <w:top w:val="single" w:sz="4" w:space="0" w:color="auto"/>
              <w:left w:val="nil"/>
              <w:bottom w:val="nil"/>
              <w:right w:val="nil"/>
            </w:tcBorders>
            <w:shd w:val="clear" w:color="auto" w:fill="auto"/>
            <w:vAlign w:val="center"/>
            <w:hideMark/>
          </w:tcPr>
          <w:p w14:paraId="000FD9A3" w14:textId="787EEB44" w:rsidR="00F43630" w:rsidRPr="009F6406" w:rsidRDefault="00F43630" w:rsidP="00F43630">
            <w:pPr>
              <w:spacing w:before="0" w:after="0"/>
              <w:rPr>
                <w:rFonts w:ascii="Calibri" w:eastAsia="Times New Roman" w:hAnsi="Calibri" w:cs="Times New Roman"/>
                <w:color w:val="000000"/>
                <w:sz w:val="16"/>
                <w:szCs w:val="16"/>
                <w:lang w:eastAsia="zh-CN"/>
              </w:rPr>
            </w:pPr>
            <w:r w:rsidRPr="009F6406">
              <w:rPr>
                <w:rFonts w:ascii="Calibri" w:eastAsia="Times New Roman" w:hAnsi="Calibri" w:cs="Times New Roman"/>
                <w:color w:val="000000"/>
                <w:sz w:val="16"/>
                <w:szCs w:val="16"/>
                <w:lang w:val="en-GB" w:eastAsia="zh-CN"/>
              </w:rPr>
              <w:t xml:space="preserve">Notes: B: </w:t>
            </w:r>
            <w:r w:rsidR="00392CDF" w:rsidRPr="009F6406">
              <w:rPr>
                <w:rFonts w:ascii="Calibri" w:eastAsia="Times New Roman" w:hAnsi="Calibri" w:cs="Times New Roman"/>
                <w:color w:val="000000"/>
                <w:sz w:val="16"/>
                <w:szCs w:val="16"/>
                <w:lang w:val="en-GB" w:eastAsia="zh-CN"/>
              </w:rPr>
              <w:t>Unstandardized</w:t>
            </w:r>
            <w:r w:rsidRPr="009F6406">
              <w:rPr>
                <w:rFonts w:ascii="Calibri" w:eastAsia="Times New Roman" w:hAnsi="Calibri" w:cs="Times New Roman"/>
                <w:color w:val="000000"/>
                <w:sz w:val="16"/>
                <w:szCs w:val="16"/>
                <w:lang w:val="en-GB" w:eastAsia="zh-CN"/>
              </w:rPr>
              <w:t xml:space="preserve"> regression estimate; SE: Standard Error; p: probability that the difference or association is due to chance alone; ES: Effect Size (proportion of variance explained by this measure -- partial eta squared; η</w:t>
            </w:r>
            <w:r w:rsidRPr="009F6406">
              <w:rPr>
                <w:rFonts w:ascii="Calibri" w:eastAsia="Times New Roman" w:hAnsi="Calibri" w:cs="Times New Roman"/>
                <w:color w:val="000000"/>
                <w:sz w:val="16"/>
                <w:szCs w:val="16"/>
                <w:vertAlign w:val="subscript"/>
                <w:lang w:val="en-GB" w:eastAsia="zh-CN"/>
              </w:rPr>
              <w:t>p</w:t>
            </w:r>
            <w:r w:rsidRPr="009F6406">
              <w:rPr>
                <w:rFonts w:ascii="Calibri" w:eastAsia="Times New Roman" w:hAnsi="Calibri" w:cs="Times New Roman"/>
                <w:color w:val="000000"/>
                <w:sz w:val="16"/>
                <w:szCs w:val="16"/>
                <w:vertAlign w:val="superscript"/>
                <w:lang w:val="en-GB" w:eastAsia="zh-CN"/>
              </w:rPr>
              <w:t>2</w:t>
            </w:r>
            <w:r w:rsidRPr="009F6406">
              <w:rPr>
                <w:rFonts w:ascii="Calibri" w:eastAsia="Times New Roman" w:hAnsi="Calibri" w:cs="Times New Roman"/>
                <w:color w:val="000000"/>
                <w:sz w:val="16"/>
                <w:szCs w:val="16"/>
                <w:lang w:val="en-GB" w:eastAsia="zh-CN"/>
              </w:rPr>
              <w:t>)</w:t>
            </w:r>
            <w:r w:rsidR="001E6CA7">
              <w:rPr>
                <w:rFonts w:ascii="Calibri" w:eastAsia="Times New Roman" w:hAnsi="Calibri" w:cs="Times New Roman"/>
                <w:color w:val="000000"/>
                <w:sz w:val="16"/>
                <w:szCs w:val="16"/>
                <w:lang w:val="en-GB" w:eastAsia="zh-CN"/>
              </w:rPr>
              <w:t xml:space="preserve">. </w:t>
            </w:r>
            <w:r w:rsidR="001E6CA7" w:rsidRPr="009F6406">
              <w:rPr>
                <w:rFonts w:ascii="Calibri" w:eastAsia="Times New Roman" w:hAnsi="Calibri" w:cs="Times New Roman"/>
                <w:color w:val="000000"/>
                <w:sz w:val="18"/>
                <w:szCs w:val="18"/>
                <w:lang w:val="en-GB" w:eastAsia="zh-CN"/>
              </w:rPr>
              <w:t xml:space="preserve">*MEP strategies = Strategies associated with the particular programme which the MECORS instrument was designed to address, including: using realistic problems and examples; encouraging pupils to use a variety of problem-solving strategies; using correct mathematical language; encouraging pupils to use correct mathematical language; allowing pupils to use their own problem-solving strategies; implementing quick-fire mental questions; connecting to previously learned material; and connecting new material to other areas of mathematics  </w:t>
            </w:r>
            <w:r w:rsidR="001E6CA7" w:rsidRPr="009F6406">
              <w:rPr>
                <w:rFonts w:ascii="Calibri" w:eastAsia="Times New Roman" w:hAnsi="Calibri" w:cs="Times New Roman"/>
                <w:color w:val="000000"/>
                <w:sz w:val="18"/>
                <w:szCs w:val="18"/>
                <w:lang w:val="en-GB" w:eastAsia="zh-CN"/>
              </w:rPr>
              <w:fldChar w:fldCharType="begin" w:fldLock="1"/>
            </w:r>
            <w:r w:rsidR="001E6CA7" w:rsidRPr="009F6406">
              <w:rPr>
                <w:rFonts w:ascii="Calibri" w:eastAsia="Times New Roman" w:hAnsi="Calibri" w:cs="Times New Roman"/>
                <w:color w:val="000000"/>
                <w:sz w:val="18"/>
                <w:szCs w:val="18"/>
                <w:lang w:val="en-GB" w:eastAsia="zh-CN"/>
              </w:rPr>
              <w:instrText>ADDIN CSL_CITATION {"citationItems":[{"id":"ITEM-1","itemData":{"ISBN":"1412901642 9781412901642 1412901650 9781412901659","abstract":"'Effective Teaching' explores all that is currently known about generic teaching skills. The authors draw upon research findings in a number of disciplines and present the findings in a non-technical manner for the benefit of students and teachers.","author":[{"dropping-particle":"","family":"Muijs","given":"Daniel.","non-dropping-particle":"","parse-names":false,"suffix":""},{"dropping-particle":"","family":"Reynolds","given":"David","non-dropping-particle":"","parse-names":false,"suffix":""}],"edition":"3rd","id":"ITEM-1","issued":{"date-parts":[["2011"]]},"language":"English","publisher":"SAGE Publications","publisher-place":"London; Thousand Oaks, Calif.","title":"Effective teaching : evidence and practice","type":"book"},"uris":["http://www.mendeley.com/documents/?uuid=ac857a48-62b2-49fa-b881-aa7b6e62a723"]}],"mendeley":{"formattedCitation":"(Muijs and Reynolds 2011)","manualFormatting":"(see Muijs and Reynolds 2011)","plainTextFormattedCitation":"(Muijs and Reynolds 2011)","previouslyFormattedCitation":"(Muijs and Reynolds 2011)"},"properties":{"noteIndex":0},"schema":"https://github.com/citation-style-language/schema/raw/master/csl-citation.json"}</w:instrText>
            </w:r>
            <w:r w:rsidR="001E6CA7" w:rsidRPr="009F6406">
              <w:rPr>
                <w:rFonts w:ascii="Calibri" w:eastAsia="Times New Roman" w:hAnsi="Calibri" w:cs="Times New Roman"/>
                <w:color w:val="000000"/>
                <w:sz w:val="18"/>
                <w:szCs w:val="18"/>
                <w:lang w:val="en-GB" w:eastAsia="zh-CN"/>
              </w:rPr>
              <w:fldChar w:fldCharType="separate"/>
            </w:r>
            <w:r w:rsidR="001E6CA7" w:rsidRPr="009F6406">
              <w:rPr>
                <w:rFonts w:ascii="Calibri" w:eastAsia="Times New Roman" w:hAnsi="Calibri" w:cs="Times New Roman"/>
                <w:noProof/>
                <w:color w:val="000000"/>
                <w:sz w:val="18"/>
                <w:szCs w:val="18"/>
                <w:lang w:val="en-GB" w:eastAsia="zh-CN"/>
              </w:rPr>
              <w:t>(see Muijs and Reynolds 2011)</w:t>
            </w:r>
            <w:r w:rsidR="001E6CA7" w:rsidRPr="009F6406">
              <w:rPr>
                <w:rFonts w:ascii="Calibri" w:eastAsia="Times New Roman" w:hAnsi="Calibri" w:cs="Times New Roman"/>
                <w:color w:val="000000"/>
                <w:sz w:val="18"/>
                <w:szCs w:val="18"/>
                <w:lang w:val="en-GB" w:eastAsia="zh-CN"/>
              </w:rPr>
              <w:fldChar w:fldCharType="end"/>
            </w:r>
            <w:r w:rsidR="001E6CA7" w:rsidRPr="009F6406">
              <w:rPr>
                <w:rFonts w:ascii="Calibri" w:eastAsia="Times New Roman" w:hAnsi="Calibri" w:cs="Times New Roman"/>
                <w:color w:val="000000"/>
                <w:sz w:val="18"/>
                <w:szCs w:val="18"/>
                <w:lang w:val="en-GB" w:eastAsia="zh-CN"/>
              </w:rPr>
              <w:t>.</w:t>
            </w:r>
          </w:p>
        </w:tc>
      </w:tr>
      <w:tr w:rsidR="00F43630" w:rsidRPr="009F6406" w14:paraId="36DCE2DA" w14:textId="77777777" w:rsidTr="001E6CA7">
        <w:trPr>
          <w:trHeight w:val="1194"/>
        </w:trPr>
        <w:tc>
          <w:tcPr>
            <w:tcW w:w="11420" w:type="dxa"/>
            <w:gridSpan w:val="14"/>
            <w:vMerge/>
            <w:tcBorders>
              <w:top w:val="single" w:sz="4" w:space="0" w:color="auto"/>
              <w:left w:val="nil"/>
              <w:bottom w:val="nil"/>
              <w:right w:val="nil"/>
            </w:tcBorders>
            <w:vAlign w:val="center"/>
            <w:hideMark/>
          </w:tcPr>
          <w:p w14:paraId="204CA183" w14:textId="77777777" w:rsidR="00F43630" w:rsidRPr="009F6406" w:rsidRDefault="00F43630" w:rsidP="00F43630">
            <w:pPr>
              <w:spacing w:before="0" w:after="0"/>
              <w:rPr>
                <w:rFonts w:ascii="Calibri" w:eastAsia="Times New Roman" w:hAnsi="Calibri" w:cs="Times New Roman"/>
                <w:color w:val="000000"/>
                <w:sz w:val="16"/>
                <w:szCs w:val="16"/>
                <w:lang w:eastAsia="zh-CN"/>
              </w:rPr>
            </w:pPr>
          </w:p>
        </w:tc>
      </w:tr>
    </w:tbl>
    <w:p w14:paraId="52F78AE1" w14:textId="77777777" w:rsidR="004532C8" w:rsidRPr="009F6406" w:rsidRDefault="004532C8" w:rsidP="000C4388"/>
    <w:p w14:paraId="34ABA60E" w14:textId="38F9643A" w:rsidR="00BB7E38" w:rsidRDefault="00215708" w:rsidP="009F44F4">
      <w:r w:rsidRPr="009F6406">
        <w:t xml:space="preserve">Table </w:t>
      </w:r>
      <w:r w:rsidR="00FA56D0" w:rsidRPr="009F6406">
        <w:t>6</w:t>
      </w:r>
      <w:r w:rsidRPr="009F6406">
        <w:t xml:space="preserve">: </w:t>
      </w:r>
      <w:r w:rsidR="004532C8" w:rsidRPr="009F6406">
        <w:t>Teacher sum scores in each domain of each observation instrument in experimental and delayed treatment groups – General Linear Model results</w:t>
      </w:r>
    </w:p>
    <w:p w14:paraId="58494A1C" w14:textId="77777777" w:rsidR="001E6CA7" w:rsidRDefault="001E6CA7" w:rsidP="009F44F4">
      <w:pPr>
        <w:sectPr w:rsidR="001E6CA7" w:rsidSect="000C4388">
          <w:pgSz w:w="15840" w:h="12240" w:orient="landscape"/>
          <w:pgMar w:top="1282" w:right="1138" w:bottom="1181" w:left="1138" w:header="283" w:footer="510" w:gutter="0"/>
          <w:lnNumType w:countBy="1" w:restart="continuous"/>
          <w:cols w:space="720"/>
          <w:titlePg/>
          <w:docGrid w:linePitch="360"/>
        </w:sectPr>
      </w:pPr>
    </w:p>
    <w:p w14:paraId="12E30F66" w14:textId="4FC9C8E8" w:rsidR="001E6CA7" w:rsidRDefault="001E6CA7" w:rsidP="001E6CA7">
      <w:pPr>
        <w:autoSpaceDE w:val="0"/>
        <w:autoSpaceDN w:val="0"/>
        <w:adjustRightInd w:val="0"/>
        <w:spacing w:before="0" w:after="0"/>
        <w:rPr>
          <w:rFonts w:ascii="Tahoma" w:hAnsi="Tahoma" w:cs="Tahoma"/>
          <w:color w:val="000000"/>
          <w:sz w:val="20"/>
          <w:szCs w:val="20"/>
        </w:rPr>
      </w:pPr>
      <w:r>
        <w:rPr>
          <w:rFonts w:ascii="Tahoma" w:hAnsi="Tahoma" w:cs="Tahoma"/>
          <w:color w:val="000000"/>
          <w:sz w:val="20"/>
          <w:szCs w:val="20"/>
        </w:rPr>
        <w:lastRenderedPageBreak/>
        <w:t>Figure 1: Pupil attitudes towards and enjoyment of mathematics questionnaire</w:t>
      </w:r>
    </w:p>
    <w:p w14:paraId="0B2D52A3" w14:textId="15D2C31E" w:rsidR="001E6CA7" w:rsidRDefault="001E6CA7" w:rsidP="001E6CA7">
      <w:pPr>
        <w:autoSpaceDE w:val="0"/>
        <w:autoSpaceDN w:val="0"/>
        <w:adjustRightInd w:val="0"/>
        <w:spacing w:before="0" w:after="0"/>
        <w:rPr>
          <w:rFonts w:ascii="Tahoma" w:hAnsi="Tahoma" w:cs="Tahoma"/>
          <w:sz w:val="20"/>
          <w:szCs w:val="20"/>
        </w:rPr>
      </w:pPr>
      <w:r>
        <w:rPr>
          <w:rFonts w:ascii="Tahoma" w:hAnsi="Tahoma" w:cs="Tahoma"/>
          <w:noProof/>
          <w:sz w:val="20"/>
          <w:szCs w:val="20"/>
          <w:lang w:val="en-GB" w:eastAsia="en-GB"/>
        </w:rPr>
        <w:drawing>
          <wp:inline distT="0" distB="0" distL="0" distR="0" wp14:anchorId="519416C9" wp14:editId="790BEB21">
            <wp:extent cx="5616101" cy="497576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aire image.PNG"/>
                    <pic:cNvPicPr/>
                  </pic:nvPicPr>
                  <pic:blipFill>
                    <a:blip r:embed="rId13">
                      <a:extLst>
                        <a:ext uri="{28A0092B-C50C-407E-A947-70E740481C1C}">
                          <a14:useLocalDpi xmlns:a14="http://schemas.microsoft.com/office/drawing/2010/main" val="0"/>
                        </a:ext>
                      </a:extLst>
                    </a:blip>
                    <a:stretch>
                      <a:fillRect/>
                    </a:stretch>
                  </pic:blipFill>
                  <pic:spPr>
                    <a:xfrm>
                      <a:off x="0" y="0"/>
                      <a:ext cx="5619657" cy="4978911"/>
                    </a:xfrm>
                    <a:prstGeom prst="rect">
                      <a:avLst/>
                    </a:prstGeom>
                  </pic:spPr>
                </pic:pic>
              </a:graphicData>
            </a:graphic>
          </wp:inline>
        </w:drawing>
      </w:r>
    </w:p>
    <w:p w14:paraId="59484E44" w14:textId="0F62579D" w:rsidR="001E6CA7" w:rsidRPr="001E6CA7" w:rsidRDefault="001E6CA7" w:rsidP="001E6CA7">
      <w:pPr>
        <w:autoSpaceDE w:val="0"/>
        <w:autoSpaceDN w:val="0"/>
        <w:adjustRightInd w:val="0"/>
        <w:spacing w:before="0" w:after="0"/>
        <w:rPr>
          <w:rFonts w:ascii="Tahoma" w:hAnsi="Tahoma" w:cs="Tahoma"/>
          <w:sz w:val="20"/>
          <w:szCs w:val="20"/>
        </w:rPr>
      </w:pPr>
      <w:r>
        <w:rPr>
          <w:rFonts w:ascii="Tahoma" w:hAnsi="Tahoma" w:cs="Tahoma"/>
          <w:sz w:val="20"/>
          <w:szCs w:val="20"/>
        </w:rPr>
        <w:tab/>
        <w:t>(Hall, Lindorff &amp; Sammons, 2016)</w:t>
      </w:r>
    </w:p>
    <w:sectPr w:rsidR="001E6CA7" w:rsidRPr="001E6CA7" w:rsidSect="0026149C">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CF6B9" w14:textId="77777777" w:rsidR="005D5D09" w:rsidRDefault="005D5D09" w:rsidP="00117666">
      <w:pPr>
        <w:spacing w:after="0"/>
      </w:pPr>
      <w:r>
        <w:separator/>
      </w:r>
    </w:p>
  </w:endnote>
  <w:endnote w:type="continuationSeparator" w:id="0">
    <w:p w14:paraId="52A07ADD" w14:textId="77777777" w:rsidR="005D5D09" w:rsidRDefault="005D5D09"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3E3D5" w14:textId="77777777" w:rsidR="009F6406" w:rsidRPr="00577C4C" w:rsidRDefault="009F6406">
    <w:pPr>
      <w:pStyle w:val="Footer"/>
      <w:rPr>
        <w:color w:val="C00000"/>
        <w:szCs w:val="24"/>
      </w:rPr>
    </w:pPr>
    <w:r>
      <w:rPr>
        <w:noProof/>
        <w:lang w:val="en-GB" w:eastAsia="en-GB"/>
      </w:rPr>
      <mc:AlternateContent>
        <mc:Choice Requires="wps">
          <w:drawing>
            <wp:anchor distT="0" distB="0" distL="114300" distR="114300" simplePos="0" relativeHeight="251665408" behindDoc="0" locked="0" layoutInCell="1" allowOverlap="1" wp14:anchorId="794D5EC0" wp14:editId="2838E0F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8780A85" w14:textId="2EE209E2" w:rsidR="009F6406" w:rsidRPr="00577C4C" w:rsidRDefault="009F640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52200E" w:rsidRPr="0052200E">
                            <w:rPr>
                              <w:noProof/>
                              <w:color w:val="000000" w:themeColor="text1"/>
                              <w:sz w:val="22"/>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4D5EC0" id="_x0000_t202" coordsize="21600,21600" o:spt="202" path="m,l,21600r21600,l21600,xe">
              <v:stroke joinstyle="miter"/>
              <v:path gradientshapeok="t" o:connecttype="rect"/>
            </v:shapetype>
            <v:shape id="Text Box 1" o:spid="_x0000_s1026"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28780A85" w14:textId="2EE209E2" w:rsidR="009F6406" w:rsidRPr="00577C4C" w:rsidRDefault="009F640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52200E" w:rsidRPr="0052200E">
                      <w:rPr>
                        <w:noProof/>
                        <w:color w:val="000000" w:themeColor="text1"/>
                        <w:sz w:val="22"/>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7233C" w14:textId="77777777" w:rsidR="009F6406" w:rsidRPr="00577C4C" w:rsidRDefault="009F6406">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91A3453" wp14:editId="6D562586">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EB7D8EE" w14:textId="51EA9953" w:rsidR="009F6406" w:rsidRPr="00577C4C" w:rsidRDefault="009F640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52200E" w:rsidRPr="0052200E">
                            <w:rPr>
                              <w:noProof/>
                              <w:color w:val="000000" w:themeColor="text1"/>
                              <w:sz w:val="22"/>
                              <w:szCs w:val="40"/>
                            </w:rPr>
                            <w:t>21</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91A3453"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2EB7D8EE" w14:textId="51EA9953" w:rsidR="009F6406" w:rsidRPr="00577C4C" w:rsidRDefault="009F640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52200E" w:rsidRPr="0052200E">
                      <w:rPr>
                        <w:noProof/>
                        <w:color w:val="000000" w:themeColor="text1"/>
                        <w:sz w:val="22"/>
                        <w:szCs w:val="40"/>
                      </w:rPr>
                      <w:t>21</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7205F" w14:textId="77777777" w:rsidR="005D5D09" w:rsidRDefault="005D5D09" w:rsidP="00117666">
      <w:pPr>
        <w:spacing w:after="0"/>
      </w:pPr>
      <w:r>
        <w:separator/>
      </w:r>
    </w:p>
  </w:footnote>
  <w:footnote w:type="continuationSeparator" w:id="0">
    <w:p w14:paraId="75FACCE2" w14:textId="77777777" w:rsidR="005D5D09" w:rsidRDefault="005D5D09" w:rsidP="00117666">
      <w:pPr>
        <w:spacing w:after="0"/>
      </w:pPr>
      <w:r>
        <w:continuationSeparator/>
      </w:r>
    </w:p>
  </w:footnote>
  <w:footnote w:id="1">
    <w:p w14:paraId="1F19A748" w14:textId="24DDEBF4" w:rsidR="009F6406" w:rsidRPr="003E2E5A" w:rsidRDefault="009F6406">
      <w:pPr>
        <w:pStyle w:val="FootnoteText"/>
        <w:rPr>
          <w:lang w:val="en-GB"/>
        </w:rPr>
      </w:pPr>
      <w:r>
        <w:rPr>
          <w:rStyle w:val="FootnoteReference"/>
        </w:rPr>
        <w:footnoteRef/>
      </w:r>
      <w:r>
        <w:t xml:space="preserve"> </w:t>
      </w:r>
      <w:r>
        <w:rPr>
          <w:lang w:val="en-GB"/>
        </w:rPr>
        <w:t>This initial list was provided by the distributor, with recruitment and random allocation for the study undertaken independently by the research team.</w:t>
      </w:r>
    </w:p>
  </w:footnote>
  <w:footnote w:id="2">
    <w:p w14:paraId="4CBAFA2D" w14:textId="77777777" w:rsidR="009F6406" w:rsidRPr="003E2E5A" w:rsidRDefault="009F6406" w:rsidP="00BF606D">
      <w:pPr>
        <w:pStyle w:val="FootnoteText"/>
        <w:rPr>
          <w:lang w:val="en-GB"/>
        </w:rPr>
      </w:pPr>
      <w:r>
        <w:rPr>
          <w:rStyle w:val="FootnoteReference"/>
        </w:rPr>
        <w:footnoteRef/>
      </w:r>
      <w:r>
        <w:t xml:space="preserve"> </w:t>
      </w:r>
      <w:r>
        <w:rPr>
          <w:lang w:val="en-GB"/>
        </w:rPr>
        <w:t xml:space="preserve">Later developed into the International Comparative Analysis of Learning and Teaching (ICALT) observation instrument </w:t>
      </w:r>
      <w:r>
        <w:rPr>
          <w:lang w:val="en-GB"/>
        </w:rPr>
        <w:fldChar w:fldCharType="begin" w:fldLock="1"/>
      </w:r>
      <w:r>
        <w:rPr>
          <w:lang w:val="en-GB"/>
        </w:rPr>
        <w:instrText>ADDIN CSL_CITATION {"citationItems":[{"id":"ITEM-1","itemData":{"DOI":"10.1080/09243453.2016.1263215","ISSN":"0924-3453","author":[{"dropping-particle":"","family":"Grift","given":"Wim J C M","non-dropping-particle":"van de","parse-names":false,"suffix":""},{"dropping-particle":"","family":"Chun","given":"Seyeoung","non-dropping-particle":"","parse-names":false,"suffix":""},{"dropping-particle":"","family":"Maulana","given":"Ridwan","non-dropping-particle":"","parse-names":false,"suffix":""},{"dropping-particle":"","family":"Lee","given":"Okhwa","non-dropping-particle":"","parse-names":false,"suffix":""},{"dropping-particle":"","family":"Helms-Lorenz","given":"Michelle","non-dropping-particle":"","parse-names":false,"suffix":""}],"container-title":"School Effectiveness and School Improvement","id":"ITEM-1","issue":"3","issued":{"date-parts":[["2017","7","3"]]},"note":"doi: 10.1080/09243453.2016.1263215","page":"337-349","title":"Measuring teaching quality and student engagement in South Korea and The Netherlands","type":"article-journal","volume":"28"},"uris":["http://www.mendeley.com/documents/?uuid=a8979942-f951-4a9e-b3e2-dd8a00655c06"]}],"mendeley":{"formattedCitation":"(W. J. C. M. van de Grift et al. 2017)","plainTextFormattedCitation":"(W. J. C. M. van de Grift et al. 2017)","previouslyFormattedCitation":"(W. J. C. M. van de Grift et al. 2017)"},"properties":{"noteIndex":0},"schema":"https://github.com/citation-style-language/schema/raw/master/csl-citation.json"}</w:instrText>
      </w:r>
      <w:r>
        <w:rPr>
          <w:lang w:val="en-GB"/>
        </w:rPr>
        <w:fldChar w:fldCharType="separate"/>
      </w:r>
      <w:r w:rsidRPr="00CE19B7">
        <w:rPr>
          <w:noProof/>
          <w:lang w:val="en-GB"/>
        </w:rPr>
        <w:t>(W. J. C. M. van de Grift et al. 2017)</w:t>
      </w:r>
      <w:r>
        <w:rPr>
          <w:lang w:val="en-GB"/>
        </w:rPr>
        <w:fldChar w:fldCharType="end"/>
      </w:r>
      <w:r>
        <w:rPr>
          <w:lang w:val="en-GB"/>
        </w:rPr>
        <w:t>.</w:t>
      </w:r>
    </w:p>
  </w:footnote>
  <w:footnote w:id="3">
    <w:p w14:paraId="415FFDAE" w14:textId="047D978F" w:rsidR="009F6406" w:rsidRPr="00CE19B7" w:rsidRDefault="009F6406">
      <w:pPr>
        <w:pStyle w:val="FootnoteText"/>
        <w:rPr>
          <w:lang w:val="en-GB"/>
        </w:rPr>
      </w:pPr>
      <w:r>
        <w:rPr>
          <w:rStyle w:val="FootnoteReference"/>
        </w:rPr>
        <w:footnoteRef/>
      </w:r>
      <w:r>
        <w:t xml:space="preserve"> </w:t>
      </w:r>
      <w:r>
        <w:rPr>
          <w:lang w:val="en-GB"/>
        </w:rPr>
        <w:t>In England, Key Stages in primary school are defined according to the following age groups: Key Stage 1, 5-7 years; Key Stage 2, 7-11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D187D" w14:textId="23D6CDE2" w:rsidR="009F6406" w:rsidRPr="007F601F" w:rsidRDefault="009F6406" w:rsidP="007F601F">
    <w:pPr>
      <w:pStyle w:val="Header"/>
      <w:jc w:val="right"/>
      <w:rPr>
        <w:lang w:val="en-GB"/>
      </w:rPr>
    </w:pPr>
    <w:r>
      <w:rPr>
        <w:lang w:val="en-GB"/>
      </w:rPr>
      <w:t>Singapore-based mathematics mmCRCT in England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C92DA" w14:textId="005E7235" w:rsidR="009F6406" w:rsidRPr="00A53000" w:rsidRDefault="009F6406" w:rsidP="000834B3">
    <w:pPr>
      <w:pStyle w:val="Header"/>
      <w:jc w:val="right"/>
    </w:pPr>
    <w:r>
      <w:rPr>
        <w:lang w:val="en-GB"/>
      </w:rPr>
      <w:t>Singapore-based mathematics mmCRCT in England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B907" w14:textId="77777777" w:rsidR="009F6406" w:rsidRDefault="009F6406" w:rsidP="00A53000">
    <w:pPr>
      <w:pStyle w:val="Header"/>
    </w:pPr>
    <w:r w:rsidRPr="005A1D84">
      <w:rPr>
        <w:noProof/>
        <w:color w:val="A6A6A6" w:themeColor="background1" w:themeShade="A6"/>
        <w:lang w:val="en-GB" w:eastAsia="en-GB"/>
      </w:rPr>
      <w:drawing>
        <wp:inline distT="0" distB="0" distL="0" distR="0" wp14:anchorId="1CEA6990" wp14:editId="67E071BB">
          <wp:extent cx="1382534" cy="497091"/>
          <wp:effectExtent l="0" t="0" r="0" b="0"/>
          <wp:docPr id="2" name="Picture 2"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F1C67"/>
    <w:multiLevelType w:val="hybridMultilevel"/>
    <w:tmpl w:val="9D0697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9F6273"/>
    <w:multiLevelType w:val="hybridMultilevel"/>
    <w:tmpl w:val="5B7E6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41506"/>
    <w:multiLevelType w:val="hybridMultilevel"/>
    <w:tmpl w:val="519AE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A7CAC"/>
    <w:multiLevelType w:val="multilevel"/>
    <w:tmpl w:val="C6A8CCEA"/>
    <w:numStyleLink w:val="Headings"/>
  </w:abstractNum>
  <w:abstractNum w:abstractNumId="9" w15:restartNumberingAfterBreak="0">
    <w:nsid w:val="31F6667A"/>
    <w:multiLevelType w:val="hybridMultilevel"/>
    <w:tmpl w:val="D4568678"/>
    <w:lvl w:ilvl="0" w:tplc="8976DF9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64859"/>
    <w:multiLevelType w:val="hybridMultilevel"/>
    <w:tmpl w:val="AAB2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527344"/>
    <w:multiLevelType w:val="hybridMultilevel"/>
    <w:tmpl w:val="D4D8ECD0"/>
    <w:lvl w:ilvl="0" w:tplc="0062EB4E">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905F13"/>
    <w:multiLevelType w:val="hybridMultilevel"/>
    <w:tmpl w:val="2BD0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E2D43"/>
    <w:multiLevelType w:val="hybridMultilevel"/>
    <w:tmpl w:val="5654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792073B"/>
    <w:multiLevelType w:val="hybridMultilevel"/>
    <w:tmpl w:val="4808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BC6F29"/>
    <w:multiLevelType w:val="multilevel"/>
    <w:tmpl w:val="C6A8CCEA"/>
    <w:numStyleLink w:val="Headings"/>
  </w:abstractNum>
  <w:abstractNum w:abstractNumId="26"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0"/>
  </w:num>
  <w:num w:numId="3">
    <w:abstractNumId w:val="2"/>
  </w:num>
  <w:num w:numId="4">
    <w:abstractNumId w:val="2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num>
  <w:num w:numId="8">
    <w:abstractNumId w:val="10"/>
  </w:num>
  <w:num w:numId="9">
    <w:abstractNumId w:val="13"/>
  </w:num>
  <w:num w:numId="10">
    <w:abstractNumId w:val="11"/>
  </w:num>
  <w:num w:numId="11">
    <w:abstractNumId w:val="3"/>
  </w:num>
  <w:num w:numId="12">
    <w:abstractNumId w:val="26"/>
  </w:num>
  <w:num w:numId="13">
    <w:abstractNumId w:val="18"/>
  </w:num>
  <w:num w:numId="14">
    <w:abstractNumId w:val="5"/>
  </w:num>
  <w:num w:numId="15">
    <w:abstractNumId w:val="16"/>
  </w:num>
  <w:num w:numId="16">
    <w:abstractNumId w:val="22"/>
  </w:num>
  <w:num w:numId="17">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5"/>
  </w:num>
  <w:num w:numId="21">
    <w:abstractNumId w:val="4"/>
  </w:num>
  <w:num w:numId="22">
    <w:abstractNumId w:val="15"/>
  </w:num>
  <w:num w:numId="23">
    <w:abstractNumId w:val="21"/>
  </w:num>
  <w:num w:numId="24">
    <w:abstractNumId w:val="6"/>
  </w:num>
  <w:num w:numId="25">
    <w:abstractNumId w:val="4"/>
    <w:lvlOverride w:ilvl="0">
      <w:startOverride w:val="4"/>
      <w:lvl w:ilvl="0">
        <w:start w:val="4"/>
        <w:numFmt w:val="decimal"/>
        <w:pStyle w:val="Heading1"/>
        <w:lvlText w:val="%1"/>
        <w:lvlJc w:val="left"/>
        <w:pPr>
          <w:tabs>
            <w:tab w:val="num" w:pos="567"/>
          </w:tabs>
          <w:ind w:left="567" w:hanging="567"/>
        </w:pPr>
        <w:rPr>
          <w:rFonts w:hint="default"/>
        </w:rPr>
      </w:lvl>
    </w:lvlOverride>
  </w:num>
  <w:num w:numId="26">
    <w:abstractNumId w:val="23"/>
  </w:num>
  <w:num w:numId="27">
    <w:abstractNumId w:val="17"/>
  </w:num>
  <w:num w:numId="28">
    <w:abstractNumId w:val="9"/>
  </w:num>
  <w:num w:numId="29">
    <w:abstractNumId w:val="19"/>
  </w:num>
  <w:num w:numId="30">
    <w:abstractNumId w:val="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E1"/>
    <w:rsid w:val="000006B1"/>
    <w:rsid w:val="00000FE3"/>
    <w:rsid w:val="000021A9"/>
    <w:rsid w:val="00005608"/>
    <w:rsid w:val="000124DD"/>
    <w:rsid w:val="00015F67"/>
    <w:rsid w:val="00024C80"/>
    <w:rsid w:val="000339E8"/>
    <w:rsid w:val="00034304"/>
    <w:rsid w:val="000343BC"/>
    <w:rsid w:val="00035434"/>
    <w:rsid w:val="00036BB4"/>
    <w:rsid w:val="00041C84"/>
    <w:rsid w:val="00042838"/>
    <w:rsid w:val="00044C44"/>
    <w:rsid w:val="00045678"/>
    <w:rsid w:val="000458E4"/>
    <w:rsid w:val="00045BD3"/>
    <w:rsid w:val="00053E73"/>
    <w:rsid w:val="000553D9"/>
    <w:rsid w:val="000557AF"/>
    <w:rsid w:val="00056530"/>
    <w:rsid w:val="00056ADF"/>
    <w:rsid w:val="000600CB"/>
    <w:rsid w:val="000605EC"/>
    <w:rsid w:val="00061515"/>
    <w:rsid w:val="000619CD"/>
    <w:rsid w:val="00063D84"/>
    <w:rsid w:val="0006636D"/>
    <w:rsid w:val="000713AB"/>
    <w:rsid w:val="00075B89"/>
    <w:rsid w:val="00076DCE"/>
    <w:rsid w:val="00077D53"/>
    <w:rsid w:val="00081394"/>
    <w:rsid w:val="000834B3"/>
    <w:rsid w:val="00084152"/>
    <w:rsid w:val="000910BC"/>
    <w:rsid w:val="000927A8"/>
    <w:rsid w:val="00095B5A"/>
    <w:rsid w:val="000A27B7"/>
    <w:rsid w:val="000A322F"/>
    <w:rsid w:val="000A6484"/>
    <w:rsid w:val="000A7396"/>
    <w:rsid w:val="000A757B"/>
    <w:rsid w:val="000B34BD"/>
    <w:rsid w:val="000B4263"/>
    <w:rsid w:val="000C0065"/>
    <w:rsid w:val="000C4388"/>
    <w:rsid w:val="000C459B"/>
    <w:rsid w:val="000C7E2A"/>
    <w:rsid w:val="000D1169"/>
    <w:rsid w:val="000D1897"/>
    <w:rsid w:val="000E37DA"/>
    <w:rsid w:val="000E443D"/>
    <w:rsid w:val="000E7489"/>
    <w:rsid w:val="000F3741"/>
    <w:rsid w:val="000F4215"/>
    <w:rsid w:val="000F456F"/>
    <w:rsid w:val="000F4CFB"/>
    <w:rsid w:val="00100DB0"/>
    <w:rsid w:val="00101A24"/>
    <w:rsid w:val="00106622"/>
    <w:rsid w:val="00117666"/>
    <w:rsid w:val="00120F1C"/>
    <w:rsid w:val="001223A7"/>
    <w:rsid w:val="00122B5B"/>
    <w:rsid w:val="00123951"/>
    <w:rsid w:val="001252D2"/>
    <w:rsid w:val="0013003C"/>
    <w:rsid w:val="00130CCA"/>
    <w:rsid w:val="00134256"/>
    <w:rsid w:val="00136627"/>
    <w:rsid w:val="00137E07"/>
    <w:rsid w:val="00140DE0"/>
    <w:rsid w:val="0014460D"/>
    <w:rsid w:val="00147395"/>
    <w:rsid w:val="00150FD1"/>
    <w:rsid w:val="00151393"/>
    <w:rsid w:val="001552C9"/>
    <w:rsid w:val="00162378"/>
    <w:rsid w:val="001646F5"/>
    <w:rsid w:val="00166CEB"/>
    <w:rsid w:val="00170097"/>
    <w:rsid w:val="00177D84"/>
    <w:rsid w:val="0018581E"/>
    <w:rsid w:val="001901BB"/>
    <w:rsid w:val="001909FA"/>
    <w:rsid w:val="0019493E"/>
    <w:rsid w:val="00194F3E"/>
    <w:rsid w:val="00195DC4"/>
    <w:rsid w:val="001964EF"/>
    <w:rsid w:val="001A222C"/>
    <w:rsid w:val="001A323E"/>
    <w:rsid w:val="001B1A2C"/>
    <w:rsid w:val="001B6797"/>
    <w:rsid w:val="001C3350"/>
    <w:rsid w:val="001C73D5"/>
    <w:rsid w:val="001D5C23"/>
    <w:rsid w:val="001D6763"/>
    <w:rsid w:val="001E1624"/>
    <w:rsid w:val="001E300C"/>
    <w:rsid w:val="001E6CA7"/>
    <w:rsid w:val="001F112C"/>
    <w:rsid w:val="001F1298"/>
    <w:rsid w:val="001F4C07"/>
    <w:rsid w:val="001F5C37"/>
    <w:rsid w:val="001F722B"/>
    <w:rsid w:val="001F7AB1"/>
    <w:rsid w:val="00207588"/>
    <w:rsid w:val="0021246E"/>
    <w:rsid w:val="002143C6"/>
    <w:rsid w:val="00215708"/>
    <w:rsid w:val="00220AEA"/>
    <w:rsid w:val="002235B8"/>
    <w:rsid w:val="00225DD9"/>
    <w:rsid w:val="00226954"/>
    <w:rsid w:val="002273A2"/>
    <w:rsid w:val="00227D64"/>
    <w:rsid w:val="00232463"/>
    <w:rsid w:val="00243F01"/>
    <w:rsid w:val="00245947"/>
    <w:rsid w:val="00246E84"/>
    <w:rsid w:val="002478BF"/>
    <w:rsid w:val="0025046D"/>
    <w:rsid w:val="0025667E"/>
    <w:rsid w:val="0025713C"/>
    <w:rsid w:val="00257A14"/>
    <w:rsid w:val="002621A8"/>
    <w:rsid w:val="002629A3"/>
    <w:rsid w:val="00265660"/>
    <w:rsid w:val="00267D18"/>
    <w:rsid w:val="00272373"/>
    <w:rsid w:val="002778D9"/>
    <w:rsid w:val="00285B15"/>
    <w:rsid w:val="002868E2"/>
    <w:rsid w:val="002869C3"/>
    <w:rsid w:val="002936E4"/>
    <w:rsid w:val="0029472E"/>
    <w:rsid w:val="00296B88"/>
    <w:rsid w:val="00297DA8"/>
    <w:rsid w:val="002A31BA"/>
    <w:rsid w:val="002A499A"/>
    <w:rsid w:val="002A57FD"/>
    <w:rsid w:val="002A74A3"/>
    <w:rsid w:val="002B185D"/>
    <w:rsid w:val="002B7ADD"/>
    <w:rsid w:val="002C1EC0"/>
    <w:rsid w:val="002C2639"/>
    <w:rsid w:val="002C4DDB"/>
    <w:rsid w:val="002C74CA"/>
    <w:rsid w:val="002D1A50"/>
    <w:rsid w:val="002D319A"/>
    <w:rsid w:val="002E34C1"/>
    <w:rsid w:val="002E7549"/>
    <w:rsid w:val="002F2ABC"/>
    <w:rsid w:val="002F3C3A"/>
    <w:rsid w:val="002F3C83"/>
    <w:rsid w:val="002F4091"/>
    <w:rsid w:val="002F744D"/>
    <w:rsid w:val="003025A8"/>
    <w:rsid w:val="00302B75"/>
    <w:rsid w:val="00303DE6"/>
    <w:rsid w:val="00306DDF"/>
    <w:rsid w:val="00310124"/>
    <w:rsid w:val="00311651"/>
    <w:rsid w:val="00313C88"/>
    <w:rsid w:val="003170BE"/>
    <w:rsid w:val="0031751C"/>
    <w:rsid w:val="00317BE9"/>
    <w:rsid w:val="00322DDC"/>
    <w:rsid w:val="00327EB7"/>
    <w:rsid w:val="003345BE"/>
    <w:rsid w:val="00336B8B"/>
    <w:rsid w:val="00340C3A"/>
    <w:rsid w:val="00351CE1"/>
    <w:rsid w:val="00352021"/>
    <w:rsid w:val="003544FB"/>
    <w:rsid w:val="00360A34"/>
    <w:rsid w:val="0036188B"/>
    <w:rsid w:val="003643D4"/>
    <w:rsid w:val="0036508A"/>
    <w:rsid w:val="00365D63"/>
    <w:rsid w:val="0036781C"/>
    <w:rsid w:val="0036793B"/>
    <w:rsid w:val="00372682"/>
    <w:rsid w:val="0037577C"/>
    <w:rsid w:val="00376CC5"/>
    <w:rsid w:val="00392CDF"/>
    <w:rsid w:val="003958A3"/>
    <w:rsid w:val="0039693B"/>
    <w:rsid w:val="003A22B2"/>
    <w:rsid w:val="003A395D"/>
    <w:rsid w:val="003A57E4"/>
    <w:rsid w:val="003B4CEF"/>
    <w:rsid w:val="003B6087"/>
    <w:rsid w:val="003B7558"/>
    <w:rsid w:val="003C45B4"/>
    <w:rsid w:val="003C5EE9"/>
    <w:rsid w:val="003D2F2D"/>
    <w:rsid w:val="003E1705"/>
    <w:rsid w:val="003E25A1"/>
    <w:rsid w:val="003E2E5A"/>
    <w:rsid w:val="003E522E"/>
    <w:rsid w:val="003F37E6"/>
    <w:rsid w:val="0040059C"/>
    <w:rsid w:val="00401590"/>
    <w:rsid w:val="00412AB9"/>
    <w:rsid w:val="00412F17"/>
    <w:rsid w:val="004204A7"/>
    <w:rsid w:val="004209DE"/>
    <w:rsid w:val="00420A16"/>
    <w:rsid w:val="00437253"/>
    <w:rsid w:val="00440A9B"/>
    <w:rsid w:val="0044446B"/>
    <w:rsid w:val="004532C8"/>
    <w:rsid w:val="004636D3"/>
    <w:rsid w:val="00463E3D"/>
    <w:rsid w:val="004645AE"/>
    <w:rsid w:val="00465760"/>
    <w:rsid w:val="00473844"/>
    <w:rsid w:val="00473F84"/>
    <w:rsid w:val="00481BBC"/>
    <w:rsid w:val="004823AA"/>
    <w:rsid w:val="00485832"/>
    <w:rsid w:val="004967D3"/>
    <w:rsid w:val="004972E0"/>
    <w:rsid w:val="004A0F91"/>
    <w:rsid w:val="004A2D97"/>
    <w:rsid w:val="004A5E9B"/>
    <w:rsid w:val="004A679A"/>
    <w:rsid w:val="004A7591"/>
    <w:rsid w:val="004B2E04"/>
    <w:rsid w:val="004B35E6"/>
    <w:rsid w:val="004C749E"/>
    <w:rsid w:val="004D0AD4"/>
    <w:rsid w:val="004D170B"/>
    <w:rsid w:val="004D22DA"/>
    <w:rsid w:val="004D3E33"/>
    <w:rsid w:val="004D4D29"/>
    <w:rsid w:val="004D605E"/>
    <w:rsid w:val="004D6B6B"/>
    <w:rsid w:val="004E5449"/>
    <w:rsid w:val="004F1DFD"/>
    <w:rsid w:val="004F2460"/>
    <w:rsid w:val="004F4630"/>
    <w:rsid w:val="004F48C3"/>
    <w:rsid w:val="00501710"/>
    <w:rsid w:val="00502917"/>
    <w:rsid w:val="005031DB"/>
    <w:rsid w:val="005068C9"/>
    <w:rsid w:val="005112FF"/>
    <w:rsid w:val="005129D0"/>
    <w:rsid w:val="00513569"/>
    <w:rsid w:val="005144D1"/>
    <w:rsid w:val="005167E9"/>
    <w:rsid w:val="0052200E"/>
    <w:rsid w:val="005225F0"/>
    <w:rsid w:val="0052371C"/>
    <w:rsid w:val="005250F2"/>
    <w:rsid w:val="00525BE8"/>
    <w:rsid w:val="00527CA0"/>
    <w:rsid w:val="00530805"/>
    <w:rsid w:val="0053223B"/>
    <w:rsid w:val="00534636"/>
    <w:rsid w:val="00534CFE"/>
    <w:rsid w:val="00535029"/>
    <w:rsid w:val="00536DC5"/>
    <w:rsid w:val="005421AE"/>
    <w:rsid w:val="00546E96"/>
    <w:rsid w:val="005672E1"/>
    <w:rsid w:val="0057692C"/>
    <w:rsid w:val="005825DD"/>
    <w:rsid w:val="0058511A"/>
    <w:rsid w:val="00586189"/>
    <w:rsid w:val="005863D5"/>
    <w:rsid w:val="00586682"/>
    <w:rsid w:val="00591C08"/>
    <w:rsid w:val="00594010"/>
    <w:rsid w:val="00594F7D"/>
    <w:rsid w:val="005975E9"/>
    <w:rsid w:val="005A0AF8"/>
    <w:rsid w:val="005A1D84"/>
    <w:rsid w:val="005A64BD"/>
    <w:rsid w:val="005A6664"/>
    <w:rsid w:val="005A70EA"/>
    <w:rsid w:val="005B1616"/>
    <w:rsid w:val="005B20C4"/>
    <w:rsid w:val="005C19DB"/>
    <w:rsid w:val="005C2A7B"/>
    <w:rsid w:val="005C2E69"/>
    <w:rsid w:val="005C3963"/>
    <w:rsid w:val="005D1840"/>
    <w:rsid w:val="005D1C5B"/>
    <w:rsid w:val="005D2C68"/>
    <w:rsid w:val="005D35E4"/>
    <w:rsid w:val="005D373F"/>
    <w:rsid w:val="005D5D09"/>
    <w:rsid w:val="005D7910"/>
    <w:rsid w:val="005F054A"/>
    <w:rsid w:val="005F70A7"/>
    <w:rsid w:val="005F7CEE"/>
    <w:rsid w:val="00602D85"/>
    <w:rsid w:val="006047D0"/>
    <w:rsid w:val="00605FA7"/>
    <w:rsid w:val="0061157E"/>
    <w:rsid w:val="0061401A"/>
    <w:rsid w:val="006169A6"/>
    <w:rsid w:val="0062154F"/>
    <w:rsid w:val="00622E6D"/>
    <w:rsid w:val="00631A8C"/>
    <w:rsid w:val="0064145E"/>
    <w:rsid w:val="00651CA2"/>
    <w:rsid w:val="006525E7"/>
    <w:rsid w:val="00653D60"/>
    <w:rsid w:val="00657577"/>
    <w:rsid w:val="00660D05"/>
    <w:rsid w:val="00660FF1"/>
    <w:rsid w:val="00663B1B"/>
    <w:rsid w:val="00666673"/>
    <w:rsid w:val="00666C7B"/>
    <w:rsid w:val="00671D9A"/>
    <w:rsid w:val="00672F20"/>
    <w:rsid w:val="00673952"/>
    <w:rsid w:val="006814B4"/>
    <w:rsid w:val="00681A99"/>
    <w:rsid w:val="006853A5"/>
    <w:rsid w:val="00686C9D"/>
    <w:rsid w:val="00691677"/>
    <w:rsid w:val="006A1A4B"/>
    <w:rsid w:val="006B2D5B"/>
    <w:rsid w:val="006B7985"/>
    <w:rsid w:val="006B7D14"/>
    <w:rsid w:val="006D439C"/>
    <w:rsid w:val="006D4620"/>
    <w:rsid w:val="006D5B93"/>
    <w:rsid w:val="006D5DF9"/>
    <w:rsid w:val="006E5B9E"/>
    <w:rsid w:val="006E6F3D"/>
    <w:rsid w:val="007050A3"/>
    <w:rsid w:val="00705EAD"/>
    <w:rsid w:val="00707BAA"/>
    <w:rsid w:val="0071614B"/>
    <w:rsid w:val="00725A7D"/>
    <w:rsid w:val="0073085C"/>
    <w:rsid w:val="0073596C"/>
    <w:rsid w:val="007457C3"/>
    <w:rsid w:val="00746505"/>
    <w:rsid w:val="00750314"/>
    <w:rsid w:val="00751F6F"/>
    <w:rsid w:val="00764025"/>
    <w:rsid w:val="00764DCC"/>
    <w:rsid w:val="00773111"/>
    <w:rsid w:val="007744D9"/>
    <w:rsid w:val="007815D6"/>
    <w:rsid w:val="00783A1A"/>
    <w:rsid w:val="00790BB3"/>
    <w:rsid w:val="00791D88"/>
    <w:rsid w:val="00792043"/>
    <w:rsid w:val="00796177"/>
    <w:rsid w:val="00797EDD"/>
    <w:rsid w:val="007A3B09"/>
    <w:rsid w:val="007A3CB1"/>
    <w:rsid w:val="007B0322"/>
    <w:rsid w:val="007B15E6"/>
    <w:rsid w:val="007B5890"/>
    <w:rsid w:val="007C0E3F"/>
    <w:rsid w:val="007C206C"/>
    <w:rsid w:val="007C5729"/>
    <w:rsid w:val="007C7948"/>
    <w:rsid w:val="007D4DB3"/>
    <w:rsid w:val="007D78FE"/>
    <w:rsid w:val="007E288D"/>
    <w:rsid w:val="007E4B1D"/>
    <w:rsid w:val="007E590A"/>
    <w:rsid w:val="007E61FB"/>
    <w:rsid w:val="007E62BF"/>
    <w:rsid w:val="007E67BC"/>
    <w:rsid w:val="007F23B5"/>
    <w:rsid w:val="007F38E7"/>
    <w:rsid w:val="007F601F"/>
    <w:rsid w:val="00803CE7"/>
    <w:rsid w:val="00807025"/>
    <w:rsid w:val="008111E4"/>
    <w:rsid w:val="0081301C"/>
    <w:rsid w:val="00814612"/>
    <w:rsid w:val="008153DE"/>
    <w:rsid w:val="00817DD6"/>
    <w:rsid w:val="0082059C"/>
    <w:rsid w:val="008252E9"/>
    <w:rsid w:val="00826F46"/>
    <w:rsid w:val="008364E2"/>
    <w:rsid w:val="008422F8"/>
    <w:rsid w:val="008478B6"/>
    <w:rsid w:val="008629A9"/>
    <w:rsid w:val="00870620"/>
    <w:rsid w:val="008706B0"/>
    <w:rsid w:val="00870E22"/>
    <w:rsid w:val="00872536"/>
    <w:rsid w:val="00873F4C"/>
    <w:rsid w:val="00877660"/>
    <w:rsid w:val="00886AE3"/>
    <w:rsid w:val="00891210"/>
    <w:rsid w:val="00893C19"/>
    <w:rsid w:val="00894CE7"/>
    <w:rsid w:val="008A68FF"/>
    <w:rsid w:val="008C0D83"/>
    <w:rsid w:val="008C0F06"/>
    <w:rsid w:val="008C7BCC"/>
    <w:rsid w:val="008D4950"/>
    <w:rsid w:val="008D6C8D"/>
    <w:rsid w:val="008E2B54"/>
    <w:rsid w:val="008E4404"/>
    <w:rsid w:val="008E58C7"/>
    <w:rsid w:val="008E5A5B"/>
    <w:rsid w:val="008F2FA8"/>
    <w:rsid w:val="008F4331"/>
    <w:rsid w:val="008F5021"/>
    <w:rsid w:val="009039EC"/>
    <w:rsid w:val="00906F59"/>
    <w:rsid w:val="00910FDE"/>
    <w:rsid w:val="009166DD"/>
    <w:rsid w:val="009222A9"/>
    <w:rsid w:val="009235D9"/>
    <w:rsid w:val="00925416"/>
    <w:rsid w:val="00926168"/>
    <w:rsid w:val="00941C14"/>
    <w:rsid w:val="00942C2E"/>
    <w:rsid w:val="00943573"/>
    <w:rsid w:val="00946F18"/>
    <w:rsid w:val="00954AD3"/>
    <w:rsid w:val="00954CA9"/>
    <w:rsid w:val="00960A97"/>
    <w:rsid w:val="00962459"/>
    <w:rsid w:val="00971120"/>
    <w:rsid w:val="00971546"/>
    <w:rsid w:val="00971B60"/>
    <w:rsid w:val="00971B61"/>
    <w:rsid w:val="00980C31"/>
    <w:rsid w:val="00986DA4"/>
    <w:rsid w:val="009955FF"/>
    <w:rsid w:val="009963A6"/>
    <w:rsid w:val="009A0EA1"/>
    <w:rsid w:val="009A1273"/>
    <w:rsid w:val="009A29D4"/>
    <w:rsid w:val="009B0D5C"/>
    <w:rsid w:val="009B38D6"/>
    <w:rsid w:val="009B3BD5"/>
    <w:rsid w:val="009B41E7"/>
    <w:rsid w:val="009B45CB"/>
    <w:rsid w:val="009B4F5A"/>
    <w:rsid w:val="009B53C0"/>
    <w:rsid w:val="009C1FE7"/>
    <w:rsid w:val="009C2FB9"/>
    <w:rsid w:val="009C70E9"/>
    <w:rsid w:val="009D259D"/>
    <w:rsid w:val="009D3CF7"/>
    <w:rsid w:val="009E48C2"/>
    <w:rsid w:val="009E5756"/>
    <w:rsid w:val="009E6E92"/>
    <w:rsid w:val="009E6F23"/>
    <w:rsid w:val="009E7B0E"/>
    <w:rsid w:val="009F3720"/>
    <w:rsid w:val="009F4454"/>
    <w:rsid w:val="009F44F4"/>
    <w:rsid w:val="009F6406"/>
    <w:rsid w:val="00A05A1B"/>
    <w:rsid w:val="00A07DFC"/>
    <w:rsid w:val="00A1254A"/>
    <w:rsid w:val="00A130BF"/>
    <w:rsid w:val="00A15A23"/>
    <w:rsid w:val="00A17E93"/>
    <w:rsid w:val="00A20BCF"/>
    <w:rsid w:val="00A264AF"/>
    <w:rsid w:val="00A30937"/>
    <w:rsid w:val="00A45450"/>
    <w:rsid w:val="00A4643A"/>
    <w:rsid w:val="00A50D9D"/>
    <w:rsid w:val="00A515F5"/>
    <w:rsid w:val="00A52293"/>
    <w:rsid w:val="00A53000"/>
    <w:rsid w:val="00A53269"/>
    <w:rsid w:val="00A545C6"/>
    <w:rsid w:val="00A651A6"/>
    <w:rsid w:val="00A706C9"/>
    <w:rsid w:val="00A72010"/>
    <w:rsid w:val="00A72427"/>
    <w:rsid w:val="00A741E3"/>
    <w:rsid w:val="00A75F87"/>
    <w:rsid w:val="00A819CE"/>
    <w:rsid w:val="00A81E7D"/>
    <w:rsid w:val="00A8273B"/>
    <w:rsid w:val="00A87EBF"/>
    <w:rsid w:val="00A9456C"/>
    <w:rsid w:val="00A95D8B"/>
    <w:rsid w:val="00AA0395"/>
    <w:rsid w:val="00AA0E14"/>
    <w:rsid w:val="00AA479A"/>
    <w:rsid w:val="00AB10BF"/>
    <w:rsid w:val="00AC0270"/>
    <w:rsid w:val="00AC3EA3"/>
    <w:rsid w:val="00AC4EBD"/>
    <w:rsid w:val="00AC56FA"/>
    <w:rsid w:val="00AC792D"/>
    <w:rsid w:val="00AD0847"/>
    <w:rsid w:val="00AD26BB"/>
    <w:rsid w:val="00AD3C95"/>
    <w:rsid w:val="00AE2A1D"/>
    <w:rsid w:val="00AE5825"/>
    <w:rsid w:val="00AF56CD"/>
    <w:rsid w:val="00B00897"/>
    <w:rsid w:val="00B04751"/>
    <w:rsid w:val="00B066D6"/>
    <w:rsid w:val="00B105BD"/>
    <w:rsid w:val="00B2022C"/>
    <w:rsid w:val="00B27904"/>
    <w:rsid w:val="00B40E70"/>
    <w:rsid w:val="00B44467"/>
    <w:rsid w:val="00B45007"/>
    <w:rsid w:val="00B52A32"/>
    <w:rsid w:val="00B5317A"/>
    <w:rsid w:val="00B53ADA"/>
    <w:rsid w:val="00B57C32"/>
    <w:rsid w:val="00B60D39"/>
    <w:rsid w:val="00B657B8"/>
    <w:rsid w:val="00B731AE"/>
    <w:rsid w:val="00B74EB4"/>
    <w:rsid w:val="00B76991"/>
    <w:rsid w:val="00B7759D"/>
    <w:rsid w:val="00B80157"/>
    <w:rsid w:val="00B81772"/>
    <w:rsid w:val="00B82F3F"/>
    <w:rsid w:val="00B83AE7"/>
    <w:rsid w:val="00B84920"/>
    <w:rsid w:val="00B8556A"/>
    <w:rsid w:val="00B96A3E"/>
    <w:rsid w:val="00BA11EF"/>
    <w:rsid w:val="00BA486D"/>
    <w:rsid w:val="00BA5E61"/>
    <w:rsid w:val="00BB1885"/>
    <w:rsid w:val="00BB7E38"/>
    <w:rsid w:val="00BC326E"/>
    <w:rsid w:val="00BD06E4"/>
    <w:rsid w:val="00BD1C90"/>
    <w:rsid w:val="00BE1070"/>
    <w:rsid w:val="00BE5C03"/>
    <w:rsid w:val="00BF36D9"/>
    <w:rsid w:val="00BF42D3"/>
    <w:rsid w:val="00BF5E90"/>
    <w:rsid w:val="00BF606D"/>
    <w:rsid w:val="00C012A3"/>
    <w:rsid w:val="00C10435"/>
    <w:rsid w:val="00C10FE0"/>
    <w:rsid w:val="00C14AD6"/>
    <w:rsid w:val="00C16C0F"/>
    <w:rsid w:val="00C17A5B"/>
    <w:rsid w:val="00C17C2F"/>
    <w:rsid w:val="00C31AD7"/>
    <w:rsid w:val="00C32191"/>
    <w:rsid w:val="00C3365E"/>
    <w:rsid w:val="00C3631F"/>
    <w:rsid w:val="00C52A7B"/>
    <w:rsid w:val="00C54338"/>
    <w:rsid w:val="00C606D7"/>
    <w:rsid w:val="00C609EC"/>
    <w:rsid w:val="00C629A9"/>
    <w:rsid w:val="00C6324C"/>
    <w:rsid w:val="00C63421"/>
    <w:rsid w:val="00C679AA"/>
    <w:rsid w:val="00C71FF9"/>
    <w:rsid w:val="00C724CF"/>
    <w:rsid w:val="00C73888"/>
    <w:rsid w:val="00C73FEC"/>
    <w:rsid w:val="00C75972"/>
    <w:rsid w:val="00C82792"/>
    <w:rsid w:val="00C87593"/>
    <w:rsid w:val="00C9081D"/>
    <w:rsid w:val="00C909A7"/>
    <w:rsid w:val="00C9339E"/>
    <w:rsid w:val="00C93CD5"/>
    <w:rsid w:val="00C948FD"/>
    <w:rsid w:val="00CA32DC"/>
    <w:rsid w:val="00CA5C0D"/>
    <w:rsid w:val="00CA6A70"/>
    <w:rsid w:val="00CB080B"/>
    <w:rsid w:val="00CB1A40"/>
    <w:rsid w:val="00CB2E03"/>
    <w:rsid w:val="00CB43D5"/>
    <w:rsid w:val="00CB6D56"/>
    <w:rsid w:val="00CC76F9"/>
    <w:rsid w:val="00CD066B"/>
    <w:rsid w:val="00CD3998"/>
    <w:rsid w:val="00CD46E2"/>
    <w:rsid w:val="00CD5411"/>
    <w:rsid w:val="00CE0F49"/>
    <w:rsid w:val="00CE19B7"/>
    <w:rsid w:val="00CE4A3E"/>
    <w:rsid w:val="00CE7399"/>
    <w:rsid w:val="00CF0D37"/>
    <w:rsid w:val="00CF258B"/>
    <w:rsid w:val="00D00D0B"/>
    <w:rsid w:val="00D04B69"/>
    <w:rsid w:val="00D07BEF"/>
    <w:rsid w:val="00D1401F"/>
    <w:rsid w:val="00D14AC9"/>
    <w:rsid w:val="00D17819"/>
    <w:rsid w:val="00D22825"/>
    <w:rsid w:val="00D22FE9"/>
    <w:rsid w:val="00D31BAF"/>
    <w:rsid w:val="00D338F6"/>
    <w:rsid w:val="00D43F4D"/>
    <w:rsid w:val="00D4570F"/>
    <w:rsid w:val="00D46E12"/>
    <w:rsid w:val="00D5140B"/>
    <w:rsid w:val="00D52589"/>
    <w:rsid w:val="00D537FA"/>
    <w:rsid w:val="00D63438"/>
    <w:rsid w:val="00D63D65"/>
    <w:rsid w:val="00D647BF"/>
    <w:rsid w:val="00D71EE2"/>
    <w:rsid w:val="00D73C1A"/>
    <w:rsid w:val="00D76E00"/>
    <w:rsid w:val="00D77586"/>
    <w:rsid w:val="00D80D99"/>
    <w:rsid w:val="00D82CDB"/>
    <w:rsid w:val="00D83BD9"/>
    <w:rsid w:val="00D9503C"/>
    <w:rsid w:val="00D9638B"/>
    <w:rsid w:val="00DB037C"/>
    <w:rsid w:val="00DB28FA"/>
    <w:rsid w:val="00DB60CA"/>
    <w:rsid w:val="00DB6ED2"/>
    <w:rsid w:val="00DB71AA"/>
    <w:rsid w:val="00DC5A71"/>
    <w:rsid w:val="00DC75EF"/>
    <w:rsid w:val="00DD4AB2"/>
    <w:rsid w:val="00DD51CE"/>
    <w:rsid w:val="00DD5719"/>
    <w:rsid w:val="00DD72FA"/>
    <w:rsid w:val="00DD73EF"/>
    <w:rsid w:val="00DD77BD"/>
    <w:rsid w:val="00DE23E8"/>
    <w:rsid w:val="00DE4448"/>
    <w:rsid w:val="00DE7418"/>
    <w:rsid w:val="00DF08B0"/>
    <w:rsid w:val="00DF0D64"/>
    <w:rsid w:val="00DF5B91"/>
    <w:rsid w:val="00E0128B"/>
    <w:rsid w:val="00E07086"/>
    <w:rsid w:val="00E07CA0"/>
    <w:rsid w:val="00E104C0"/>
    <w:rsid w:val="00E10D32"/>
    <w:rsid w:val="00E13978"/>
    <w:rsid w:val="00E258AA"/>
    <w:rsid w:val="00E25EE9"/>
    <w:rsid w:val="00E27A07"/>
    <w:rsid w:val="00E3342B"/>
    <w:rsid w:val="00E462A3"/>
    <w:rsid w:val="00E5339C"/>
    <w:rsid w:val="00E5421D"/>
    <w:rsid w:val="00E54F8C"/>
    <w:rsid w:val="00E570D4"/>
    <w:rsid w:val="00E57C7B"/>
    <w:rsid w:val="00E64E17"/>
    <w:rsid w:val="00E655FA"/>
    <w:rsid w:val="00E66136"/>
    <w:rsid w:val="00E75842"/>
    <w:rsid w:val="00E7763E"/>
    <w:rsid w:val="00E85DC0"/>
    <w:rsid w:val="00E87F90"/>
    <w:rsid w:val="00E92200"/>
    <w:rsid w:val="00E941B2"/>
    <w:rsid w:val="00EA3CAD"/>
    <w:rsid w:val="00EA3D3C"/>
    <w:rsid w:val="00EA5849"/>
    <w:rsid w:val="00EB19A9"/>
    <w:rsid w:val="00EC623C"/>
    <w:rsid w:val="00EC7CC3"/>
    <w:rsid w:val="00ED2216"/>
    <w:rsid w:val="00ED239A"/>
    <w:rsid w:val="00ED3998"/>
    <w:rsid w:val="00EE6148"/>
    <w:rsid w:val="00EE6819"/>
    <w:rsid w:val="00EE7E33"/>
    <w:rsid w:val="00EF1AF5"/>
    <w:rsid w:val="00EF3DBF"/>
    <w:rsid w:val="00EF3EAD"/>
    <w:rsid w:val="00EF4829"/>
    <w:rsid w:val="00F002BC"/>
    <w:rsid w:val="00F0265A"/>
    <w:rsid w:val="00F101E6"/>
    <w:rsid w:val="00F122E2"/>
    <w:rsid w:val="00F15BE4"/>
    <w:rsid w:val="00F172A1"/>
    <w:rsid w:val="00F21222"/>
    <w:rsid w:val="00F350FE"/>
    <w:rsid w:val="00F3785F"/>
    <w:rsid w:val="00F43630"/>
    <w:rsid w:val="00F46494"/>
    <w:rsid w:val="00F47B6A"/>
    <w:rsid w:val="00F519AB"/>
    <w:rsid w:val="00F558AB"/>
    <w:rsid w:val="00F605DD"/>
    <w:rsid w:val="00F61D89"/>
    <w:rsid w:val="00F66D7B"/>
    <w:rsid w:val="00F70B64"/>
    <w:rsid w:val="00F728DC"/>
    <w:rsid w:val="00F766F0"/>
    <w:rsid w:val="00F7704B"/>
    <w:rsid w:val="00F805F9"/>
    <w:rsid w:val="00F83C78"/>
    <w:rsid w:val="00F86ABB"/>
    <w:rsid w:val="00F92B9A"/>
    <w:rsid w:val="00F933D8"/>
    <w:rsid w:val="00F9412E"/>
    <w:rsid w:val="00F95EC0"/>
    <w:rsid w:val="00F96ED9"/>
    <w:rsid w:val="00FA56D0"/>
    <w:rsid w:val="00FA6347"/>
    <w:rsid w:val="00FC0019"/>
    <w:rsid w:val="00FC29E1"/>
    <w:rsid w:val="00FC3C71"/>
    <w:rsid w:val="00FC7748"/>
    <w:rsid w:val="00FD2E5C"/>
    <w:rsid w:val="00FD6B15"/>
    <w:rsid w:val="00FD7648"/>
    <w:rsid w:val="00FE2D15"/>
    <w:rsid w:val="00FE31B3"/>
    <w:rsid w:val="00FE6C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41AB0"/>
  <w15:docId w15:val="{4F1D4202-E77B-4EB7-B3E7-F1C7D320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4"/>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BB7E38"/>
    <w:pPr>
      <w:spacing w:after="0" w:line="240" w:lineRule="auto"/>
    </w:pPr>
    <w:rPr>
      <w:rFonts w:asciiTheme="minorHAnsi" w:eastAsia="Times New Roman" w:hAnsiTheme="minorHAns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7E38"/>
    <w:pPr>
      <w:spacing w:after="0" w:line="240" w:lineRule="auto"/>
    </w:pPr>
    <w:rPr>
      <w:rFonts w:asciiTheme="minorHAnsi" w:eastAsia="Times New Roman" w:hAnsiTheme="minorHAns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44183297">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220795799">
      <w:bodyDiv w:val="1"/>
      <w:marLeft w:val="0"/>
      <w:marRight w:val="0"/>
      <w:marTop w:val="0"/>
      <w:marBottom w:val="0"/>
      <w:divBdr>
        <w:top w:val="none" w:sz="0" w:space="0" w:color="auto"/>
        <w:left w:val="none" w:sz="0" w:space="0" w:color="auto"/>
        <w:bottom w:val="none" w:sz="0" w:space="0" w:color="auto"/>
        <w:right w:val="none" w:sz="0" w:space="0" w:color="auto"/>
      </w:divBdr>
    </w:div>
    <w:div w:id="308176451">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452019648">
      <w:bodyDiv w:val="1"/>
      <w:marLeft w:val="0"/>
      <w:marRight w:val="0"/>
      <w:marTop w:val="0"/>
      <w:marBottom w:val="0"/>
      <w:divBdr>
        <w:top w:val="none" w:sz="0" w:space="0" w:color="auto"/>
        <w:left w:val="none" w:sz="0" w:space="0" w:color="auto"/>
        <w:bottom w:val="none" w:sz="0" w:space="0" w:color="auto"/>
        <w:right w:val="none" w:sz="0" w:space="0" w:color="auto"/>
      </w:divBdr>
    </w:div>
    <w:div w:id="464085870">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782001665">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158226309">
      <w:bodyDiv w:val="1"/>
      <w:marLeft w:val="0"/>
      <w:marRight w:val="0"/>
      <w:marTop w:val="0"/>
      <w:marBottom w:val="0"/>
      <w:divBdr>
        <w:top w:val="none" w:sz="0" w:space="0" w:color="auto"/>
        <w:left w:val="none" w:sz="0" w:space="0" w:color="auto"/>
        <w:bottom w:val="none" w:sz="0" w:space="0" w:color="auto"/>
        <w:right w:val="none" w:sz="0" w:space="0" w:color="auto"/>
      </w:divBdr>
    </w:div>
    <w:div w:id="1284385202">
      <w:bodyDiv w:val="1"/>
      <w:marLeft w:val="0"/>
      <w:marRight w:val="0"/>
      <w:marTop w:val="0"/>
      <w:marBottom w:val="0"/>
      <w:divBdr>
        <w:top w:val="none" w:sz="0" w:space="0" w:color="auto"/>
        <w:left w:val="none" w:sz="0" w:space="0" w:color="auto"/>
        <w:bottom w:val="none" w:sz="0" w:space="0" w:color="auto"/>
        <w:right w:val="none" w:sz="0" w:space="0" w:color="auto"/>
      </w:divBdr>
    </w:div>
    <w:div w:id="1430926988">
      <w:bodyDiv w:val="1"/>
      <w:marLeft w:val="0"/>
      <w:marRight w:val="0"/>
      <w:marTop w:val="0"/>
      <w:marBottom w:val="0"/>
      <w:divBdr>
        <w:top w:val="none" w:sz="0" w:space="0" w:color="auto"/>
        <w:left w:val="none" w:sz="0" w:space="0" w:color="auto"/>
        <w:bottom w:val="none" w:sz="0" w:space="0" w:color="auto"/>
        <w:right w:val="none" w:sz="0" w:space="0" w:color="auto"/>
      </w:divBdr>
    </w:div>
    <w:div w:id="1545095938">
      <w:bodyDiv w:val="1"/>
      <w:marLeft w:val="0"/>
      <w:marRight w:val="0"/>
      <w:marTop w:val="0"/>
      <w:marBottom w:val="0"/>
      <w:divBdr>
        <w:top w:val="none" w:sz="0" w:space="0" w:color="auto"/>
        <w:left w:val="none" w:sz="0" w:space="0" w:color="auto"/>
        <w:bottom w:val="none" w:sz="0" w:space="0" w:color="auto"/>
        <w:right w:val="none" w:sz="0" w:space="0" w:color="auto"/>
      </w:divBdr>
    </w:div>
    <w:div w:id="1563910922">
      <w:bodyDiv w:val="1"/>
      <w:marLeft w:val="0"/>
      <w:marRight w:val="0"/>
      <w:marTop w:val="0"/>
      <w:marBottom w:val="0"/>
      <w:divBdr>
        <w:top w:val="none" w:sz="0" w:space="0" w:color="auto"/>
        <w:left w:val="none" w:sz="0" w:space="0" w:color="auto"/>
        <w:bottom w:val="none" w:sz="0" w:space="0" w:color="auto"/>
        <w:right w:val="none" w:sz="0" w:space="0" w:color="auto"/>
      </w:divBdr>
    </w:div>
    <w:div w:id="1591305451">
      <w:bodyDiv w:val="1"/>
      <w:marLeft w:val="0"/>
      <w:marRight w:val="0"/>
      <w:marTop w:val="0"/>
      <w:marBottom w:val="0"/>
      <w:divBdr>
        <w:top w:val="none" w:sz="0" w:space="0" w:color="auto"/>
        <w:left w:val="none" w:sz="0" w:space="0" w:color="auto"/>
        <w:bottom w:val="none" w:sz="0" w:space="0" w:color="auto"/>
        <w:right w:val="none" w:sz="0" w:space="0" w:color="auto"/>
      </w:divBdr>
    </w:div>
    <w:div w:id="1623730602">
      <w:bodyDiv w:val="1"/>
      <w:marLeft w:val="0"/>
      <w:marRight w:val="0"/>
      <w:marTop w:val="0"/>
      <w:marBottom w:val="0"/>
      <w:divBdr>
        <w:top w:val="none" w:sz="0" w:space="0" w:color="auto"/>
        <w:left w:val="none" w:sz="0" w:space="0" w:color="auto"/>
        <w:bottom w:val="none" w:sz="0" w:space="0" w:color="auto"/>
        <w:right w:val="none" w:sz="0" w:space="0" w:color="auto"/>
      </w:divBdr>
    </w:div>
    <w:div w:id="1773284733">
      <w:bodyDiv w:val="1"/>
      <w:marLeft w:val="0"/>
      <w:marRight w:val="0"/>
      <w:marTop w:val="0"/>
      <w:marBottom w:val="0"/>
      <w:divBdr>
        <w:top w:val="none" w:sz="0" w:space="0" w:color="auto"/>
        <w:left w:val="none" w:sz="0" w:space="0" w:color="auto"/>
        <w:bottom w:val="none" w:sz="0" w:space="0" w:color="auto"/>
        <w:right w:val="none" w:sz="0" w:space="0" w:color="auto"/>
      </w:divBdr>
    </w:div>
    <w:div w:id="1820146568">
      <w:bodyDiv w:val="1"/>
      <w:marLeft w:val="0"/>
      <w:marRight w:val="0"/>
      <w:marTop w:val="0"/>
      <w:marBottom w:val="0"/>
      <w:divBdr>
        <w:top w:val="none" w:sz="0" w:space="0" w:color="auto"/>
        <w:left w:val="none" w:sz="0" w:space="0" w:color="auto"/>
        <w:bottom w:val="none" w:sz="0" w:space="0" w:color="auto"/>
        <w:right w:val="none" w:sz="0" w:space="0" w:color="auto"/>
      </w:divBdr>
    </w:div>
    <w:div w:id="1929003990">
      <w:bodyDiv w:val="1"/>
      <w:marLeft w:val="0"/>
      <w:marRight w:val="0"/>
      <w:marTop w:val="0"/>
      <w:marBottom w:val="0"/>
      <w:divBdr>
        <w:top w:val="none" w:sz="0" w:space="0" w:color="auto"/>
        <w:left w:val="none" w:sz="0" w:space="0" w:color="auto"/>
        <w:bottom w:val="none" w:sz="0" w:space="0" w:color="auto"/>
        <w:right w:val="none" w:sz="0" w:space="0" w:color="auto"/>
      </w:divBdr>
    </w:div>
    <w:div w:id="205661506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cation\Desktop\Publications\1-1%20frontiers%20inspire%20overview\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9ED5205-9B93-4184-BC2E-9F46A0B4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0</TotalTime>
  <Pages>35</Pages>
  <Words>25631</Words>
  <Characters>146100</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Lindorff</dc:creator>
  <cp:lastModifiedBy>Whalley T.</cp:lastModifiedBy>
  <cp:revision>2</cp:revision>
  <cp:lastPrinted>2018-09-27T11:33:00Z</cp:lastPrinted>
  <dcterms:created xsi:type="dcterms:W3CDTF">2019-05-01T12:19:00Z</dcterms:created>
  <dcterms:modified xsi:type="dcterms:W3CDTF">2019-05-01T12:19:00Z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http://www.zotero.org/styles/chicago-author-date</vt:lpwstr>
  </property>
  <property fmtid="{D5CDD505-2E9C-101B-9397-08002B2CF9AE}" pid="3" name="Mendeley Document_1">
    <vt:lpwstr>True</vt:lpwstr>
  </property>
  <property fmtid="{D5CDD505-2E9C-101B-9397-08002B2CF9AE}" pid="4" name="Mendeley Unique User Id_1">
    <vt:lpwstr>27336f03-5aea-3988-8bc3-912b6764ad3e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